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F0172" w14:textId="77777777" w:rsidR="009679F2" w:rsidRPr="00CA36B4" w:rsidRDefault="009679F2" w:rsidP="00CA36B4">
      <w:pPr>
        <w:jc w:val="center"/>
        <w:rPr>
          <w:rFonts w:cs="Arial"/>
          <w:b/>
          <w:bCs/>
          <w:lang w:val="en-GB"/>
        </w:rPr>
      </w:pPr>
    </w:p>
    <w:p w14:paraId="53971900" w14:textId="77777777" w:rsidR="009679F2" w:rsidRPr="00CA36B4" w:rsidRDefault="009679F2" w:rsidP="00CA36B4">
      <w:pPr>
        <w:jc w:val="center"/>
        <w:rPr>
          <w:rFonts w:cs="Arial"/>
          <w:b/>
          <w:bCs/>
          <w:lang w:val="en-GB"/>
        </w:rPr>
      </w:pPr>
    </w:p>
    <w:p w14:paraId="66A703BE" w14:textId="127D7E1B" w:rsidR="009679F2" w:rsidRPr="00CA36B4" w:rsidRDefault="007E236F" w:rsidP="00CA36B4">
      <w:pPr>
        <w:jc w:val="center"/>
        <w:rPr>
          <w:rFonts w:cs="Arial"/>
          <w:b/>
          <w:bCs/>
          <w:lang w:val="en-GB"/>
        </w:rPr>
      </w:pPr>
      <w:r>
        <w:rPr>
          <w:rFonts w:cs="Arial"/>
          <w:b/>
          <w:bCs/>
          <w:lang w:val="en-GB"/>
        </w:rPr>
        <w:t>Student Name: Shamim Younis (2313915)</w:t>
      </w:r>
    </w:p>
    <w:p w14:paraId="30477BB2" w14:textId="7B6E3BFB" w:rsidR="009679F2" w:rsidRPr="00CA36B4" w:rsidRDefault="007E236F" w:rsidP="00CA36B4">
      <w:pPr>
        <w:jc w:val="center"/>
        <w:rPr>
          <w:rFonts w:cs="Arial"/>
          <w:b/>
          <w:bCs/>
          <w:lang w:val="en-GB"/>
        </w:rPr>
      </w:pPr>
      <w:r>
        <w:rPr>
          <w:rFonts w:cs="Arial"/>
          <w:b/>
          <w:bCs/>
          <w:lang w:val="en-GB"/>
        </w:rPr>
        <w:t>Teacher Name: Dr Doreen Nyaa Amuandan</w:t>
      </w:r>
    </w:p>
    <w:p w14:paraId="4161362D" w14:textId="77777777" w:rsidR="002473A5" w:rsidRPr="00CA36B4" w:rsidRDefault="00D17BB5" w:rsidP="00CA36B4">
      <w:pPr>
        <w:jc w:val="center"/>
        <w:rPr>
          <w:rFonts w:cs="Arial"/>
          <w:u w:val="single"/>
          <w:lang w:val="en-GB"/>
        </w:rPr>
      </w:pPr>
      <w:r w:rsidRPr="00CA36B4">
        <w:rPr>
          <w:rFonts w:cs="Arial"/>
          <w:b/>
          <w:bCs/>
          <w:lang w:val="en-GB"/>
        </w:rPr>
        <w:t xml:space="preserve">Programme: </w:t>
      </w:r>
      <w:r w:rsidRPr="00CA36B4">
        <w:rPr>
          <w:rFonts w:cs="Arial"/>
          <w:u w:val="single"/>
          <w:lang w:val="en-GB"/>
        </w:rPr>
        <w:t>BA (Hons) Leadership and Management Skills for the Workplace</w:t>
      </w:r>
    </w:p>
    <w:p w14:paraId="4968465F" w14:textId="77777777" w:rsidR="009679F2" w:rsidRPr="00CA36B4" w:rsidRDefault="009679F2" w:rsidP="00CA36B4">
      <w:pPr>
        <w:jc w:val="center"/>
        <w:rPr>
          <w:rFonts w:cs="Arial"/>
          <w:b/>
          <w:bCs/>
          <w:lang w:val="en-GB"/>
        </w:rPr>
      </w:pPr>
    </w:p>
    <w:p w14:paraId="4060852D" w14:textId="77777777" w:rsidR="002473A5" w:rsidRPr="00CA36B4" w:rsidRDefault="00D17BB5" w:rsidP="00CA36B4">
      <w:pPr>
        <w:jc w:val="center"/>
        <w:rPr>
          <w:rFonts w:cs="Arial"/>
          <w:u w:val="single"/>
          <w:lang w:val="en-GB"/>
        </w:rPr>
      </w:pPr>
      <w:r w:rsidRPr="00CA36B4">
        <w:rPr>
          <w:rFonts w:cs="Arial"/>
          <w:b/>
          <w:bCs/>
          <w:lang w:val="en-GB"/>
        </w:rPr>
        <w:t xml:space="preserve">Module: </w:t>
      </w:r>
      <w:r w:rsidRPr="00CA36B4">
        <w:rPr>
          <w:rFonts w:cs="Arial"/>
          <w:u w:val="single"/>
          <w:lang w:val="en-GB"/>
        </w:rPr>
        <w:t>Developing and Managing Individuals and Teams</w:t>
      </w:r>
    </w:p>
    <w:p w14:paraId="51E1E0F2" w14:textId="77777777" w:rsidR="009679F2" w:rsidRPr="00CA36B4" w:rsidRDefault="009679F2" w:rsidP="00CA36B4">
      <w:pPr>
        <w:jc w:val="center"/>
        <w:rPr>
          <w:rFonts w:cs="Arial"/>
          <w:u w:val="single"/>
          <w:lang w:val="en-GB"/>
        </w:rPr>
      </w:pPr>
    </w:p>
    <w:p w14:paraId="617F7655" w14:textId="77777777" w:rsidR="009979FB" w:rsidRPr="00CA36B4" w:rsidRDefault="00D17BB5" w:rsidP="00CA36B4">
      <w:pPr>
        <w:jc w:val="center"/>
        <w:rPr>
          <w:rFonts w:cs="Arial"/>
          <w:u w:val="single"/>
          <w:lang w:val="en-GB"/>
        </w:rPr>
      </w:pPr>
      <w:r w:rsidRPr="00CA36B4">
        <w:rPr>
          <w:rFonts w:cs="Arial"/>
          <w:b/>
          <w:bCs/>
          <w:lang w:val="en-GB"/>
        </w:rPr>
        <w:t xml:space="preserve">Module Code: </w:t>
      </w:r>
      <w:r w:rsidRPr="00CA36B4">
        <w:rPr>
          <w:rFonts w:cs="Arial"/>
          <w:u w:val="single"/>
          <w:lang w:val="en-GB"/>
        </w:rPr>
        <w:t>LCLM5002</w:t>
      </w:r>
    </w:p>
    <w:p w14:paraId="71EB9396" w14:textId="77777777" w:rsidR="009679F2" w:rsidRPr="00CA36B4" w:rsidRDefault="009679F2" w:rsidP="00CA36B4">
      <w:pPr>
        <w:jc w:val="center"/>
        <w:rPr>
          <w:rFonts w:cs="Arial"/>
          <w:b/>
          <w:bCs/>
          <w:lang w:val="en-GB"/>
        </w:rPr>
      </w:pPr>
    </w:p>
    <w:p w14:paraId="7589D33B" w14:textId="77777777" w:rsidR="002473A5" w:rsidRPr="00CA36B4" w:rsidRDefault="00D17BB5" w:rsidP="00CA36B4">
      <w:pPr>
        <w:jc w:val="center"/>
        <w:rPr>
          <w:rFonts w:cs="Arial"/>
          <w:u w:val="single"/>
          <w:lang w:val="en-GB"/>
        </w:rPr>
      </w:pPr>
      <w:r w:rsidRPr="00CA36B4">
        <w:rPr>
          <w:rFonts w:cs="Arial"/>
          <w:b/>
          <w:bCs/>
          <w:lang w:val="en-GB"/>
        </w:rPr>
        <w:t xml:space="preserve">Assignment Title: </w:t>
      </w:r>
      <w:r w:rsidR="00963218" w:rsidRPr="00CA36B4">
        <w:rPr>
          <w:rFonts w:cs="Arial"/>
          <w:u w:val="single"/>
          <w:lang w:val="en-GB"/>
        </w:rPr>
        <w:t xml:space="preserve">Component 2- Individual Report </w:t>
      </w:r>
    </w:p>
    <w:p w14:paraId="43797472" w14:textId="77777777" w:rsidR="009679F2" w:rsidRPr="00CA36B4" w:rsidRDefault="009679F2" w:rsidP="00CA36B4">
      <w:pPr>
        <w:jc w:val="center"/>
        <w:rPr>
          <w:rFonts w:cs="Arial"/>
          <w:b/>
          <w:bCs/>
          <w:u w:val="single"/>
          <w:lang w:val="en-GB"/>
        </w:rPr>
      </w:pPr>
    </w:p>
    <w:p w14:paraId="2575168D" w14:textId="77777777" w:rsidR="009679F2" w:rsidRPr="00CA36B4" w:rsidRDefault="00D17BB5" w:rsidP="00CA36B4">
      <w:pPr>
        <w:jc w:val="center"/>
        <w:rPr>
          <w:rFonts w:cs="Arial"/>
          <w:b/>
          <w:bCs/>
          <w:u w:val="single"/>
          <w:lang w:val="en-GB"/>
        </w:rPr>
      </w:pPr>
      <w:r w:rsidRPr="00CA36B4">
        <w:rPr>
          <w:rFonts w:cs="Arial"/>
          <w:b/>
          <w:bCs/>
          <w:u w:val="single"/>
          <w:lang w:val="en-GB"/>
        </w:rPr>
        <w:t>MORISON COMPANY</w:t>
      </w:r>
    </w:p>
    <w:p w14:paraId="35C4AC3C" w14:textId="04236F3F" w:rsidR="007E236F" w:rsidRPr="00CA36B4" w:rsidRDefault="00D17BB5" w:rsidP="00CA36B4">
      <w:pPr>
        <w:rPr>
          <w:rFonts w:cs="Arial"/>
          <w:b/>
          <w:bCs/>
          <w:u w:val="single"/>
          <w:lang w:val="en-GB"/>
        </w:rPr>
      </w:pPr>
      <w:r w:rsidRPr="00CA36B4">
        <w:rPr>
          <w:rFonts w:cs="Arial"/>
          <w:b/>
          <w:bCs/>
          <w:u w:val="single"/>
          <w:lang w:val="en-GB"/>
        </w:rPr>
        <w:br w:type="page"/>
      </w:r>
    </w:p>
    <w:sdt>
      <w:sdtPr>
        <w:rPr>
          <w:rFonts w:ascii="Arial" w:eastAsiaTheme="minorHAnsi" w:hAnsi="Arial" w:cstheme="minorBidi"/>
          <w:color w:val="auto"/>
          <w:sz w:val="22"/>
          <w:szCs w:val="22"/>
        </w:rPr>
        <w:id w:val="-1649281281"/>
        <w:docPartObj>
          <w:docPartGallery w:val="Table of Contents"/>
          <w:docPartUnique/>
        </w:docPartObj>
      </w:sdtPr>
      <w:sdtEndPr>
        <w:rPr>
          <w:b/>
          <w:bCs/>
          <w:noProof/>
        </w:rPr>
      </w:sdtEndPr>
      <w:sdtContent>
        <w:p w14:paraId="3019B5BD" w14:textId="63EC47A1" w:rsidR="006D7AC8" w:rsidRPr="006D7AC8" w:rsidRDefault="006D7AC8" w:rsidP="006D7AC8">
          <w:pPr>
            <w:pStyle w:val="TOCHeading"/>
            <w:spacing w:line="360" w:lineRule="auto"/>
            <w:rPr>
              <w:rFonts w:ascii="Arial" w:hAnsi="Arial" w:cs="Arial"/>
              <w:i/>
              <w:iCs/>
              <w:color w:val="auto"/>
              <w:sz w:val="22"/>
              <w:szCs w:val="22"/>
            </w:rPr>
          </w:pPr>
          <w:r w:rsidRPr="006D7AC8">
            <w:rPr>
              <w:rFonts w:ascii="Arial" w:hAnsi="Arial" w:cs="Arial"/>
              <w:i/>
              <w:iCs/>
              <w:color w:val="auto"/>
              <w:sz w:val="22"/>
              <w:szCs w:val="22"/>
            </w:rPr>
            <w:t>Table of Contents</w:t>
          </w:r>
        </w:p>
        <w:p w14:paraId="4135CDD5" w14:textId="3B0832CA" w:rsidR="006D7AC8" w:rsidRPr="006D7AC8" w:rsidRDefault="006D7AC8" w:rsidP="006D7AC8">
          <w:pPr>
            <w:pStyle w:val="TOC1"/>
            <w:tabs>
              <w:tab w:val="right" w:leader="dot" w:pos="9350"/>
            </w:tabs>
            <w:rPr>
              <w:rFonts w:eastAsiaTheme="minorEastAsia" w:cs="Arial"/>
              <w:noProof/>
            </w:rPr>
          </w:pPr>
          <w:r w:rsidRPr="006D7AC8">
            <w:rPr>
              <w:rFonts w:cs="Arial"/>
            </w:rPr>
            <w:fldChar w:fldCharType="begin"/>
          </w:r>
          <w:r w:rsidRPr="006D7AC8">
            <w:rPr>
              <w:rFonts w:cs="Arial"/>
            </w:rPr>
            <w:instrText xml:space="preserve"> TOC \o "1-3" \h \z \u </w:instrText>
          </w:r>
          <w:r w:rsidRPr="006D7AC8">
            <w:rPr>
              <w:rFonts w:cs="Arial"/>
            </w:rPr>
            <w:fldChar w:fldCharType="separate"/>
          </w:r>
          <w:hyperlink w:anchor="_Toc220524476" w:history="1">
            <w:r w:rsidRPr="006D7AC8">
              <w:rPr>
                <w:rStyle w:val="Hyperlink"/>
                <w:rFonts w:cs="Arial"/>
                <w:noProof/>
                <w:color w:val="auto"/>
                <w:lang w:val="en-GB"/>
              </w:rPr>
              <w:t>Introduction</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_Toc220524476 \h </w:instrText>
            </w:r>
            <w:r w:rsidRPr="006D7AC8">
              <w:rPr>
                <w:rFonts w:cs="Arial"/>
                <w:noProof/>
                <w:webHidden/>
              </w:rPr>
            </w:r>
            <w:r w:rsidRPr="006D7AC8">
              <w:rPr>
                <w:rFonts w:cs="Arial"/>
                <w:noProof/>
                <w:webHidden/>
              </w:rPr>
              <w:fldChar w:fldCharType="separate"/>
            </w:r>
            <w:r w:rsidRPr="006D7AC8">
              <w:rPr>
                <w:rFonts w:cs="Arial"/>
                <w:noProof/>
                <w:webHidden/>
              </w:rPr>
              <w:t>3</w:t>
            </w:r>
            <w:r w:rsidRPr="006D7AC8">
              <w:rPr>
                <w:rFonts w:cs="Arial"/>
                <w:noProof/>
                <w:webHidden/>
              </w:rPr>
              <w:fldChar w:fldCharType="end"/>
            </w:r>
          </w:hyperlink>
        </w:p>
        <w:p w14:paraId="482647F6" w14:textId="37671D2B" w:rsidR="006D7AC8" w:rsidRPr="006D7AC8" w:rsidRDefault="006D7AC8" w:rsidP="006D7AC8">
          <w:pPr>
            <w:pStyle w:val="TOC1"/>
            <w:tabs>
              <w:tab w:val="right" w:leader="dot" w:pos="9350"/>
            </w:tabs>
            <w:rPr>
              <w:rFonts w:eastAsiaTheme="minorEastAsia" w:cs="Arial"/>
              <w:noProof/>
            </w:rPr>
          </w:pPr>
          <w:hyperlink w:anchor="_Toc220524477" w:history="1">
            <w:r w:rsidRPr="006D7AC8">
              <w:rPr>
                <w:rStyle w:val="Hyperlink"/>
                <w:rFonts w:cs="Arial"/>
                <w:noProof/>
                <w:color w:val="auto"/>
                <w:lang w:val="en-GB"/>
              </w:rPr>
              <w:t>Factors Affecting HR in Wm Morrison Supermarkets PLC</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_Toc220524477 \h </w:instrText>
            </w:r>
            <w:r w:rsidRPr="006D7AC8">
              <w:rPr>
                <w:rFonts w:cs="Arial"/>
                <w:noProof/>
                <w:webHidden/>
              </w:rPr>
            </w:r>
            <w:r w:rsidRPr="006D7AC8">
              <w:rPr>
                <w:rFonts w:cs="Arial"/>
                <w:noProof/>
                <w:webHidden/>
              </w:rPr>
              <w:fldChar w:fldCharType="separate"/>
            </w:r>
            <w:r w:rsidRPr="006D7AC8">
              <w:rPr>
                <w:rFonts w:cs="Arial"/>
                <w:noProof/>
                <w:webHidden/>
              </w:rPr>
              <w:t>3</w:t>
            </w:r>
            <w:r w:rsidRPr="006D7AC8">
              <w:rPr>
                <w:rFonts w:cs="Arial"/>
                <w:noProof/>
                <w:webHidden/>
              </w:rPr>
              <w:fldChar w:fldCharType="end"/>
            </w:r>
          </w:hyperlink>
        </w:p>
        <w:p w14:paraId="7FA37996" w14:textId="35DADF50" w:rsidR="006D7AC8" w:rsidRPr="006D7AC8" w:rsidRDefault="006D7AC8" w:rsidP="006D7AC8">
          <w:pPr>
            <w:pStyle w:val="TOC2"/>
            <w:tabs>
              <w:tab w:val="right" w:leader="dot" w:pos="9350"/>
            </w:tabs>
            <w:rPr>
              <w:rFonts w:eastAsiaTheme="minorEastAsia" w:cs="Arial"/>
              <w:noProof/>
            </w:rPr>
          </w:pPr>
          <w:hyperlink w:anchor="_Toc220524478" w:history="1">
            <w:r w:rsidRPr="006D7AC8">
              <w:rPr>
                <w:rStyle w:val="Hyperlink"/>
                <w:rFonts w:cs="Arial"/>
                <w:noProof/>
                <w:color w:val="auto"/>
                <w:lang w:val="en-GB"/>
              </w:rPr>
              <w:t>Technological Advancement</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_Toc220524478 \h </w:instrText>
            </w:r>
            <w:r w:rsidRPr="006D7AC8">
              <w:rPr>
                <w:rFonts w:cs="Arial"/>
                <w:noProof/>
                <w:webHidden/>
              </w:rPr>
            </w:r>
            <w:r w:rsidRPr="006D7AC8">
              <w:rPr>
                <w:rFonts w:cs="Arial"/>
                <w:noProof/>
                <w:webHidden/>
              </w:rPr>
              <w:fldChar w:fldCharType="separate"/>
            </w:r>
            <w:r w:rsidRPr="006D7AC8">
              <w:rPr>
                <w:rFonts w:cs="Arial"/>
                <w:noProof/>
                <w:webHidden/>
              </w:rPr>
              <w:t>3</w:t>
            </w:r>
            <w:r w:rsidRPr="006D7AC8">
              <w:rPr>
                <w:rFonts w:cs="Arial"/>
                <w:noProof/>
                <w:webHidden/>
              </w:rPr>
              <w:fldChar w:fldCharType="end"/>
            </w:r>
          </w:hyperlink>
        </w:p>
        <w:p w14:paraId="3D7C6BCC" w14:textId="67359E70" w:rsidR="006D7AC8" w:rsidRPr="006D7AC8" w:rsidRDefault="006D7AC8" w:rsidP="006D7AC8">
          <w:pPr>
            <w:pStyle w:val="TOC2"/>
            <w:tabs>
              <w:tab w:val="right" w:leader="dot" w:pos="9350"/>
            </w:tabs>
            <w:rPr>
              <w:rFonts w:eastAsiaTheme="minorEastAsia" w:cs="Arial"/>
              <w:noProof/>
            </w:rPr>
          </w:pPr>
          <w:hyperlink w:anchor="_Toc220524479" w:history="1">
            <w:r w:rsidRPr="006D7AC8">
              <w:rPr>
                <w:rStyle w:val="Hyperlink"/>
                <w:rFonts w:cs="Arial"/>
                <w:noProof/>
                <w:color w:val="auto"/>
                <w:lang w:val="en-GB"/>
              </w:rPr>
              <w:t>Talent Acquisition and Retention</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_Toc220524479 \h </w:instrText>
            </w:r>
            <w:r w:rsidRPr="006D7AC8">
              <w:rPr>
                <w:rFonts w:cs="Arial"/>
                <w:noProof/>
                <w:webHidden/>
              </w:rPr>
            </w:r>
            <w:r w:rsidRPr="006D7AC8">
              <w:rPr>
                <w:rFonts w:cs="Arial"/>
                <w:noProof/>
                <w:webHidden/>
              </w:rPr>
              <w:fldChar w:fldCharType="separate"/>
            </w:r>
            <w:r w:rsidRPr="006D7AC8">
              <w:rPr>
                <w:rFonts w:cs="Arial"/>
                <w:noProof/>
                <w:webHidden/>
              </w:rPr>
              <w:t>4</w:t>
            </w:r>
            <w:r w:rsidRPr="006D7AC8">
              <w:rPr>
                <w:rFonts w:cs="Arial"/>
                <w:noProof/>
                <w:webHidden/>
              </w:rPr>
              <w:fldChar w:fldCharType="end"/>
            </w:r>
          </w:hyperlink>
        </w:p>
        <w:p w14:paraId="69405822" w14:textId="5C9E8743" w:rsidR="006D7AC8" w:rsidRPr="006D7AC8" w:rsidRDefault="006D7AC8" w:rsidP="006D7AC8">
          <w:pPr>
            <w:pStyle w:val="TOC2"/>
            <w:tabs>
              <w:tab w:val="right" w:leader="dot" w:pos="9350"/>
            </w:tabs>
            <w:rPr>
              <w:rFonts w:eastAsiaTheme="minorEastAsia" w:cs="Arial"/>
              <w:noProof/>
            </w:rPr>
          </w:pPr>
          <w:hyperlink w:anchor="_Toc220524480" w:history="1">
            <w:r w:rsidRPr="006D7AC8">
              <w:rPr>
                <w:rStyle w:val="Hyperlink"/>
                <w:rFonts w:cs="Arial"/>
                <w:noProof/>
                <w:color w:val="auto"/>
                <w:lang w:val="en-GB"/>
              </w:rPr>
              <w:t>Diversity, Equity and Inclusion (DEI)</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_Toc220524480 \h </w:instrText>
            </w:r>
            <w:r w:rsidRPr="006D7AC8">
              <w:rPr>
                <w:rFonts w:cs="Arial"/>
                <w:noProof/>
                <w:webHidden/>
              </w:rPr>
            </w:r>
            <w:r w:rsidRPr="006D7AC8">
              <w:rPr>
                <w:rFonts w:cs="Arial"/>
                <w:noProof/>
                <w:webHidden/>
              </w:rPr>
              <w:fldChar w:fldCharType="separate"/>
            </w:r>
            <w:r w:rsidRPr="006D7AC8">
              <w:rPr>
                <w:rFonts w:cs="Arial"/>
                <w:noProof/>
                <w:webHidden/>
              </w:rPr>
              <w:t>4</w:t>
            </w:r>
            <w:r w:rsidRPr="006D7AC8">
              <w:rPr>
                <w:rFonts w:cs="Arial"/>
                <w:noProof/>
                <w:webHidden/>
              </w:rPr>
              <w:fldChar w:fldCharType="end"/>
            </w:r>
          </w:hyperlink>
        </w:p>
        <w:p w14:paraId="64820730" w14:textId="11D80EC2" w:rsidR="006D7AC8" w:rsidRPr="006D7AC8" w:rsidRDefault="006D7AC8" w:rsidP="006D7AC8">
          <w:pPr>
            <w:pStyle w:val="TOC1"/>
            <w:tabs>
              <w:tab w:val="right" w:leader="dot" w:pos="9350"/>
            </w:tabs>
            <w:rPr>
              <w:rFonts w:eastAsiaTheme="minorEastAsia" w:cs="Arial"/>
              <w:noProof/>
            </w:rPr>
          </w:pPr>
          <w:hyperlink w:anchor="_Toc220524481" w:history="1">
            <w:r w:rsidRPr="006D7AC8">
              <w:rPr>
                <w:rStyle w:val="Hyperlink"/>
                <w:rFonts w:cs="Arial"/>
                <w:noProof/>
                <w:color w:val="auto"/>
                <w:lang w:val="en-GB"/>
              </w:rPr>
              <w:t>Evaluation of Contemporary HR Practices</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_Toc220524481 \h </w:instrText>
            </w:r>
            <w:r w:rsidRPr="006D7AC8">
              <w:rPr>
                <w:rFonts w:cs="Arial"/>
                <w:noProof/>
                <w:webHidden/>
              </w:rPr>
            </w:r>
            <w:r w:rsidRPr="006D7AC8">
              <w:rPr>
                <w:rFonts w:cs="Arial"/>
                <w:noProof/>
                <w:webHidden/>
              </w:rPr>
              <w:fldChar w:fldCharType="separate"/>
            </w:r>
            <w:r w:rsidRPr="006D7AC8">
              <w:rPr>
                <w:rFonts w:cs="Arial"/>
                <w:noProof/>
                <w:webHidden/>
              </w:rPr>
              <w:t>5</w:t>
            </w:r>
            <w:r w:rsidRPr="006D7AC8">
              <w:rPr>
                <w:rFonts w:cs="Arial"/>
                <w:noProof/>
                <w:webHidden/>
              </w:rPr>
              <w:fldChar w:fldCharType="end"/>
            </w:r>
          </w:hyperlink>
        </w:p>
        <w:p w14:paraId="6B5A996C" w14:textId="1297B3EA" w:rsidR="006D7AC8" w:rsidRPr="006D7AC8" w:rsidRDefault="006D7AC8" w:rsidP="006D7AC8">
          <w:pPr>
            <w:pStyle w:val="TOC1"/>
            <w:tabs>
              <w:tab w:val="right" w:leader="dot" w:pos="9350"/>
            </w:tabs>
            <w:rPr>
              <w:rFonts w:eastAsiaTheme="minorEastAsia" w:cs="Arial"/>
              <w:noProof/>
            </w:rPr>
          </w:pPr>
          <w:hyperlink w:anchor="_Toc220524482" w:history="1">
            <w:r w:rsidRPr="006D7AC8">
              <w:rPr>
                <w:rStyle w:val="Hyperlink"/>
                <w:rFonts w:cs="Arial"/>
                <w:noProof/>
                <w:color w:val="auto"/>
                <w:lang w:val="en-GB"/>
              </w:rPr>
              <w:t>Evaluation of Contemporary Practices Implementation by Departmental Managers</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_Toc220524482 \h </w:instrText>
            </w:r>
            <w:r w:rsidRPr="006D7AC8">
              <w:rPr>
                <w:rFonts w:cs="Arial"/>
                <w:noProof/>
                <w:webHidden/>
              </w:rPr>
            </w:r>
            <w:r w:rsidRPr="006D7AC8">
              <w:rPr>
                <w:rFonts w:cs="Arial"/>
                <w:noProof/>
                <w:webHidden/>
              </w:rPr>
              <w:fldChar w:fldCharType="separate"/>
            </w:r>
            <w:r w:rsidRPr="006D7AC8">
              <w:rPr>
                <w:rFonts w:cs="Arial"/>
                <w:noProof/>
                <w:webHidden/>
              </w:rPr>
              <w:t>6</w:t>
            </w:r>
            <w:r w:rsidRPr="006D7AC8">
              <w:rPr>
                <w:rFonts w:cs="Arial"/>
                <w:noProof/>
                <w:webHidden/>
              </w:rPr>
              <w:fldChar w:fldCharType="end"/>
            </w:r>
          </w:hyperlink>
        </w:p>
        <w:p w14:paraId="0DBCAE09" w14:textId="22C22611" w:rsidR="006D7AC8" w:rsidRPr="006D7AC8" w:rsidRDefault="006D7AC8" w:rsidP="006D7AC8">
          <w:pPr>
            <w:pStyle w:val="TOC1"/>
            <w:tabs>
              <w:tab w:val="right" w:leader="dot" w:pos="9350"/>
            </w:tabs>
            <w:rPr>
              <w:rFonts w:eastAsiaTheme="minorEastAsia" w:cs="Arial"/>
              <w:noProof/>
            </w:rPr>
          </w:pPr>
          <w:hyperlink w:anchor="_Toc220524483" w:history="1">
            <w:r w:rsidRPr="006D7AC8">
              <w:rPr>
                <w:rStyle w:val="Hyperlink"/>
                <w:rFonts w:cs="Arial"/>
                <w:noProof/>
                <w:color w:val="auto"/>
                <w:lang w:val="en-GB"/>
              </w:rPr>
              <w:t>Conclusion and Recommendation</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_Toc220524483 \h </w:instrText>
            </w:r>
            <w:r w:rsidRPr="006D7AC8">
              <w:rPr>
                <w:rFonts w:cs="Arial"/>
                <w:noProof/>
                <w:webHidden/>
              </w:rPr>
            </w:r>
            <w:r w:rsidRPr="006D7AC8">
              <w:rPr>
                <w:rFonts w:cs="Arial"/>
                <w:noProof/>
                <w:webHidden/>
              </w:rPr>
              <w:fldChar w:fldCharType="separate"/>
            </w:r>
            <w:r w:rsidRPr="006D7AC8">
              <w:rPr>
                <w:rFonts w:cs="Arial"/>
                <w:noProof/>
                <w:webHidden/>
              </w:rPr>
              <w:t>7</w:t>
            </w:r>
            <w:r w:rsidRPr="006D7AC8">
              <w:rPr>
                <w:rFonts w:cs="Arial"/>
                <w:noProof/>
                <w:webHidden/>
              </w:rPr>
              <w:fldChar w:fldCharType="end"/>
            </w:r>
          </w:hyperlink>
        </w:p>
        <w:p w14:paraId="1A6D5508" w14:textId="1CA4F7C8" w:rsidR="006D7AC8" w:rsidRPr="006D7AC8" w:rsidRDefault="006D7AC8" w:rsidP="006D7AC8">
          <w:pPr>
            <w:pStyle w:val="TOC1"/>
            <w:tabs>
              <w:tab w:val="right" w:leader="dot" w:pos="9350"/>
            </w:tabs>
            <w:rPr>
              <w:rFonts w:eastAsiaTheme="minorEastAsia" w:cs="Arial"/>
              <w:noProof/>
            </w:rPr>
          </w:pPr>
          <w:hyperlink w:anchor="_Toc220524484" w:history="1">
            <w:r w:rsidRPr="006D7AC8">
              <w:rPr>
                <w:rStyle w:val="Hyperlink"/>
                <w:rFonts w:cs="Arial"/>
                <w:noProof/>
                <w:color w:val="auto"/>
                <w:lang w:val="en-GB"/>
              </w:rPr>
              <w:t>References</w:t>
            </w:r>
            <w:r w:rsidRPr="006D7AC8">
              <w:rPr>
                <w:rFonts w:cs="Arial"/>
                <w:noProof/>
                <w:webHidden/>
              </w:rPr>
              <w:tab/>
            </w:r>
            <w:r w:rsidRPr="006D7AC8">
              <w:rPr>
                <w:rFonts w:cs="Arial"/>
                <w:noProof/>
                <w:webHidden/>
              </w:rPr>
              <w:fldChar w:fldCharType="begin"/>
            </w:r>
            <w:r w:rsidRPr="006D7AC8">
              <w:rPr>
                <w:rFonts w:cs="Arial"/>
                <w:noProof/>
                <w:webHidden/>
              </w:rPr>
              <w:instrText xml:space="preserve"> PAGEREF _Toc220524484 \h </w:instrText>
            </w:r>
            <w:r w:rsidRPr="006D7AC8">
              <w:rPr>
                <w:rFonts w:cs="Arial"/>
                <w:noProof/>
                <w:webHidden/>
              </w:rPr>
            </w:r>
            <w:r w:rsidRPr="006D7AC8">
              <w:rPr>
                <w:rFonts w:cs="Arial"/>
                <w:noProof/>
                <w:webHidden/>
              </w:rPr>
              <w:fldChar w:fldCharType="separate"/>
            </w:r>
            <w:r w:rsidRPr="006D7AC8">
              <w:rPr>
                <w:rFonts w:cs="Arial"/>
                <w:noProof/>
                <w:webHidden/>
              </w:rPr>
              <w:t>9</w:t>
            </w:r>
            <w:r w:rsidRPr="006D7AC8">
              <w:rPr>
                <w:rFonts w:cs="Arial"/>
                <w:noProof/>
                <w:webHidden/>
              </w:rPr>
              <w:fldChar w:fldCharType="end"/>
            </w:r>
          </w:hyperlink>
        </w:p>
        <w:p w14:paraId="655DE03C" w14:textId="7FC2816E" w:rsidR="006D7AC8" w:rsidRDefault="006D7AC8" w:rsidP="006D7AC8">
          <w:r w:rsidRPr="006D7AC8">
            <w:rPr>
              <w:rFonts w:cs="Arial"/>
              <w:b/>
              <w:bCs/>
              <w:noProof/>
            </w:rPr>
            <w:fldChar w:fldCharType="end"/>
          </w:r>
        </w:p>
      </w:sdtContent>
    </w:sdt>
    <w:p w14:paraId="04322CCC" w14:textId="77777777" w:rsidR="006A0684" w:rsidRPr="00CA36B4" w:rsidRDefault="006A0684" w:rsidP="00CA36B4">
      <w:pPr>
        <w:rPr>
          <w:rFonts w:cs="Arial"/>
          <w:lang w:val="en-GB"/>
        </w:rPr>
      </w:pPr>
    </w:p>
    <w:p w14:paraId="13ED3201" w14:textId="77777777" w:rsidR="006A0684" w:rsidRPr="00CA36B4" w:rsidRDefault="00D17BB5" w:rsidP="00CA36B4">
      <w:pPr>
        <w:rPr>
          <w:rFonts w:cs="Arial"/>
          <w:lang w:val="en-GB"/>
        </w:rPr>
      </w:pPr>
      <w:r w:rsidRPr="00CA36B4">
        <w:rPr>
          <w:rFonts w:cs="Arial"/>
          <w:lang w:val="en-GB"/>
        </w:rPr>
        <w:br w:type="page"/>
      </w:r>
    </w:p>
    <w:p w14:paraId="0DA40411" w14:textId="77777777" w:rsidR="00E8085D" w:rsidRPr="00CA36B4" w:rsidRDefault="00D17BB5" w:rsidP="00C85DCB">
      <w:pPr>
        <w:pStyle w:val="Heading1"/>
        <w:rPr>
          <w:rFonts w:cs="Arial"/>
          <w:szCs w:val="22"/>
          <w:lang w:val="en-GB"/>
        </w:rPr>
      </w:pPr>
      <w:bookmarkStart w:id="0" w:name="_Toc220524476"/>
      <w:r w:rsidRPr="00CA36B4">
        <w:rPr>
          <w:rFonts w:cs="Arial"/>
          <w:szCs w:val="22"/>
          <w:lang w:val="en-GB"/>
        </w:rPr>
        <w:lastRenderedPageBreak/>
        <w:t>Introduction</w:t>
      </w:r>
      <w:bookmarkEnd w:id="0"/>
    </w:p>
    <w:p w14:paraId="683CC063" w14:textId="042B8D16" w:rsidR="008E4F98" w:rsidRDefault="00D17BB5" w:rsidP="00C85DCB">
      <w:pPr>
        <w:rPr>
          <w:rFonts w:cs="Arial"/>
          <w:lang w:val="en-GB"/>
        </w:rPr>
      </w:pPr>
      <w:r w:rsidRPr="0074519C">
        <w:rPr>
          <w:rFonts w:cs="Arial"/>
          <w:lang w:val="en-GB"/>
        </w:rPr>
        <w:t>Morrison Supermarkets PLC is the fourth-largest supermarket chain in the country, established in 1899 and headquartered in Bradford, UK, having over 500 stores and employing approximately 110,000 employees (Morrisons Corporate, 2025). The organisation operates across retail and wholesale distribution of groceries, as well as online delivery services, which makes its human resource management critical to its business operations to maintain operational efficiency and support workforce engagement (Fun, 2021). The company increased revenues by 2.7</w:t>
      </w:r>
      <w:r>
        <w:rPr>
          <w:rFonts w:cs="Arial"/>
          <w:lang w:val="en-GB"/>
        </w:rPr>
        <w:t xml:space="preserve">% </w:t>
      </w:r>
      <w:r w:rsidRPr="0074519C">
        <w:rPr>
          <w:rFonts w:cs="Arial"/>
          <w:lang w:val="en-GB"/>
        </w:rPr>
        <w:t>in the 2022</w:t>
      </w:r>
      <w:r w:rsidR="00240822">
        <w:rPr>
          <w:rFonts w:cs="Arial"/>
          <w:lang w:val="en-GB"/>
        </w:rPr>
        <w:t>-</w:t>
      </w:r>
      <w:r w:rsidRPr="0074519C">
        <w:rPr>
          <w:rFonts w:cs="Arial"/>
          <w:lang w:val="en-GB"/>
        </w:rPr>
        <w:t>2023 fiscal year, which is worth £18.3 billion, a result suggestive of consistent growth in a highly competitive retail sector (Retail Insight Network, 2024). In this regard, the issue of effective Hr practises is crucial to the management of technological change, attracting and retaining talent, and fostering diversity, equity, and inclusion (Nastase et al., 2025). This report discusses the important HR aspects, an analysis of the existing practises, and recommendations on the managerial strategies geared towards responsible implementation and sustainable organisational development.</w:t>
      </w:r>
    </w:p>
    <w:p w14:paraId="7DAD895A" w14:textId="77777777" w:rsidR="00E32C15" w:rsidRPr="00CA36B4" w:rsidRDefault="00E32C15" w:rsidP="00C85DCB">
      <w:pPr>
        <w:rPr>
          <w:rFonts w:cs="Arial"/>
          <w:lang w:val="en-GB"/>
        </w:rPr>
      </w:pPr>
    </w:p>
    <w:p w14:paraId="057B3769" w14:textId="77777777" w:rsidR="00CA36B4" w:rsidRPr="00CA36B4" w:rsidRDefault="00D17BB5" w:rsidP="00C85DCB">
      <w:pPr>
        <w:pStyle w:val="Heading1"/>
        <w:rPr>
          <w:rFonts w:cs="Arial"/>
          <w:szCs w:val="22"/>
          <w:lang w:val="en-GB"/>
        </w:rPr>
      </w:pPr>
      <w:bookmarkStart w:id="1" w:name="_Toc220524477"/>
      <w:r w:rsidRPr="00CA36B4">
        <w:rPr>
          <w:rFonts w:cs="Arial"/>
          <w:szCs w:val="22"/>
          <w:lang w:val="en-GB"/>
        </w:rPr>
        <w:t>Factors Affecting HR in Wm Morrison Supermarkets PLC</w:t>
      </w:r>
      <w:bookmarkEnd w:id="1"/>
      <w:r w:rsidR="00973766">
        <w:rPr>
          <w:rFonts w:cs="Arial"/>
          <w:szCs w:val="22"/>
          <w:lang w:val="en-GB"/>
        </w:rPr>
        <w:t xml:space="preserve"> </w:t>
      </w:r>
    </w:p>
    <w:p w14:paraId="63097868" w14:textId="77777777" w:rsidR="00CA36B4" w:rsidRPr="00CA36B4" w:rsidRDefault="00D17BB5" w:rsidP="00C85DCB">
      <w:pPr>
        <w:pStyle w:val="Heading2"/>
        <w:rPr>
          <w:rFonts w:cs="Arial"/>
          <w:szCs w:val="22"/>
          <w:lang w:val="en-GB"/>
        </w:rPr>
      </w:pPr>
      <w:bookmarkStart w:id="2" w:name="_Toc220524478"/>
      <w:r w:rsidRPr="00CA36B4">
        <w:rPr>
          <w:rFonts w:cs="Arial"/>
          <w:szCs w:val="22"/>
          <w:lang w:val="en-GB"/>
        </w:rPr>
        <w:t>Technological Advancement</w:t>
      </w:r>
      <w:bookmarkEnd w:id="2"/>
    </w:p>
    <w:p w14:paraId="7D5D0FA2" w14:textId="77777777" w:rsidR="001F0DFA" w:rsidRPr="00CA36B4" w:rsidRDefault="00D17BB5" w:rsidP="00C85DCB">
      <w:pPr>
        <w:rPr>
          <w:rFonts w:cs="Arial"/>
          <w:lang w:val="en-GB"/>
        </w:rPr>
      </w:pPr>
      <w:r w:rsidRPr="001F0DFA">
        <w:rPr>
          <w:rFonts w:cs="Arial"/>
          <w:lang w:val="en-GB"/>
        </w:rPr>
        <w:t>The retail industry is rapidly becoming digitised and the use of technology is imperative in ensuring competitive edge. Morrisons has made a considerable investment in automated warehousing, which is reflected in the use of robotics at its distribution centre in Basingstoke to increase the efficiency of stock management and operations (Creditsafe, 2024). Online grocery shopping has been expedited since 2020, with online sales of Morrison increasing 30</w:t>
      </w:r>
      <w:r w:rsidR="007A602B">
        <w:rPr>
          <w:rFonts w:cs="Arial"/>
          <w:lang w:val="en-GB"/>
        </w:rPr>
        <w:t xml:space="preserve">% </w:t>
      </w:r>
      <w:r w:rsidRPr="001F0DFA">
        <w:rPr>
          <w:rFonts w:cs="Arial"/>
          <w:lang w:val="en-GB"/>
        </w:rPr>
        <w:t xml:space="preserve">annually, highlighting the importance of advanced digital technology and AI-based supply-chain management (Morrisons Online Groceries, 2025). The human resource management should </w:t>
      </w:r>
      <w:r w:rsidR="00044271">
        <w:rPr>
          <w:rFonts w:cs="Arial"/>
          <w:lang w:val="en-GB"/>
        </w:rPr>
        <w:t>ensure</w:t>
      </w:r>
      <w:r w:rsidRPr="001F0DFA">
        <w:rPr>
          <w:rFonts w:cs="Arial"/>
          <w:lang w:val="en-GB"/>
        </w:rPr>
        <w:t xml:space="preserve"> that the employees are equipped with the skills they need to use new technologies like digital inventory, self-checkout, and e-commerce order-management solutions (CIPD, 2025). The </w:t>
      </w:r>
      <w:r w:rsidR="00257FBE" w:rsidRPr="001F0DFA">
        <w:rPr>
          <w:rFonts w:cs="Arial"/>
          <w:lang w:val="en-GB"/>
        </w:rPr>
        <w:t>adverse</w:t>
      </w:r>
      <w:r w:rsidRPr="001F0DFA">
        <w:rPr>
          <w:rFonts w:cs="Arial"/>
          <w:lang w:val="en-GB"/>
        </w:rPr>
        <w:t xml:space="preserve"> attitude to change, skills gaps, and insufficient training programmes are all significant obstacles that the Morrisons workforce needs to overcome to maintain performance and growth. Therefore, digital upskilling, lifelong learning, and change management should be emphasised in the HR strategies to </w:t>
      </w:r>
      <w:r w:rsidR="00080B7C">
        <w:rPr>
          <w:rFonts w:cs="Arial"/>
          <w:lang w:val="en-GB"/>
        </w:rPr>
        <w:t>maintain</w:t>
      </w:r>
      <w:r w:rsidRPr="001F0DFA">
        <w:rPr>
          <w:rFonts w:cs="Arial"/>
          <w:lang w:val="en-GB"/>
        </w:rPr>
        <w:t xml:space="preserve"> the staff abreast with technological trends, which encourage efficiency and job satisfaction.</w:t>
      </w:r>
      <w:r>
        <w:rPr>
          <w:rFonts w:cs="Arial"/>
          <w:lang w:val="en-GB"/>
        </w:rPr>
        <w:t xml:space="preserve"> </w:t>
      </w:r>
    </w:p>
    <w:p w14:paraId="762DC298" w14:textId="77777777" w:rsidR="00CA36B4" w:rsidRPr="00CA36B4" w:rsidRDefault="00CA36B4" w:rsidP="00C85DCB">
      <w:pPr>
        <w:rPr>
          <w:rFonts w:cs="Arial"/>
          <w:lang w:val="en-GB"/>
        </w:rPr>
      </w:pPr>
    </w:p>
    <w:p w14:paraId="548F2E17" w14:textId="77777777" w:rsidR="00CA36B4" w:rsidRPr="00CA36B4" w:rsidRDefault="00D17BB5" w:rsidP="00C85DCB">
      <w:pPr>
        <w:pStyle w:val="Heading2"/>
        <w:rPr>
          <w:rFonts w:cs="Arial"/>
          <w:szCs w:val="22"/>
          <w:lang w:val="en-GB"/>
        </w:rPr>
      </w:pPr>
      <w:bookmarkStart w:id="3" w:name="_Toc220524479"/>
      <w:r w:rsidRPr="00CA36B4">
        <w:rPr>
          <w:rFonts w:cs="Arial"/>
          <w:szCs w:val="22"/>
          <w:lang w:val="en-GB"/>
        </w:rPr>
        <w:lastRenderedPageBreak/>
        <w:t>Talent Acquisition and Retention</w:t>
      </w:r>
      <w:bookmarkEnd w:id="3"/>
      <w:r w:rsidRPr="00CA36B4">
        <w:rPr>
          <w:rFonts w:cs="Arial"/>
          <w:szCs w:val="22"/>
          <w:lang w:val="en-GB"/>
        </w:rPr>
        <w:t xml:space="preserve"> </w:t>
      </w:r>
    </w:p>
    <w:p w14:paraId="13E7FF5A" w14:textId="77777777" w:rsidR="00FF006A" w:rsidRPr="00CA36B4" w:rsidRDefault="00D17BB5" w:rsidP="00C85DCB">
      <w:pPr>
        <w:rPr>
          <w:rFonts w:cs="Arial"/>
          <w:lang w:val="en-GB"/>
        </w:rPr>
      </w:pPr>
      <w:r w:rsidRPr="00FF006A">
        <w:rPr>
          <w:rFonts w:cs="Arial"/>
          <w:lang w:val="en-GB"/>
        </w:rPr>
        <w:t>Morrisons is facing serious issues of attracting and retaining talented employees in an extremely competitive retail labour market. There is a workforce of over 110,000 employees, and the average sector turnover rate is 35</w:t>
      </w:r>
      <w:r w:rsidR="0035389D">
        <w:rPr>
          <w:rFonts w:cs="Arial"/>
          <w:lang w:val="en-GB"/>
        </w:rPr>
        <w:t>%</w:t>
      </w:r>
      <w:r w:rsidRPr="00FF006A">
        <w:rPr>
          <w:rFonts w:cs="Arial"/>
          <w:lang w:val="en-GB"/>
        </w:rPr>
        <w:t xml:space="preserve"> per year, which means that the focus should be on talented recruitment into operational and managerial positions (BBC, 2024). Morrisons requires a remuneration system that is competitive, flexible working schedules, and career development to retain staff, especially store management and logistics (Morrisons Corporate, 2025). HR has to deal with the differences in the generational workforce; younger employees nowadays are more concerned with work-life balance and the opportunity to learn constantly (Bello et al., 2024). Online application portals, social media campaigns, and employer branding are all essential tools in getting talent on board (Nazeer et al., 2024). </w:t>
      </w:r>
      <w:r w:rsidR="00876EEF">
        <w:rPr>
          <w:rFonts w:cs="Arial"/>
          <w:lang w:val="en-GB"/>
        </w:rPr>
        <w:t>Moreover</w:t>
      </w:r>
      <w:r w:rsidRPr="00FF006A">
        <w:rPr>
          <w:rFonts w:cs="Arial"/>
          <w:lang w:val="en-GB"/>
        </w:rPr>
        <w:t>, organised induction programmes, mentorship schemes, and performance-related rewards can help to retain employees as they increase their satisfaction and loyalty (Urme, 2023). Without these measures, Morrisons will face a high rate of attrition, inefficiency in its operations, and rising costs of recruitment, hence turning talent management into a strategic HR concern.</w:t>
      </w:r>
    </w:p>
    <w:p w14:paraId="463BCEC0" w14:textId="77777777" w:rsidR="00CA36B4" w:rsidRPr="00CA36B4" w:rsidRDefault="00CA36B4" w:rsidP="00C85DCB">
      <w:pPr>
        <w:rPr>
          <w:rFonts w:cs="Arial"/>
          <w:lang w:val="en-GB"/>
        </w:rPr>
      </w:pPr>
    </w:p>
    <w:p w14:paraId="7F777848" w14:textId="77777777" w:rsidR="00CA36B4" w:rsidRPr="00CA36B4" w:rsidRDefault="00D17BB5" w:rsidP="00C85DCB">
      <w:pPr>
        <w:pStyle w:val="Heading2"/>
        <w:rPr>
          <w:rFonts w:cs="Arial"/>
          <w:szCs w:val="22"/>
          <w:lang w:val="en-GB"/>
        </w:rPr>
      </w:pPr>
      <w:bookmarkStart w:id="4" w:name="_Toc220524480"/>
      <w:r w:rsidRPr="00CA36B4">
        <w:rPr>
          <w:rFonts w:cs="Arial"/>
          <w:szCs w:val="22"/>
          <w:lang w:val="en-GB"/>
        </w:rPr>
        <w:t>Diversity, Equity and Inclusion (DEI)</w:t>
      </w:r>
      <w:bookmarkEnd w:id="4"/>
      <w:r w:rsidRPr="00CA36B4">
        <w:rPr>
          <w:rFonts w:cs="Arial"/>
          <w:szCs w:val="22"/>
          <w:lang w:val="en-GB"/>
        </w:rPr>
        <w:t xml:space="preserve"> </w:t>
      </w:r>
    </w:p>
    <w:p w14:paraId="254E6EE0" w14:textId="77777777" w:rsidR="002A65BC" w:rsidRPr="00CA36B4" w:rsidRDefault="00D17BB5" w:rsidP="00C85DCB">
      <w:pPr>
        <w:rPr>
          <w:rFonts w:cs="Arial"/>
          <w:lang w:val="en-GB"/>
        </w:rPr>
      </w:pPr>
      <w:r w:rsidRPr="002A65BC">
        <w:rPr>
          <w:rFonts w:cs="Arial"/>
          <w:lang w:val="en-GB"/>
        </w:rPr>
        <w:t>Diversity, Equity and Inclusion (DEI) continues to take on a prominent role in the HR strategy of Morrisons, as it has a diverse range of customers and must abide by the UK equality laws. By 2024 the percentage of women has reached about 58</w:t>
      </w:r>
      <w:r w:rsidR="00BB6730">
        <w:rPr>
          <w:rFonts w:cs="Arial"/>
          <w:lang w:val="en-GB"/>
        </w:rPr>
        <w:t xml:space="preserve">% </w:t>
      </w:r>
      <w:r w:rsidRPr="002A65BC">
        <w:rPr>
          <w:rFonts w:cs="Arial"/>
          <w:lang w:val="en-GB"/>
        </w:rPr>
        <w:t>of the working population, and the representation of ethnic minority in management roles is less than 15 (Morrisons Corporate, 2025). HR should facilitate inclusion obstacles, including unconscious bias during recruitment, lack of equal promotion opportunities, and inaccessible opportunities to disabled employees (CIPD, 2025). To help create a culture of equity and belonging, the introduction of structured DEI programmes such as compulsory training, inclusion policies, and employee resource groups can help, and it is necessary to keep track of representation across positions (Chukwudi and Eusebius, 2023). Having a diverse workforce leads to better creativity, decision-making, and customer services, and inclusive practises boost better employee engagement and retention (Lubis, 2024). Therefore, the lack of prioritisation towards DEI can lead to reputational loss, legal issues, and employee disengagement, which explains its paramount strategic significance to the HR department of Morrisons in the UK retail sector, where competition is a challenge.</w:t>
      </w:r>
      <w:r>
        <w:rPr>
          <w:rFonts w:cs="Arial"/>
          <w:lang w:val="en-GB"/>
        </w:rPr>
        <w:t xml:space="preserve"> </w:t>
      </w:r>
    </w:p>
    <w:p w14:paraId="4D003FA5" w14:textId="77777777" w:rsidR="00CA36B4" w:rsidRDefault="00CA36B4" w:rsidP="00C85DCB">
      <w:pPr>
        <w:rPr>
          <w:rFonts w:cs="Arial"/>
          <w:lang w:val="en-GB"/>
        </w:rPr>
      </w:pPr>
    </w:p>
    <w:p w14:paraId="1D968698" w14:textId="77777777" w:rsidR="00861770" w:rsidRDefault="00D17BB5" w:rsidP="00C85DCB">
      <w:pPr>
        <w:pStyle w:val="Heading1"/>
        <w:rPr>
          <w:lang w:val="en-GB"/>
        </w:rPr>
      </w:pPr>
      <w:bookmarkStart w:id="5" w:name="_Toc220524481"/>
      <w:r>
        <w:rPr>
          <w:lang w:val="en-GB"/>
        </w:rPr>
        <w:lastRenderedPageBreak/>
        <w:t xml:space="preserve">Evaluation of </w:t>
      </w:r>
      <w:r w:rsidRPr="00861770">
        <w:rPr>
          <w:lang w:val="en-GB"/>
        </w:rPr>
        <w:t>Contemporary HR Practices</w:t>
      </w:r>
      <w:bookmarkEnd w:id="5"/>
      <w:r w:rsidRPr="00861770">
        <w:rPr>
          <w:lang w:val="en-GB"/>
        </w:rPr>
        <w:t xml:space="preserve"> </w:t>
      </w:r>
    </w:p>
    <w:p w14:paraId="32B62D0B" w14:textId="77777777" w:rsidR="00861770" w:rsidRPr="00861770" w:rsidRDefault="00D17BB5" w:rsidP="00C85DCB">
      <w:pPr>
        <w:rPr>
          <w:lang w:val="en-GB"/>
        </w:rPr>
      </w:pPr>
      <w:r w:rsidRPr="00B67A2B">
        <w:rPr>
          <w:lang w:val="en-GB"/>
        </w:rPr>
        <w:t>Wm Morrison Supermarkets PLC has implemented a holistic set of modern human resource practises to deal with such areas as technological development, talent acquisition and retention, and diversity, equity, and inclusion. The organisation has carried out large-scale digital upskilling programmes, with e-learning courses on inventory management systems and AI-based scheduling tools, in order to manage technological change (Creditsafe, 2024). These programmes make the workforce more flexible, but they require a constant investment and careful management of changes to overcome employee resistance (Ahmadi, 2024). Compared to the practises of DEI, technological interventions are mainly transactional and skill-oriented; however, they directly affect the operational efficiency, especially in automated warehouses and online retailing channels (Van Rooij, 2025).</w:t>
      </w:r>
    </w:p>
    <w:p w14:paraId="11EABED7" w14:textId="77777777" w:rsidR="00B67A2B" w:rsidRPr="00861770" w:rsidRDefault="00D17BB5" w:rsidP="00C85DCB">
      <w:pPr>
        <w:rPr>
          <w:lang w:val="en-GB"/>
        </w:rPr>
      </w:pPr>
      <w:r w:rsidRPr="00B67A2B">
        <w:rPr>
          <w:lang w:val="en-GB"/>
        </w:rPr>
        <w:t>In talent acquisition and retention, Morrison applies employer branding tactics, onboarding programmes, and incentives based on performance to recruit and retain talented workers in a very competitive UK retail environment (CIPD, 2025). The digital platform and social media campaigns increase the talent pool through recruitment, and mentorship programmes and career development frameworks enhance retention (Gannon et al., 2021). These HR interventions are more relational and engagement-oriented in comparison with technology-oriented practises that deal not only with skill differences but also with employee motivation and loyalty. Such practises are of paramount importance to the continuity of the business with high turnover rates in retail, which are at an average of 35</w:t>
      </w:r>
      <w:r>
        <w:rPr>
          <w:lang w:val="en-GB"/>
        </w:rPr>
        <w:t xml:space="preserve">% </w:t>
      </w:r>
      <w:r w:rsidRPr="00B67A2B">
        <w:rPr>
          <w:lang w:val="en-GB"/>
        </w:rPr>
        <w:t>per year (BBC, 2024).</w:t>
      </w:r>
      <w:r>
        <w:rPr>
          <w:lang w:val="en-GB"/>
        </w:rPr>
        <w:t xml:space="preserve"> </w:t>
      </w:r>
    </w:p>
    <w:p w14:paraId="75A7E84A" w14:textId="77777777" w:rsidR="0043119C" w:rsidRPr="00861770" w:rsidRDefault="00D17BB5" w:rsidP="00C85DCB">
      <w:pPr>
        <w:rPr>
          <w:lang w:val="en-GB"/>
        </w:rPr>
      </w:pPr>
      <w:r w:rsidRPr="0043119C">
        <w:rPr>
          <w:lang w:val="en-GB"/>
        </w:rPr>
        <w:t>Regarding DEI, Morrison has developed specific policies to increase the number of women and ethnic minorities in management positions and enhance inclusion on all levels (Fun, 2021). Compliance and cultural change are achieved through mandated DEI training, employee resource committees, and formal monitoring systems (Chukwudi and Eusebius, 2023). Although the DEI initiatives are similar to talent management in terms of the goal to establish engagement, they are more comprehensive by covering systemic inequalities and improving the organisational reputation (Lubis, 2024). The measures of DEI used have a lower direct relationship with operational output than that of technology adoption; however, they are imperative to the long-term sustainability and trust among the stakeholders.</w:t>
      </w:r>
      <w:r>
        <w:rPr>
          <w:lang w:val="en-GB"/>
        </w:rPr>
        <w:t xml:space="preserve"> </w:t>
      </w:r>
    </w:p>
    <w:p w14:paraId="458742D6" w14:textId="77777777" w:rsidR="00FF3E90" w:rsidRDefault="00D17BB5" w:rsidP="00C85DCB">
      <w:pPr>
        <w:rPr>
          <w:lang w:val="en-GB"/>
        </w:rPr>
      </w:pPr>
      <w:r w:rsidRPr="006C0B68">
        <w:rPr>
          <w:lang w:val="en-GB"/>
        </w:rPr>
        <w:t xml:space="preserve">Assessing the HR practises as a whole, one can note that Morrison displays a strategic balance between operational efficiency, workforce stability and organisational inclusivity. Technology-driven projects further intensify the productivity, but depend on the drive of talented and flexible workforce and thus the significance of long-term upskilling and talent retention programmes </w:t>
      </w:r>
      <w:r w:rsidRPr="006C0B68">
        <w:rPr>
          <w:lang w:val="en-GB"/>
        </w:rPr>
        <w:lastRenderedPageBreak/>
        <w:t>(Bello et al., 2024). Retention is also supported by Diversity, Equity, and Inclusion practises, which foster an inclusive organisational culture, which in turn increases employee satisfaction and reduces attrition (Whyte-Phillips, 2024). Though both practises address different organisational issues, they overlap strategically: an example is the simultaneous provision of technological training and DEI awareness in digital learning platforms (Nazeer et al., 2024). This combined measure reflects the efforts of Morrison towards developing a holistic workforce by prioritising the operational goals with the engagement of the employees and the future organisational development making the company resilient and competitive in the dynamic business world (Retail Insight Network, 2024). In general, the current HR practises of Morrison demonstrate that the company recognises that technological, human and cultural capital should be cultivated simultaneously to remain competitive in the UK retailing industry.</w:t>
      </w:r>
    </w:p>
    <w:p w14:paraId="711BF191" w14:textId="77777777" w:rsidR="006C0B68" w:rsidRDefault="006C0B68" w:rsidP="00C85DCB">
      <w:pPr>
        <w:rPr>
          <w:lang w:val="en-GB"/>
        </w:rPr>
      </w:pPr>
    </w:p>
    <w:p w14:paraId="580F421C" w14:textId="77777777" w:rsidR="00FF3E90" w:rsidRDefault="00D17BB5" w:rsidP="00C85DCB">
      <w:pPr>
        <w:pStyle w:val="Heading1"/>
        <w:rPr>
          <w:lang w:val="en-GB"/>
        </w:rPr>
      </w:pPr>
      <w:bookmarkStart w:id="6" w:name="_Toc220524482"/>
      <w:r>
        <w:rPr>
          <w:lang w:val="en-GB"/>
        </w:rPr>
        <w:t xml:space="preserve">Evaluation of </w:t>
      </w:r>
      <w:r w:rsidRPr="00366A07">
        <w:rPr>
          <w:lang w:val="en-GB"/>
        </w:rPr>
        <w:t>Contemporary Practices</w:t>
      </w:r>
      <w:r>
        <w:rPr>
          <w:lang w:val="en-GB"/>
        </w:rPr>
        <w:t xml:space="preserve"> Implementation by Departmental Managers</w:t>
      </w:r>
      <w:bookmarkEnd w:id="6"/>
      <w:r w:rsidR="00C85DCB">
        <w:rPr>
          <w:lang w:val="en-GB"/>
        </w:rPr>
        <w:t xml:space="preserve"> </w:t>
      </w:r>
      <w:r w:rsidR="00D373EE">
        <w:rPr>
          <w:lang w:val="en-GB"/>
        </w:rPr>
        <w:t xml:space="preserve"> </w:t>
      </w:r>
    </w:p>
    <w:p w14:paraId="5C67FE84" w14:textId="77777777" w:rsidR="00DA421C" w:rsidRDefault="00D17BB5" w:rsidP="00C85DCB">
      <w:pPr>
        <w:rPr>
          <w:lang w:val="en-GB"/>
        </w:rPr>
      </w:pPr>
      <w:r w:rsidRPr="00DA421C">
        <w:rPr>
          <w:lang w:val="en-GB"/>
        </w:rPr>
        <w:t xml:space="preserve">The departmental managers of Wm Morrison Supermarkets PLC have the key role of bringing the modern HR practises to life and with the necessary urgency. In regards to technological development, the managers have the responsibility to integrate digital technology into their teams, to monitor the level of engagement of the employees with e-learning programmes like MyLearning Platform and CIPD Learning Hub, and to offer on-job support to the employees based on AI-driven inventory or scheduling applications like Kronos Workforce Central (UKG) and Quinyx Workforce Management System (Van Rooij, 2025). Their leadership makes the process of adoption fast hence reducing the level of disruption during operations. However, Omowole et al. (2024) </w:t>
      </w:r>
      <w:r>
        <w:rPr>
          <w:lang w:val="en-GB"/>
        </w:rPr>
        <w:t>argued</w:t>
      </w:r>
      <w:r w:rsidRPr="00DA421C">
        <w:rPr>
          <w:lang w:val="en-GB"/>
        </w:rPr>
        <w:t xml:space="preserve"> that approximately 42</w:t>
      </w:r>
      <w:r>
        <w:rPr>
          <w:lang w:val="en-GB"/>
        </w:rPr>
        <w:t xml:space="preserve">% </w:t>
      </w:r>
      <w:r w:rsidRPr="00DA421C">
        <w:rPr>
          <w:lang w:val="en-GB"/>
        </w:rPr>
        <w:t xml:space="preserve">of digital transformations in the retail industry are unsuccessful due to resistance on the part of employees, weak training, and lack of managerial support of changes. Similarly, Ghani et al. (2022) </w:t>
      </w:r>
      <w:r>
        <w:rPr>
          <w:lang w:val="en-GB"/>
        </w:rPr>
        <w:t>criticised</w:t>
      </w:r>
      <w:r w:rsidRPr="00DA421C">
        <w:rPr>
          <w:lang w:val="en-GB"/>
        </w:rPr>
        <w:t xml:space="preserve"> the negative influence of poor managerial support in the process of digital change and referenced the accelerated stress levels in employees, lack of engagement, and operational inefficiencies among retail organisations. Conversely, Issah et al. (2025) </w:t>
      </w:r>
      <w:r w:rsidR="009F220F">
        <w:rPr>
          <w:lang w:val="en-GB"/>
        </w:rPr>
        <w:t>suggested</w:t>
      </w:r>
      <w:r w:rsidRPr="00DA421C">
        <w:rPr>
          <w:lang w:val="en-GB"/>
        </w:rPr>
        <w:t xml:space="preserve"> that robust managerial coaching increases digital uptake, staff capabilities, service quality, and the overall organisational performance in the retail setting in the long term.</w:t>
      </w:r>
    </w:p>
    <w:p w14:paraId="1C9BFFB2" w14:textId="77777777" w:rsidR="00104518" w:rsidRDefault="00D17BB5" w:rsidP="00C85DCB">
      <w:pPr>
        <w:rPr>
          <w:lang w:val="en-GB"/>
        </w:rPr>
      </w:pPr>
      <w:r w:rsidRPr="00104518">
        <w:rPr>
          <w:lang w:val="en-GB"/>
        </w:rPr>
        <w:t xml:space="preserve">Managers play a critical role in talent acquisition and retention where they administer recruitment policies, interviewing in a structured way, and help in ensuring employee engagement via mentoring and performance feedback (CIPD, 2025). As an example, the </w:t>
      </w:r>
      <w:r w:rsidRPr="00104518">
        <w:rPr>
          <w:lang w:val="en-GB"/>
        </w:rPr>
        <w:lastRenderedPageBreak/>
        <w:t xml:space="preserve">turnover rates in retail, which may be higher than 35 per cent per year, are directly affected by store managers as they can create helpful working conditions and support career growth prospects (BBC, 2024). Nevertheless, Li et al. (2025) </w:t>
      </w:r>
      <w:r>
        <w:rPr>
          <w:lang w:val="en-GB"/>
        </w:rPr>
        <w:t>critiqued that</w:t>
      </w:r>
      <w:r w:rsidRPr="00104518">
        <w:rPr>
          <w:lang w:val="en-GB"/>
        </w:rPr>
        <w:t xml:space="preserve"> the adverse role of meagre management participation in the recruitment and mentoring process that directly leads to high turnover and disengagement of employees in the retail. Similarly, Bourne (2025) </w:t>
      </w:r>
      <w:r>
        <w:rPr>
          <w:lang w:val="en-GB"/>
        </w:rPr>
        <w:t>claimed</w:t>
      </w:r>
      <w:r w:rsidRPr="00104518">
        <w:rPr>
          <w:lang w:val="en-GB"/>
        </w:rPr>
        <w:t xml:space="preserve"> that the uncertainty generated by the inconsistent managerial decision during the recruitment and training processes creates confusion, inequity, and low team cohesion. On the contrary, Nastase et al. (2025) </w:t>
      </w:r>
      <w:r w:rsidR="00772020">
        <w:rPr>
          <w:lang w:val="en-GB"/>
        </w:rPr>
        <w:t>reinforced</w:t>
      </w:r>
      <w:r w:rsidRPr="00104518">
        <w:rPr>
          <w:lang w:val="en-GB"/>
        </w:rPr>
        <w:t xml:space="preserve"> the importance of proactive management participation in mentoring and training to increase the ability, confidence, and long-term organisational performance of workers.</w:t>
      </w:r>
    </w:p>
    <w:p w14:paraId="27AD1F2A" w14:textId="77777777" w:rsidR="007B7696" w:rsidRDefault="00D17BB5" w:rsidP="00C85DCB">
      <w:pPr>
        <w:rPr>
          <w:lang w:val="en-GB"/>
        </w:rPr>
      </w:pPr>
      <w:r w:rsidRPr="008C0962">
        <w:rPr>
          <w:lang w:val="en-GB"/>
        </w:rPr>
        <w:t xml:space="preserve">In the case of DEI, managers are in charge of policy into practise. This will include managing the inclusive recruitment, tracking the diversity rates in teams, and addressing the promotion or shifts distribution bias (Morrisons Online Groceries, 2025). Managers can make departmental goals and outcomes accountable and change the culture by creating DEI targets and reporting them to the senior HR (Ahmadi, 2024). This urgency of application implies that managers should strike the balance between the operational pressure and HR priorities (CIPD, 2025). However, Bello et al. (2024) </w:t>
      </w:r>
      <w:r>
        <w:rPr>
          <w:lang w:val="en-GB"/>
        </w:rPr>
        <w:t>criticised</w:t>
      </w:r>
      <w:r w:rsidRPr="008C0962">
        <w:rPr>
          <w:lang w:val="en-GB"/>
        </w:rPr>
        <w:t xml:space="preserve"> that the lack of managerial attention to DEI is the trigger of workplace discrimination, diminished inclusion, and dissatisfaction among employees. </w:t>
      </w:r>
      <w:r>
        <w:rPr>
          <w:lang w:val="en-GB"/>
        </w:rPr>
        <w:t xml:space="preserve">Likewise, </w:t>
      </w:r>
      <w:r w:rsidRPr="008C0962">
        <w:rPr>
          <w:lang w:val="en-GB"/>
        </w:rPr>
        <w:t xml:space="preserve">Iradukanda and Werner (2025) </w:t>
      </w:r>
      <w:r>
        <w:rPr>
          <w:lang w:val="en-GB"/>
        </w:rPr>
        <w:t>argued</w:t>
      </w:r>
      <w:r w:rsidRPr="008C0962">
        <w:rPr>
          <w:lang w:val="en-GB"/>
        </w:rPr>
        <w:t xml:space="preserve"> that the inconsistent management application of DEI programmes, which is leading to the spread of tokenistic schemes that erode organisational credibility and trust. </w:t>
      </w:r>
      <w:r>
        <w:rPr>
          <w:lang w:val="en-GB"/>
        </w:rPr>
        <w:t>In contrast,</w:t>
      </w:r>
      <w:r w:rsidRPr="008C0962">
        <w:rPr>
          <w:lang w:val="en-GB"/>
        </w:rPr>
        <w:t xml:space="preserve"> Omowole et al. (2024) </w:t>
      </w:r>
      <w:r>
        <w:rPr>
          <w:lang w:val="en-GB"/>
        </w:rPr>
        <w:t>indicated</w:t>
      </w:r>
      <w:r w:rsidRPr="008C0962">
        <w:rPr>
          <w:lang w:val="en-GB"/>
        </w:rPr>
        <w:t xml:space="preserve"> that proactive management participation is related to increased training uptake, higher retention, and greater representation in managerial positions. </w:t>
      </w:r>
      <w:r>
        <w:rPr>
          <w:lang w:val="en-GB"/>
        </w:rPr>
        <w:t>Consequently</w:t>
      </w:r>
      <w:r w:rsidRPr="008C0962">
        <w:rPr>
          <w:lang w:val="en-GB"/>
        </w:rPr>
        <w:t>, the role of departmental managers as the operation channel between strategic HR practises and frontline implementation is to ensure that the current practises of Morrison are not just borrowed but maintained.</w:t>
      </w:r>
    </w:p>
    <w:p w14:paraId="37915D62" w14:textId="77777777" w:rsidR="008C0962" w:rsidRDefault="008C0962" w:rsidP="00C85DCB">
      <w:pPr>
        <w:rPr>
          <w:lang w:val="en-GB"/>
        </w:rPr>
      </w:pPr>
    </w:p>
    <w:p w14:paraId="5EB84B3F" w14:textId="77777777" w:rsidR="007B7696" w:rsidRDefault="00D17BB5" w:rsidP="00C85DCB">
      <w:pPr>
        <w:pStyle w:val="Heading1"/>
        <w:rPr>
          <w:lang w:val="en-GB"/>
        </w:rPr>
      </w:pPr>
      <w:bookmarkStart w:id="7" w:name="_Toc220524483"/>
      <w:r>
        <w:rPr>
          <w:lang w:val="en-GB"/>
        </w:rPr>
        <w:t>Conclusion and Recommendation</w:t>
      </w:r>
      <w:bookmarkEnd w:id="7"/>
    </w:p>
    <w:p w14:paraId="5F2B9723" w14:textId="77777777" w:rsidR="007B7696" w:rsidRPr="00366A07" w:rsidRDefault="00D17BB5" w:rsidP="00C85DCB">
      <w:pPr>
        <w:rPr>
          <w:lang w:val="en-GB"/>
        </w:rPr>
      </w:pPr>
      <w:r w:rsidRPr="007B7696">
        <w:rPr>
          <w:lang w:val="en-GB"/>
        </w:rPr>
        <w:t xml:space="preserve">In conclusion, </w:t>
      </w:r>
      <w:r w:rsidR="00BF03C3" w:rsidRPr="00BF03C3">
        <w:rPr>
          <w:lang w:val="en-GB"/>
        </w:rPr>
        <w:t>the HR issues that Wm Morrison Supermarkets PLC are experiencing are related to technological development, talent recruitment and retention, and diversity, equity, and inclusion, which are essential to the competitiveness of the company in the UK retail market. The company employs more than 110,000 people, and annual turnover rates are close to 35</w:t>
      </w:r>
      <w:r w:rsidR="003E619F">
        <w:rPr>
          <w:lang w:val="en-GB"/>
        </w:rPr>
        <w:t xml:space="preserve">% </w:t>
      </w:r>
      <w:r w:rsidR="00BF03C3" w:rsidRPr="00BF03C3">
        <w:rPr>
          <w:lang w:val="en-GB"/>
        </w:rPr>
        <w:t xml:space="preserve">in the sector, which means that efficient HR practises are the key to maintaining operational </w:t>
      </w:r>
      <w:r w:rsidR="00BF03C3" w:rsidRPr="00BF03C3">
        <w:rPr>
          <w:lang w:val="en-GB"/>
        </w:rPr>
        <w:lastRenderedPageBreak/>
        <w:t xml:space="preserve">effectiveness and workforce stability. The investments in digital upskilling, systematic recruitment, and DEI programmes used at Morrisons show strategic orientation; however, it requires managerial execution in due time. It is suggested that Morrisons should proceed with the further expansion of e-learning programmes, improve the career-development opportunities, and establish quantifiable DEI goals. </w:t>
      </w:r>
      <w:r w:rsidR="00E441C9" w:rsidRPr="00BF03C3">
        <w:rPr>
          <w:lang w:val="en-GB"/>
        </w:rPr>
        <w:t>Similarly</w:t>
      </w:r>
      <w:r w:rsidR="00BF03C3" w:rsidRPr="00BF03C3">
        <w:rPr>
          <w:lang w:val="en-GB"/>
        </w:rPr>
        <w:t>, the departmental managers must be given well-defined accountability metrics to make sure that these practises are ingrained at all stores, distribution centres, and online activities to promote growth and engagement of employees in the organisation in the long run.</w:t>
      </w:r>
      <w:r w:rsidR="00BF03C3">
        <w:rPr>
          <w:lang w:val="en-GB"/>
        </w:rPr>
        <w:t xml:space="preserve"> </w:t>
      </w:r>
    </w:p>
    <w:p w14:paraId="2651FF18" w14:textId="77777777" w:rsidR="000B2D40" w:rsidRDefault="000B2D40" w:rsidP="00861770">
      <w:pPr>
        <w:rPr>
          <w:lang w:val="en-GB"/>
        </w:rPr>
      </w:pPr>
    </w:p>
    <w:p w14:paraId="32B40C58" w14:textId="77777777" w:rsidR="000B2D40" w:rsidRPr="00861770" w:rsidRDefault="000B2D40" w:rsidP="00861770">
      <w:pPr>
        <w:rPr>
          <w:lang w:val="en-GB"/>
        </w:rPr>
      </w:pPr>
    </w:p>
    <w:p w14:paraId="404A5087" w14:textId="77777777" w:rsidR="008E4F98" w:rsidRPr="00CA36B4" w:rsidRDefault="008E4F98" w:rsidP="00CA36B4">
      <w:pPr>
        <w:rPr>
          <w:rFonts w:cs="Arial"/>
          <w:lang w:val="en-GB"/>
        </w:rPr>
      </w:pPr>
    </w:p>
    <w:p w14:paraId="7E002C99" w14:textId="77777777" w:rsidR="00D873C4" w:rsidRPr="00CA36B4" w:rsidRDefault="00D873C4" w:rsidP="00CA36B4">
      <w:pPr>
        <w:rPr>
          <w:rFonts w:cs="Arial"/>
          <w:lang w:val="en-GB"/>
        </w:rPr>
      </w:pPr>
    </w:p>
    <w:p w14:paraId="67BBD673" w14:textId="77777777" w:rsidR="00E8085D" w:rsidRPr="00CA36B4" w:rsidRDefault="00D17BB5" w:rsidP="00CA36B4">
      <w:pPr>
        <w:rPr>
          <w:rFonts w:cs="Arial"/>
          <w:lang w:val="en-GB"/>
        </w:rPr>
      </w:pPr>
      <w:r w:rsidRPr="00CA36B4">
        <w:rPr>
          <w:rFonts w:cs="Arial"/>
          <w:lang w:val="en-GB"/>
        </w:rPr>
        <w:br w:type="page"/>
      </w:r>
    </w:p>
    <w:p w14:paraId="2C1EF722" w14:textId="77777777" w:rsidR="00DD5767" w:rsidRPr="00CA36B4" w:rsidRDefault="00D17BB5" w:rsidP="00CA36B4">
      <w:pPr>
        <w:pStyle w:val="Heading1"/>
        <w:rPr>
          <w:rFonts w:cs="Arial"/>
          <w:szCs w:val="22"/>
          <w:lang w:val="en-GB"/>
        </w:rPr>
      </w:pPr>
      <w:bookmarkStart w:id="8" w:name="_Toc220524484"/>
      <w:r w:rsidRPr="00CA36B4">
        <w:rPr>
          <w:rFonts w:cs="Arial"/>
          <w:szCs w:val="22"/>
          <w:lang w:val="en-GB"/>
        </w:rPr>
        <w:lastRenderedPageBreak/>
        <w:t>References</w:t>
      </w:r>
      <w:bookmarkEnd w:id="8"/>
    </w:p>
    <w:p w14:paraId="3AFBA8C5" w14:textId="77777777" w:rsidR="00B2266D" w:rsidRDefault="00D17BB5" w:rsidP="00CA36B4">
      <w:pPr>
        <w:ind w:left="720" w:hanging="720"/>
        <w:rPr>
          <w:rFonts w:cs="Arial"/>
          <w:lang w:val="en-GB"/>
        </w:rPr>
      </w:pPr>
      <w:r w:rsidRPr="00116FE7">
        <w:rPr>
          <w:rFonts w:cs="Arial"/>
          <w:lang w:val="en-GB"/>
        </w:rPr>
        <w:t>Ahmadi, H. (2024). Managing organizational change in the digital era: The interplay of technological advancements, leadership, and employee adaptability. Leadership, and Employee Adaptability (August 09, 2024).</w:t>
      </w:r>
      <w:r>
        <w:rPr>
          <w:rFonts w:cs="Arial"/>
          <w:lang w:val="en-GB"/>
        </w:rPr>
        <w:t xml:space="preserve"> </w:t>
      </w:r>
    </w:p>
    <w:p w14:paraId="63866A1A" w14:textId="77777777" w:rsidR="00B2266D" w:rsidRDefault="00D17BB5" w:rsidP="00CA36B4">
      <w:pPr>
        <w:ind w:left="720" w:hanging="720"/>
        <w:rPr>
          <w:rFonts w:cs="Arial"/>
          <w:lang w:val="en-GB"/>
        </w:rPr>
      </w:pPr>
      <w:r w:rsidRPr="00765B34">
        <w:rPr>
          <w:rFonts w:cs="Arial"/>
          <w:lang w:val="en-GB"/>
        </w:rPr>
        <w:t xml:space="preserve">BBC (2024). Morrisons: US firm wins auction to take over supermarket chain. BBC News. [online] 2 Oct. Available at: </w:t>
      </w:r>
      <w:hyperlink r:id="rId8" w:history="1">
        <w:r w:rsidRPr="004828E6">
          <w:rPr>
            <w:rStyle w:val="Hyperlink"/>
            <w:rFonts w:cs="Arial"/>
            <w:lang w:val="en-GB"/>
          </w:rPr>
          <w:t>https://www.bbc.com/news/business-58773825</w:t>
        </w:r>
      </w:hyperlink>
      <w:r w:rsidRPr="00765B34">
        <w:rPr>
          <w:rFonts w:cs="Arial"/>
          <w:lang w:val="en-GB"/>
        </w:rPr>
        <w:t>.</w:t>
      </w:r>
      <w:r>
        <w:rPr>
          <w:rFonts w:cs="Arial"/>
          <w:lang w:val="en-GB"/>
        </w:rPr>
        <w:t xml:space="preserve"> </w:t>
      </w:r>
    </w:p>
    <w:p w14:paraId="36A14DCC" w14:textId="77777777" w:rsidR="00B2266D" w:rsidRDefault="00D17BB5" w:rsidP="00CA36B4">
      <w:pPr>
        <w:ind w:left="720" w:hanging="720"/>
        <w:rPr>
          <w:rFonts w:cs="Arial"/>
          <w:lang w:val="en-GB"/>
        </w:rPr>
      </w:pPr>
      <w:r w:rsidRPr="0031356B">
        <w:rPr>
          <w:rFonts w:cs="Arial"/>
          <w:lang w:val="en-GB"/>
        </w:rPr>
        <w:t xml:space="preserve">Bello, B. G., Tula, S. T., Omotoye, G. B., Kess-Momoh, A. J., </w:t>
      </w:r>
      <w:r>
        <w:rPr>
          <w:rFonts w:cs="Arial"/>
          <w:lang w:val="en-GB"/>
        </w:rPr>
        <w:t>and</w:t>
      </w:r>
      <w:r w:rsidRPr="0031356B">
        <w:rPr>
          <w:rFonts w:cs="Arial"/>
          <w:lang w:val="en-GB"/>
        </w:rPr>
        <w:t xml:space="preserve"> Daraojimba, A. I. (2024). Work-life balance and its impact in modern organisations: An HR review. World Journal of Advanced Research and Reviews, 21(1), 1162-1173.</w:t>
      </w:r>
      <w:r>
        <w:rPr>
          <w:rFonts w:cs="Arial"/>
          <w:lang w:val="en-GB"/>
        </w:rPr>
        <w:t xml:space="preserve"> </w:t>
      </w:r>
    </w:p>
    <w:p w14:paraId="65326998" w14:textId="77777777" w:rsidR="00B2266D" w:rsidRDefault="00D17BB5" w:rsidP="00CA36B4">
      <w:pPr>
        <w:ind w:left="720" w:hanging="720"/>
        <w:rPr>
          <w:rFonts w:cs="Arial"/>
          <w:lang w:val="en-GB"/>
        </w:rPr>
      </w:pPr>
      <w:r w:rsidRPr="001A6A06">
        <w:rPr>
          <w:rFonts w:cs="Arial"/>
          <w:lang w:val="en-GB"/>
        </w:rPr>
        <w:t>Bourne, P. A. (2025). The Costs of Incompetent Leadership: Impacts on Organisational Vision, Productivity, and Employee Futures.</w:t>
      </w:r>
      <w:r>
        <w:rPr>
          <w:rFonts w:cs="Arial"/>
          <w:lang w:val="en-GB"/>
        </w:rPr>
        <w:t xml:space="preserve"> </w:t>
      </w:r>
    </w:p>
    <w:p w14:paraId="5A09C7EE" w14:textId="77777777" w:rsidR="00B2266D" w:rsidRDefault="00D17BB5" w:rsidP="00CA36B4">
      <w:pPr>
        <w:ind w:left="720" w:hanging="720"/>
        <w:rPr>
          <w:rFonts w:cs="Arial"/>
          <w:lang w:val="en-GB"/>
        </w:rPr>
      </w:pPr>
      <w:r w:rsidRPr="00434807">
        <w:rPr>
          <w:rFonts w:cs="Arial"/>
          <w:lang w:val="en-GB"/>
        </w:rPr>
        <w:t xml:space="preserve">Chukwudi, O. A., </w:t>
      </w:r>
      <w:r>
        <w:rPr>
          <w:rFonts w:cs="Arial"/>
          <w:lang w:val="en-GB"/>
        </w:rPr>
        <w:t>and</w:t>
      </w:r>
      <w:r w:rsidRPr="00434807">
        <w:rPr>
          <w:rFonts w:cs="Arial"/>
          <w:lang w:val="en-GB"/>
        </w:rPr>
        <w:t xml:space="preserve"> Eusebius, A. C. H. U. G. O. (2023). Diversity, equity, and inclusion (DEI): Exploring the effectiveness of human resource strategies and practices in fostering diversity, equity, and inclusion in the workplace and understanding the benefits of a diverse workforce in Nigeria. Journal for Studies in Management and Planning, 9(9), 1-22.</w:t>
      </w:r>
      <w:r>
        <w:rPr>
          <w:rFonts w:cs="Arial"/>
          <w:lang w:val="en-GB"/>
        </w:rPr>
        <w:t xml:space="preserve"> </w:t>
      </w:r>
    </w:p>
    <w:p w14:paraId="4447DBE3" w14:textId="77777777" w:rsidR="00B2266D" w:rsidRDefault="00D17BB5" w:rsidP="00CA36B4">
      <w:pPr>
        <w:ind w:left="720" w:hanging="720"/>
        <w:rPr>
          <w:rFonts w:cs="Arial"/>
          <w:lang w:val="en-GB"/>
        </w:rPr>
      </w:pPr>
      <w:r w:rsidRPr="006E2E4E">
        <w:rPr>
          <w:rFonts w:cs="Arial"/>
          <w:lang w:val="en-GB"/>
        </w:rPr>
        <w:t xml:space="preserve">CIPD. (2025). CIPD | How can HR play a lead role in digital transformation in the workplace? [online] Available at: </w:t>
      </w:r>
      <w:hyperlink r:id="rId9" w:history="1">
        <w:r w:rsidRPr="004828E6">
          <w:rPr>
            <w:rStyle w:val="Hyperlink"/>
            <w:rFonts w:cs="Arial"/>
            <w:lang w:val="en-GB"/>
          </w:rPr>
          <w:t>https://www.cipd.org/en/views-and-insights/thought-leadership/people-profession/hr-role-digital-transformation-workplace/</w:t>
        </w:r>
      </w:hyperlink>
      <w:r w:rsidRPr="006E2E4E">
        <w:rPr>
          <w:rFonts w:cs="Arial"/>
          <w:lang w:val="en-GB"/>
        </w:rPr>
        <w:t>.</w:t>
      </w:r>
      <w:r>
        <w:rPr>
          <w:rFonts w:cs="Arial"/>
          <w:lang w:val="en-GB"/>
        </w:rPr>
        <w:t xml:space="preserve"> </w:t>
      </w:r>
    </w:p>
    <w:p w14:paraId="13CB78EC" w14:textId="77777777" w:rsidR="00B2266D" w:rsidRDefault="00D17BB5" w:rsidP="00CA36B4">
      <w:pPr>
        <w:ind w:left="720" w:hanging="720"/>
        <w:rPr>
          <w:rFonts w:cs="Arial"/>
          <w:lang w:val="en-GB"/>
        </w:rPr>
      </w:pPr>
      <w:r w:rsidRPr="00A70340">
        <w:rPr>
          <w:rFonts w:cs="Arial"/>
          <w:lang w:val="en-GB"/>
        </w:rPr>
        <w:t xml:space="preserve">Creditsafe (2024). Wm Morrison Supermarkets Limited. [online] Creditsafe.com. Available at: </w:t>
      </w:r>
      <w:hyperlink r:id="rId10" w:history="1">
        <w:r w:rsidRPr="004828E6">
          <w:rPr>
            <w:rStyle w:val="Hyperlink"/>
            <w:rFonts w:cs="Arial"/>
            <w:lang w:val="en-GB"/>
          </w:rPr>
          <w:t>https://www.creditsafe.com/business-index/en-gb/company/wm-morrison-supermarkets-limited-uk00093765</w:t>
        </w:r>
      </w:hyperlink>
      <w:r>
        <w:rPr>
          <w:rFonts w:cs="Arial"/>
          <w:lang w:val="en-GB"/>
        </w:rPr>
        <w:t xml:space="preserve"> </w:t>
      </w:r>
    </w:p>
    <w:p w14:paraId="7FEAA6F5" w14:textId="77777777" w:rsidR="00B2266D" w:rsidRPr="00CA36B4" w:rsidRDefault="00D17BB5" w:rsidP="00CA36B4">
      <w:pPr>
        <w:ind w:left="720" w:hanging="720"/>
        <w:rPr>
          <w:rFonts w:cs="Arial"/>
          <w:lang w:val="en-GB"/>
        </w:rPr>
      </w:pPr>
      <w:r w:rsidRPr="00CA36B4">
        <w:rPr>
          <w:rFonts w:cs="Arial"/>
          <w:lang w:val="en-GB"/>
        </w:rPr>
        <w:t xml:space="preserve">Fun, W. X. J. (2021). Case and Legislation Notes: The EBB and Flow of Vicarious Liability in Tort Law—Barclays Bank plc v Various Claimants; WM Morrison Supermarkets plc v Various Claimants. Singapore Journal of Legal Studies, 206-219. </w:t>
      </w:r>
    </w:p>
    <w:p w14:paraId="6814122B" w14:textId="77777777" w:rsidR="00B2266D" w:rsidRDefault="00D17BB5" w:rsidP="00CA36B4">
      <w:pPr>
        <w:ind w:left="720" w:hanging="720"/>
        <w:rPr>
          <w:rFonts w:cs="Arial"/>
          <w:lang w:val="en-GB"/>
        </w:rPr>
      </w:pPr>
      <w:r w:rsidRPr="00C405DA">
        <w:rPr>
          <w:rFonts w:cs="Arial"/>
          <w:lang w:val="en-GB"/>
        </w:rPr>
        <w:t xml:space="preserve">Gannon, J., Clayton, D., </w:t>
      </w:r>
      <w:r>
        <w:rPr>
          <w:rFonts w:cs="Arial"/>
          <w:lang w:val="en-GB"/>
        </w:rPr>
        <w:t>and</w:t>
      </w:r>
      <w:r w:rsidRPr="00C405DA">
        <w:rPr>
          <w:rFonts w:cs="Arial"/>
          <w:lang w:val="en-GB"/>
        </w:rPr>
        <w:t xml:space="preserve"> Klenert, A. (2021). Mentoring initiatives as talent management innovations. In Talent management innovations in the international hospitality industry (pp. 99-125). Emerald Publishing Limited.</w:t>
      </w:r>
      <w:r>
        <w:rPr>
          <w:rFonts w:cs="Arial"/>
          <w:lang w:val="en-GB"/>
        </w:rPr>
        <w:t xml:space="preserve"> </w:t>
      </w:r>
    </w:p>
    <w:p w14:paraId="6509DD8D" w14:textId="77777777" w:rsidR="00B2266D" w:rsidRDefault="00D17BB5" w:rsidP="00CA36B4">
      <w:pPr>
        <w:ind w:left="720" w:hanging="720"/>
        <w:rPr>
          <w:rFonts w:cs="Arial"/>
          <w:lang w:val="en-GB"/>
        </w:rPr>
      </w:pPr>
      <w:r w:rsidRPr="006A7DC8">
        <w:rPr>
          <w:rFonts w:cs="Arial"/>
          <w:lang w:val="en-GB"/>
        </w:rPr>
        <w:lastRenderedPageBreak/>
        <w:t xml:space="preserve">Ghani, B., Memon, K. R., Han, H., Ariza-Montes, A., </w:t>
      </w:r>
      <w:r>
        <w:rPr>
          <w:rFonts w:cs="Arial"/>
          <w:lang w:val="en-GB"/>
        </w:rPr>
        <w:t>and</w:t>
      </w:r>
      <w:r w:rsidRPr="006A7DC8">
        <w:rPr>
          <w:rFonts w:cs="Arial"/>
          <w:lang w:val="en-GB"/>
        </w:rPr>
        <w:t xml:space="preserve"> Arjona-Fuentes, J. M. (2022). Work stress, technological changes, and job insecurity in the retail organisation context. Frontiers in Psychology, 13, 918065.</w:t>
      </w:r>
      <w:r>
        <w:rPr>
          <w:rFonts w:cs="Arial"/>
          <w:lang w:val="en-GB"/>
        </w:rPr>
        <w:t xml:space="preserve"> </w:t>
      </w:r>
    </w:p>
    <w:p w14:paraId="46855392" w14:textId="77777777" w:rsidR="00B2266D" w:rsidRDefault="00D17BB5" w:rsidP="00CA36B4">
      <w:pPr>
        <w:ind w:left="720" w:hanging="720"/>
        <w:rPr>
          <w:rFonts w:cs="Arial"/>
          <w:lang w:val="en-GB"/>
        </w:rPr>
      </w:pPr>
      <w:r w:rsidRPr="00953BE7">
        <w:rPr>
          <w:rFonts w:cs="Arial"/>
          <w:lang w:val="en-GB"/>
        </w:rPr>
        <w:t xml:space="preserve">Iradukunda, Q., </w:t>
      </w:r>
      <w:r>
        <w:rPr>
          <w:rFonts w:cs="Arial"/>
          <w:lang w:val="en-GB"/>
        </w:rPr>
        <w:t>and</w:t>
      </w:r>
      <w:r w:rsidRPr="00953BE7">
        <w:rPr>
          <w:rFonts w:cs="Arial"/>
          <w:lang w:val="en-GB"/>
        </w:rPr>
        <w:t xml:space="preserve"> Werner, F. (2025). Diversity, Equity and Inclusion in Practice: A qualitative study exploring how implementation of DEI policy in an organisation shapes employee engagement.</w:t>
      </w:r>
      <w:r>
        <w:rPr>
          <w:rFonts w:cs="Arial"/>
          <w:lang w:val="en-GB"/>
        </w:rPr>
        <w:t xml:space="preserve"> </w:t>
      </w:r>
    </w:p>
    <w:p w14:paraId="03E3F0B8" w14:textId="77777777" w:rsidR="00B2266D" w:rsidRDefault="00D17BB5" w:rsidP="00CA36B4">
      <w:pPr>
        <w:ind w:left="720" w:hanging="720"/>
        <w:rPr>
          <w:rFonts w:cs="Arial"/>
          <w:lang w:val="en-GB"/>
        </w:rPr>
      </w:pPr>
      <w:r w:rsidRPr="00246CBB">
        <w:rPr>
          <w:rFonts w:cs="Arial"/>
          <w:lang w:val="en-GB"/>
        </w:rPr>
        <w:t xml:space="preserve">Issah, O., Baah, S. A., </w:t>
      </w:r>
      <w:r>
        <w:rPr>
          <w:rFonts w:cs="Arial"/>
          <w:lang w:val="en-GB"/>
        </w:rPr>
        <w:t>and</w:t>
      </w:r>
      <w:r w:rsidRPr="00246CBB">
        <w:rPr>
          <w:rFonts w:cs="Arial"/>
          <w:lang w:val="en-GB"/>
        </w:rPr>
        <w:t xml:space="preserve"> Asare, C. A. (2025). Digital Technology and Financial Institutions’ Sustainability: The Mediating and Moderating Effect of Staff Competency and Training Programs. African Journal of Procurement, Logistics &amp; Supply Chain Management, 8(3), 65-89.</w:t>
      </w:r>
      <w:r>
        <w:rPr>
          <w:rFonts w:cs="Arial"/>
          <w:lang w:val="en-GB"/>
        </w:rPr>
        <w:t xml:space="preserve"> </w:t>
      </w:r>
    </w:p>
    <w:p w14:paraId="5A966CCD" w14:textId="77777777" w:rsidR="00B2266D" w:rsidRDefault="00D17BB5" w:rsidP="00CA36B4">
      <w:pPr>
        <w:ind w:left="720" w:hanging="720"/>
        <w:rPr>
          <w:rFonts w:cs="Arial"/>
          <w:lang w:val="en-GB"/>
        </w:rPr>
      </w:pPr>
      <w:r w:rsidRPr="00DE0A00">
        <w:rPr>
          <w:rFonts w:cs="Arial"/>
          <w:lang w:val="en-GB"/>
        </w:rPr>
        <w:t xml:space="preserve">Li, Y., Huang, Z., Dineen, B., Wang, M., </w:t>
      </w:r>
      <w:r>
        <w:rPr>
          <w:rFonts w:cs="Arial"/>
          <w:lang w:val="en-GB"/>
        </w:rPr>
        <w:t>and</w:t>
      </w:r>
      <w:r w:rsidRPr="00DE0A00">
        <w:rPr>
          <w:rFonts w:cs="Arial"/>
          <w:lang w:val="en-GB"/>
        </w:rPr>
        <w:t xml:space="preserve"> van Jaarsveld, D. (2025). Voluntary Turnover Rate Fluctuations, Human Resource Practices, and Innovation: A Within-Organisation Investigation. Personnel Psychology, 78(1), 103-122.</w:t>
      </w:r>
      <w:r>
        <w:rPr>
          <w:rFonts w:cs="Arial"/>
          <w:lang w:val="en-GB"/>
        </w:rPr>
        <w:t xml:space="preserve"> </w:t>
      </w:r>
    </w:p>
    <w:p w14:paraId="57D8E9E2" w14:textId="77777777" w:rsidR="00B2266D" w:rsidRDefault="00D17BB5" w:rsidP="00CA36B4">
      <w:pPr>
        <w:ind w:left="720" w:hanging="720"/>
        <w:rPr>
          <w:rFonts w:cs="Arial"/>
          <w:lang w:val="en-GB"/>
        </w:rPr>
      </w:pPr>
      <w:r w:rsidRPr="00A43076">
        <w:rPr>
          <w:rFonts w:cs="Arial"/>
          <w:lang w:val="en-GB"/>
        </w:rPr>
        <w:t>Lubis, M. (2024). The role of communication and employee engagement in promoting inclusion in the workplace: A case study in the creative industry. Feedback International Journal of Communication, 1(1), 1-15.</w:t>
      </w:r>
      <w:r>
        <w:rPr>
          <w:rFonts w:cs="Arial"/>
          <w:lang w:val="en-GB"/>
        </w:rPr>
        <w:t xml:space="preserve"> </w:t>
      </w:r>
    </w:p>
    <w:p w14:paraId="37917525" w14:textId="77777777" w:rsidR="00B2266D" w:rsidRPr="00CA36B4" w:rsidRDefault="00D17BB5" w:rsidP="00CA36B4">
      <w:pPr>
        <w:ind w:left="720" w:hanging="720"/>
        <w:rPr>
          <w:rFonts w:cs="Arial"/>
          <w:lang w:val="en-GB"/>
        </w:rPr>
      </w:pPr>
      <w:r w:rsidRPr="00CA36B4">
        <w:rPr>
          <w:rFonts w:cs="Arial"/>
          <w:lang w:val="en-GB"/>
        </w:rPr>
        <w:t xml:space="preserve">Morrisons Corporate (2025). Company History - Morrisons Corporate. [online] Morrisons. Available at: </w:t>
      </w:r>
      <w:hyperlink r:id="rId11" w:history="1">
        <w:r w:rsidRPr="00CA36B4">
          <w:rPr>
            <w:rStyle w:val="Hyperlink"/>
            <w:rFonts w:cs="Arial"/>
            <w:lang w:val="en-GB"/>
          </w:rPr>
          <w:t>https://www.morrisons-corporate.com/about-us/company-history/</w:t>
        </w:r>
      </w:hyperlink>
      <w:r w:rsidRPr="00CA36B4">
        <w:rPr>
          <w:rFonts w:cs="Arial"/>
          <w:lang w:val="en-GB"/>
        </w:rPr>
        <w:t xml:space="preserve">. </w:t>
      </w:r>
    </w:p>
    <w:p w14:paraId="6247D173" w14:textId="77777777" w:rsidR="00B2266D" w:rsidRPr="00CA36B4" w:rsidRDefault="00D17BB5" w:rsidP="00CA36B4">
      <w:pPr>
        <w:ind w:left="720" w:hanging="720"/>
        <w:rPr>
          <w:rFonts w:cs="Arial"/>
          <w:lang w:val="en-GB"/>
        </w:rPr>
      </w:pPr>
      <w:r w:rsidRPr="00793D88">
        <w:rPr>
          <w:rFonts w:cs="Arial"/>
          <w:lang w:val="en-GB"/>
        </w:rPr>
        <w:t xml:space="preserve">Morrisons Online Groceries (2025). Welcome to your Morrisons Store Finder. [online] Morrisons.com. Available at: </w:t>
      </w:r>
      <w:hyperlink r:id="rId12" w:history="1">
        <w:r w:rsidRPr="004828E6">
          <w:rPr>
            <w:rStyle w:val="Hyperlink"/>
            <w:rFonts w:cs="Arial"/>
            <w:lang w:val="en-GB"/>
          </w:rPr>
          <w:t>https://my.morrisons.com/storefinder/345/basingstoke/</w:t>
        </w:r>
      </w:hyperlink>
      <w:r>
        <w:rPr>
          <w:rFonts w:cs="Arial"/>
          <w:lang w:val="en-GB"/>
        </w:rPr>
        <w:t xml:space="preserve"> </w:t>
      </w:r>
    </w:p>
    <w:p w14:paraId="783B0DC7" w14:textId="77777777" w:rsidR="00B2266D" w:rsidRPr="007E236F" w:rsidRDefault="00D17BB5" w:rsidP="00CA36B4">
      <w:pPr>
        <w:ind w:left="720" w:hanging="720"/>
        <w:rPr>
          <w:rFonts w:cs="Arial"/>
          <w:lang w:val="it-IT"/>
        </w:rPr>
      </w:pPr>
      <w:r w:rsidRPr="007E236F">
        <w:rPr>
          <w:rFonts w:cs="Arial"/>
          <w:lang w:val="it-IT"/>
        </w:rPr>
        <w:t xml:space="preserve">Nastase, C., </w:t>
      </w:r>
      <w:proofErr w:type="spellStart"/>
      <w:r w:rsidRPr="007E236F">
        <w:rPr>
          <w:rFonts w:cs="Arial"/>
          <w:lang w:val="it-IT"/>
        </w:rPr>
        <w:t>Adomnitei</w:t>
      </w:r>
      <w:proofErr w:type="spellEnd"/>
      <w:r w:rsidRPr="007E236F">
        <w:rPr>
          <w:rFonts w:cs="Arial"/>
          <w:lang w:val="it-IT"/>
        </w:rPr>
        <w:t xml:space="preserve">, A., and </w:t>
      </w:r>
      <w:proofErr w:type="spellStart"/>
      <w:r w:rsidRPr="007E236F">
        <w:rPr>
          <w:rFonts w:cs="Arial"/>
          <w:lang w:val="it-IT"/>
        </w:rPr>
        <w:t>Apetri</w:t>
      </w:r>
      <w:proofErr w:type="spellEnd"/>
      <w:r w:rsidRPr="007E236F">
        <w:rPr>
          <w:rFonts w:cs="Arial"/>
          <w:lang w:val="it-IT"/>
        </w:rPr>
        <w:t xml:space="preserve">, A. (2025). </w:t>
      </w:r>
      <w:r w:rsidRPr="001408F4">
        <w:rPr>
          <w:rFonts w:cs="Arial"/>
          <w:lang w:val="en-GB"/>
        </w:rPr>
        <w:t xml:space="preserve">Strategic human resource management in the digital era: technology, transformation, and sustainable advantage. </w:t>
      </w:r>
      <w:proofErr w:type="spellStart"/>
      <w:r w:rsidRPr="007E236F">
        <w:rPr>
          <w:rFonts w:cs="Arial"/>
          <w:lang w:val="it-IT"/>
        </w:rPr>
        <w:t>Merits</w:t>
      </w:r>
      <w:proofErr w:type="spellEnd"/>
      <w:r w:rsidRPr="007E236F">
        <w:rPr>
          <w:rFonts w:cs="Arial"/>
          <w:lang w:val="it-IT"/>
        </w:rPr>
        <w:t xml:space="preserve">, 5(4), 23. </w:t>
      </w:r>
    </w:p>
    <w:p w14:paraId="0C8C85CE" w14:textId="77777777" w:rsidR="00B2266D" w:rsidRDefault="00D17BB5" w:rsidP="00CA36B4">
      <w:pPr>
        <w:ind w:left="720" w:hanging="720"/>
        <w:rPr>
          <w:rFonts w:cs="Arial"/>
          <w:lang w:val="en-GB"/>
        </w:rPr>
      </w:pPr>
      <w:r w:rsidRPr="007E236F">
        <w:rPr>
          <w:rFonts w:cs="Arial"/>
          <w:lang w:val="it-IT"/>
        </w:rPr>
        <w:t xml:space="preserve">Nazeer, I., Dwivedi, T., Srivastava, N., and Ojha, M. (2024). </w:t>
      </w:r>
      <w:r w:rsidRPr="00212BD2">
        <w:rPr>
          <w:rFonts w:cs="Arial"/>
          <w:lang w:val="en-GB"/>
        </w:rPr>
        <w:t>Influence of Social Media on HR Practices: Recruitment, Engagement, and Employer Branding.</w:t>
      </w:r>
      <w:r>
        <w:rPr>
          <w:rFonts w:cs="Arial"/>
          <w:lang w:val="en-GB"/>
        </w:rPr>
        <w:t xml:space="preserve"> </w:t>
      </w:r>
    </w:p>
    <w:p w14:paraId="05F5E2B7" w14:textId="77777777" w:rsidR="00B2266D" w:rsidRDefault="00D17BB5" w:rsidP="00CA36B4">
      <w:pPr>
        <w:ind w:left="720" w:hanging="720"/>
        <w:rPr>
          <w:rFonts w:cs="Arial"/>
          <w:lang w:val="en-GB"/>
        </w:rPr>
      </w:pPr>
      <w:r w:rsidRPr="00EB1547">
        <w:rPr>
          <w:rFonts w:cs="Arial"/>
          <w:lang w:val="en-GB"/>
        </w:rPr>
        <w:t xml:space="preserve">Omowole, B. M., Olufemi-Philips, A. Q., Ofadile, O. C., Eyo-Udo, N. L., </w:t>
      </w:r>
      <w:r>
        <w:rPr>
          <w:rFonts w:cs="Arial"/>
          <w:lang w:val="en-GB"/>
        </w:rPr>
        <w:t>and</w:t>
      </w:r>
      <w:r w:rsidRPr="00EB1547">
        <w:rPr>
          <w:rFonts w:cs="Arial"/>
          <w:lang w:val="en-GB"/>
        </w:rPr>
        <w:t xml:space="preserve"> Ewim, S. E. (2024). Barriers and drivers of digital transformation in SMEs: A conceptual analysis. International Journal of Frontline Research in Multidisciplinary Studies, 5(2), 019-036.</w:t>
      </w:r>
      <w:r>
        <w:rPr>
          <w:rFonts w:cs="Arial"/>
          <w:lang w:val="en-GB"/>
        </w:rPr>
        <w:t xml:space="preserve"> </w:t>
      </w:r>
    </w:p>
    <w:p w14:paraId="450746C5" w14:textId="77777777" w:rsidR="00B2266D" w:rsidRDefault="00D17BB5" w:rsidP="00CA36B4">
      <w:pPr>
        <w:ind w:left="720" w:hanging="720"/>
        <w:rPr>
          <w:rFonts w:cs="Arial"/>
          <w:lang w:val="en-GB"/>
        </w:rPr>
      </w:pPr>
      <w:r w:rsidRPr="00CA36B4">
        <w:rPr>
          <w:rFonts w:cs="Arial"/>
          <w:lang w:val="en-GB"/>
        </w:rPr>
        <w:t xml:space="preserve">Retail Insight Network (2024). Morrisons reports 2.7% increase in revenue for the fiscal year 2022/23. [online] Retail Insight Network. Available at: </w:t>
      </w:r>
      <w:hyperlink r:id="rId13" w:history="1">
        <w:r w:rsidRPr="00CA36B4">
          <w:rPr>
            <w:rStyle w:val="Hyperlink"/>
            <w:rFonts w:cs="Arial"/>
            <w:lang w:val="en-GB"/>
          </w:rPr>
          <w:t>https://www.retail-insight-network.com/news/morrisons-2022-23-result/</w:t>
        </w:r>
      </w:hyperlink>
      <w:r w:rsidRPr="00CA36B4">
        <w:rPr>
          <w:rFonts w:cs="Arial"/>
          <w:lang w:val="en-GB"/>
        </w:rPr>
        <w:t xml:space="preserve">. </w:t>
      </w:r>
    </w:p>
    <w:p w14:paraId="4332C790" w14:textId="77777777" w:rsidR="00B2266D" w:rsidRDefault="00D17BB5" w:rsidP="00CA36B4">
      <w:pPr>
        <w:ind w:left="720" w:hanging="720"/>
        <w:rPr>
          <w:rFonts w:cs="Arial"/>
          <w:lang w:val="en-GB"/>
        </w:rPr>
      </w:pPr>
      <w:r w:rsidRPr="00DE39FB">
        <w:rPr>
          <w:rFonts w:cs="Arial"/>
          <w:lang w:val="en-GB"/>
        </w:rPr>
        <w:lastRenderedPageBreak/>
        <w:t>Urme, U. N. (2023). The impact of talent management strategies on employee retention. International Journal of Science and Business, 28(1), 127-146.</w:t>
      </w:r>
      <w:r>
        <w:rPr>
          <w:rFonts w:cs="Arial"/>
          <w:lang w:val="en-GB"/>
        </w:rPr>
        <w:t xml:space="preserve"> </w:t>
      </w:r>
    </w:p>
    <w:p w14:paraId="0E1EAA8B" w14:textId="77777777" w:rsidR="00B2266D" w:rsidRDefault="00D17BB5" w:rsidP="00CA36B4">
      <w:pPr>
        <w:ind w:left="720" w:hanging="720"/>
        <w:rPr>
          <w:rFonts w:cs="Arial"/>
          <w:lang w:val="en-GB"/>
        </w:rPr>
      </w:pPr>
      <w:r w:rsidRPr="009A37BF">
        <w:rPr>
          <w:rFonts w:cs="Arial"/>
          <w:lang w:val="en-GB"/>
        </w:rPr>
        <w:t>Van Rooij, S. W. (2025). The Business Side of Learning Design and Technologies: Supporting Organizational Knowledge, Performance, and Change Management. Taylor &amp; Francis.</w:t>
      </w:r>
      <w:r>
        <w:rPr>
          <w:rFonts w:cs="Arial"/>
          <w:lang w:val="en-GB"/>
        </w:rPr>
        <w:t xml:space="preserve"> </w:t>
      </w:r>
    </w:p>
    <w:p w14:paraId="4981580F" w14:textId="77777777" w:rsidR="00B2266D" w:rsidRDefault="00D17BB5" w:rsidP="00CA36B4">
      <w:pPr>
        <w:ind w:left="720" w:hanging="720"/>
        <w:rPr>
          <w:rFonts w:cs="Arial"/>
          <w:lang w:val="en-GB"/>
        </w:rPr>
      </w:pPr>
      <w:r w:rsidRPr="001D0F69">
        <w:rPr>
          <w:rFonts w:cs="Arial"/>
          <w:lang w:val="en-GB"/>
        </w:rPr>
        <w:t>Whyte-Phillips, K. S. (2024). Effective Strategies Human Resource Business Leaders Use to Implement Diversity, Equity, and Inclusion Initiatives That Reduce Worker Turnover (Doctoral dissertation, Walden University).</w:t>
      </w:r>
      <w:r>
        <w:rPr>
          <w:rFonts w:cs="Arial"/>
          <w:lang w:val="en-GB"/>
        </w:rPr>
        <w:t xml:space="preserve"> </w:t>
      </w:r>
    </w:p>
    <w:p w14:paraId="021C0ED2" w14:textId="77777777" w:rsidR="00712FB6" w:rsidRPr="00CA36B4" w:rsidRDefault="00712FB6" w:rsidP="00CA36B4">
      <w:pPr>
        <w:rPr>
          <w:rFonts w:cs="Arial"/>
          <w:lang w:val="en-GB"/>
        </w:rPr>
      </w:pPr>
    </w:p>
    <w:sectPr w:rsidR="00712FB6" w:rsidRPr="00CA36B4">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47308" w14:textId="77777777" w:rsidR="008B6D0B" w:rsidRDefault="008B6D0B">
      <w:pPr>
        <w:spacing w:after="0" w:line="240" w:lineRule="auto"/>
      </w:pPr>
      <w:r>
        <w:separator/>
      </w:r>
    </w:p>
  </w:endnote>
  <w:endnote w:type="continuationSeparator" w:id="0">
    <w:p w14:paraId="70B149B8" w14:textId="77777777" w:rsidR="008B6D0B" w:rsidRDefault="008B6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870322"/>
      <w:docPartObj>
        <w:docPartGallery w:val="Page Numbers (Bottom of Page)"/>
        <w:docPartUnique/>
      </w:docPartObj>
    </w:sdtPr>
    <w:sdtEndPr>
      <w:rPr>
        <w:noProof/>
      </w:rPr>
    </w:sdtEndPr>
    <w:sdtContent>
      <w:p w14:paraId="52D78BF0" w14:textId="77777777" w:rsidR="001B4C2E" w:rsidRDefault="00D17BB5">
        <w:pPr>
          <w:pStyle w:val="Footer"/>
          <w:jc w:val="right"/>
        </w:pPr>
        <w:r>
          <w:fldChar w:fldCharType="begin"/>
        </w:r>
        <w:r>
          <w:instrText xml:space="preserve"> PAGE   \* MERGEFORMAT </w:instrText>
        </w:r>
        <w:r>
          <w:fldChar w:fldCharType="separate"/>
        </w:r>
        <w:r w:rsidR="00313136">
          <w:rPr>
            <w:noProof/>
          </w:rPr>
          <w:t>1</w:t>
        </w:r>
        <w:r>
          <w:rPr>
            <w:noProof/>
          </w:rPr>
          <w:fldChar w:fldCharType="end"/>
        </w:r>
      </w:p>
    </w:sdtContent>
  </w:sdt>
  <w:p w14:paraId="32205B44" w14:textId="77777777" w:rsidR="001B2CC4" w:rsidRDefault="001B2C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00F37" w14:textId="77777777" w:rsidR="008B6D0B" w:rsidRDefault="008B6D0B">
      <w:pPr>
        <w:spacing w:after="0" w:line="240" w:lineRule="auto"/>
      </w:pPr>
      <w:r>
        <w:separator/>
      </w:r>
    </w:p>
  </w:footnote>
  <w:footnote w:type="continuationSeparator" w:id="0">
    <w:p w14:paraId="61631E23" w14:textId="77777777" w:rsidR="008B6D0B" w:rsidRDefault="008B6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8D86E" w14:textId="77777777" w:rsidR="009679F2" w:rsidRDefault="00D17BB5">
    <w:pPr>
      <w:pStyle w:val="Header"/>
    </w:pPr>
    <w:r>
      <w:rPr>
        <w:noProof/>
      </w:rPr>
      <w:drawing>
        <wp:anchor distT="0" distB="0" distL="114300" distR="114300" simplePos="0" relativeHeight="251658240" behindDoc="0" locked="0" layoutInCell="1" allowOverlap="1" wp14:anchorId="47D04227" wp14:editId="1B86A6C4">
          <wp:simplePos x="0" y="0"/>
          <wp:positionH relativeFrom="column">
            <wp:posOffset>-769620</wp:posOffset>
          </wp:positionH>
          <wp:positionV relativeFrom="paragraph">
            <wp:posOffset>-350520</wp:posOffset>
          </wp:positionV>
          <wp:extent cx="1810385" cy="7251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BEBA8EAE-BF5A-486C-A8C5-ECC9F3942E4B}">
                        <a14:imgProps xmlns:a14="http://schemas.microsoft.com/office/drawing/2010/main">
                          <a14:imgLayer>
                            <a14:imgEffect>
                              <a14:sharpenSoften amount="25000"/>
                            </a14:imgEffect>
                            <a14:imgEffect>
                              <a14:saturation sat="200000"/>
                            </a14:imgEffect>
                          </a14:imgLayer>
                        </a14:imgProps>
                      </a:ext>
                      <a:ext uri="{28A0092B-C50C-407E-A947-70E740481C1C}">
                        <a14:useLocalDpi xmlns:a14="http://schemas.microsoft.com/office/drawing/2010/main" val="0"/>
                      </a:ext>
                    </a:extLst>
                  </a:blip>
                  <a:stretch>
                    <a:fillRect/>
                  </a:stretch>
                </pic:blipFill>
                <pic:spPr bwMode="auto">
                  <a:xfrm>
                    <a:off x="0" y="0"/>
                    <a:ext cx="1810385" cy="7251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71304"/>
    <w:multiLevelType w:val="hybridMultilevel"/>
    <w:tmpl w:val="E94804BE"/>
    <w:lvl w:ilvl="0" w:tplc="F11EA7D4">
      <w:start w:val="1"/>
      <w:numFmt w:val="bullet"/>
      <w:lvlText w:val=""/>
      <w:lvlJc w:val="left"/>
      <w:pPr>
        <w:ind w:left="720" w:hanging="360"/>
      </w:pPr>
      <w:rPr>
        <w:rFonts w:ascii="Wingdings" w:hAnsi="Wingdings" w:hint="default"/>
      </w:rPr>
    </w:lvl>
    <w:lvl w:ilvl="1" w:tplc="EAF43756" w:tentative="1">
      <w:start w:val="1"/>
      <w:numFmt w:val="bullet"/>
      <w:lvlText w:val="o"/>
      <w:lvlJc w:val="left"/>
      <w:pPr>
        <w:ind w:left="1440" w:hanging="360"/>
      </w:pPr>
      <w:rPr>
        <w:rFonts w:ascii="Courier New" w:hAnsi="Courier New" w:cs="Courier New" w:hint="default"/>
      </w:rPr>
    </w:lvl>
    <w:lvl w:ilvl="2" w:tplc="57DE64BE" w:tentative="1">
      <w:start w:val="1"/>
      <w:numFmt w:val="bullet"/>
      <w:lvlText w:val=""/>
      <w:lvlJc w:val="left"/>
      <w:pPr>
        <w:ind w:left="2160" w:hanging="360"/>
      </w:pPr>
      <w:rPr>
        <w:rFonts w:ascii="Wingdings" w:hAnsi="Wingdings" w:hint="default"/>
      </w:rPr>
    </w:lvl>
    <w:lvl w:ilvl="3" w:tplc="5450FA1E" w:tentative="1">
      <w:start w:val="1"/>
      <w:numFmt w:val="bullet"/>
      <w:lvlText w:val=""/>
      <w:lvlJc w:val="left"/>
      <w:pPr>
        <w:ind w:left="2880" w:hanging="360"/>
      </w:pPr>
      <w:rPr>
        <w:rFonts w:ascii="Symbol" w:hAnsi="Symbol" w:hint="default"/>
      </w:rPr>
    </w:lvl>
    <w:lvl w:ilvl="4" w:tplc="EBC0A314" w:tentative="1">
      <w:start w:val="1"/>
      <w:numFmt w:val="bullet"/>
      <w:lvlText w:val="o"/>
      <w:lvlJc w:val="left"/>
      <w:pPr>
        <w:ind w:left="3600" w:hanging="360"/>
      </w:pPr>
      <w:rPr>
        <w:rFonts w:ascii="Courier New" w:hAnsi="Courier New" w:cs="Courier New" w:hint="default"/>
      </w:rPr>
    </w:lvl>
    <w:lvl w:ilvl="5" w:tplc="BD20F51C" w:tentative="1">
      <w:start w:val="1"/>
      <w:numFmt w:val="bullet"/>
      <w:lvlText w:val=""/>
      <w:lvlJc w:val="left"/>
      <w:pPr>
        <w:ind w:left="4320" w:hanging="360"/>
      </w:pPr>
      <w:rPr>
        <w:rFonts w:ascii="Wingdings" w:hAnsi="Wingdings" w:hint="default"/>
      </w:rPr>
    </w:lvl>
    <w:lvl w:ilvl="6" w:tplc="F558D15A" w:tentative="1">
      <w:start w:val="1"/>
      <w:numFmt w:val="bullet"/>
      <w:lvlText w:val=""/>
      <w:lvlJc w:val="left"/>
      <w:pPr>
        <w:ind w:left="5040" w:hanging="360"/>
      </w:pPr>
      <w:rPr>
        <w:rFonts w:ascii="Symbol" w:hAnsi="Symbol" w:hint="default"/>
      </w:rPr>
    </w:lvl>
    <w:lvl w:ilvl="7" w:tplc="F45AA51A" w:tentative="1">
      <w:start w:val="1"/>
      <w:numFmt w:val="bullet"/>
      <w:lvlText w:val="o"/>
      <w:lvlJc w:val="left"/>
      <w:pPr>
        <w:ind w:left="5760" w:hanging="360"/>
      </w:pPr>
      <w:rPr>
        <w:rFonts w:ascii="Courier New" w:hAnsi="Courier New" w:cs="Courier New" w:hint="default"/>
      </w:rPr>
    </w:lvl>
    <w:lvl w:ilvl="8" w:tplc="3EB88544" w:tentative="1">
      <w:start w:val="1"/>
      <w:numFmt w:val="bullet"/>
      <w:lvlText w:val=""/>
      <w:lvlJc w:val="left"/>
      <w:pPr>
        <w:ind w:left="6480" w:hanging="360"/>
      </w:pPr>
      <w:rPr>
        <w:rFonts w:ascii="Wingdings" w:hAnsi="Wingdings" w:hint="default"/>
      </w:rPr>
    </w:lvl>
  </w:abstractNum>
  <w:abstractNum w:abstractNumId="1" w15:restartNumberingAfterBreak="0">
    <w:nsid w:val="41E95849"/>
    <w:multiLevelType w:val="multilevel"/>
    <w:tmpl w:val="569A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904C5F"/>
    <w:multiLevelType w:val="hybridMultilevel"/>
    <w:tmpl w:val="18C4754C"/>
    <w:lvl w:ilvl="0" w:tplc="E2B49B2E">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99609A34">
      <w:numFmt w:val="bullet"/>
      <w:lvlText w:val="o"/>
      <w:lvlJc w:val="left"/>
      <w:pPr>
        <w:ind w:left="1447" w:hanging="360"/>
      </w:pPr>
      <w:rPr>
        <w:rFonts w:ascii="Courier New" w:eastAsia="Courier New" w:hAnsi="Courier New" w:cs="Courier New" w:hint="default"/>
        <w:b w:val="0"/>
        <w:bCs w:val="0"/>
        <w:i w:val="0"/>
        <w:iCs w:val="0"/>
        <w:spacing w:val="0"/>
        <w:w w:val="100"/>
        <w:sz w:val="22"/>
        <w:szCs w:val="22"/>
        <w:lang w:val="en-US" w:eastAsia="en-US" w:bidi="ar-SA"/>
      </w:rPr>
    </w:lvl>
    <w:lvl w:ilvl="2" w:tplc="58286616">
      <w:numFmt w:val="bullet"/>
      <w:lvlText w:val="•"/>
      <w:lvlJc w:val="left"/>
      <w:pPr>
        <w:ind w:left="2994" w:hanging="360"/>
      </w:pPr>
      <w:rPr>
        <w:rFonts w:hint="default"/>
        <w:lang w:val="en-US" w:eastAsia="en-US" w:bidi="ar-SA"/>
      </w:rPr>
    </w:lvl>
    <w:lvl w:ilvl="3" w:tplc="E8DA77AA">
      <w:numFmt w:val="bullet"/>
      <w:lvlText w:val="•"/>
      <w:lvlJc w:val="left"/>
      <w:pPr>
        <w:ind w:left="4549" w:hanging="360"/>
      </w:pPr>
      <w:rPr>
        <w:rFonts w:hint="default"/>
        <w:lang w:val="en-US" w:eastAsia="en-US" w:bidi="ar-SA"/>
      </w:rPr>
    </w:lvl>
    <w:lvl w:ilvl="4" w:tplc="4FE6ADDC">
      <w:numFmt w:val="bullet"/>
      <w:lvlText w:val="•"/>
      <w:lvlJc w:val="left"/>
      <w:pPr>
        <w:ind w:left="6103" w:hanging="360"/>
      </w:pPr>
      <w:rPr>
        <w:rFonts w:hint="default"/>
        <w:lang w:val="en-US" w:eastAsia="en-US" w:bidi="ar-SA"/>
      </w:rPr>
    </w:lvl>
    <w:lvl w:ilvl="5" w:tplc="8020DFEA">
      <w:numFmt w:val="bullet"/>
      <w:lvlText w:val="•"/>
      <w:lvlJc w:val="left"/>
      <w:pPr>
        <w:ind w:left="7658" w:hanging="360"/>
      </w:pPr>
      <w:rPr>
        <w:rFonts w:hint="default"/>
        <w:lang w:val="en-US" w:eastAsia="en-US" w:bidi="ar-SA"/>
      </w:rPr>
    </w:lvl>
    <w:lvl w:ilvl="6" w:tplc="C420B3CC">
      <w:numFmt w:val="bullet"/>
      <w:lvlText w:val="•"/>
      <w:lvlJc w:val="left"/>
      <w:pPr>
        <w:ind w:left="9212" w:hanging="360"/>
      </w:pPr>
      <w:rPr>
        <w:rFonts w:hint="default"/>
        <w:lang w:val="en-US" w:eastAsia="en-US" w:bidi="ar-SA"/>
      </w:rPr>
    </w:lvl>
    <w:lvl w:ilvl="7" w:tplc="50448F9A">
      <w:numFmt w:val="bullet"/>
      <w:lvlText w:val="•"/>
      <w:lvlJc w:val="left"/>
      <w:pPr>
        <w:ind w:left="10767" w:hanging="360"/>
      </w:pPr>
      <w:rPr>
        <w:rFonts w:hint="default"/>
        <w:lang w:val="en-US" w:eastAsia="en-US" w:bidi="ar-SA"/>
      </w:rPr>
    </w:lvl>
    <w:lvl w:ilvl="8" w:tplc="86F292BE">
      <w:numFmt w:val="bullet"/>
      <w:lvlText w:val="•"/>
      <w:lvlJc w:val="left"/>
      <w:pPr>
        <w:ind w:left="12321" w:hanging="360"/>
      </w:pPr>
      <w:rPr>
        <w:rFonts w:hint="default"/>
        <w:lang w:val="en-US" w:eastAsia="en-US" w:bidi="ar-SA"/>
      </w:rPr>
    </w:lvl>
  </w:abstractNum>
  <w:abstractNum w:abstractNumId="3" w15:restartNumberingAfterBreak="0">
    <w:nsid w:val="6EA75EBF"/>
    <w:multiLevelType w:val="hybridMultilevel"/>
    <w:tmpl w:val="1666B046"/>
    <w:lvl w:ilvl="0" w:tplc="16F63558">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DA360182">
      <w:numFmt w:val="bullet"/>
      <w:lvlText w:val="•"/>
      <w:lvlJc w:val="left"/>
      <w:pPr>
        <w:ind w:left="2191" w:hanging="361"/>
      </w:pPr>
      <w:rPr>
        <w:rFonts w:hint="default"/>
        <w:lang w:val="en-US" w:eastAsia="en-US" w:bidi="ar-SA"/>
      </w:rPr>
    </w:lvl>
    <w:lvl w:ilvl="2" w:tplc="576C3A88">
      <w:numFmt w:val="bullet"/>
      <w:lvlText w:val="•"/>
      <w:lvlJc w:val="left"/>
      <w:pPr>
        <w:ind w:left="3662" w:hanging="361"/>
      </w:pPr>
      <w:rPr>
        <w:rFonts w:hint="default"/>
        <w:lang w:val="en-US" w:eastAsia="en-US" w:bidi="ar-SA"/>
      </w:rPr>
    </w:lvl>
    <w:lvl w:ilvl="3" w:tplc="0114C236">
      <w:numFmt w:val="bullet"/>
      <w:lvlText w:val="•"/>
      <w:lvlJc w:val="left"/>
      <w:pPr>
        <w:ind w:left="5133" w:hanging="361"/>
      </w:pPr>
      <w:rPr>
        <w:rFonts w:hint="default"/>
        <w:lang w:val="en-US" w:eastAsia="en-US" w:bidi="ar-SA"/>
      </w:rPr>
    </w:lvl>
    <w:lvl w:ilvl="4" w:tplc="214A603C">
      <w:numFmt w:val="bullet"/>
      <w:lvlText w:val="•"/>
      <w:lvlJc w:val="left"/>
      <w:pPr>
        <w:ind w:left="6604" w:hanging="361"/>
      </w:pPr>
      <w:rPr>
        <w:rFonts w:hint="default"/>
        <w:lang w:val="en-US" w:eastAsia="en-US" w:bidi="ar-SA"/>
      </w:rPr>
    </w:lvl>
    <w:lvl w:ilvl="5" w:tplc="6EAE9A4A">
      <w:numFmt w:val="bullet"/>
      <w:lvlText w:val="•"/>
      <w:lvlJc w:val="left"/>
      <w:pPr>
        <w:ind w:left="8075" w:hanging="361"/>
      </w:pPr>
      <w:rPr>
        <w:rFonts w:hint="default"/>
        <w:lang w:val="en-US" w:eastAsia="en-US" w:bidi="ar-SA"/>
      </w:rPr>
    </w:lvl>
    <w:lvl w:ilvl="6" w:tplc="A8845490">
      <w:numFmt w:val="bullet"/>
      <w:lvlText w:val="•"/>
      <w:lvlJc w:val="left"/>
      <w:pPr>
        <w:ind w:left="9546" w:hanging="361"/>
      </w:pPr>
      <w:rPr>
        <w:rFonts w:hint="default"/>
        <w:lang w:val="en-US" w:eastAsia="en-US" w:bidi="ar-SA"/>
      </w:rPr>
    </w:lvl>
    <w:lvl w:ilvl="7" w:tplc="86304220">
      <w:numFmt w:val="bullet"/>
      <w:lvlText w:val="•"/>
      <w:lvlJc w:val="left"/>
      <w:pPr>
        <w:ind w:left="11017" w:hanging="361"/>
      </w:pPr>
      <w:rPr>
        <w:rFonts w:hint="default"/>
        <w:lang w:val="en-US" w:eastAsia="en-US" w:bidi="ar-SA"/>
      </w:rPr>
    </w:lvl>
    <w:lvl w:ilvl="8" w:tplc="507057D0">
      <w:numFmt w:val="bullet"/>
      <w:lvlText w:val="•"/>
      <w:lvlJc w:val="left"/>
      <w:pPr>
        <w:ind w:left="12488" w:hanging="361"/>
      </w:pPr>
      <w:rPr>
        <w:rFonts w:hint="default"/>
        <w:lang w:val="en-US" w:eastAsia="en-US" w:bidi="ar-SA"/>
      </w:rPr>
    </w:lvl>
  </w:abstractNum>
  <w:num w:numId="1" w16cid:durableId="1626085255">
    <w:abstractNumId w:val="3"/>
  </w:num>
  <w:num w:numId="2" w16cid:durableId="451630085">
    <w:abstractNumId w:val="2"/>
  </w:num>
  <w:num w:numId="3" w16cid:durableId="361709493">
    <w:abstractNumId w:val="0"/>
  </w:num>
  <w:num w:numId="4" w16cid:durableId="172499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7CB"/>
    <w:rsid w:val="00020F77"/>
    <w:rsid w:val="000270E4"/>
    <w:rsid w:val="00027BB8"/>
    <w:rsid w:val="0003451F"/>
    <w:rsid w:val="00035F71"/>
    <w:rsid w:val="00044271"/>
    <w:rsid w:val="000654B6"/>
    <w:rsid w:val="00070329"/>
    <w:rsid w:val="00074531"/>
    <w:rsid w:val="000748DC"/>
    <w:rsid w:val="00080B7C"/>
    <w:rsid w:val="00082F83"/>
    <w:rsid w:val="000922E4"/>
    <w:rsid w:val="000932E2"/>
    <w:rsid w:val="000A0F28"/>
    <w:rsid w:val="000A25A0"/>
    <w:rsid w:val="000A7127"/>
    <w:rsid w:val="000A777C"/>
    <w:rsid w:val="000A7927"/>
    <w:rsid w:val="000B2D40"/>
    <w:rsid w:val="000B604D"/>
    <w:rsid w:val="000C06F5"/>
    <w:rsid w:val="000C0E50"/>
    <w:rsid w:val="000D4DD4"/>
    <w:rsid w:val="000E1071"/>
    <w:rsid w:val="00100461"/>
    <w:rsid w:val="00104518"/>
    <w:rsid w:val="001053AF"/>
    <w:rsid w:val="00110D3D"/>
    <w:rsid w:val="00116E5D"/>
    <w:rsid w:val="00116FE7"/>
    <w:rsid w:val="00117EDF"/>
    <w:rsid w:val="00125661"/>
    <w:rsid w:val="00130E9F"/>
    <w:rsid w:val="001317F8"/>
    <w:rsid w:val="001408F4"/>
    <w:rsid w:val="001413B9"/>
    <w:rsid w:val="001456F2"/>
    <w:rsid w:val="00162012"/>
    <w:rsid w:val="001634AD"/>
    <w:rsid w:val="001636E9"/>
    <w:rsid w:val="00177C1D"/>
    <w:rsid w:val="00180C73"/>
    <w:rsid w:val="00183238"/>
    <w:rsid w:val="0018389B"/>
    <w:rsid w:val="001A1F9B"/>
    <w:rsid w:val="001A6A06"/>
    <w:rsid w:val="001B2CC4"/>
    <w:rsid w:val="001B4C2E"/>
    <w:rsid w:val="001B6212"/>
    <w:rsid w:val="001C0F41"/>
    <w:rsid w:val="001D0469"/>
    <w:rsid w:val="001D052B"/>
    <w:rsid w:val="001D09C5"/>
    <w:rsid w:val="001D0F69"/>
    <w:rsid w:val="001D2071"/>
    <w:rsid w:val="001D25DC"/>
    <w:rsid w:val="001E0055"/>
    <w:rsid w:val="001F0DFA"/>
    <w:rsid w:val="001F3905"/>
    <w:rsid w:val="00206340"/>
    <w:rsid w:val="00212BD2"/>
    <w:rsid w:val="00213E8A"/>
    <w:rsid w:val="00215468"/>
    <w:rsid w:val="002202C1"/>
    <w:rsid w:val="00226700"/>
    <w:rsid w:val="00227183"/>
    <w:rsid w:val="00230189"/>
    <w:rsid w:val="002348F8"/>
    <w:rsid w:val="002351AD"/>
    <w:rsid w:val="00236A9C"/>
    <w:rsid w:val="00240822"/>
    <w:rsid w:val="00245969"/>
    <w:rsid w:val="00246CBB"/>
    <w:rsid w:val="002473A5"/>
    <w:rsid w:val="00250E96"/>
    <w:rsid w:val="0025562C"/>
    <w:rsid w:val="00257FBE"/>
    <w:rsid w:val="00270872"/>
    <w:rsid w:val="0027739C"/>
    <w:rsid w:val="00277720"/>
    <w:rsid w:val="00277F5F"/>
    <w:rsid w:val="00291257"/>
    <w:rsid w:val="0029194F"/>
    <w:rsid w:val="0029485F"/>
    <w:rsid w:val="002A65BC"/>
    <w:rsid w:val="002A7BBD"/>
    <w:rsid w:val="002B1441"/>
    <w:rsid w:val="002C2082"/>
    <w:rsid w:val="002C3B8C"/>
    <w:rsid w:val="002D0EE1"/>
    <w:rsid w:val="002D2938"/>
    <w:rsid w:val="002D3DA0"/>
    <w:rsid w:val="002D4689"/>
    <w:rsid w:val="002F027F"/>
    <w:rsid w:val="002F4EBD"/>
    <w:rsid w:val="00301D8F"/>
    <w:rsid w:val="00313136"/>
    <w:rsid w:val="0031356B"/>
    <w:rsid w:val="00315559"/>
    <w:rsid w:val="00330A82"/>
    <w:rsid w:val="00333157"/>
    <w:rsid w:val="0033334D"/>
    <w:rsid w:val="00346FB6"/>
    <w:rsid w:val="0035389D"/>
    <w:rsid w:val="00353ED0"/>
    <w:rsid w:val="0035541D"/>
    <w:rsid w:val="003578DA"/>
    <w:rsid w:val="00363911"/>
    <w:rsid w:val="00366A07"/>
    <w:rsid w:val="00374B2A"/>
    <w:rsid w:val="00381C88"/>
    <w:rsid w:val="00387AD6"/>
    <w:rsid w:val="003950A2"/>
    <w:rsid w:val="003A0876"/>
    <w:rsid w:val="003A0F0F"/>
    <w:rsid w:val="003A135F"/>
    <w:rsid w:val="003A239A"/>
    <w:rsid w:val="003B2FBC"/>
    <w:rsid w:val="003C1201"/>
    <w:rsid w:val="003C548E"/>
    <w:rsid w:val="003C6F8A"/>
    <w:rsid w:val="003D22B1"/>
    <w:rsid w:val="003D64FF"/>
    <w:rsid w:val="003E5024"/>
    <w:rsid w:val="003E619F"/>
    <w:rsid w:val="003F0D6B"/>
    <w:rsid w:val="0040655B"/>
    <w:rsid w:val="004067CB"/>
    <w:rsid w:val="00420ADD"/>
    <w:rsid w:val="00422327"/>
    <w:rsid w:val="00426986"/>
    <w:rsid w:val="0043119C"/>
    <w:rsid w:val="004324AA"/>
    <w:rsid w:val="00434807"/>
    <w:rsid w:val="004408FD"/>
    <w:rsid w:val="0045032B"/>
    <w:rsid w:val="00451382"/>
    <w:rsid w:val="0045172D"/>
    <w:rsid w:val="00451A3B"/>
    <w:rsid w:val="004536E0"/>
    <w:rsid w:val="00453767"/>
    <w:rsid w:val="00454279"/>
    <w:rsid w:val="004650AC"/>
    <w:rsid w:val="004828E6"/>
    <w:rsid w:val="0049053E"/>
    <w:rsid w:val="00492BC5"/>
    <w:rsid w:val="00494DD1"/>
    <w:rsid w:val="00497B13"/>
    <w:rsid w:val="004A1D34"/>
    <w:rsid w:val="004A2C54"/>
    <w:rsid w:val="004B0A6E"/>
    <w:rsid w:val="004B1696"/>
    <w:rsid w:val="004B227E"/>
    <w:rsid w:val="004B6633"/>
    <w:rsid w:val="004C3ED3"/>
    <w:rsid w:val="004C53F8"/>
    <w:rsid w:val="004C62EB"/>
    <w:rsid w:val="004D3E9B"/>
    <w:rsid w:val="004F0B8E"/>
    <w:rsid w:val="004F6BE5"/>
    <w:rsid w:val="004F79FA"/>
    <w:rsid w:val="00501B64"/>
    <w:rsid w:val="00506E27"/>
    <w:rsid w:val="00511DED"/>
    <w:rsid w:val="00513DC3"/>
    <w:rsid w:val="00524310"/>
    <w:rsid w:val="00527A68"/>
    <w:rsid w:val="005309E5"/>
    <w:rsid w:val="00534EE8"/>
    <w:rsid w:val="00560EBD"/>
    <w:rsid w:val="005654EC"/>
    <w:rsid w:val="0059065E"/>
    <w:rsid w:val="00591771"/>
    <w:rsid w:val="0059244B"/>
    <w:rsid w:val="00597272"/>
    <w:rsid w:val="005A3F78"/>
    <w:rsid w:val="005A60A9"/>
    <w:rsid w:val="005B7E93"/>
    <w:rsid w:val="005D3C85"/>
    <w:rsid w:val="005E4830"/>
    <w:rsid w:val="005E4E45"/>
    <w:rsid w:val="005F48A8"/>
    <w:rsid w:val="006037C4"/>
    <w:rsid w:val="00621374"/>
    <w:rsid w:val="006229F0"/>
    <w:rsid w:val="006355BF"/>
    <w:rsid w:val="006477A0"/>
    <w:rsid w:val="00661BA3"/>
    <w:rsid w:val="006705D1"/>
    <w:rsid w:val="006746BC"/>
    <w:rsid w:val="0067669D"/>
    <w:rsid w:val="00687D27"/>
    <w:rsid w:val="006A0684"/>
    <w:rsid w:val="006A7DC8"/>
    <w:rsid w:val="006B437C"/>
    <w:rsid w:val="006B65C6"/>
    <w:rsid w:val="006C0B68"/>
    <w:rsid w:val="006C2305"/>
    <w:rsid w:val="006C4BEA"/>
    <w:rsid w:val="006D0CC1"/>
    <w:rsid w:val="006D4CCB"/>
    <w:rsid w:val="006D7AC8"/>
    <w:rsid w:val="006E15A4"/>
    <w:rsid w:val="006E2E4E"/>
    <w:rsid w:val="006E69DA"/>
    <w:rsid w:val="006F252D"/>
    <w:rsid w:val="00712FB6"/>
    <w:rsid w:val="00730CF4"/>
    <w:rsid w:val="00733DCD"/>
    <w:rsid w:val="00734D2E"/>
    <w:rsid w:val="00734E1E"/>
    <w:rsid w:val="00735400"/>
    <w:rsid w:val="0073615F"/>
    <w:rsid w:val="00740F75"/>
    <w:rsid w:val="00741EA6"/>
    <w:rsid w:val="00743D8D"/>
    <w:rsid w:val="00744384"/>
    <w:rsid w:val="0074519C"/>
    <w:rsid w:val="007454CF"/>
    <w:rsid w:val="0074618B"/>
    <w:rsid w:val="007556E6"/>
    <w:rsid w:val="00757DBC"/>
    <w:rsid w:val="00761683"/>
    <w:rsid w:val="007628FE"/>
    <w:rsid w:val="00764ED4"/>
    <w:rsid w:val="00765B34"/>
    <w:rsid w:val="00772020"/>
    <w:rsid w:val="007752DE"/>
    <w:rsid w:val="00785E8B"/>
    <w:rsid w:val="00787C94"/>
    <w:rsid w:val="00793D88"/>
    <w:rsid w:val="007A602B"/>
    <w:rsid w:val="007B7696"/>
    <w:rsid w:val="007B7965"/>
    <w:rsid w:val="007E236F"/>
    <w:rsid w:val="007E2A51"/>
    <w:rsid w:val="00805496"/>
    <w:rsid w:val="00807320"/>
    <w:rsid w:val="00826C8A"/>
    <w:rsid w:val="0084074D"/>
    <w:rsid w:val="00842CDA"/>
    <w:rsid w:val="0084459D"/>
    <w:rsid w:val="00861770"/>
    <w:rsid w:val="00870FC9"/>
    <w:rsid w:val="00876EEF"/>
    <w:rsid w:val="008820F3"/>
    <w:rsid w:val="008935CA"/>
    <w:rsid w:val="008B6D0B"/>
    <w:rsid w:val="008C0962"/>
    <w:rsid w:val="008C6D82"/>
    <w:rsid w:val="008D6D24"/>
    <w:rsid w:val="008E23B2"/>
    <w:rsid w:val="008E4F98"/>
    <w:rsid w:val="008F0C55"/>
    <w:rsid w:val="008F15BA"/>
    <w:rsid w:val="008F3ED2"/>
    <w:rsid w:val="009056EA"/>
    <w:rsid w:val="00905713"/>
    <w:rsid w:val="0090768F"/>
    <w:rsid w:val="009079B1"/>
    <w:rsid w:val="00910226"/>
    <w:rsid w:val="00911FEA"/>
    <w:rsid w:val="009203BE"/>
    <w:rsid w:val="00926B53"/>
    <w:rsid w:val="00930870"/>
    <w:rsid w:val="009324B1"/>
    <w:rsid w:val="009375C9"/>
    <w:rsid w:val="009428AB"/>
    <w:rsid w:val="009442D0"/>
    <w:rsid w:val="00944BF1"/>
    <w:rsid w:val="00946260"/>
    <w:rsid w:val="00953628"/>
    <w:rsid w:val="00953BE7"/>
    <w:rsid w:val="00963218"/>
    <w:rsid w:val="009634A4"/>
    <w:rsid w:val="00963C85"/>
    <w:rsid w:val="009679F2"/>
    <w:rsid w:val="0097328A"/>
    <w:rsid w:val="00973766"/>
    <w:rsid w:val="00973B34"/>
    <w:rsid w:val="00973F25"/>
    <w:rsid w:val="00976BCE"/>
    <w:rsid w:val="0098339C"/>
    <w:rsid w:val="009903F4"/>
    <w:rsid w:val="00990885"/>
    <w:rsid w:val="00990E28"/>
    <w:rsid w:val="009979FB"/>
    <w:rsid w:val="009A37BF"/>
    <w:rsid w:val="009A45BE"/>
    <w:rsid w:val="009A6BDF"/>
    <w:rsid w:val="009C345B"/>
    <w:rsid w:val="009C35B4"/>
    <w:rsid w:val="009C710C"/>
    <w:rsid w:val="009D170C"/>
    <w:rsid w:val="009E5061"/>
    <w:rsid w:val="009E552B"/>
    <w:rsid w:val="009F220F"/>
    <w:rsid w:val="00A10EC1"/>
    <w:rsid w:val="00A14CD3"/>
    <w:rsid w:val="00A16EF3"/>
    <w:rsid w:val="00A259FC"/>
    <w:rsid w:val="00A33AA2"/>
    <w:rsid w:val="00A34420"/>
    <w:rsid w:val="00A42408"/>
    <w:rsid w:val="00A43076"/>
    <w:rsid w:val="00A64AFC"/>
    <w:rsid w:val="00A65A98"/>
    <w:rsid w:val="00A70340"/>
    <w:rsid w:val="00A71778"/>
    <w:rsid w:val="00A73EC9"/>
    <w:rsid w:val="00A836B4"/>
    <w:rsid w:val="00A841E7"/>
    <w:rsid w:val="00A84BB7"/>
    <w:rsid w:val="00A86106"/>
    <w:rsid w:val="00A94273"/>
    <w:rsid w:val="00A96685"/>
    <w:rsid w:val="00AA4F6A"/>
    <w:rsid w:val="00AC5087"/>
    <w:rsid w:val="00AD2249"/>
    <w:rsid w:val="00AF3533"/>
    <w:rsid w:val="00AF4CC5"/>
    <w:rsid w:val="00B04A48"/>
    <w:rsid w:val="00B142DE"/>
    <w:rsid w:val="00B2266D"/>
    <w:rsid w:val="00B3051B"/>
    <w:rsid w:val="00B31652"/>
    <w:rsid w:val="00B42C9E"/>
    <w:rsid w:val="00B467F0"/>
    <w:rsid w:val="00B46993"/>
    <w:rsid w:val="00B46E56"/>
    <w:rsid w:val="00B4755B"/>
    <w:rsid w:val="00B52EA6"/>
    <w:rsid w:val="00B673A0"/>
    <w:rsid w:val="00B67A2B"/>
    <w:rsid w:val="00B756BD"/>
    <w:rsid w:val="00B82290"/>
    <w:rsid w:val="00B83935"/>
    <w:rsid w:val="00B849BA"/>
    <w:rsid w:val="00B92AD0"/>
    <w:rsid w:val="00B930E5"/>
    <w:rsid w:val="00B96B21"/>
    <w:rsid w:val="00B973BB"/>
    <w:rsid w:val="00BB0405"/>
    <w:rsid w:val="00BB6730"/>
    <w:rsid w:val="00BD111E"/>
    <w:rsid w:val="00BD4415"/>
    <w:rsid w:val="00BD4583"/>
    <w:rsid w:val="00BD5A8F"/>
    <w:rsid w:val="00BD5C4A"/>
    <w:rsid w:val="00BE1A94"/>
    <w:rsid w:val="00BE3D43"/>
    <w:rsid w:val="00BF03C3"/>
    <w:rsid w:val="00BF3442"/>
    <w:rsid w:val="00C01032"/>
    <w:rsid w:val="00C07F53"/>
    <w:rsid w:val="00C108B1"/>
    <w:rsid w:val="00C1148D"/>
    <w:rsid w:val="00C24E96"/>
    <w:rsid w:val="00C33F14"/>
    <w:rsid w:val="00C405DA"/>
    <w:rsid w:val="00C40A9C"/>
    <w:rsid w:val="00C40FE3"/>
    <w:rsid w:val="00C448FB"/>
    <w:rsid w:val="00C45CFD"/>
    <w:rsid w:val="00C5485A"/>
    <w:rsid w:val="00C65B40"/>
    <w:rsid w:val="00C70C71"/>
    <w:rsid w:val="00C76281"/>
    <w:rsid w:val="00C85DCB"/>
    <w:rsid w:val="00C92423"/>
    <w:rsid w:val="00C92782"/>
    <w:rsid w:val="00CA1D1D"/>
    <w:rsid w:val="00CA36B4"/>
    <w:rsid w:val="00CA42F1"/>
    <w:rsid w:val="00CA7327"/>
    <w:rsid w:val="00CB5388"/>
    <w:rsid w:val="00CC6B98"/>
    <w:rsid w:val="00CD0ADD"/>
    <w:rsid w:val="00CD0F3A"/>
    <w:rsid w:val="00CE463A"/>
    <w:rsid w:val="00CE4832"/>
    <w:rsid w:val="00CE4C4B"/>
    <w:rsid w:val="00CF0272"/>
    <w:rsid w:val="00CF5C79"/>
    <w:rsid w:val="00CF6DDF"/>
    <w:rsid w:val="00CF7866"/>
    <w:rsid w:val="00D01174"/>
    <w:rsid w:val="00D03C5C"/>
    <w:rsid w:val="00D17BB5"/>
    <w:rsid w:val="00D22DD7"/>
    <w:rsid w:val="00D373EE"/>
    <w:rsid w:val="00D4233C"/>
    <w:rsid w:val="00D424D8"/>
    <w:rsid w:val="00D56FCB"/>
    <w:rsid w:val="00D61D14"/>
    <w:rsid w:val="00D62230"/>
    <w:rsid w:val="00D670A0"/>
    <w:rsid w:val="00D76863"/>
    <w:rsid w:val="00D873C4"/>
    <w:rsid w:val="00D91689"/>
    <w:rsid w:val="00D926C7"/>
    <w:rsid w:val="00D9707B"/>
    <w:rsid w:val="00DA0C44"/>
    <w:rsid w:val="00DA2271"/>
    <w:rsid w:val="00DA2EE1"/>
    <w:rsid w:val="00DA421C"/>
    <w:rsid w:val="00DB48D0"/>
    <w:rsid w:val="00DB6655"/>
    <w:rsid w:val="00DC59E1"/>
    <w:rsid w:val="00DC5C61"/>
    <w:rsid w:val="00DD2C2F"/>
    <w:rsid w:val="00DD48ED"/>
    <w:rsid w:val="00DD5767"/>
    <w:rsid w:val="00DE0A00"/>
    <w:rsid w:val="00DE39FB"/>
    <w:rsid w:val="00DF1906"/>
    <w:rsid w:val="00DF1EDC"/>
    <w:rsid w:val="00DF3CB7"/>
    <w:rsid w:val="00DF4A2D"/>
    <w:rsid w:val="00E054C8"/>
    <w:rsid w:val="00E16AA9"/>
    <w:rsid w:val="00E258F9"/>
    <w:rsid w:val="00E25AFA"/>
    <w:rsid w:val="00E2725F"/>
    <w:rsid w:val="00E275B3"/>
    <w:rsid w:val="00E32C15"/>
    <w:rsid w:val="00E34A96"/>
    <w:rsid w:val="00E441C9"/>
    <w:rsid w:val="00E50AE9"/>
    <w:rsid w:val="00E573DD"/>
    <w:rsid w:val="00E603EF"/>
    <w:rsid w:val="00E6516A"/>
    <w:rsid w:val="00E670CB"/>
    <w:rsid w:val="00E70FE5"/>
    <w:rsid w:val="00E803FD"/>
    <w:rsid w:val="00E8085D"/>
    <w:rsid w:val="00E9315E"/>
    <w:rsid w:val="00EB1547"/>
    <w:rsid w:val="00EB1FAE"/>
    <w:rsid w:val="00EB366A"/>
    <w:rsid w:val="00EC24DE"/>
    <w:rsid w:val="00ED5D80"/>
    <w:rsid w:val="00EE0F53"/>
    <w:rsid w:val="00EE382B"/>
    <w:rsid w:val="00EF5EA5"/>
    <w:rsid w:val="00F00FB7"/>
    <w:rsid w:val="00F02F2F"/>
    <w:rsid w:val="00F10B7F"/>
    <w:rsid w:val="00F13957"/>
    <w:rsid w:val="00F22690"/>
    <w:rsid w:val="00F233D3"/>
    <w:rsid w:val="00F26C12"/>
    <w:rsid w:val="00F26DD5"/>
    <w:rsid w:val="00F30969"/>
    <w:rsid w:val="00F34374"/>
    <w:rsid w:val="00F344B6"/>
    <w:rsid w:val="00F42A39"/>
    <w:rsid w:val="00F43D2A"/>
    <w:rsid w:val="00F4423D"/>
    <w:rsid w:val="00F46B8E"/>
    <w:rsid w:val="00F56F72"/>
    <w:rsid w:val="00F57F06"/>
    <w:rsid w:val="00F635CE"/>
    <w:rsid w:val="00F64322"/>
    <w:rsid w:val="00F7303D"/>
    <w:rsid w:val="00F77D40"/>
    <w:rsid w:val="00F938E1"/>
    <w:rsid w:val="00FA3BA2"/>
    <w:rsid w:val="00FA7E97"/>
    <w:rsid w:val="00FB43CB"/>
    <w:rsid w:val="00FB6937"/>
    <w:rsid w:val="00FC6A58"/>
    <w:rsid w:val="00FE1C6C"/>
    <w:rsid w:val="00FE2E88"/>
    <w:rsid w:val="00FE4B2C"/>
    <w:rsid w:val="00FF006A"/>
    <w:rsid w:val="00FF06AF"/>
    <w:rsid w:val="00FF341D"/>
    <w:rsid w:val="00FF3E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E9866"/>
  <w15:chartTrackingRefBased/>
  <w15:docId w15:val="{885D0CCC-A9D5-4FF8-8A85-760BD452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684"/>
    <w:pPr>
      <w:spacing w:line="360" w:lineRule="auto"/>
    </w:pPr>
    <w:rPr>
      <w:rFonts w:ascii="Arial" w:hAnsi="Arial"/>
    </w:rPr>
  </w:style>
  <w:style w:type="paragraph" w:styleId="Heading1">
    <w:name w:val="heading 1"/>
    <w:basedOn w:val="Normal"/>
    <w:next w:val="Normal"/>
    <w:link w:val="Heading1Char"/>
    <w:uiPriority w:val="9"/>
    <w:qFormat/>
    <w:rsid w:val="009442D0"/>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442D0"/>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442D0"/>
    <w:pPr>
      <w:keepNext/>
      <w:keepLines/>
      <w:spacing w:before="40" w:after="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0684"/>
    <w:pPr>
      <w:spacing w:after="0" w:line="360" w:lineRule="auto"/>
    </w:pPr>
    <w:rPr>
      <w:rFonts w:ascii="Arial" w:hAnsi="Arial"/>
    </w:rPr>
  </w:style>
  <w:style w:type="character" w:customStyle="1" w:styleId="Heading1Char">
    <w:name w:val="Heading 1 Char"/>
    <w:basedOn w:val="DefaultParagraphFont"/>
    <w:link w:val="Heading1"/>
    <w:uiPriority w:val="9"/>
    <w:rsid w:val="009442D0"/>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442D0"/>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442D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4A2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C54"/>
    <w:rPr>
      <w:rFonts w:ascii="Times New Roman" w:hAnsi="Times New Roman"/>
      <w:sz w:val="24"/>
    </w:rPr>
  </w:style>
  <w:style w:type="paragraph" w:styleId="Footer">
    <w:name w:val="footer"/>
    <w:basedOn w:val="Normal"/>
    <w:link w:val="FooterChar"/>
    <w:uiPriority w:val="99"/>
    <w:unhideWhenUsed/>
    <w:rsid w:val="004A2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C54"/>
    <w:rPr>
      <w:rFonts w:ascii="Times New Roman" w:hAnsi="Times New Roman"/>
      <w:sz w:val="24"/>
    </w:rPr>
  </w:style>
  <w:style w:type="character" w:styleId="Hyperlink">
    <w:name w:val="Hyperlink"/>
    <w:basedOn w:val="DefaultParagraphFont"/>
    <w:uiPriority w:val="99"/>
    <w:unhideWhenUsed/>
    <w:rsid w:val="003D22B1"/>
    <w:rPr>
      <w:color w:val="0563C1" w:themeColor="hyperlink"/>
      <w:u w:val="single"/>
    </w:rPr>
  </w:style>
  <w:style w:type="paragraph" w:styleId="BodyText">
    <w:name w:val="Body Text"/>
    <w:basedOn w:val="Normal"/>
    <w:link w:val="BodyTextChar"/>
    <w:uiPriority w:val="99"/>
    <w:semiHidden/>
    <w:unhideWhenUsed/>
    <w:rsid w:val="009A6BDF"/>
    <w:pPr>
      <w:spacing w:after="120"/>
    </w:pPr>
  </w:style>
  <w:style w:type="character" w:customStyle="1" w:styleId="BodyTextChar">
    <w:name w:val="Body Text Char"/>
    <w:basedOn w:val="DefaultParagraphFont"/>
    <w:link w:val="BodyText"/>
    <w:uiPriority w:val="99"/>
    <w:semiHidden/>
    <w:rsid w:val="009A6BDF"/>
    <w:rPr>
      <w:rFonts w:ascii="Times New Roman" w:hAnsi="Times New Roman"/>
      <w:sz w:val="24"/>
    </w:rPr>
  </w:style>
  <w:style w:type="paragraph" w:styleId="ListParagraph">
    <w:name w:val="List Paragraph"/>
    <w:basedOn w:val="Normal"/>
    <w:uiPriority w:val="34"/>
    <w:qFormat/>
    <w:rsid w:val="009A6BDF"/>
    <w:pPr>
      <w:ind w:left="720"/>
      <w:contextualSpacing/>
    </w:pPr>
  </w:style>
  <w:style w:type="table" w:styleId="TableGrid">
    <w:name w:val="Table Grid"/>
    <w:basedOn w:val="TableNormal"/>
    <w:uiPriority w:val="39"/>
    <w:rsid w:val="0042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269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634AD"/>
    <w:pPr>
      <w:spacing w:after="200" w:line="240" w:lineRule="auto"/>
    </w:pPr>
    <w:rPr>
      <w:i/>
      <w:iCs/>
      <w:color w:val="44546A" w:themeColor="text2"/>
      <w:sz w:val="18"/>
      <w:szCs w:val="18"/>
    </w:rPr>
  </w:style>
  <w:style w:type="character" w:styleId="Strong">
    <w:name w:val="Strong"/>
    <w:basedOn w:val="DefaultParagraphFont"/>
    <w:uiPriority w:val="22"/>
    <w:qFormat/>
    <w:rsid w:val="008E23B2"/>
    <w:rPr>
      <w:b/>
      <w:bCs/>
    </w:rPr>
  </w:style>
  <w:style w:type="table" w:styleId="GridTable4-Accent5">
    <w:name w:val="Grid Table 4 Accent 5"/>
    <w:basedOn w:val="TableNormal"/>
    <w:uiPriority w:val="49"/>
    <w:rsid w:val="00F02F2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D01174"/>
    <w:rPr>
      <w:color w:val="605E5C"/>
      <w:shd w:val="clear" w:color="auto" w:fill="E1DFDD"/>
    </w:rPr>
  </w:style>
  <w:style w:type="paragraph" w:styleId="TOCHeading">
    <w:name w:val="TOC Heading"/>
    <w:basedOn w:val="Heading1"/>
    <w:next w:val="Normal"/>
    <w:uiPriority w:val="39"/>
    <w:unhideWhenUsed/>
    <w:qFormat/>
    <w:rsid w:val="004F6BE5"/>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F6BE5"/>
    <w:pPr>
      <w:spacing w:after="100"/>
    </w:pPr>
  </w:style>
  <w:style w:type="paragraph" w:styleId="TOC2">
    <w:name w:val="toc 2"/>
    <w:basedOn w:val="Normal"/>
    <w:next w:val="Normal"/>
    <w:autoRedefine/>
    <w:uiPriority w:val="39"/>
    <w:unhideWhenUsed/>
    <w:rsid w:val="004F6BE5"/>
    <w:pPr>
      <w:spacing w:after="100"/>
      <w:ind w:left="240"/>
    </w:pPr>
  </w:style>
  <w:style w:type="paragraph" w:styleId="TOC3">
    <w:name w:val="toc 3"/>
    <w:basedOn w:val="Normal"/>
    <w:next w:val="Normal"/>
    <w:autoRedefine/>
    <w:uiPriority w:val="39"/>
    <w:unhideWhenUsed/>
    <w:rsid w:val="004F6BE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58773825" TargetMode="External"/><Relationship Id="rId13" Type="http://schemas.openxmlformats.org/officeDocument/2006/relationships/hyperlink" Target="https://www.retail-insight-network.com/news/morrisons-2022-23-resu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morrisons.com/storefinder/345/basingstok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rrisons-corporate.com/about-us/company-histor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reditsafe.com/business-index/en-gb/company/wm-morrison-supermarkets-limited-uk00093765" TargetMode="External"/><Relationship Id="rId4" Type="http://schemas.openxmlformats.org/officeDocument/2006/relationships/settings" Target="settings.xml"/><Relationship Id="rId9" Type="http://schemas.openxmlformats.org/officeDocument/2006/relationships/hyperlink" Target="https://www.cipd.org/en/views-and-insights/thought-leadership/people-profession/hr-role-digital-transformation-workplac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7DDD9-9BF3-4255-A620-527E843E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2845</Words>
  <Characters>17959</Characters>
  <Application>Microsoft Office Word</Application>
  <DocSecurity>0</DocSecurity>
  <Lines>285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Shamim Younis (2313915)</cp:lastModifiedBy>
  <cp:revision>2</cp:revision>
  <dcterms:created xsi:type="dcterms:W3CDTF">2026-01-28T09:02:00Z</dcterms:created>
  <dcterms:modified xsi:type="dcterms:W3CDTF">2026-03-17T21:36:00Z</dcterms:modified>
</cp:coreProperties>
</file>