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CD916" w14:textId="5614A5B6" w:rsidR="00565864" w:rsidRDefault="00565864" w:rsidP="00565864"/>
    <w:p w14:paraId="074DA841" w14:textId="77777777" w:rsidR="00D91ED7" w:rsidRDefault="00D91ED7" w:rsidP="00565864"/>
    <w:p w14:paraId="2FBCD917" w14:textId="51EA831A" w:rsidR="00565864" w:rsidRDefault="002752CC" w:rsidP="00565864">
      <w:r>
        <w:t>NAME: NAVEEDA</w:t>
      </w:r>
      <w:r w:rsidR="00030134">
        <w:t xml:space="preserve"> FATIMA</w:t>
      </w:r>
    </w:p>
    <w:p w14:paraId="5F8584CC" w14:textId="64DC8853" w:rsidR="008075E3" w:rsidRDefault="008075E3" w:rsidP="00565864">
      <w:r>
        <w:t>STUDENT NUMBER:2406614</w:t>
      </w:r>
    </w:p>
    <w:p w14:paraId="2FBCD919" w14:textId="06508A64" w:rsidR="00565864" w:rsidRDefault="00AD1B45" w:rsidP="00565864">
      <w:r>
        <w:t>LECTURE</w:t>
      </w:r>
      <w:r w:rsidR="008834FB">
        <w:t xml:space="preserve">: </w:t>
      </w:r>
      <w:r w:rsidR="00863A11">
        <w:t>FARAH ISLAM</w:t>
      </w:r>
    </w:p>
    <w:p w14:paraId="316E287A" w14:textId="4888A5C2" w:rsidR="00D91ED7" w:rsidRDefault="00D91ED7" w:rsidP="00565864">
      <w:r>
        <w:t xml:space="preserve">MODULE </w:t>
      </w:r>
      <w:r w:rsidR="00443544">
        <w:t>CODE: BMHP</w:t>
      </w:r>
      <w:r w:rsidR="009632E8">
        <w:t>5016</w:t>
      </w:r>
    </w:p>
    <w:p w14:paraId="795A3F48" w14:textId="1D0E4AFE" w:rsidR="002705B7" w:rsidRDefault="002705B7" w:rsidP="00565864">
      <w:r>
        <w:t xml:space="preserve">ASSIGNMENT </w:t>
      </w:r>
      <w:r w:rsidR="0028043C">
        <w:t>TITLE: COMPONENT</w:t>
      </w:r>
      <w:r w:rsidR="00CF705B">
        <w:t xml:space="preserve"> 2</w:t>
      </w:r>
      <w:r w:rsidR="0018225D">
        <w:t>-WRITTEN ASSIGNMENT</w:t>
      </w:r>
      <w:r w:rsidR="000F32DC">
        <w:t>(REPORT)</w:t>
      </w:r>
    </w:p>
    <w:p w14:paraId="2FBCD91A" w14:textId="77777777" w:rsidR="00565864" w:rsidRDefault="00565864" w:rsidP="00565864"/>
    <w:p w14:paraId="40EB29DA" w14:textId="77777777" w:rsidR="00AC4632" w:rsidRDefault="00AC4632" w:rsidP="00565864"/>
    <w:p w14:paraId="699F688B" w14:textId="77777777" w:rsidR="00AC4632" w:rsidRDefault="00AC4632" w:rsidP="00565864"/>
    <w:p w14:paraId="020D3051" w14:textId="79DD1381" w:rsidR="007303D1" w:rsidRDefault="00F102CE" w:rsidP="00565864">
      <w:pPr>
        <w:rPr>
          <w:b/>
          <w:bCs/>
          <w:szCs w:val="24"/>
        </w:rPr>
      </w:pPr>
      <w:r>
        <w:rPr>
          <w:b/>
          <w:bCs/>
          <w:szCs w:val="24"/>
        </w:rPr>
        <w:t xml:space="preserve"> </w:t>
      </w:r>
      <w:r w:rsidR="006F4944" w:rsidRPr="007303D1">
        <w:rPr>
          <w:b/>
          <w:bCs/>
        </w:rPr>
        <w:t>ABST</w:t>
      </w:r>
      <w:r w:rsidR="007303D1" w:rsidRPr="007303D1">
        <w:rPr>
          <w:b/>
          <w:bCs/>
        </w:rPr>
        <w:t>RACT</w:t>
      </w:r>
    </w:p>
    <w:p w14:paraId="5155776E" w14:textId="4D856B5A" w:rsidR="005A5486" w:rsidRPr="006E284E" w:rsidRDefault="007F2FD1" w:rsidP="00565864">
      <w:pPr>
        <w:rPr>
          <w:b/>
          <w:bCs/>
          <w:szCs w:val="24"/>
        </w:rPr>
      </w:pPr>
      <w:r>
        <w:rPr>
          <w:b/>
          <w:bCs/>
          <w:szCs w:val="24"/>
        </w:rPr>
        <w:t>T</w:t>
      </w:r>
      <w:r w:rsidR="00290329">
        <w:rPr>
          <w:b/>
          <w:bCs/>
          <w:szCs w:val="24"/>
        </w:rPr>
        <w:t>his report evaluates</w:t>
      </w:r>
      <w:r w:rsidR="00ED08A0">
        <w:rPr>
          <w:b/>
          <w:bCs/>
          <w:szCs w:val="24"/>
        </w:rPr>
        <w:t xml:space="preserve"> person- centred care</w:t>
      </w:r>
      <w:r w:rsidR="00193ECF" w:rsidRPr="006E284E">
        <w:rPr>
          <w:b/>
          <w:bCs/>
          <w:szCs w:val="24"/>
        </w:rPr>
        <w:t xml:space="preserve"> (</w:t>
      </w:r>
      <w:r w:rsidR="00AE2A34" w:rsidRPr="006E284E">
        <w:rPr>
          <w:b/>
          <w:bCs/>
          <w:szCs w:val="24"/>
        </w:rPr>
        <w:t>PCC</w:t>
      </w:r>
      <w:r w:rsidR="00E97E9E" w:rsidRPr="006E284E">
        <w:rPr>
          <w:b/>
          <w:bCs/>
          <w:szCs w:val="24"/>
        </w:rPr>
        <w:t xml:space="preserve">) and </w:t>
      </w:r>
      <w:r w:rsidR="003B17B3" w:rsidRPr="006E284E">
        <w:rPr>
          <w:b/>
          <w:bCs/>
          <w:szCs w:val="24"/>
        </w:rPr>
        <w:t>partnership</w:t>
      </w:r>
      <w:r w:rsidR="0045205D" w:rsidRPr="006E284E">
        <w:rPr>
          <w:b/>
          <w:bCs/>
          <w:szCs w:val="24"/>
        </w:rPr>
        <w:t xml:space="preserve"> </w:t>
      </w:r>
      <w:r w:rsidR="003B17B3" w:rsidRPr="006E284E">
        <w:rPr>
          <w:b/>
          <w:bCs/>
          <w:szCs w:val="24"/>
        </w:rPr>
        <w:t>working (</w:t>
      </w:r>
      <w:r w:rsidR="00AB1B27" w:rsidRPr="006E284E">
        <w:rPr>
          <w:b/>
          <w:bCs/>
          <w:szCs w:val="24"/>
        </w:rPr>
        <w:t>PW)within UK</w:t>
      </w:r>
      <w:r w:rsidR="007120F5" w:rsidRPr="006E284E">
        <w:rPr>
          <w:b/>
          <w:bCs/>
          <w:szCs w:val="24"/>
        </w:rPr>
        <w:t xml:space="preserve"> integrated care </w:t>
      </w:r>
      <w:r w:rsidR="003B17B3" w:rsidRPr="006E284E">
        <w:rPr>
          <w:b/>
          <w:bCs/>
          <w:szCs w:val="24"/>
        </w:rPr>
        <w:t>system, focusing</w:t>
      </w:r>
      <w:r w:rsidR="000C155F" w:rsidRPr="006E284E">
        <w:rPr>
          <w:b/>
          <w:bCs/>
          <w:szCs w:val="24"/>
        </w:rPr>
        <w:t xml:space="preserve"> on discharge of</w:t>
      </w:r>
      <w:r w:rsidR="00322915" w:rsidRPr="006E284E">
        <w:rPr>
          <w:b/>
          <w:bCs/>
          <w:szCs w:val="24"/>
        </w:rPr>
        <w:t xml:space="preserve"> </w:t>
      </w:r>
      <w:r w:rsidR="003B17B3" w:rsidRPr="006E284E">
        <w:rPr>
          <w:b/>
          <w:bCs/>
          <w:szCs w:val="24"/>
        </w:rPr>
        <w:t>frail</w:t>
      </w:r>
      <w:r w:rsidR="00322915" w:rsidRPr="006E284E">
        <w:rPr>
          <w:b/>
          <w:bCs/>
          <w:szCs w:val="24"/>
        </w:rPr>
        <w:t xml:space="preserve"> older adults from acute</w:t>
      </w:r>
      <w:r w:rsidR="00A37870" w:rsidRPr="006E284E">
        <w:rPr>
          <w:b/>
          <w:bCs/>
          <w:szCs w:val="24"/>
        </w:rPr>
        <w:t xml:space="preserve"> hospitals to community</w:t>
      </w:r>
      <w:r w:rsidR="00F558B2" w:rsidRPr="006E284E">
        <w:rPr>
          <w:b/>
          <w:bCs/>
          <w:szCs w:val="24"/>
        </w:rPr>
        <w:t xml:space="preserve"> </w:t>
      </w:r>
      <w:r w:rsidR="00D96DC3" w:rsidRPr="006E284E">
        <w:rPr>
          <w:b/>
          <w:bCs/>
          <w:szCs w:val="24"/>
        </w:rPr>
        <w:t>services</w:t>
      </w:r>
      <w:r w:rsidR="006C47B0" w:rsidRPr="006E284E">
        <w:rPr>
          <w:b/>
          <w:bCs/>
          <w:szCs w:val="24"/>
        </w:rPr>
        <w:t xml:space="preserve"> is defined to the </w:t>
      </w:r>
      <w:r w:rsidR="003B17B3" w:rsidRPr="006E284E">
        <w:rPr>
          <w:b/>
          <w:bCs/>
          <w:szCs w:val="24"/>
        </w:rPr>
        <w:t>comprehensive</w:t>
      </w:r>
      <w:r w:rsidR="001E7527" w:rsidRPr="006E284E">
        <w:rPr>
          <w:b/>
          <w:bCs/>
          <w:szCs w:val="24"/>
        </w:rPr>
        <w:t xml:space="preserve"> model for personalized care,</w:t>
      </w:r>
      <w:r w:rsidR="00516807" w:rsidRPr="006E284E">
        <w:rPr>
          <w:b/>
          <w:bCs/>
          <w:szCs w:val="24"/>
        </w:rPr>
        <w:t xml:space="preserve"> </w:t>
      </w:r>
      <w:r w:rsidR="003B17B3" w:rsidRPr="006E284E">
        <w:rPr>
          <w:b/>
          <w:bCs/>
          <w:szCs w:val="24"/>
        </w:rPr>
        <w:t>emphasizing</w:t>
      </w:r>
      <w:r w:rsidR="00516807" w:rsidRPr="006E284E">
        <w:rPr>
          <w:b/>
          <w:bCs/>
          <w:szCs w:val="24"/>
        </w:rPr>
        <w:t xml:space="preserve"> shared </w:t>
      </w:r>
      <w:r w:rsidR="003B17B3" w:rsidRPr="006E284E">
        <w:rPr>
          <w:b/>
          <w:bCs/>
          <w:szCs w:val="24"/>
        </w:rPr>
        <w:t>decision</w:t>
      </w:r>
      <w:r w:rsidR="00516807" w:rsidRPr="006E284E">
        <w:rPr>
          <w:b/>
          <w:bCs/>
          <w:szCs w:val="24"/>
        </w:rPr>
        <w:t xml:space="preserve"> </w:t>
      </w:r>
      <w:r w:rsidR="003B17B3" w:rsidRPr="006E284E">
        <w:rPr>
          <w:b/>
          <w:bCs/>
          <w:szCs w:val="24"/>
        </w:rPr>
        <w:t>making, personalized</w:t>
      </w:r>
      <w:r w:rsidR="00111A1E" w:rsidRPr="006E284E">
        <w:rPr>
          <w:b/>
          <w:bCs/>
          <w:szCs w:val="24"/>
        </w:rPr>
        <w:t xml:space="preserve"> planning and social</w:t>
      </w:r>
      <w:r w:rsidR="0021639B" w:rsidRPr="006E284E">
        <w:rPr>
          <w:b/>
          <w:bCs/>
          <w:szCs w:val="24"/>
        </w:rPr>
        <w:t xml:space="preserve"> prescribing. The person</w:t>
      </w:r>
      <w:r w:rsidR="004A1487" w:rsidRPr="006E284E">
        <w:rPr>
          <w:b/>
          <w:bCs/>
          <w:szCs w:val="24"/>
        </w:rPr>
        <w:t>-centred</w:t>
      </w:r>
      <w:r w:rsidR="00494DA7" w:rsidRPr="006E284E">
        <w:rPr>
          <w:b/>
          <w:bCs/>
          <w:szCs w:val="24"/>
        </w:rPr>
        <w:t xml:space="preserve"> nursing </w:t>
      </w:r>
      <w:r w:rsidR="003B17B3" w:rsidRPr="006E284E">
        <w:rPr>
          <w:b/>
          <w:bCs/>
          <w:szCs w:val="24"/>
        </w:rPr>
        <w:t>framework (</w:t>
      </w:r>
      <w:r w:rsidR="004F6274" w:rsidRPr="006E284E">
        <w:rPr>
          <w:b/>
          <w:bCs/>
          <w:szCs w:val="24"/>
        </w:rPr>
        <w:t xml:space="preserve">PCNF)provides </w:t>
      </w:r>
      <w:r w:rsidR="003523F8" w:rsidRPr="006E284E">
        <w:rPr>
          <w:b/>
          <w:bCs/>
          <w:szCs w:val="24"/>
        </w:rPr>
        <w:t>theoretical grounding, linking pre</w:t>
      </w:r>
      <w:r w:rsidR="00657D7E" w:rsidRPr="006E284E">
        <w:rPr>
          <w:b/>
          <w:bCs/>
          <w:szCs w:val="24"/>
        </w:rPr>
        <w:t xml:space="preserve">requisites care </w:t>
      </w:r>
      <w:r w:rsidR="00A96A93" w:rsidRPr="006E284E">
        <w:rPr>
          <w:b/>
          <w:bCs/>
          <w:szCs w:val="24"/>
        </w:rPr>
        <w:t xml:space="preserve">environment processes, and </w:t>
      </w:r>
      <w:r w:rsidR="003B17B3" w:rsidRPr="006E284E">
        <w:rPr>
          <w:b/>
          <w:bCs/>
          <w:szCs w:val="24"/>
        </w:rPr>
        <w:t>outcomes. Partnership</w:t>
      </w:r>
      <w:r w:rsidR="00AD51C8" w:rsidRPr="006E284E">
        <w:rPr>
          <w:b/>
          <w:bCs/>
          <w:szCs w:val="24"/>
        </w:rPr>
        <w:t xml:space="preserve"> working</w:t>
      </w:r>
      <w:r w:rsidR="00C408D0" w:rsidRPr="006E284E">
        <w:rPr>
          <w:b/>
          <w:bCs/>
          <w:szCs w:val="24"/>
        </w:rPr>
        <w:t xml:space="preserve"> </w:t>
      </w:r>
      <w:r w:rsidR="003B17B3" w:rsidRPr="006E284E">
        <w:rPr>
          <w:b/>
          <w:bCs/>
          <w:szCs w:val="24"/>
        </w:rPr>
        <w:t>operates</w:t>
      </w:r>
      <w:r w:rsidR="00C408D0" w:rsidRPr="006E284E">
        <w:rPr>
          <w:b/>
          <w:bCs/>
          <w:szCs w:val="24"/>
        </w:rPr>
        <w:t xml:space="preserve"> through joint </w:t>
      </w:r>
      <w:r w:rsidR="001F494F" w:rsidRPr="006E284E">
        <w:rPr>
          <w:b/>
          <w:bCs/>
          <w:szCs w:val="24"/>
        </w:rPr>
        <w:t>governance, care transfer hubs</w:t>
      </w:r>
      <w:r w:rsidR="007F4ECA" w:rsidRPr="006E284E">
        <w:rPr>
          <w:b/>
          <w:bCs/>
          <w:szCs w:val="24"/>
        </w:rPr>
        <w:t xml:space="preserve">, and multidisciplinary </w:t>
      </w:r>
      <w:r w:rsidR="003B17B3" w:rsidRPr="006E284E">
        <w:rPr>
          <w:b/>
          <w:bCs/>
          <w:szCs w:val="24"/>
        </w:rPr>
        <w:t>teams under</w:t>
      </w:r>
      <w:r w:rsidR="007F4ECA" w:rsidRPr="006E284E">
        <w:rPr>
          <w:b/>
          <w:bCs/>
          <w:szCs w:val="24"/>
        </w:rPr>
        <w:t xml:space="preserve"> </w:t>
      </w:r>
      <w:r w:rsidR="00925A7C" w:rsidRPr="006E284E">
        <w:rPr>
          <w:b/>
          <w:bCs/>
          <w:szCs w:val="24"/>
        </w:rPr>
        <w:t>health and care</w:t>
      </w:r>
      <w:r w:rsidR="00601A5E" w:rsidRPr="006E284E">
        <w:rPr>
          <w:b/>
          <w:bCs/>
          <w:szCs w:val="24"/>
        </w:rPr>
        <w:t xml:space="preserve"> Act 2022 </w:t>
      </w:r>
      <w:r w:rsidR="003B17B3" w:rsidRPr="006E284E">
        <w:rPr>
          <w:b/>
          <w:bCs/>
          <w:szCs w:val="24"/>
        </w:rPr>
        <w:t>duties. Key</w:t>
      </w:r>
      <w:r w:rsidR="00601A5E" w:rsidRPr="006E284E">
        <w:rPr>
          <w:b/>
          <w:bCs/>
          <w:szCs w:val="24"/>
        </w:rPr>
        <w:t xml:space="preserve"> </w:t>
      </w:r>
      <w:r w:rsidR="003B17B3" w:rsidRPr="006E284E">
        <w:rPr>
          <w:b/>
          <w:bCs/>
          <w:szCs w:val="24"/>
        </w:rPr>
        <w:t>recommendations</w:t>
      </w:r>
      <w:r w:rsidR="00786E57" w:rsidRPr="006E284E">
        <w:rPr>
          <w:b/>
          <w:bCs/>
          <w:szCs w:val="24"/>
        </w:rPr>
        <w:t xml:space="preserve"> include </w:t>
      </w:r>
      <w:r w:rsidR="002D5C7A" w:rsidRPr="006E284E">
        <w:rPr>
          <w:b/>
          <w:bCs/>
          <w:szCs w:val="24"/>
        </w:rPr>
        <w:t xml:space="preserve">adopting NICE </w:t>
      </w:r>
      <w:r w:rsidR="00193ECF" w:rsidRPr="006E284E">
        <w:rPr>
          <w:b/>
          <w:bCs/>
          <w:szCs w:val="24"/>
        </w:rPr>
        <w:t>decision</w:t>
      </w:r>
      <w:r w:rsidR="000E7891" w:rsidRPr="006E284E">
        <w:rPr>
          <w:b/>
          <w:bCs/>
          <w:szCs w:val="24"/>
        </w:rPr>
        <w:t xml:space="preserve"> </w:t>
      </w:r>
      <w:r w:rsidR="003B17B3" w:rsidRPr="006E284E">
        <w:rPr>
          <w:b/>
          <w:bCs/>
          <w:szCs w:val="24"/>
        </w:rPr>
        <w:t>aids, implementing</w:t>
      </w:r>
      <w:r w:rsidR="00C2640D" w:rsidRPr="006E284E">
        <w:rPr>
          <w:b/>
          <w:bCs/>
          <w:szCs w:val="24"/>
        </w:rPr>
        <w:t xml:space="preserve"> single share care plans,</w:t>
      </w:r>
      <w:r w:rsidR="00393233" w:rsidRPr="006E284E">
        <w:rPr>
          <w:b/>
          <w:bCs/>
          <w:szCs w:val="24"/>
        </w:rPr>
        <w:t xml:space="preserve"> </w:t>
      </w:r>
      <w:r w:rsidR="00193ECF" w:rsidRPr="006E284E">
        <w:rPr>
          <w:b/>
          <w:bCs/>
          <w:szCs w:val="24"/>
        </w:rPr>
        <w:t>establishing</w:t>
      </w:r>
      <w:r w:rsidR="00393233" w:rsidRPr="006E284E">
        <w:rPr>
          <w:b/>
          <w:bCs/>
          <w:szCs w:val="24"/>
        </w:rPr>
        <w:t xml:space="preserve"> legal data-sharing</w:t>
      </w:r>
      <w:r w:rsidR="00EC7F14" w:rsidRPr="006E284E">
        <w:rPr>
          <w:b/>
          <w:bCs/>
          <w:szCs w:val="24"/>
        </w:rPr>
        <w:t xml:space="preserve"> </w:t>
      </w:r>
      <w:r w:rsidR="00193ECF" w:rsidRPr="006E284E">
        <w:rPr>
          <w:b/>
          <w:bCs/>
          <w:szCs w:val="24"/>
        </w:rPr>
        <w:t>frameworks, and</w:t>
      </w:r>
      <w:r w:rsidR="00EC7F14" w:rsidRPr="006E284E">
        <w:rPr>
          <w:b/>
          <w:bCs/>
          <w:szCs w:val="24"/>
        </w:rPr>
        <w:t xml:space="preserve"> </w:t>
      </w:r>
      <w:r w:rsidR="00193ECF" w:rsidRPr="006E284E">
        <w:rPr>
          <w:b/>
          <w:bCs/>
          <w:szCs w:val="24"/>
        </w:rPr>
        <w:t>monitoring</w:t>
      </w:r>
      <w:r w:rsidR="00EC7F14" w:rsidRPr="006E284E">
        <w:rPr>
          <w:b/>
          <w:bCs/>
          <w:szCs w:val="24"/>
        </w:rPr>
        <w:t xml:space="preserve"> discharge</w:t>
      </w:r>
      <w:r w:rsidR="00587ED9" w:rsidRPr="006E284E">
        <w:rPr>
          <w:b/>
          <w:bCs/>
          <w:szCs w:val="24"/>
        </w:rPr>
        <w:t xml:space="preserve">-ready </w:t>
      </w:r>
      <w:r w:rsidR="00193ECF" w:rsidRPr="006E284E">
        <w:rPr>
          <w:b/>
          <w:bCs/>
          <w:szCs w:val="24"/>
        </w:rPr>
        <w:t>metrics. Effective</w:t>
      </w:r>
      <w:r w:rsidR="004B7240" w:rsidRPr="006E284E">
        <w:rPr>
          <w:b/>
          <w:bCs/>
          <w:szCs w:val="24"/>
        </w:rPr>
        <w:t xml:space="preserve"> integration </w:t>
      </w:r>
      <w:r w:rsidR="00193ECF" w:rsidRPr="006E284E">
        <w:rPr>
          <w:b/>
          <w:bCs/>
          <w:szCs w:val="24"/>
        </w:rPr>
        <w:t>requires</w:t>
      </w:r>
      <w:r w:rsidR="004B7240" w:rsidRPr="006E284E">
        <w:rPr>
          <w:b/>
          <w:bCs/>
          <w:szCs w:val="24"/>
        </w:rPr>
        <w:t xml:space="preserve"> community cap</w:t>
      </w:r>
      <w:r w:rsidR="00EE3828" w:rsidRPr="006E284E">
        <w:rPr>
          <w:b/>
          <w:bCs/>
          <w:szCs w:val="24"/>
        </w:rPr>
        <w:t xml:space="preserve">acity </w:t>
      </w:r>
      <w:r w:rsidR="00193ECF" w:rsidRPr="006E284E">
        <w:rPr>
          <w:b/>
          <w:bCs/>
          <w:szCs w:val="24"/>
        </w:rPr>
        <w:t>investment, workforce</w:t>
      </w:r>
      <w:r w:rsidR="00B830C8" w:rsidRPr="006E284E">
        <w:rPr>
          <w:b/>
          <w:bCs/>
          <w:szCs w:val="24"/>
        </w:rPr>
        <w:t xml:space="preserve"> training, and disciplined outcome </w:t>
      </w:r>
      <w:r w:rsidR="00F102CE" w:rsidRPr="006E284E">
        <w:rPr>
          <w:b/>
          <w:bCs/>
          <w:szCs w:val="24"/>
        </w:rPr>
        <w:t>measurement</w:t>
      </w:r>
      <w:r w:rsidR="00C163F4" w:rsidRPr="006E284E">
        <w:rPr>
          <w:b/>
          <w:bCs/>
          <w:szCs w:val="24"/>
        </w:rPr>
        <w:t xml:space="preserve"> to translate policy into sa</w:t>
      </w:r>
      <w:r w:rsidR="002112CE" w:rsidRPr="006E284E">
        <w:rPr>
          <w:b/>
          <w:bCs/>
          <w:szCs w:val="24"/>
        </w:rPr>
        <w:t>fer, person-centred trans</w:t>
      </w:r>
      <w:r w:rsidR="003B17B3" w:rsidRPr="006E284E">
        <w:rPr>
          <w:b/>
          <w:bCs/>
          <w:szCs w:val="24"/>
        </w:rPr>
        <w:t>ition.</w:t>
      </w:r>
    </w:p>
    <w:p w14:paraId="0CC23920" w14:textId="39A9DEF2" w:rsidR="004F7B96" w:rsidRPr="00901EB1" w:rsidRDefault="004F7B96" w:rsidP="00565864">
      <w:pPr>
        <w:rPr>
          <w:bCs/>
          <w:i/>
          <w:iCs/>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2FBCD91D" w14:textId="77777777" w:rsidR="00565864" w:rsidRDefault="00565864" w:rsidP="00565864"/>
    <w:p w14:paraId="2FBCD91E" w14:textId="77777777" w:rsidR="00565864" w:rsidRDefault="00565864" w:rsidP="00565864"/>
    <w:p w14:paraId="2FBCD91F" w14:textId="77777777" w:rsidR="00565864" w:rsidRDefault="00565864" w:rsidP="00565864"/>
    <w:p w14:paraId="2FBCD920" w14:textId="77777777" w:rsidR="00565864" w:rsidRDefault="00565864" w:rsidP="00565864"/>
    <w:p w14:paraId="2FBCD921" w14:textId="77777777" w:rsidR="00565864" w:rsidRDefault="00565864" w:rsidP="00565864"/>
    <w:p w14:paraId="2FBCD922" w14:textId="77777777" w:rsidR="00565864" w:rsidRDefault="00565864" w:rsidP="00565864"/>
    <w:p w14:paraId="2FBCD923" w14:textId="77777777" w:rsidR="00565864" w:rsidRDefault="00565864" w:rsidP="00565864"/>
    <w:p w14:paraId="2FBCD924" w14:textId="77777777" w:rsidR="00565864" w:rsidRDefault="00565864" w:rsidP="00565864"/>
    <w:p w14:paraId="2FBCD925" w14:textId="77777777" w:rsidR="00565864" w:rsidRDefault="00565864" w:rsidP="00565864"/>
    <w:p w14:paraId="2FBCD926" w14:textId="77777777" w:rsidR="00565864" w:rsidRDefault="00565864" w:rsidP="00565864"/>
    <w:p w14:paraId="2FBCD927" w14:textId="77777777" w:rsidR="00565864" w:rsidRDefault="00565864" w:rsidP="00565864"/>
    <w:p w14:paraId="2FBCD928" w14:textId="77777777" w:rsidR="00565864" w:rsidRDefault="00565864" w:rsidP="00565864"/>
    <w:p w14:paraId="2FBCD929" w14:textId="77777777" w:rsidR="008D05F4" w:rsidRPr="008D05F4" w:rsidRDefault="008D05F4" w:rsidP="008D05F4">
      <w:pPr>
        <w:pStyle w:val="Heading1"/>
      </w:pPr>
      <w:r>
        <w:t>Introduction</w:t>
      </w:r>
    </w:p>
    <w:p w14:paraId="2FBCD92A" w14:textId="185D72B8" w:rsidR="008D05F4" w:rsidRPr="008D05F4" w:rsidRDefault="008D05F4" w:rsidP="008D05F4">
      <w:pPr>
        <w:rPr>
          <w:lang w:val="en-US"/>
        </w:rPr>
      </w:pPr>
      <w:r w:rsidRPr="008D05F4">
        <w:rPr>
          <w:lang w:val="en-US"/>
        </w:rPr>
        <w:t>This report evaluates person-</w:t>
      </w:r>
      <w:r w:rsidR="007475E4" w:rsidRPr="008D05F4">
        <w:rPr>
          <w:lang w:val="en-US"/>
        </w:rPr>
        <w:t>centered</w:t>
      </w:r>
      <w:r w:rsidRPr="008D05F4">
        <w:rPr>
          <w:lang w:val="en-US"/>
        </w:rPr>
        <w:t xml:space="preserve"> care (PCC) and partnership working (PW) and how they operate together in UK health and social care. The focus is discharge of frail older adults from an acute NHS trust to community services within an Integrated Care System. The choice reflects high need and policy relevance. Sections define PCC, test benefits and limits, apply theory, and ethics.</w:t>
      </w:r>
    </w:p>
    <w:p w14:paraId="2FBCD92B" w14:textId="670652EF" w:rsidR="008D05F4" w:rsidRPr="008D05F4" w:rsidRDefault="008D05F4" w:rsidP="008D05F4">
      <w:pPr>
        <w:rPr>
          <w:lang w:val="en-US"/>
        </w:rPr>
      </w:pPr>
      <w:r w:rsidRPr="008D05F4">
        <w:rPr>
          <w:lang w:val="en-US"/>
        </w:rPr>
        <w:t xml:space="preserve">The setting is an English Integrated Care System in which an acute hospital, adult social care, general practice, community providers and the voluntary sector coordinate discharge-to-assess pathways. ICSs </w:t>
      </w:r>
      <w:r w:rsidR="00101EE7" w:rsidRPr="008D05F4">
        <w:rPr>
          <w:lang w:val="en-US"/>
        </w:rPr>
        <w:t>formalize</w:t>
      </w:r>
      <w:r w:rsidRPr="008D05F4">
        <w:rPr>
          <w:lang w:val="en-US"/>
        </w:rPr>
        <w:t xml:space="preserve"> joint planning and collective accountability across organisations to improve outcomes and reduce inequalities, which makes PCC and PW visible in discharge decisions across the pathway (The King’s Fund, 2022; DHSC, 2024).</w:t>
      </w:r>
    </w:p>
    <w:p w14:paraId="2FBCD92C" w14:textId="7C10F53D" w:rsidR="008D05F4" w:rsidRPr="008D05F4" w:rsidRDefault="008D05F4" w:rsidP="008D05F4">
      <w:pPr>
        <w:pStyle w:val="Heading1"/>
      </w:pPr>
      <w:r w:rsidRPr="008D05F4">
        <w:t>Person-</w:t>
      </w:r>
      <w:r w:rsidR="00AA1335" w:rsidRPr="008D05F4">
        <w:t>Centered</w:t>
      </w:r>
      <w:r w:rsidRPr="008D05F4">
        <w:t xml:space="preserve"> Care: definition, benefi</w:t>
      </w:r>
      <w:r>
        <w:t>ts, limits</w:t>
      </w:r>
    </w:p>
    <w:p w14:paraId="2FBCD92D" w14:textId="18740BDC" w:rsidR="00C55297" w:rsidRPr="00C55297" w:rsidRDefault="00C55297" w:rsidP="00C55297">
      <w:pPr>
        <w:rPr>
          <w:lang w:val="en-US"/>
        </w:rPr>
      </w:pPr>
      <w:r w:rsidRPr="00C55297">
        <w:rPr>
          <w:lang w:val="en-US"/>
        </w:rPr>
        <w:t xml:space="preserve">PCC implies putting care in place based on what is important to the individual, rather than service. It secures dignity and choice, employs shared decisions, and creates a </w:t>
      </w:r>
      <w:r w:rsidR="00AA1335" w:rsidRPr="00C55297">
        <w:rPr>
          <w:lang w:val="en-US"/>
        </w:rPr>
        <w:t>personalized</w:t>
      </w:r>
      <w:r w:rsidRPr="00C55297">
        <w:rPr>
          <w:lang w:val="en-US"/>
        </w:rPr>
        <w:t xml:space="preserve"> plan of care and support which coordinates input across organisations. The Comprehensive Model for </w:t>
      </w:r>
      <w:r w:rsidR="00AA1335" w:rsidRPr="00C55297">
        <w:rPr>
          <w:lang w:val="en-US"/>
        </w:rPr>
        <w:t>Personalized</w:t>
      </w:r>
      <w:r w:rsidRPr="00C55297">
        <w:rPr>
          <w:lang w:val="en-US"/>
        </w:rPr>
        <w:t xml:space="preserve"> Care establishes six elements of principle-to-practice translation in England: shared </w:t>
      </w:r>
      <w:r w:rsidRPr="00C55297">
        <w:rPr>
          <w:lang w:val="en-US"/>
        </w:rPr>
        <w:lastRenderedPageBreak/>
        <w:t xml:space="preserve">decision making, </w:t>
      </w:r>
      <w:r w:rsidR="00AA1335" w:rsidRPr="00C55297">
        <w:rPr>
          <w:lang w:val="en-US"/>
        </w:rPr>
        <w:t>personalized</w:t>
      </w:r>
      <w:r w:rsidRPr="00C55297">
        <w:rPr>
          <w:lang w:val="en-US"/>
        </w:rPr>
        <w:t xml:space="preserve"> care and support planning, legal rights to choice, social prescribing and community support, supported self-management, and personal health budgets to eligible people across the country (NHS England, 2025).</w:t>
      </w:r>
    </w:p>
    <w:p w14:paraId="2FBCD92E" w14:textId="575C30B3" w:rsidR="008D05F4" w:rsidRPr="008D05F4" w:rsidRDefault="00C55297" w:rsidP="00C55297">
      <w:pPr>
        <w:rPr>
          <w:lang w:val="en-US"/>
        </w:rPr>
      </w:pPr>
      <w:r w:rsidRPr="00C55297">
        <w:rPr>
          <w:lang w:val="en-US"/>
        </w:rPr>
        <w:t xml:space="preserve">The utility of benefits becomes most evident in situations where the decision to discharge is preference sensitive and complicated. NICE demands shared decision making and risk communication and decision aids, which enhances cognition and harmonization of choices to values in standard care (NICE, 2021). The knowledge, skills and confidence developed through supported self-management and the resulting potential to eliminate unplanned care can be achieved through coaching, education and peer support with follow-up measurement (NHS England, 2021). Social prescribing connects individuals to non-clinical care, which deals with isolation, mobility or accommodation; synthesised evidence demonstrates a scale-up potential, cost-effectiveness, and access to the deprived population (National Academy for Social Prescribing, 2024). Collectively, they have the potential to enhance experience, compliance and safety in the process of handover, and assist systems to prevent unjustifiable bed-days by </w:t>
      </w:r>
      <w:r w:rsidR="00AA1335" w:rsidRPr="00C55297">
        <w:rPr>
          <w:lang w:val="en-US"/>
        </w:rPr>
        <w:t>stabilizing</w:t>
      </w:r>
      <w:r w:rsidRPr="00C55297">
        <w:rPr>
          <w:lang w:val="en-US"/>
        </w:rPr>
        <w:t xml:space="preserve"> recovery in the community to the setting and season without risk (DHSC, 2024).</w:t>
      </w:r>
    </w:p>
    <w:p w14:paraId="2FBCD92F" w14:textId="77777777" w:rsidR="008D05F4" w:rsidRPr="008D05F4" w:rsidRDefault="008D05F4" w:rsidP="008D05F4">
      <w:pPr>
        <w:rPr>
          <w:lang w:val="en-US"/>
        </w:rPr>
      </w:pPr>
      <w:r w:rsidRPr="008D05F4">
        <w:rPr>
          <w:lang w:val="en-US"/>
        </w:rPr>
        <w:t>Delivery is uneven. Workforce pressure limits time for dialogue. Digital exclusion restricts access to decision aids and planning. Fragmented records and weak interoperability undermine continuity, and coroners link deaths to missing information at handover, showing safety costs of poor data-sharing (The Guardian, 2024). Equity gaps persist when services fail to tailor support to language, culture, or deprivation (Health Foundation, 2025).</w:t>
      </w:r>
    </w:p>
    <w:p w14:paraId="2FBCD930" w14:textId="77777777" w:rsidR="008D05F4" w:rsidRPr="008D05F4" w:rsidRDefault="008D05F4" w:rsidP="008D05F4">
      <w:pPr>
        <w:pStyle w:val="Heading1"/>
      </w:pPr>
      <w:r w:rsidRPr="008D05F4">
        <w:t>Theory that und</w:t>
      </w:r>
      <w:r>
        <w:t>erpins PCC</w:t>
      </w:r>
    </w:p>
    <w:p w14:paraId="2FBCD931" w14:textId="63C3C514" w:rsidR="008D05F4" w:rsidRPr="008D05F4" w:rsidRDefault="008D05F4" w:rsidP="008D05F4">
      <w:pPr>
        <w:pStyle w:val="Heading2"/>
      </w:pPr>
      <w:r w:rsidRPr="008D05F4">
        <w:t>Person-</w:t>
      </w:r>
      <w:r w:rsidR="00AA1335" w:rsidRPr="008D05F4">
        <w:t>Centered</w:t>
      </w:r>
      <w:r w:rsidRPr="008D05F4">
        <w:t xml:space="preserve"> Nursing Framewo</w:t>
      </w:r>
      <w:r>
        <w:t xml:space="preserve">rk (PCNF): core </w:t>
      </w:r>
      <w:r w:rsidR="00556E7A">
        <w:t>constructions</w:t>
      </w:r>
    </w:p>
    <w:p w14:paraId="2FBCD932" w14:textId="50AD8FA2" w:rsidR="008D05F4" w:rsidRPr="008D05F4" w:rsidRDefault="00C55297" w:rsidP="008D05F4">
      <w:pPr>
        <w:rPr>
          <w:lang w:val="en-US"/>
        </w:rPr>
      </w:pPr>
      <w:r w:rsidRPr="00C55297">
        <w:rPr>
          <w:lang w:val="en-US"/>
        </w:rPr>
        <w:t>Based on the operational model in section 3, Person-</w:t>
      </w:r>
      <w:r w:rsidR="00AA1335" w:rsidRPr="00C55297">
        <w:rPr>
          <w:lang w:val="en-US"/>
        </w:rPr>
        <w:t>Centered</w:t>
      </w:r>
      <w:r w:rsidRPr="00C55297">
        <w:rPr>
          <w:lang w:val="en-US"/>
        </w:rPr>
        <w:t xml:space="preserve"> Nursing Framework (PCNF) </w:t>
      </w:r>
      <w:r w:rsidR="00AA1335" w:rsidRPr="00C55297">
        <w:rPr>
          <w:lang w:val="en-US"/>
        </w:rPr>
        <w:t>theories</w:t>
      </w:r>
      <w:r w:rsidRPr="00C55297">
        <w:rPr>
          <w:lang w:val="en-US"/>
        </w:rPr>
        <w:t xml:space="preserve"> the production of person-</w:t>
      </w:r>
      <w:r w:rsidR="00AA1335" w:rsidRPr="00C55297">
        <w:rPr>
          <w:lang w:val="en-US"/>
        </w:rPr>
        <w:t>centered</w:t>
      </w:r>
      <w:r w:rsidRPr="00C55297">
        <w:rPr>
          <w:lang w:val="en-US"/>
        </w:rPr>
        <w:t xml:space="preserve"> outcomes by teams. It has four domains. Prerequisites relate to personnel expertise, principles and reflective abilities. Care environment encompasses culture, leadership, decision latitude and resources. Some of the care processes include sincere engagement, work with beliefs and values, joint decision making, whole person assessment, and empathetic presence. Person-</w:t>
      </w:r>
      <w:r w:rsidR="00556E7A" w:rsidRPr="00C55297">
        <w:rPr>
          <w:lang w:val="en-US"/>
        </w:rPr>
        <w:t>centered</w:t>
      </w:r>
      <w:r w:rsidRPr="00C55297">
        <w:rPr>
          <w:lang w:val="en-US"/>
        </w:rPr>
        <w:t xml:space="preserve"> outcomes explain participation, contentment, health, and a feeling of safety. PCNF is an intermediate theory bridging context, process, and outcome, which </w:t>
      </w:r>
      <w:r w:rsidRPr="00C55297">
        <w:rPr>
          <w:lang w:val="en-US"/>
        </w:rPr>
        <w:lastRenderedPageBreak/>
        <w:t>has also been revised to reflect the modern, data-intensive practice in the UK and practice applied internationally (McCormack and McCance, 2019).</w:t>
      </w:r>
    </w:p>
    <w:p w14:paraId="2FBCD933" w14:textId="5065118B" w:rsidR="008D05F4" w:rsidRPr="008D05F4" w:rsidRDefault="008D05F4" w:rsidP="008D05F4">
      <w:pPr>
        <w:pStyle w:val="Heading2"/>
      </w:pPr>
      <w:r w:rsidRPr="008D05F4">
        <w:t xml:space="preserve">How PCNF </w:t>
      </w:r>
      <w:r w:rsidR="00556E7A" w:rsidRPr="008D05F4">
        <w:t>operationalize</w:t>
      </w:r>
      <w:r w:rsidR="00556E7A">
        <w:t>s</w:t>
      </w:r>
      <w:r>
        <w:t xml:space="preserve"> PCC in the chosen setting</w:t>
      </w:r>
    </w:p>
    <w:p w14:paraId="2FBCD934" w14:textId="193C59CD" w:rsidR="008D05F4" w:rsidRPr="008D05F4" w:rsidRDefault="008D05F4" w:rsidP="008D05F4">
      <w:pPr>
        <w:rPr>
          <w:lang w:val="en-US"/>
        </w:rPr>
      </w:pPr>
      <w:r w:rsidRPr="008D05F4">
        <w:rPr>
          <w:lang w:val="en-US"/>
        </w:rPr>
        <w:t xml:space="preserve">Translating PCNF to discharge clarifies mechanisms. Prerequisites mean clinicians skilled in coaching, </w:t>
      </w:r>
      <w:r w:rsidR="009E3C77" w:rsidRPr="008D05F4">
        <w:rPr>
          <w:lang w:val="en-US"/>
        </w:rPr>
        <w:t>frailty</w:t>
      </w:r>
      <w:r w:rsidRPr="008D05F4">
        <w:rPr>
          <w:lang w:val="en-US"/>
        </w:rPr>
        <w:t xml:space="preserve">, and medicines reconciliation. The care environment requires equipment, rapid transport, and a care transfer hub that joins hospital, community, and social care. Care processes are shared decisions, co-produced plans, and clear contingency instructions on deterioration and contacts. Outcomes are readiness, confidence, and fewer avoidable readmissions. This mapping aligns with statutory discharge to assess guidance that </w:t>
      </w:r>
      <w:r w:rsidR="00556E7A" w:rsidRPr="008D05F4">
        <w:rPr>
          <w:lang w:val="en-US"/>
        </w:rPr>
        <w:t>priorities</w:t>
      </w:r>
      <w:r w:rsidRPr="008D05F4">
        <w:rPr>
          <w:lang w:val="en-US"/>
        </w:rPr>
        <w:t xml:space="preserve"> multidisciplinary planning with the person and unpaid carers throughout (DHSC, 2024).</w:t>
      </w:r>
      <w:r w:rsidR="00DF34DA" w:rsidRPr="00DF34DA">
        <w:rPr>
          <w:lang w:val="en-US"/>
        </w:rPr>
        <w:t xml:space="preserve"> </w:t>
      </w:r>
    </w:p>
    <w:p w14:paraId="2FBCD936" w14:textId="3099329E" w:rsidR="008D05F4" w:rsidRPr="00232E97" w:rsidRDefault="008D05F4" w:rsidP="00232E97">
      <w:pPr>
        <w:pStyle w:val="Heading2"/>
        <w:numPr>
          <w:ilvl w:val="0"/>
          <w:numId w:val="0"/>
        </w:numPr>
      </w:pPr>
    </w:p>
    <w:p w14:paraId="2FBCD937" w14:textId="77777777" w:rsidR="008D05F4" w:rsidRPr="008D05F4" w:rsidRDefault="008D05F4" w:rsidP="008D05F4">
      <w:pPr>
        <w:pStyle w:val="Heading1"/>
      </w:pPr>
      <w:r w:rsidRPr="008D05F4">
        <w:t>Ethical fundamentals in health and s</w:t>
      </w:r>
      <w:r>
        <w:t>ocial care</w:t>
      </w:r>
    </w:p>
    <w:p w14:paraId="2FBCD938" w14:textId="77777777" w:rsidR="00C55297" w:rsidRPr="00C55297" w:rsidRDefault="00C55297" w:rsidP="00C55297">
      <w:pPr>
        <w:rPr>
          <w:lang w:val="en-US"/>
        </w:rPr>
      </w:pPr>
      <w:r w:rsidRPr="00C55297">
        <w:rPr>
          <w:lang w:val="en-US"/>
        </w:rPr>
        <w:t>The four-principles lens tests discharge decisions, associated with linking theory with ethics. The autonomy requires realistic choices, risk communication, and time to make a decision on the place of recovery. There should be proportionate plans in beneficence and non-maleficence in terms of balancing independence with safety (falls risks and medication changes). Fair access to rehabilitation, equipment, transport is needed, and deprivation and frailty should be considered in terms of justice. GMC consent guidance incorporates shared decision making as an essential professional responsibility, since ineffective communication negatively affects safety and trust during handover and elevates risks of complaints and litigation to organisations and staff (GMC, 2020).</w:t>
      </w:r>
    </w:p>
    <w:p w14:paraId="2FBCD939" w14:textId="2AFE8868" w:rsidR="00C55297" w:rsidRPr="00C55297" w:rsidRDefault="00C55297" w:rsidP="00C55297">
      <w:pPr>
        <w:rPr>
          <w:lang w:val="en-US"/>
        </w:rPr>
      </w:pPr>
      <w:r w:rsidRPr="00C55297">
        <w:rPr>
          <w:lang w:val="en-US"/>
        </w:rPr>
        <w:t>Capacity and consent are essential to frail elderly individuals. Mental Capacity Act establishes five principles such as the presumption of capacity, facilitating decision making and acting in the best interest where there is no capacity. In acute care, decision-specific and time-specific assessment are used. The staff is supposed to employ communication support, manage delirium and pain, and engage families and advocates. The best-</w:t>
      </w:r>
      <w:r w:rsidR="007A0147" w:rsidRPr="00C55297">
        <w:rPr>
          <w:lang w:val="en-US"/>
        </w:rPr>
        <w:t>interests’</w:t>
      </w:r>
      <w:r w:rsidRPr="00C55297">
        <w:rPr>
          <w:lang w:val="en-US"/>
        </w:rPr>
        <w:t xml:space="preserve"> decisions should consider the value of the person and attempt to provide the </w:t>
      </w:r>
      <w:r w:rsidR="00DA18C2" w:rsidRPr="00C55297">
        <w:rPr>
          <w:lang w:val="en-US"/>
        </w:rPr>
        <w:t>least</w:t>
      </w:r>
      <w:r w:rsidRPr="00C55297">
        <w:rPr>
          <w:lang w:val="en-US"/>
        </w:rPr>
        <w:t xml:space="preserve"> restrictive choice. NHS England establishes feasible measures to demonstrate legal process at the discharge (NHS England, 2025).</w:t>
      </w:r>
    </w:p>
    <w:p w14:paraId="2FBCD93A" w14:textId="4019BC7B" w:rsidR="008D05F4" w:rsidRPr="008D05F4" w:rsidRDefault="00C55297" w:rsidP="00C55297">
      <w:pPr>
        <w:rPr>
          <w:lang w:val="en-US"/>
        </w:rPr>
      </w:pPr>
      <w:r w:rsidRPr="00C55297">
        <w:rPr>
          <w:lang w:val="en-US"/>
        </w:rPr>
        <w:lastRenderedPageBreak/>
        <w:t xml:space="preserve">Partnership working at discharge is developed by confidentiality and transparency. The Caldicott Principles mandate reasonable, required, and </w:t>
      </w:r>
      <w:r w:rsidR="007A0147" w:rsidRPr="00C55297">
        <w:rPr>
          <w:lang w:val="en-US"/>
        </w:rPr>
        <w:t>commeasure</w:t>
      </w:r>
      <w:r w:rsidRPr="00C55297">
        <w:rPr>
          <w:lang w:val="en-US"/>
        </w:rPr>
        <w:t xml:space="preserve"> sharing, and anticipate individuals to be aware of how their data are used (National Data Guardian, 2020). The regulatory Duty of Candour necessitates the candid reporting and notice-giving following reportable safety events, which informs the truthful multi-agency reaction (CQC, 2025). When properly deployed, direct-care information flows will be timely and safe without undermining trust and legal standards.</w:t>
      </w:r>
    </w:p>
    <w:p w14:paraId="2FBCD93B" w14:textId="3126997E" w:rsidR="008D05F4" w:rsidRPr="008D05F4" w:rsidRDefault="008D05F4" w:rsidP="008D05F4">
      <w:pPr>
        <w:pStyle w:val="Heading1"/>
      </w:pPr>
      <w:r w:rsidRPr="008D05F4">
        <w:t xml:space="preserve">Partnership </w:t>
      </w:r>
      <w:r w:rsidR="009E3C77" w:rsidRPr="008D05F4">
        <w:t>working</w:t>
      </w:r>
      <w:r w:rsidRPr="008D05F4">
        <w:t xml:space="preserve"> criti</w:t>
      </w:r>
      <w:r>
        <w:t>cal evaluation</w:t>
      </w:r>
    </w:p>
    <w:p w14:paraId="2FBCD93C" w14:textId="77777777" w:rsidR="008D05F4" w:rsidRPr="008D05F4" w:rsidRDefault="008D05F4" w:rsidP="008D05F4">
      <w:pPr>
        <w:pStyle w:val="Heading2"/>
      </w:pPr>
      <w:r w:rsidRPr="008D05F4">
        <w:t>What partnership working means i</w:t>
      </w:r>
      <w:r w:rsidR="00C55297">
        <w:t>n UK health and social care</w:t>
      </w:r>
    </w:p>
    <w:p w14:paraId="2FBCD93D" w14:textId="21A33E37" w:rsidR="008D05F4" w:rsidRPr="008D05F4" w:rsidRDefault="008D05F4" w:rsidP="008D05F4">
      <w:pPr>
        <w:rPr>
          <w:lang w:val="en-US"/>
        </w:rPr>
      </w:pPr>
      <w:r w:rsidRPr="008D05F4">
        <w:rPr>
          <w:lang w:val="en-US"/>
        </w:rPr>
        <w:t xml:space="preserve">PW is coordinated action across NHS trusts, primary care, local authorities, and the voluntary sector to plan, fund, and deliver joined-up care for shared populations, not for single organisations, because complex need crosses institutional lines (The King’s Fund, 2022). In England the Health and Care Act 2022 </w:t>
      </w:r>
      <w:r w:rsidR="00DA18C2" w:rsidRPr="008D05F4">
        <w:rPr>
          <w:lang w:val="en-US"/>
        </w:rPr>
        <w:t>formalizes</w:t>
      </w:r>
      <w:r w:rsidRPr="008D05F4">
        <w:rPr>
          <w:lang w:val="en-US"/>
        </w:rPr>
        <w:t xml:space="preserve"> this through Integrated Care Systems with legal duties on Integrated Care Boards to arrange services and work with partners, which turns collaboration from discretion into obligation (Legislation.gov.uk, 2022).  </w:t>
      </w:r>
    </w:p>
    <w:p w14:paraId="2FBCD93E" w14:textId="77777777" w:rsidR="008D05F4" w:rsidRPr="008D05F4" w:rsidRDefault="008D05F4" w:rsidP="008D05F4">
      <w:pPr>
        <w:pStyle w:val="Heading2"/>
      </w:pPr>
      <w:r w:rsidRPr="008D05F4">
        <w:t>Collabor</w:t>
      </w:r>
      <w:r>
        <w:t>ation mechanisms and models</w:t>
      </w:r>
    </w:p>
    <w:p w14:paraId="2FBCD93F" w14:textId="5409C3E8" w:rsidR="008D05F4" w:rsidRPr="008D05F4" w:rsidRDefault="00C55297" w:rsidP="008D05F4">
      <w:pPr>
        <w:rPr>
          <w:lang w:val="en-US"/>
        </w:rPr>
      </w:pPr>
      <w:r w:rsidRPr="00C55297">
        <w:rPr>
          <w:lang w:val="en-US"/>
        </w:rPr>
        <w:t>The mechanisms that would be important during discharge include joint governance, shared planning, and operational hubs. ICS joint committees establish common objectives and place providers together in the dock, centering incentives at the intersection of hospital and community services (NHS Providers, 2024). Care transfer hubs also daily coordinated decisions and logistics, minimized duplication, and established one stream of information, thereby lowering the risk associated with handover and shortening waits where capacity is available downstream (DHSC, 2024). Bronstein model explains five behaviours that indicate successful work interdisciplinary, namely interdependence, new activities achieved, flexibility, shared ownership of goals, and reflection on the process, and it is a simplistic diagnostic of MDTs (CSWE, 2018). The recent synthesis demonstrates that the strengthening of the communication, roles, and digital tools can enhance the coordination, yet the effects are different depending on the context and leadership, and thus, systems need to be adjustable instead of imported templates (Simons et a</w:t>
      </w:r>
      <w:r w:rsidR="002835EF">
        <w:rPr>
          <w:lang w:val="en-US"/>
        </w:rPr>
        <w:t>,2021)</w:t>
      </w:r>
    </w:p>
    <w:p w14:paraId="2FBCD940" w14:textId="77777777" w:rsidR="008D05F4" w:rsidRPr="008D05F4" w:rsidRDefault="008D05F4" w:rsidP="008D05F4">
      <w:pPr>
        <w:pStyle w:val="Heading2"/>
      </w:pPr>
      <w:r w:rsidRPr="008D05F4">
        <w:lastRenderedPageBreak/>
        <w:t>Ris</w:t>
      </w:r>
      <w:r>
        <w:t>ks, barriers, and enablers</w:t>
      </w:r>
    </w:p>
    <w:p w14:paraId="2FBCD941" w14:textId="1582ACCC" w:rsidR="008D05F4" w:rsidRPr="008D05F4" w:rsidRDefault="008D05F4" w:rsidP="008D05F4">
      <w:pPr>
        <w:rPr>
          <w:lang w:val="en-US"/>
        </w:rPr>
      </w:pPr>
      <w:r w:rsidRPr="008D05F4">
        <w:rPr>
          <w:lang w:val="en-US"/>
        </w:rPr>
        <w:t xml:space="preserve">PW carries costs. Role ambiguity and extra meetings raise transaction costs and can slow action when accountability is not clear (Aunger et al., 2023). Data-sharing friction is common, yet the ICO code confirms that UK GDPR and the DPA 2018 allow proportionate sharing for direct care when lawful basis and safeguards are in place, so governance is an enabler rather than a blocker when applied well (ICO, 2021). Capacity is a binding constraint: delayed discharges cluster where community health and social care capacity is weakest, so PW without downstream capacity cannot deliver flow or safety (Nuffield Trust, 2025). Evidence across systems identifies shared goals, digital infrastructure, proximity, and leadership as consistent antecedents of successful inter-organisational work, which explains why clear ICS objectives and interoperable records change outcomes rather than rhetoric (JHOM, 2024). </w:t>
      </w:r>
    </w:p>
    <w:p w14:paraId="2FBCD942" w14:textId="77777777" w:rsidR="008D05F4" w:rsidRPr="008D05F4" w:rsidRDefault="008D05F4" w:rsidP="008D05F4">
      <w:pPr>
        <w:pStyle w:val="Heading1"/>
      </w:pPr>
      <w:r w:rsidRPr="008D05F4">
        <w:t>Applying partnership working in practice: acute-to-community discharge pat</w:t>
      </w:r>
      <w:r>
        <w:t>hway</w:t>
      </w:r>
    </w:p>
    <w:p w14:paraId="2FBCD943" w14:textId="1CD64895" w:rsidR="00C55297" w:rsidRPr="00C55297" w:rsidRDefault="00C55297" w:rsidP="00C55297">
      <w:pPr>
        <w:rPr>
          <w:lang w:val="en-US"/>
        </w:rPr>
      </w:pPr>
      <w:r w:rsidRPr="00C55297">
        <w:rPr>
          <w:lang w:val="en-US"/>
        </w:rPr>
        <w:t xml:space="preserve">The ward MDT and discharge coordinators are in charge of decision-making and also the liaison with the care transfer hub; community nursing and therapy plan home recovery; the GP and Primary Care Network manage medicines and deterioration; adult social care arranges </w:t>
      </w:r>
      <w:r w:rsidR="00805FF6" w:rsidRPr="00C55297">
        <w:rPr>
          <w:lang w:val="en-US"/>
        </w:rPr>
        <w:t>rabblement</w:t>
      </w:r>
      <w:r w:rsidRPr="00C55297">
        <w:rPr>
          <w:lang w:val="en-US"/>
        </w:rPr>
        <w:t xml:space="preserve"> or ongoing support; the voluntary sector provides social prescribing and practical support; a named case manager tracks the actions across settings, which is endorsed in national action cards (DHSC, 2024). </w:t>
      </w:r>
    </w:p>
    <w:p w14:paraId="2FBCD945" w14:textId="33C8EFC6" w:rsidR="008D05F4" w:rsidRPr="008D05F4" w:rsidRDefault="00C55297" w:rsidP="00C55297">
      <w:pPr>
        <w:rPr>
          <w:lang w:val="en-US"/>
        </w:rPr>
      </w:pPr>
      <w:r w:rsidRPr="00C55297">
        <w:rPr>
          <w:lang w:val="en-US"/>
        </w:rPr>
        <w:t xml:space="preserve">Safe discharge means shared decision making with an application of risk communication and decision aids recommended by NICE guidelines, as preference-sensitive decisions must be based on the values of the person, rather than service pressure (NICE, 2021). the ICS statutory guidance also describes the shared decision making as a legal obligation to be involved, and not an act of courtesy (NHS England, 2022). Information flows must be based on a documented legal foundation of direct care with Article 9 condition which is recorded in DPIAs where necessary and therefore data flow in a lawful and timely way between ward, GP, community and social care (NHS Innovation Service, 2025). The discharge-to-assess pathways and care transfer hubs are the framework of operationally necessary so-called home first plans and rapid community response </w:t>
      </w:r>
      <w:r w:rsidRPr="00C55297">
        <w:rPr>
          <w:lang w:val="en-US"/>
        </w:rPr>
        <w:lastRenderedPageBreak/>
        <w:t xml:space="preserve">that minimizes the risk of deconditioning and bed-day loss when implemented at capacity (DHSC, 2024). </w:t>
      </w:r>
    </w:p>
    <w:p w14:paraId="2FBCD946" w14:textId="77777777" w:rsidR="008D05F4" w:rsidRPr="008D05F4" w:rsidRDefault="008D05F4" w:rsidP="008D05F4">
      <w:pPr>
        <w:pStyle w:val="Heading1"/>
      </w:pPr>
      <w:r w:rsidRPr="008D05F4">
        <w:t xml:space="preserve">Policy and legislation: how PCC and PW are embedded and </w:t>
      </w:r>
      <w:r>
        <w:t>evaluated</w:t>
      </w:r>
    </w:p>
    <w:p w14:paraId="2FBCD947" w14:textId="12A7005D" w:rsidR="008D05F4" w:rsidRPr="008D05F4" w:rsidRDefault="008D05F4" w:rsidP="008D05F4">
      <w:pPr>
        <w:rPr>
          <w:lang w:val="en-US"/>
        </w:rPr>
      </w:pPr>
      <w:r w:rsidRPr="008D05F4">
        <w:rPr>
          <w:lang w:val="en-US"/>
        </w:rPr>
        <w:t xml:space="preserve">The Health and Care Act 2022 </w:t>
      </w:r>
      <w:r w:rsidR="009E3C77" w:rsidRPr="008D05F4">
        <w:rPr>
          <w:lang w:val="en-US"/>
        </w:rPr>
        <w:t>create</w:t>
      </w:r>
      <w:r w:rsidRPr="008D05F4">
        <w:rPr>
          <w:lang w:val="en-US"/>
        </w:rPr>
        <w:t xml:space="preserve"> ICBs and ICPs with duties to arrange services and work with partners, which mandates system-level collaboration and invites CQC system assessments as an external check on performance (Legislation.gov.uk, 2022; CQC, 2023). The Care Act 2014 wellbeing duty requires local authorities to promote dignity, control, and independent living, which justifies investment in </w:t>
      </w:r>
      <w:r w:rsidR="009E3C77" w:rsidRPr="008D05F4">
        <w:rPr>
          <w:lang w:val="en-US"/>
        </w:rPr>
        <w:t>rabblement</w:t>
      </w:r>
      <w:r w:rsidRPr="008D05F4">
        <w:rPr>
          <w:lang w:val="en-US"/>
        </w:rPr>
        <w:t xml:space="preserve"> during discharge (GOV.UK, 2023). The Equality Act 2010 Public Sector Equality Duty requires due regard to advancing equality, so discharge pathways must track and narrow gaps by deprivation, ethnicity, disability, and language (GOV.UK, 2023). UK GDPR and the DPA 2018 require lawful, necessary, and proportionate data use; the ICO Data Sharing Code gives practical routes to share for direct care without delay (ICO, 2021). The </w:t>
      </w:r>
      <w:r w:rsidR="009E3C77" w:rsidRPr="008D05F4">
        <w:rPr>
          <w:lang w:val="en-US"/>
        </w:rPr>
        <w:t>Statutory</w:t>
      </w:r>
      <w:r w:rsidRPr="008D05F4">
        <w:rPr>
          <w:lang w:val="en-US"/>
        </w:rPr>
        <w:t xml:space="preserve"> Duty of </w:t>
      </w:r>
      <w:r w:rsidR="009E3C77" w:rsidRPr="008D05F4">
        <w:rPr>
          <w:lang w:val="en-US"/>
        </w:rPr>
        <w:t>Candor</w:t>
      </w:r>
      <w:r w:rsidRPr="008D05F4">
        <w:rPr>
          <w:lang w:val="en-US"/>
        </w:rPr>
        <w:t xml:space="preserve"> requires open communication after notifiable safety incidents, which strengthens trust during multi-agency reviews of discharge harm (CQC, 2025). </w:t>
      </w:r>
    </w:p>
    <w:p w14:paraId="2FBCD948" w14:textId="70EAFD79" w:rsidR="008D05F4" w:rsidRPr="008D05F4" w:rsidRDefault="00C55297" w:rsidP="008D05F4">
      <w:pPr>
        <w:rPr>
          <w:lang w:val="en-US"/>
        </w:rPr>
      </w:pPr>
      <w:r w:rsidRPr="00C55297">
        <w:rPr>
          <w:lang w:val="en-US"/>
        </w:rPr>
        <w:t xml:space="preserve">NICE NG197 implements shared decision making throughout the services, and it means that it requires training, decision aids, and consent documentation audits as quality assurance (NICE, 2021). The principles and methods of involvement introduced in the NHS England “Working in partnership with people and communities” presuppose ICS-wide involvement plans and measures of the quality of involvement (NHS England, 2022). The Hospital Discharge and Community Support Guidance </w:t>
      </w:r>
      <w:r w:rsidR="009E3C77" w:rsidRPr="00C55297">
        <w:rPr>
          <w:lang w:val="en-US"/>
        </w:rPr>
        <w:t>identify</w:t>
      </w:r>
      <w:r w:rsidRPr="00C55297">
        <w:rPr>
          <w:lang w:val="en-US"/>
        </w:rPr>
        <w:t xml:space="preserve"> discharge-to-assess pathways and care transfer hubs, meaning that a description of roles is clear, daily escalation is implied, and shared operating procedures across </w:t>
      </w:r>
      <w:r w:rsidR="009E3C77" w:rsidRPr="00C55297">
        <w:rPr>
          <w:lang w:val="en-US"/>
        </w:rPr>
        <w:t>organizations</w:t>
      </w:r>
      <w:r w:rsidRPr="00C55297">
        <w:rPr>
          <w:lang w:val="en-US"/>
        </w:rPr>
        <w:t xml:space="preserve"> (DHSC, 2024). Urgent and Emergency Care Recovery Plan proposes a discharge-ready measure and biannual NHS-local government management, which means that the system is reviewed monthly, and weak links are activel</w:t>
      </w:r>
      <w:r>
        <w:rPr>
          <w:lang w:val="en-US"/>
        </w:rPr>
        <w:t>y supported (NHS England, 2024)</w:t>
      </w:r>
      <w:r w:rsidR="008D05F4" w:rsidRPr="008D05F4">
        <w:rPr>
          <w:lang w:val="en-US"/>
        </w:rPr>
        <w:t xml:space="preserve">. </w:t>
      </w:r>
    </w:p>
    <w:p w14:paraId="2FBCD949" w14:textId="77777777" w:rsidR="008D05F4" w:rsidRPr="008D05F4" w:rsidRDefault="008D05F4" w:rsidP="008D05F4">
      <w:pPr>
        <w:pStyle w:val="Heading1"/>
      </w:pPr>
      <w:r w:rsidRPr="008D05F4">
        <w:t>Recommendations for fu</w:t>
      </w:r>
      <w:r>
        <w:t>ture development in the UK</w:t>
      </w:r>
    </w:p>
    <w:p w14:paraId="2FBCD94A" w14:textId="643AD14F" w:rsidR="008D05F4" w:rsidRPr="008D05F4" w:rsidRDefault="008D05F4" w:rsidP="008D05F4">
      <w:pPr>
        <w:rPr>
          <w:lang w:val="en-US"/>
        </w:rPr>
      </w:pPr>
      <w:r w:rsidRPr="008D05F4">
        <w:rPr>
          <w:lang w:val="en-US"/>
        </w:rPr>
        <w:t xml:space="preserve">Adopt NG197 decision aids for high-risk discharges and train ward and community staff, because better risk communication reduces regret and unsafe returns; risk is time cost on pressured wards; mitigation is micro-learning and in-workflow prompts (NICE, 2021). Make the </w:t>
      </w:r>
      <w:r w:rsidR="00207271" w:rsidRPr="008D05F4">
        <w:rPr>
          <w:lang w:val="en-US"/>
        </w:rPr>
        <w:t>personalized</w:t>
      </w:r>
      <w:r w:rsidRPr="008D05F4">
        <w:rPr>
          <w:lang w:val="en-US"/>
        </w:rPr>
        <w:t xml:space="preserve"> care </w:t>
      </w:r>
      <w:r w:rsidRPr="008D05F4">
        <w:rPr>
          <w:lang w:val="en-US"/>
        </w:rPr>
        <w:lastRenderedPageBreak/>
        <w:t>and support plan the single shared record visible to all partners and carers, because one plan cuts duplication; risk is interoperability gaps; mitigation is phased integration using existing national interoperability paths (NHS England, 2022)</w:t>
      </w:r>
      <w:r>
        <w:rPr>
          <w:lang w:val="en-US"/>
        </w:rPr>
        <w:t>.</w:t>
      </w:r>
      <w:r w:rsidRPr="008D05F4">
        <w:rPr>
          <w:lang w:val="en-US"/>
        </w:rPr>
        <w:t xml:space="preserve"> </w:t>
      </w:r>
    </w:p>
    <w:p w14:paraId="2FBCD94B" w14:textId="5CE9A4D3" w:rsidR="008D05F4" w:rsidRPr="00C55297" w:rsidRDefault="00C55297" w:rsidP="008D05F4">
      <w:pPr>
        <w:rPr>
          <w:lang w:val="en-US"/>
        </w:rPr>
      </w:pPr>
      <w:r w:rsidRPr="00C55297">
        <w:rPr>
          <w:bCs/>
          <w:lang w:val="en-US"/>
        </w:rPr>
        <w:t>In addition, make daily MDT huddles against Bronstein elements to explain interdependence and ownership, as role clarity eliminates handover failure; risk is meeting inflation; mitigation is time-boxed huddles and single action log (CSWE, 2018). Introduce legal data-sharing playbook with default Article 6/9 bases, direct care templates, and DPIA templates since the uncertainty and delay are frequently not caused by the law but rather by risk-</w:t>
      </w:r>
      <w:r w:rsidR="00207271" w:rsidRPr="00C55297">
        <w:rPr>
          <w:bCs/>
          <w:lang w:val="en-US"/>
        </w:rPr>
        <w:t>aversion:</w:t>
      </w:r>
      <w:r w:rsidRPr="00C55297">
        <w:rPr>
          <w:bCs/>
          <w:lang w:val="en-US"/>
        </w:rPr>
        <w:t xml:space="preserve"> control through executive signature and Caldicott leadership (ICO, 2021). Monthly learning cycles should be prompted using the discharge-ready metric and 30-day readmissions and first-contact time, as PW works best when information drives joint action; risk is when data is gameable; mitigation is when data is published to the ICS level (NHS England, 202324).</w:t>
      </w:r>
      <w:r w:rsidR="008D05F4" w:rsidRPr="00C55297">
        <w:rPr>
          <w:lang w:val="en-US"/>
        </w:rPr>
        <w:t xml:space="preserve"> </w:t>
      </w:r>
    </w:p>
    <w:p w14:paraId="2FBCD94C" w14:textId="77777777" w:rsidR="008D05F4" w:rsidRPr="008D05F4" w:rsidRDefault="008D05F4" w:rsidP="008D05F4">
      <w:pPr>
        <w:pStyle w:val="Heading2"/>
      </w:pPr>
      <w:r w:rsidRPr="008D05F4">
        <w:t>Implement</w:t>
      </w:r>
      <w:r w:rsidR="00C55297">
        <w:t>ation risks and mitigations</w:t>
      </w:r>
    </w:p>
    <w:p w14:paraId="2FBCD94D" w14:textId="7BA6E1D9" w:rsidR="008D05F4" w:rsidRPr="008D05F4" w:rsidRDefault="008D05F4" w:rsidP="008D05F4">
      <w:pPr>
        <w:rPr>
          <w:lang w:val="en-US"/>
        </w:rPr>
      </w:pPr>
      <w:r w:rsidRPr="008D05F4">
        <w:rPr>
          <w:lang w:val="en-US"/>
        </w:rPr>
        <w:t xml:space="preserve">Community capacity may be the binding constraint; target investment at </w:t>
      </w:r>
      <w:r w:rsidR="009E3C77" w:rsidRPr="008D05F4">
        <w:rPr>
          <w:lang w:val="en-US"/>
        </w:rPr>
        <w:t>rabblement</w:t>
      </w:r>
      <w:r w:rsidRPr="008D05F4">
        <w:rPr>
          <w:lang w:val="en-US"/>
        </w:rPr>
        <w:t xml:space="preserve"> and home care where delays cluster, because evidence links capacity with discharge flow; risk is cost pressure; mitigation is pooled budgets at place level (Nuffield Trust, 2025). Workforce time for SDM is scarce; embed decision support into EPR workflows to cut administrative load; risk is staff adoption; mitigation is audit and feedback using NG197 process measures (NICE, 2021). </w:t>
      </w:r>
    </w:p>
    <w:p w14:paraId="2FBCD94E" w14:textId="77777777" w:rsidR="008D05F4" w:rsidRPr="008D05F4" w:rsidRDefault="008D05F4" w:rsidP="008D05F4">
      <w:pPr>
        <w:pStyle w:val="Heading1"/>
      </w:pPr>
      <w:r w:rsidRPr="008D05F4">
        <w:t>C</w:t>
      </w:r>
      <w:r>
        <w:t>onclusion</w:t>
      </w:r>
    </w:p>
    <w:p w14:paraId="2FBCD94F" w14:textId="7D0C6E1A" w:rsidR="008D05F4" w:rsidRPr="008D05F4" w:rsidRDefault="008D05F4" w:rsidP="008D05F4">
      <w:pPr>
        <w:rPr>
          <w:lang w:val="en-US"/>
        </w:rPr>
      </w:pPr>
      <w:r w:rsidRPr="008D05F4">
        <w:rPr>
          <w:lang w:val="en-US"/>
        </w:rPr>
        <w:t xml:space="preserve">PCC sets the goal, and PW supplies the means. In frail-older-adult discharge, ICS duties, care transfer hubs, lawful data-sharing, and co-production convert values into safer handovers and faster flow when backed by community capacity and shared </w:t>
      </w:r>
      <w:r w:rsidR="009E3C77" w:rsidRPr="008D05F4">
        <w:rPr>
          <w:lang w:val="en-US"/>
        </w:rPr>
        <w:t>metri</w:t>
      </w:r>
      <w:r w:rsidR="009E3C77">
        <w:rPr>
          <w:lang w:val="en-US"/>
        </w:rPr>
        <w:t>cs.</w:t>
      </w:r>
      <w:r w:rsidR="009E3C77" w:rsidRPr="008D05F4">
        <w:rPr>
          <w:lang w:val="en-US"/>
        </w:rPr>
        <w:t xml:space="preserve"> What</w:t>
      </w:r>
      <w:r w:rsidRPr="008D05F4">
        <w:rPr>
          <w:lang w:val="en-US"/>
        </w:rPr>
        <w:t xml:space="preserve"> remains hard is aligning accountability and capacity across many actors while protecting autonomy under real pressure. The highest-value changes are routine SDM with decision aids, a single shared care plan across sectors, and disciplined monthly learning on discharge-ready time and readmissions, because these align </w:t>
      </w:r>
      <w:r w:rsidR="009E3C77" w:rsidRPr="008D05F4">
        <w:rPr>
          <w:lang w:val="en-US"/>
        </w:rPr>
        <w:t>mechanisms</w:t>
      </w:r>
      <w:r w:rsidRPr="008D05F4">
        <w:rPr>
          <w:lang w:val="en-US"/>
        </w:rPr>
        <w:t xml:space="preserve"> with</w:t>
      </w:r>
      <w:r>
        <w:rPr>
          <w:lang w:val="en-US"/>
        </w:rPr>
        <w:t xml:space="preserve"> outcome at acceptable cost.</w:t>
      </w:r>
    </w:p>
    <w:p w14:paraId="2FBCD950" w14:textId="77777777" w:rsidR="00B30A85" w:rsidRDefault="00B30A85"/>
    <w:p w14:paraId="2FBCD951" w14:textId="77777777" w:rsidR="00AB316A" w:rsidRDefault="00AB316A"/>
    <w:p w14:paraId="2FBCD952" w14:textId="77777777" w:rsidR="00AB316A" w:rsidRDefault="00AB316A"/>
    <w:p w14:paraId="2FBCD953" w14:textId="77777777" w:rsidR="00AB316A" w:rsidRDefault="00AB316A"/>
    <w:p w14:paraId="2FBCD954" w14:textId="77777777" w:rsidR="00AB316A" w:rsidRDefault="00AB316A"/>
    <w:p w14:paraId="2FBCD955" w14:textId="77777777" w:rsidR="00AB316A" w:rsidRDefault="00AB316A"/>
    <w:p w14:paraId="2FBCD956" w14:textId="77777777" w:rsidR="00AB316A" w:rsidRDefault="00AB316A"/>
    <w:p w14:paraId="2FBCD957" w14:textId="77777777" w:rsidR="00AB316A" w:rsidRDefault="00AB316A"/>
    <w:p w14:paraId="2FBCD958" w14:textId="77777777" w:rsidR="00AB316A" w:rsidRDefault="00AB316A"/>
    <w:p w14:paraId="2FBCD959" w14:textId="77777777" w:rsidR="00AB316A" w:rsidRDefault="00AB316A"/>
    <w:p w14:paraId="2FBCD95A" w14:textId="77777777" w:rsidR="00AB316A" w:rsidRDefault="00AB316A"/>
    <w:p w14:paraId="2FBCD95B" w14:textId="77777777" w:rsidR="00AB316A" w:rsidRDefault="00AB316A"/>
    <w:p w14:paraId="2FBCD95C" w14:textId="77777777" w:rsidR="00AB316A" w:rsidRDefault="00AB316A"/>
    <w:p w14:paraId="2FBCD95D" w14:textId="77777777" w:rsidR="00AB316A" w:rsidRDefault="00AB316A"/>
    <w:p w14:paraId="2FBCD95E" w14:textId="77777777" w:rsidR="00AB316A" w:rsidRDefault="00AB316A"/>
    <w:p w14:paraId="2FBCD95F" w14:textId="77777777" w:rsidR="00AB316A" w:rsidRDefault="00AB316A"/>
    <w:p w14:paraId="2FBCD960" w14:textId="77777777" w:rsidR="00AB316A" w:rsidRDefault="00AB316A"/>
    <w:p w14:paraId="2FBCD961" w14:textId="77777777" w:rsidR="00AB316A" w:rsidRDefault="00AB316A"/>
    <w:p w14:paraId="2FBCD962" w14:textId="77777777" w:rsidR="00AB316A" w:rsidRDefault="00AB316A"/>
    <w:p w14:paraId="2FBCD963" w14:textId="77777777" w:rsidR="00AB316A" w:rsidRDefault="00AB316A"/>
    <w:p w14:paraId="2FBCD964" w14:textId="77777777" w:rsidR="00AB316A" w:rsidRDefault="00AB316A"/>
    <w:p w14:paraId="2FBCD965" w14:textId="77777777" w:rsidR="00AB316A" w:rsidRDefault="00AB316A"/>
    <w:p w14:paraId="2FBCD966" w14:textId="77777777" w:rsidR="00AB316A" w:rsidRPr="00AB316A" w:rsidRDefault="00AB316A" w:rsidP="00AB316A">
      <w:pPr>
        <w:pStyle w:val="Heading1"/>
      </w:pPr>
      <w:r>
        <w:t>References</w:t>
      </w:r>
    </w:p>
    <w:p w14:paraId="2FBCD967" w14:textId="72B6203A" w:rsidR="00AB316A" w:rsidRDefault="00AB316A" w:rsidP="00AB316A">
      <w:pPr>
        <w:rPr>
          <w:lang w:val="en-US"/>
        </w:rPr>
      </w:pPr>
      <w:r w:rsidRPr="00AB316A">
        <w:rPr>
          <w:lang w:val="en-US"/>
        </w:rPr>
        <w:t>Aunger, J.A., Millar, R. and Greenhalgh, J. (</w:t>
      </w:r>
      <w:r w:rsidR="00DA18C2" w:rsidRPr="00AB316A">
        <w:rPr>
          <w:lang w:val="en-US"/>
        </w:rPr>
        <w:t xml:space="preserve">2023) </w:t>
      </w:r>
      <w:r w:rsidRPr="00AB316A">
        <w:rPr>
          <w:lang w:val="en-US"/>
        </w:rPr>
        <w:t xml:space="preserve">Modelling lifecycles of inter-organizational collaborations in healthcare: a systematic review and best-fit framework synthesis’, </w:t>
      </w:r>
      <w:r w:rsidRPr="00AB316A">
        <w:rPr>
          <w:i/>
          <w:iCs/>
          <w:lang w:val="en-US"/>
        </w:rPr>
        <w:t xml:space="preserve">Journal of </w:t>
      </w:r>
      <w:r w:rsidRPr="00AB316A">
        <w:rPr>
          <w:i/>
          <w:iCs/>
          <w:lang w:val="en-US"/>
        </w:rPr>
        <w:lastRenderedPageBreak/>
        <w:t>Health Organization and Management</w:t>
      </w:r>
      <w:r w:rsidRPr="00AB316A">
        <w:rPr>
          <w:lang w:val="en-US"/>
        </w:rPr>
        <w:t>, 37(8). Available at: https://www.emerald.com/insight/content/doi/10.1108/jhom-01-2022-0025/full/html (Accessed: 6 November 2025).</w:t>
      </w:r>
    </w:p>
    <w:p w14:paraId="2FBCD968" w14:textId="77777777" w:rsidR="00AB316A" w:rsidRPr="00AB316A" w:rsidRDefault="00AB316A" w:rsidP="00AB316A">
      <w:pPr>
        <w:rPr>
          <w:lang w:val="en-US"/>
        </w:rPr>
      </w:pPr>
      <w:r w:rsidRPr="00AB316A">
        <w:rPr>
          <w:lang w:val="en-US"/>
        </w:rPr>
        <w:t xml:space="preserve">Care Quality Commission (2023) </w:t>
      </w:r>
      <w:r w:rsidRPr="00AB316A">
        <w:rPr>
          <w:i/>
          <w:iCs/>
          <w:lang w:val="en-US"/>
        </w:rPr>
        <w:t>Integrated care systems — State of Care 2023/24</w:t>
      </w:r>
      <w:r w:rsidRPr="00AB316A">
        <w:rPr>
          <w:lang w:val="en-US"/>
        </w:rPr>
        <w:t xml:space="preserve">. Available at: https://www.cqc.org.uk/publications/major-report/state-care/2023-2024/local-systems/ics (Accessed: 6 November 2025). </w:t>
      </w:r>
    </w:p>
    <w:p w14:paraId="2FBCD969" w14:textId="77777777" w:rsidR="00AB316A" w:rsidRPr="00AB316A" w:rsidRDefault="00AB316A" w:rsidP="00AB316A">
      <w:pPr>
        <w:rPr>
          <w:lang w:val="en-US"/>
        </w:rPr>
      </w:pPr>
      <w:r w:rsidRPr="00AB316A">
        <w:rPr>
          <w:lang w:val="en-US"/>
        </w:rPr>
        <w:t xml:space="preserve">Care Quality Commission (2025) </w:t>
      </w:r>
      <w:r w:rsidRPr="00AB316A">
        <w:rPr>
          <w:i/>
          <w:iCs/>
          <w:lang w:val="en-US"/>
        </w:rPr>
        <w:t>Regulation 20: Duty of candour</w:t>
      </w:r>
      <w:r w:rsidRPr="00AB316A">
        <w:rPr>
          <w:lang w:val="en-US"/>
        </w:rPr>
        <w:t xml:space="preserve">. Available at: https://www.cqc.org.uk/guidance-regulation/providers/regulations-service-providers-and-managers/health-social-care-act/regulation-20 (Accessed: 6 November 2025). </w:t>
      </w:r>
    </w:p>
    <w:p w14:paraId="2FBCD96A" w14:textId="77777777" w:rsidR="00AB316A" w:rsidRPr="00AB316A" w:rsidRDefault="00AB316A" w:rsidP="00AB316A">
      <w:pPr>
        <w:rPr>
          <w:lang w:val="en-US"/>
        </w:rPr>
      </w:pPr>
      <w:r w:rsidRPr="00AB316A">
        <w:rPr>
          <w:lang w:val="en-US"/>
        </w:rPr>
        <w:t xml:space="preserve">CQC (2025) </w:t>
      </w:r>
      <w:r w:rsidRPr="00AB316A">
        <w:rPr>
          <w:i/>
          <w:iCs/>
          <w:lang w:val="en-US"/>
        </w:rPr>
        <w:t>Duty of candour: guidance for providers</w:t>
      </w:r>
      <w:r w:rsidRPr="00AB316A">
        <w:rPr>
          <w:lang w:val="en-US"/>
        </w:rPr>
        <w:t>. Care Quality Commission. Available at: https://www.cqc.org.uk/guidance-providers/all-services/duty-candour (Accessed: 6 November 2025).</w:t>
      </w:r>
    </w:p>
    <w:p w14:paraId="2FBCD96B" w14:textId="77777777" w:rsidR="00AB316A" w:rsidRPr="00AB316A" w:rsidRDefault="00AB316A" w:rsidP="00AB316A">
      <w:pPr>
        <w:rPr>
          <w:lang w:val="en-US"/>
        </w:rPr>
      </w:pPr>
      <w:r w:rsidRPr="00AB316A">
        <w:rPr>
          <w:lang w:val="en-US"/>
        </w:rPr>
        <w:t xml:space="preserve">CSWE (2018) </w:t>
      </w:r>
      <w:r w:rsidRPr="00AB316A">
        <w:rPr>
          <w:i/>
          <w:iCs/>
          <w:lang w:val="en-US"/>
        </w:rPr>
        <w:t>A Guide for Interprofessional Collaboration</w:t>
      </w:r>
      <w:r w:rsidRPr="00AB316A">
        <w:rPr>
          <w:lang w:val="en-US"/>
        </w:rPr>
        <w:t xml:space="preserve">. Council on Social Work Education. Available at: https://www.cswe.org/products/a-guide-for-interprofessional-collaboration/ (Accessed: 6 November 2025). </w:t>
      </w:r>
    </w:p>
    <w:p w14:paraId="2FBCD96C" w14:textId="77777777" w:rsidR="00AB316A" w:rsidRPr="00AB316A" w:rsidRDefault="00AB316A" w:rsidP="00AB316A">
      <w:pPr>
        <w:rPr>
          <w:lang w:val="en-US"/>
        </w:rPr>
      </w:pPr>
      <w:r w:rsidRPr="00AB316A">
        <w:rPr>
          <w:lang w:val="en-US"/>
        </w:rPr>
        <w:t xml:space="preserve">Department of Health and Social Care (2024) </w:t>
      </w:r>
      <w:r w:rsidRPr="00AB316A">
        <w:rPr>
          <w:i/>
          <w:iCs/>
          <w:lang w:val="en-US"/>
        </w:rPr>
        <w:t>Hospital discharge and community support guidance</w:t>
      </w:r>
      <w:r w:rsidRPr="00AB316A">
        <w:rPr>
          <w:lang w:val="en-US"/>
        </w:rPr>
        <w:t xml:space="preserve">. Available at: https://www.gov.uk/government/publications/hospital-discharge-and-community-support-guidance/hospital-discharge-and-community-support-guidance (Accessed: 6 November 2025). </w:t>
      </w:r>
    </w:p>
    <w:p w14:paraId="2FBCD96D" w14:textId="77777777" w:rsidR="00AB316A" w:rsidRPr="00AB316A" w:rsidRDefault="00AB316A" w:rsidP="00AB316A">
      <w:pPr>
        <w:rPr>
          <w:lang w:val="en-US"/>
        </w:rPr>
      </w:pPr>
      <w:r w:rsidRPr="00AB316A">
        <w:rPr>
          <w:lang w:val="en-US"/>
        </w:rPr>
        <w:t xml:space="preserve">DHSC (2024) </w:t>
      </w:r>
      <w:r w:rsidRPr="00AB316A">
        <w:rPr>
          <w:i/>
          <w:iCs/>
          <w:lang w:val="en-US"/>
        </w:rPr>
        <w:t>Hospital discharge and community support guidance</w:t>
      </w:r>
      <w:r w:rsidRPr="00AB316A">
        <w:rPr>
          <w:lang w:val="en-US"/>
        </w:rPr>
        <w:t xml:space="preserve">. Department of Health and Social Care. Available at: </w:t>
      </w:r>
      <w:hyperlink r:id="rId7" w:tgtFrame="_new" w:history="1">
        <w:r w:rsidRPr="00AB316A">
          <w:rPr>
            <w:rStyle w:val="Hyperlink"/>
            <w:lang w:val="en-US"/>
          </w:rPr>
          <w:t>https://www.gov.uk/government/publications/hospital-discharge-and-community-support-guidance/hospital-discharge-and-community-support-guidance</w:t>
        </w:r>
      </w:hyperlink>
      <w:r w:rsidRPr="00AB316A">
        <w:rPr>
          <w:lang w:val="en-US"/>
        </w:rPr>
        <w:t xml:space="preserve"> (Accessed: 6 November 2025).</w:t>
      </w:r>
    </w:p>
    <w:p w14:paraId="2FBCD96E" w14:textId="77777777" w:rsidR="00AB316A" w:rsidRPr="00AB316A" w:rsidRDefault="00AB316A" w:rsidP="00AB316A">
      <w:pPr>
        <w:rPr>
          <w:lang w:val="en-US"/>
        </w:rPr>
      </w:pPr>
      <w:r w:rsidRPr="00AB316A">
        <w:rPr>
          <w:lang w:val="en-US"/>
        </w:rPr>
        <w:t xml:space="preserve">GMC (2020) </w:t>
      </w:r>
      <w:r w:rsidRPr="00AB316A">
        <w:rPr>
          <w:i/>
          <w:iCs/>
          <w:lang w:val="en-US"/>
        </w:rPr>
        <w:t>Decision making and consent</w:t>
      </w:r>
      <w:r w:rsidRPr="00AB316A">
        <w:rPr>
          <w:lang w:val="en-US"/>
        </w:rPr>
        <w:t xml:space="preserve">. General Medical Council. Available at: </w:t>
      </w:r>
      <w:hyperlink r:id="rId8" w:tgtFrame="_new" w:history="1">
        <w:r w:rsidRPr="00AB316A">
          <w:rPr>
            <w:rStyle w:val="Hyperlink"/>
            <w:lang w:val="en-US"/>
          </w:rPr>
          <w:t>https://www.gmc-uk.org/professional-standards/the-professional-standards/decision-making-and-consent</w:t>
        </w:r>
      </w:hyperlink>
      <w:r w:rsidRPr="00AB316A">
        <w:rPr>
          <w:lang w:val="en-US"/>
        </w:rPr>
        <w:t xml:space="preserve"> (Accessed: 6 November 2025).</w:t>
      </w:r>
    </w:p>
    <w:p w14:paraId="2FBCD96F" w14:textId="77777777" w:rsidR="00AB316A" w:rsidRPr="00AB316A" w:rsidRDefault="00AB316A" w:rsidP="00AB316A">
      <w:pPr>
        <w:rPr>
          <w:lang w:val="en-US"/>
        </w:rPr>
      </w:pPr>
      <w:r w:rsidRPr="00AB316A">
        <w:rPr>
          <w:lang w:val="en-US"/>
        </w:rPr>
        <w:lastRenderedPageBreak/>
        <w:t xml:space="preserve">GOV.UK (2023) </w:t>
      </w:r>
      <w:r w:rsidRPr="00AB316A">
        <w:rPr>
          <w:i/>
          <w:iCs/>
          <w:lang w:val="en-US"/>
        </w:rPr>
        <w:t>Care and Support Statutory Guidance — Wellbeing</w:t>
      </w:r>
      <w:r w:rsidRPr="00AB316A">
        <w:rPr>
          <w:lang w:val="en-US"/>
        </w:rPr>
        <w:t xml:space="preserve">. Available at: https://www.gov.uk/government/publications/care-act-statutory-guidance/care-and-support-statutory-guidance (Accessed: 6 November 2025). </w:t>
      </w:r>
    </w:p>
    <w:p w14:paraId="2FBCD970" w14:textId="77777777" w:rsidR="00AB316A" w:rsidRPr="00AB316A" w:rsidRDefault="00AB316A" w:rsidP="00AB316A">
      <w:pPr>
        <w:rPr>
          <w:lang w:val="en-US"/>
        </w:rPr>
      </w:pPr>
      <w:r w:rsidRPr="00AB316A">
        <w:rPr>
          <w:lang w:val="en-US"/>
        </w:rPr>
        <w:t xml:space="preserve">Information Commissioner’s Office (2021) </w:t>
      </w:r>
      <w:r w:rsidRPr="00AB316A">
        <w:rPr>
          <w:i/>
          <w:iCs/>
          <w:lang w:val="en-US"/>
        </w:rPr>
        <w:t>Data sharing: a code of practice</w:t>
      </w:r>
      <w:r w:rsidRPr="00AB316A">
        <w:rPr>
          <w:lang w:val="en-US"/>
        </w:rPr>
        <w:t xml:space="preserve">. Available at: https://ico.org.uk/for-organisations/uk-gdpr-guidance-and-resources/data-sharing/data-sharing-a-code-of-practice/ (Accessed: 6 November 2025). </w:t>
      </w:r>
    </w:p>
    <w:p w14:paraId="2FBCD971" w14:textId="77777777" w:rsidR="00AB316A" w:rsidRPr="00AB316A" w:rsidRDefault="00AB316A" w:rsidP="00AB316A">
      <w:pPr>
        <w:rPr>
          <w:lang w:val="en-US"/>
        </w:rPr>
      </w:pPr>
      <w:r w:rsidRPr="00AB316A">
        <w:rPr>
          <w:lang w:val="en-US"/>
        </w:rPr>
        <w:t xml:space="preserve">Legislation.gov.uk (2022) </w:t>
      </w:r>
      <w:r w:rsidRPr="00AB316A">
        <w:rPr>
          <w:i/>
          <w:iCs/>
          <w:lang w:val="en-US"/>
        </w:rPr>
        <w:t>Health and Care Act 2022 — Part 1: ICB functions</w:t>
      </w:r>
      <w:r w:rsidRPr="00AB316A">
        <w:rPr>
          <w:lang w:val="en-US"/>
        </w:rPr>
        <w:t xml:space="preserve">. Available at: https://www.legislation.gov.uk/ukpga/2022/31/part/1/crossheading/integrated-care-boards-functions (Accessed: 6 November 2025). </w:t>
      </w:r>
    </w:p>
    <w:p w14:paraId="2FBCD973" w14:textId="18558271" w:rsidR="00AB316A" w:rsidRPr="00AB316A" w:rsidRDefault="00AB316A" w:rsidP="00AB316A">
      <w:pPr>
        <w:rPr>
          <w:lang w:val="en-US"/>
        </w:rPr>
      </w:pPr>
      <w:r w:rsidRPr="00AB316A">
        <w:rPr>
          <w:lang w:val="en-US"/>
        </w:rPr>
        <w:t xml:space="preserve">McCormack, B. and McCance, T. (2019) ‘The Person-Centred Nursing Framework’, in </w:t>
      </w:r>
      <w:r w:rsidRPr="00AB316A">
        <w:rPr>
          <w:i/>
          <w:iCs/>
          <w:lang w:val="en-US"/>
        </w:rPr>
        <w:t>Person-centred Nursing Research: Methodology, Methods and Outcomes</w:t>
      </w:r>
      <w:r w:rsidRPr="00AB316A">
        <w:rPr>
          <w:lang w:val="en-US"/>
        </w:rPr>
        <w:t>. Cham: Springer. Available at: https://link.springer.com/content/pdf/10.1007/978-3-030-27868-7_2.pdf (Accessed: 6 November 2025).</w:t>
      </w:r>
    </w:p>
    <w:p w14:paraId="2FBCD974" w14:textId="77777777" w:rsidR="00AB316A" w:rsidRPr="00AB316A" w:rsidRDefault="00AB316A" w:rsidP="00AB316A">
      <w:pPr>
        <w:rPr>
          <w:lang w:val="en-US"/>
        </w:rPr>
      </w:pPr>
      <w:r w:rsidRPr="00AB316A">
        <w:rPr>
          <w:lang w:val="en-US"/>
        </w:rPr>
        <w:t xml:space="preserve">National Academy for Social Prescribing (2024) </w:t>
      </w:r>
      <w:r w:rsidRPr="00AB316A">
        <w:rPr>
          <w:i/>
          <w:iCs/>
          <w:lang w:val="en-US"/>
        </w:rPr>
        <w:t>APPG briefing: Social prescribing and the health evidence</w:t>
      </w:r>
      <w:r w:rsidRPr="00AB316A">
        <w:rPr>
          <w:lang w:val="en-US"/>
        </w:rPr>
        <w:t>. NASP. Available at: https://socialprescribingacademy.org.uk/appg-briefing-social-prescribing-and-the-health-evidence/ (Accessed: 6 November 2025).</w:t>
      </w:r>
    </w:p>
    <w:p w14:paraId="2FBCD975" w14:textId="77777777" w:rsidR="00AB316A" w:rsidRPr="00AB316A" w:rsidRDefault="00AB316A" w:rsidP="00AB316A">
      <w:pPr>
        <w:rPr>
          <w:lang w:val="en-US"/>
        </w:rPr>
      </w:pPr>
      <w:r w:rsidRPr="00AB316A">
        <w:rPr>
          <w:lang w:val="en-US"/>
        </w:rPr>
        <w:t xml:space="preserve">National Data Guardian (2020) </w:t>
      </w:r>
      <w:r w:rsidRPr="00AB316A">
        <w:rPr>
          <w:i/>
          <w:iCs/>
          <w:lang w:val="en-US"/>
        </w:rPr>
        <w:t>Appendix 1: Caldicott Principles</w:t>
      </w:r>
      <w:r w:rsidRPr="00AB316A">
        <w:rPr>
          <w:lang w:val="en-US"/>
        </w:rPr>
        <w:t>. NDG. Available at: https://www.ndg.uk/caldicott-principles/ (Accessed: 6 November 2025).</w:t>
      </w:r>
    </w:p>
    <w:p w14:paraId="2FBCD976" w14:textId="77777777" w:rsidR="00AB316A" w:rsidRPr="00AB316A" w:rsidRDefault="00AB316A" w:rsidP="00AB316A">
      <w:pPr>
        <w:rPr>
          <w:lang w:val="en-US"/>
        </w:rPr>
      </w:pPr>
      <w:r w:rsidRPr="00AB316A">
        <w:rPr>
          <w:lang w:val="en-US"/>
        </w:rPr>
        <w:t xml:space="preserve">NHS England (2021) </w:t>
      </w:r>
      <w:r w:rsidRPr="00AB316A">
        <w:rPr>
          <w:i/>
          <w:iCs/>
          <w:lang w:val="en-US"/>
        </w:rPr>
        <w:t>Supported self-management</w:t>
      </w:r>
      <w:r w:rsidRPr="00AB316A">
        <w:rPr>
          <w:lang w:val="en-US"/>
        </w:rPr>
        <w:t xml:space="preserve">. NHS England. Available at: </w:t>
      </w:r>
      <w:hyperlink r:id="rId9" w:tgtFrame="_new" w:history="1">
        <w:r w:rsidRPr="00AB316A">
          <w:rPr>
            <w:rStyle w:val="Hyperlink"/>
            <w:lang w:val="en-US"/>
          </w:rPr>
          <w:t>https://www.england.nhs.uk/personalisedcare/supported-self-management/</w:t>
        </w:r>
      </w:hyperlink>
      <w:r w:rsidRPr="00AB316A">
        <w:rPr>
          <w:lang w:val="en-US"/>
        </w:rPr>
        <w:t xml:space="preserve"> (Accessed: 6 November 2025).</w:t>
      </w:r>
    </w:p>
    <w:p w14:paraId="2FBCD978" w14:textId="5A78A3A0" w:rsidR="00AB316A" w:rsidRPr="00AB316A" w:rsidRDefault="00AB316A" w:rsidP="00AB316A">
      <w:pPr>
        <w:rPr>
          <w:lang w:val="en-US"/>
        </w:rPr>
      </w:pPr>
      <w:r w:rsidRPr="00AB316A">
        <w:rPr>
          <w:lang w:val="en-US"/>
        </w:rPr>
        <w:t xml:space="preserve">NHS England (2022) </w:t>
      </w:r>
      <w:r w:rsidRPr="00AB316A">
        <w:rPr>
          <w:i/>
          <w:iCs/>
          <w:lang w:val="en-US"/>
        </w:rPr>
        <w:t>Working in partnership with people and communities: statutory guidance</w:t>
      </w:r>
      <w:r w:rsidRPr="00AB316A">
        <w:rPr>
          <w:lang w:val="en-US"/>
        </w:rPr>
        <w:t xml:space="preserve">. Available at: https://www.england.nhs.uk/publication/working-in-partnership-with-people-and-communities-statutory-guidance/ (Accessed: 6 November 2025). </w:t>
      </w:r>
    </w:p>
    <w:p w14:paraId="2FBCD979" w14:textId="77777777" w:rsidR="00AB316A" w:rsidRPr="00AB316A" w:rsidRDefault="00AB316A" w:rsidP="00AB316A">
      <w:pPr>
        <w:rPr>
          <w:lang w:val="en-US"/>
        </w:rPr>
      </w:pPr>
      <w:r w:rsidRPr="00AB316A">
        <w:rPr>
          <w:lang w:val="en-US"/>
        </w:rPr>
        <w:t xml:space="preserve">NHS England (2024) </w:t>
      </w:r>
      <w:r w:rsidRPr="00AB316A">
        <w:rPr>
          <w:i/>
          <w:iCs/>
          <w:lang w:val="en-US"/>
        </w:rPr>
        <w:t>Urgent and emergency care recovery plan year 2</w:t>
      </w:r>
      <w:r w:rsidRPr="00AB316A">
        <w:rPr>
          <w:lang w:val="en-US"/>
        </w:rPr>
        <w:t xml:space="preserve">. Available at: https://www.england.nhs.uk/long-read/urgent-and-emergency-care-recovery-plan-year-2-building-on-learning-from-2023-24/ (Accessed: 6 November 2025). </w:t>
      </w:r>
    </w:p>
    <w:p w14:paraId="2FBCD97A" w14:textId="77777777" w:rsidR="00AB316A" w:rsidRPr="00AB316A" w:rsidRDefault="00AB316A" w:rsidP="00AB316A">
      <w:pPr>
        <w:rPr>
          <w:lang w:val="en-US"/>
        </w:rPr>
      </w:pPr>
      <w:r w:rsidRPr="00AB316A">
        <w:rPr>
          <w:lang w:val="en-US"/>
        </w:rPr>
        <w:lastRenderedPageBreak/>
        <w:t xml:space="preserve">NHS England (2025) </w:t>
      </w:r>
      <w:r w:rsidRPr="00AB316A">
        <w:rPr>
          <w:i/>
          <w:iCs/>
          <w:lang w:val="en-US"/>
        </w:rPr>
        <w:t>Comprehensive model of personalised care</w:t>
      </w:r>
      <w:r w:rsidRPr="00AB316A">
        <w:rPr>
          <w:lang w:val="en-US"/>
        </w:rPr>
        <w:t xml:space="preserve">. NHS England. Available at: </w:t>
      </w:r>
      <w:hyperlink r:id="rId10" w:tgtFrame="_new" w:history="1">
        <w:r w:rsidRPr="00AB316A">
          <w:rPr>
            <w:rStyle w:val="Hyperlink"/>
            <w:lang w:val="en-US"/>
          </w:rPr>
          <w:t>https://www.england.nhs.uk/personalisedcare/comprehensive-model-of-personalised-care/</w:t>
        </w:r>
      </w:hyperlink>
      <w:r w:rsidRPr="00AB316A">
        <w:rPr>
          <w:lang w:val="en-US"/>
        </w:rPr>
        <w:t xml:space="preserve"> (Accessed: 6 November 2025).</w:t>
      </w:r>
    </w:p>
    <w:p w14:paraId="2FBCD97D" w14:textId="44533559" w:rsidR="00AB316A" w:rsidRPr="00AB316A" w:rsidRDefault="00AB316A" w:rsidP="00AB316A">
      <w:pPr>
        <w:rPr>
          <w:lang w:val="en-US"/>
        </w:rPr>
      </w:pPr>
      <w:r w:rsidRPr="00AB316A">
        <w:rPr>
          <w:lang w:val="en-US"/>
        </w:rPr>
        <w:t xml:space="preserve">NHS England (2025) </w:t>
      </w:r>
      <w:r w:rsidRPr="00AB316A">
        <w:rPr>
          <w:i/>
          <w:iCs/>
          <w:lang w:val="en-US"/>
        </w:rPr>
        <w:t>Guidance to support implementation of the Mental Capacity Act in acute trusts for adults with a learning disability</w:t>
      </w:r>
      <w:r w:rsidRPr="00AB316A">
        <w:rPr>
          <w:lang w:val="en-US"/>
        </w:rPr>
        <w:t xml:space="preserve">. NHS England. Available at: </w:t>
      </w:r>
      <w:hyperlink r:id="rId11" w:tgtFrame="_new" w:history="1">
        <w:r w:rsidRPr="00AB316A">
          <w:rPr>
            <w:rStyle w:val="Hyperlink"/>
            <w:lang w:val="en-US"/>
          </w:rPr>
          <w:t>https://www.england.nhs.uk/long-read/guidance-to-support-implementation-of-the-mental-capacity-act-in-acute-trusts-for-adults-with-a-learning-disability/</w:t>
        </w:r>
      </w:hyperlink>
      <w:r w:rsidRPr="00AB316A">
        <w:rPr>
          <w:lang w:val="en-US"/>
        </w:rPr>
        <w:t xml:space="preserve"> (Accessed: 6 November 2025).</w:t>
      </w:r>
    </w:p>
    <w:p w14:paraId="2FBCD97E" w14:textId="77777777" w:rsidR="00AB316A" w:rsidRPr="00AB316A" w:rsidRDefault="00AB316A" w:rsidP="00AB316A">
      <w:pPr>
        <w:rPr>
          <w:lang w:val="en-US"/>
        </w:rPr>
      </w:pPr>
      <w:r w:rsidRPr="00AB316A">
        <w:rPr>
          <w:lang w:val="en-US"/>
        </w:rPr>
        <w:t xml:space="preserve">NHS Providers (2024) </w:t>
      </w:r>
      <w:r w:rsidRPr="00AB316A">
        <w:rPr>
          <w:i/>
          <w:iCs/>
          <w:lang w:val="en-US"/>
        </w:rPr>
        <w:t>Overview of integrated care boards — Health and Care Act 2022</w:t>
      </w:r>
      <w:r w:rsidRPr="00AB316A">
        <w:rPr>
          <w:lang w:val="en-US"/>
        </w:rPr>
        <w:t xml:space="preserve">. Available at: https://nhsproviders.org/resources/a-guide-to-the-health-and-care-act-2022/overview-of-integrated-care-boards (Accessed: 6 November 2025). </w:t>
      </w:r>
    </w:p>
    <w:p w14:paraId="2FBCD97F" w14:textId="77777777" w:rsidR="00AB316A" w:rsidRPr="00AB316A" w:rsidRDefault="00AB316A" w:rsidP="00AB316A">
      <w:pPr>
        <w:rPr>
          <w:lang w:val="en-US"/>
        </w:rPr>
      </w:pPr>
      <w:r w:rsidRPr="00AB316A">
        <w:rPr>
          <w:lang w:val="en-US"/>
        </w:rPr>
        <w:t xml:space="preserve">NICE (2021) </w:t>
      </w:r>
      <w:r w:rsidRPr="00AB316A">
        <w:rPr>
          <w:i/>
          <w:iCs/>
          <w:lang w:val="en-US"/>
        </w:rPr>
        <w:t>Shared decision making (NG197)</w:t>
      </w:r>
      <w:r w:rsidRPr="00AB316A">
        <w:rPr>
          <w:lang w:val="en-US"/>
        </w:rPr>
        <w:t xml:space="preserve">. Available at: https://www.nice.org.uk/guidance/ng197 (Accessed: 6 November 2025). </w:t>
      </w:r>
    </w:p>
    <w:p w14:paraId="2FBCD980" w14:textId="77777777" w:rsidR="00AB316A" w:rsidRPr="00AB316A" w:rsidRDefault="00AB316A" w:rsidP="00AB316A">
      <w:pPr>
        <w:rPr>
          <w:lang w:val="en-US"/>
        </w:rPr>
      </w:pPr>
      <w:r w:rsidRPr="00AB316A">
        <w:rPr>
          <w:lang w:val="en-US"/>
        </w:rPr>
        <w:t xml:space="preserve">NICE (2021) </w:t>
      </w:r>
      <w:r w:rsidRPr="00AB316A">
        <w:rPr>
          <w:i/>
          <w:iCs/>
          <w:lang w:val="en-US"/>
        </w:rPr>
        <w:t>Shared decision making (NG197)</w:t>
      </w:r>
      <w:r w:rsidRPr="00AB316A">
        <w:rPr>
          <w:lang w:val="en-US"/>
        </w:rPr>
        <w:t xml:space="preserve">. National Institute for Health and Care Excellence. Available at: </w:t>
      </w:r>
      <w:hyperlink r:id="rId12" w:tgtFrame="_new" w:history="1">
        <w:r w:rsidRPr="00AB316A">
          <w:rPr>
            <w:rStyle w:val="Hyperlink"/>
            <w:lang w:val="en-US"/>
          </w:rPr>
          <w:t>https://www.nice.org.uk/guidance/ng197</w:t>
        </w:r>
      </w:hyperlink>
      <w:r w:rsidRPr="00AB316A">
        <w:rPr>
          <w:lang w:val="en-US"/>
        </w:rPr>
        <w:t xml:space="preserve"> (Accessed: 6 November 2025).</w:t>
      </w:r>
    </w:p>
    <w:p w14:paraId="2FBCD981" w14:textId="77777777" w:rsidR="00AB316A" w:rsidRPr="00AB316A" w:rsidRDefault="00AB316A" w:rsidP="00AB316A">
      <w:pPr>
        <w:rPr>
          <w:lang w:val="en-US"/>
        </w:rPr>
      </w:pPr>
      <w:r w:rsidRPr="00AB316A">
        <w:rPr>
          <w:lang w:val="en-US"/>
        </w:rPr>
        <w:t xml:space="preserve">Nuffield Trust (2025) </w:t>
      </w:r>
      <w:r w:rsidRPr="00AB316A">
        <w:rPr>
          <w:i/>
          <w:iCs/>
          <w:lang w:val="en-US"/>
        </w:rPr>
        <w:t>Delayed discharges from hospital</w:t>
      </w:r>
      <w:r w:rsidRPr="00AB316A">
        <w:rPr>
          <w:lang w:val="en-US"/>
        </w:rPr>
        <w:t xml:space="preserve">. Available at: https://www.nuffieldtrust.org.uk/resource/delayed-discharges-from-hospital (Accessed: 6 November 2025). </w:t>
      </w:r>
    </w:p>
    <w:p w14:paraId="2FBCD982" w14:textId="77777777" w:rsidR="00AB316A" w:rsidRPr="00AB316A" w:rsidRDefault="00AB316A" w:rsidP="00AB316A">
      <w:pPr>
        <w:rPr>
          <w:lang w:val="en-US"/>
        </w:rPr>
      </w:pPr>
      <w:r w:rsidRPr="00AB316A">
        <w:rPr>
          <w:lang w:val="en-US"/>
        </w:rPr>
        <w:t xml:space="preserve">Simons, M., Goossensen, A. and Nies, H. (2022) ‘Interventions fostering interdisciplinary and inter-organisational collaboration in health and social care: an integrative review’, </w:t>
      </w:r>
      <w:r w:rsidRPr="00AB316A">
        <w:rPr>
          <w:i/>
          <w:iCs/>
          <w:lang w:val="en-US"/>
        </w:rPr>
        <w:t>Journal of Interprofessional Education &amp; Practice</w:t>
      </w:r>
      <w:r w:rsidRPr="00AB316A">
        <w:rPr>
          <w:lang w:val="en-US"/>
        </w:rPr>
        <w:t xml:space="preserve">. Available at: https://bmchealthservres.biomedcentral.com/articles/10.1186/s12913-022-08314-6 (contextual review link) and https://www.sciencedirect.com/journal/journal-of-interprofessional-education-and-practice/vol/28/suppl/C (Accessed: 6 November 2025). </w:t>
      </w:r>
    </w:p>
    <w:p w14:paraId="2FBCD983" w14:textId="77777777" w:rsidR="00AB316A" w:rsidRPr="00AB316A" w:rsidRDefault="00AB316A" w:rsidP="00AB316A">
      <w:pPr>
        <w:rPr>
          <w:lang w:val="en-US"/>
        </w:rPr>
      </w:pPr>
      <w:r w:rsidRPr="00AB316A">
        <w:rPr>
          <w:lang w:val="en-US"/>
        </w:rPr>
        <w:t xml:space="preserve">The Guardian (2024) ‘NHS ordered to share patient records after coroners link deaths to missing data’, </w:t>
      </w:r>
      <w:r w:rsidRPr="00AB316A">
        <w:rPr>
          <w:i/>
          <w:iCs/>
          <w:lang w:val="en-US"/>
        </w:rPr>
        <w:t>The Guardian</w:t>
      </w:r>
      <w:r w:rsidRPr="00AB316A">
        <w:rPr>
          <w:lang w:val="en-US"/>
        </w:rPr>
        <w:t xml:space="preserve">, 15 April. Available at: </w:t>
      </w:r>
      <w:hyperlink r:id="rId13" w:tgtFrame="_new" w:history="1">
        <w:r w:rsidRPr="00AB316A">
          <w:rPr>
            <w:rStyle w:val="Hyperlink"/>
            <w:lang w:val="en-US"/>
          </w:rPr>
          <w:t>https://www.theguardian.com/society/2024/apr/15/nhs-patient-records-coroners</w:t>
        </w:r>
      </w:hyperlink>
      <w:r w:rsidRPr="00AB316A">
        <w:rPr>
          <w:lang w:val="en-US"/>
        </w:rPr>
        <w:t xml:space="preserve"> (Accessed: 6 November 2025).</w:t>
      </w:r>
    </w:p>
    <w:p w14:paraId="2FBCD984" w14:textId="77777777" w:rsidR="00AB316A" w:rsidRPr="00AB316A" w:rsidRDefault="00AB316A" w:rsidP="00AB316A">
      <w:pPr>
        <w:rPr>
          <w:lang w:val="en-US"/>
        </w:rPr>
      </w:pPr>
      <w:r w:rsidRPr="00AB316A">
        <w:rPr>
          <w:lang w:val="en-US"/>
        </w:rPr>
        <w:lastRenderedPageBreak/>
        <w:t xml:space="preserve">The King’s Fund (2022) </w:t>
      </w:r>
      <w:r w:rsidRPr="00AB316A">
        <w:rPr>
          <w:i/>
          <w:iCs/>
          <w:lang w:val="en-US"/>
        </w:rPr>
        <w:t>Integrated care systems explained</w:t>
      </w:r>
      <w:r w:rsidRPr="00AB316A">
        <w:rPr>
          <w:lang w:val="en-US"/>
        </w:rPr>
        <w:t xml:space="preserve">. Available at: https://www.kingsfund.org.uk/insight-and-analysis/long-reads/integrated-care-systems-explained (Accessed: 6 November 2025). </w:t>
      </w:r>
    </w:p>
    <w:p w14:paraId="2FBCD985" w14:textId="77777777" w:rsidR="00AB316A" w:rsidRPr="00AB316A" w:rsidRDefault="00AB316A" w:rsidP="00AB316A">
      <w:pPr>
        <w:rPr>
          <w:lang w:val="en-US"/>
        </w:rPr>
      </w:pPr>
      <w:r w:rsidRPr="00AB316A">
        <w:rPr>
          <w:lang w:val="en-US"/>
        </w:rPr>
        <w:t xml:space="preserve">The King’s Fund (2022) </w:t>
      </w:r>
      <w:r w:rsidRPr="00AB316A">
        <w:rPr>
          <w:i/>
          <w:iCs/>
          <w:lang w:val="en-US"/>
        </w:rPr>
        <w:t>Integrated care systems explained: making sense of systems, places and neighbourhoods</w:t>
      </w:r>
      <w:r w:rsidRPr="00AB316A">
        <w:rPr>
          <w:lang w:val="en-US"/>
        </w:rPr>
        <w:t xml:space="preserve">. The King’s Fund. Available at: </w:t>
      </w:r>
      <w:hyperlink r:id="rId14" w:tgtFrame="_new" w:history="1">
        <w:r w:rsidRPr="00AB316A">
          <w:rPr>
            <w:rStyle w:val="Hyperlink"/>
            <w:lang w:val="en-US"/>
          </w:rPr>
          <w:t>https://www.kingsfund.org.uk/insight-and-analysis/long-reads/integrated-care-systems-explained</w:t>
        </w:r>
      </w:hyperlink>
      <w:r w:rsidRPr="00AB316A">
        <w:rPr>
          <w:lang w:val="en-US"/>
        </w:rPr>
        <w:t xml:space="preserve"> (Accessed: 6 November 2025).</w:t>
      </w:r>
    </w:p>
    <w:p w14:paraId="2FBCD986" w14:textId="77777777" w:rsidR="00AB316A" w:rsidRPr="00AB316A" w:rsidRDefault="00AB316A" w:rsidP="00AB316A">
      <w:pPr>
        <w:rPr>
          <w:lang w:val="en-US"/>
        </w:rPr>
      </w:pPr>
      <w:r w:rsidRPr="00AB316A">
        <w:rPr>
          <w:lang w:val="en-US"/>
        </w:rPr>
        <w:t xml:space="preserve">UK Government (2023) </w:t>
      </w:r>
      <w:r w:rsidRPr="00AB316A">
        <w:rPr>
          <w:i/>
          <w:iCs/>
          <w:lang w:val="en-US"/>
        </w:rPr>
        <w:t>Public Sector Equality Duty: guidance for public authorities</w:t>
      </w:r>
      <w:r w:rsidRPr="00AB316A">
        <w:rPr>
          <w:lang w:val="en-US"/>
        </w:rPr>
        <w:t xml:space="preserve">. Available at: https://www.gov.uk/government/publications/public-sector-equality-duty-guidance-for-public-authorities/public-sector-equality-duty-guidance-for-public-authorities (Accessed: 6 November 2025). </w:t>
      </w:r>
    </w:p>
    <w:p w14:paraId="2FBCD987" w14:textId="77777777" w:rsidR="00AB316A" w:rsidRDefault="00AB316A"/>
    <w:sectPr w:rsidR="00AB316A">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32EA4" w14:textId="77777777" w:rsidR="00D74615" w:rsidRDefault="00D74615" w:rsidP="00565864">
      <w:pPr>
        <w:spacing w:after="0" w:line="240" w:lineRule="auto"/>
      </w:pPr>
      <w:r>
        <w:separator/>
      </w:r>
    </w:p>
  </w:endnote>
  <w:endnote w:type="continuationSeparator" w:id="0">
    <w:p w14:paraId="394F5A99" w14:textId="77777777" w:rsidR="00D74615" w:rsidRDefault="00D74615" w:rsidP="0056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2295270"/>
      <w:docPartObj>
        <w:docPartGallery w:val="Page Numbers (Bottom of Page)"/>
        <w:docPartUnique/>
      </w:docPartObj>
    </w:sdtPr>
    <w:sdtEndPr>
      <w:rPr>
        <w:noProof/>
      </w:rPr>
    </w:sdtEndPr>
    <w:sdtContent>
      <w:p w14:paraId="2FBCD98C" w14:textId="77777777" w:rsidR="00565864" w:rsidRDefault="00565864">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2FBCD98D" w14:textId="77777777" w:rsidR="00565864" w:rsidRDefault="00565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A41F1" w14:textId="77777777" w:rsidR="00D74615" w:rsidRDefault="00D74615" w:rsidP="00565864">
      <w:pPr>
        <w:spacing w:after="0" w:line="240" w:lineRule="auto"/>
      </w:pPr>
      <w:r>
        <w:separator/>
      </w:r>
    </w:p>
  </w:footnote>
  <w:footnote w:type="continuationSeparator" w:id="0">
    <w:p w14:paraId="5AE11DE6" w14:textId="77777777" w:rsidR="00D74615" w:rsidRDefault="00D74615" w:rsidP="00565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7D01E3"/>
    <w:multiLevelType w:val="multilevel"/>
    <w:tmpl w:val="E54890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DA7D05"/>
    <w:multiLevelType w:val="multilevel"/>
    <w:tmpl w:val="C16038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33675929">
    <w:abstractNumId w:val="1"/>
  </w:num>
  <w:num w:numId="2" w16cid:durableId="2065834043">
    <w:abstractNumId w:val="1"/>
  </w:num>
  <w:num w:numId="3" w16cid:durableId="1448700997">
    <w:abstractNumId w:val="1"/>
  </w:num>
  <w:num w:numId="4" w16cid:durableId="239098443">
    <w:abstractNumId w:val="0"/>
  </w:num>
  <w:num w:numId="5" w16cid:durableId="2074160216">
    <w:abstractNumId w:val="4"/>
  </w:num>
  <w:num w:numId="6" w16cid:durableId="1095786560">
    <w:abstractNumId w:val="4"/>
  </w:num>
  <w:num w:numId="7" w16cid:durableId="510292715">
    <w:abstractNumId w:val="5"/>
  </w:num>
  <w:num w:numId="8" w16cid:durableId="1955398775">
    <w:abstractNumId w:val="2"/>
  </w:num>
  <w:num w:numId="9" w16cid:durableId="1967346361">
    <w:abstractNumId w:val="2"/>
  </w:num>
  <w:num w:numId="10" w16cid:durableId="1829707109">
    <w:abstractNumId w:val="3"/>
  </w:num>
  <w:num w:numId="11" w16cid:durableId="3893058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F64"/>
    <w:rsid w:val="00001465"/>
    <w:rsid w:val="00030134"/>
    <w:rsid w:val="00075C18"/>
    <w:rsid w:val="000B62B4"/>
    <w:rsid w:val="000C155F"/>
    <w:rsid w:val="000E7891"/>
    <w:rsid w:val="000F32DC"/>
    <w:rsid w:val="00101EE7"/>
    <w:rsid w:val="00111A1E"/>
    <w:rsid w:val="001801C4"/>
    <w:rsid w:val="0018225D"/>
    <w:rsid w:val="00193ECF"/>
    <w:rsid w:val="00194E82"/>
    <w:rsid w:val="001E7527"/>
    <w:rsid w:val="001F494F"/>
    <w:rsid w:val="00207271"/>
    <w:rsid w:val="002112CE"/>
    <w:rsid w:val="0021639B"/>
    <w:rsid w:val="00232E97"/>
    <w:rsid w:val="002705B7"/>
    <w:rsid w:val="002752CC"/>
    <w:rsid w:val="0028043C"/>
    <w:rsid w:val="002835EF"/>
    <w:rsid w:val="00290329"/>
    <w:rsid w:val="002B4F83"/>
    <w:rsid w:val="002D5C7A"/>
    <w:rsid w:val="00312135"/>
    <w:rsid w:val="00322915"/>
    <w:rsid w:val="00351CAA"/>
    <w:rsid w:val="003523F8"/>
    <w:rsid w:val="0036387C"/>
    <w:rsid w:val="00393233"/>
    <w:rsid w:val="00394B33"/>
    <w:rsid w:val="003A1A88"/>
    <w:rsid w:val="003B17B3"/>
    <w:rsid w:val="003B1FE5"/>
    <w:rsid w:val="003F1F64"/>
    <w:rsid w:val="0040491D"/>
    <w:rsid w:val="00427264"/>
    <w:rsid w:val="0044323E"/>
    <w:rsid w:val="00443544"/>
    <w:rsid w:val="0045205D"/>
    <w:rsid w:val="00461852"/>
    <w:rsid w:val="00494DA7"/>
    <w:rsid w:val="004A1487"/>
    <w:rsid w:val="004B7240"/>
    <w:rsid w:val="004D2684"/>
    <w:rsid w:val="004F6274"/>
    <w:rsid w:val="004F7B96"/>
    <w:rsid w:val="0051601E"/>
    <w:rsid w:val="00516807"/>
    <w:rsid w:val="005351E1"/>
    <w:rsid w:val="00556E7A"/>
    <w:rsid w:val="005578A9"/>
    <w:rsid w:val="00565864"/>
    <w:rsid w:val="0056640C"/>
    <w:rsid w:val="0058720E"/>
    <w:rsid w:val="00587ED9"/>
    <w:rsid w:val="005A5486"/>
    <w:rsid w:val="005B3392"/>
    <w:rsid w:val="00601A5E"/>
    <w:rsid w:val="00657D7E"/>
    <w:rsid w:val="0068053A"/>
    <w:rsid w:val="006C47B0"/>
    <w:rsid w:val="006E284E"/>
    <w:rsid w:val="006F21E0"/>
    <w:rsid w:val="006F4944"/>
    <w:rsid w:val="00705D42"/>
    <w:rsid w:val="007120F5"/>
    <w:rsid w:val="0071683B"/>
    <w:rsid w:val="007303D1"/>
    <w:rsid w:val="00734A0E"/>
    <w:rsid w:val="007475E4"/>
    <w:rsid w:val="00786E57"/>
    <w:rsid w:val="007A0147"/>
    <w:rsid w:val="007D62D5"/>
    <w:rsid w:val="007F2FD1"/>
    <w:rsid w:val="007F4ECA"/>
    <w:rsid w:val="00805FF6"/>
    <w:rsid w:val="008075E3"/>
    <w:rsid w:val="00827658"/>
    <w:rsid w:val="00863A11"/>
    <w:rsid w:val="008834FB"/>
    <w:rsid w:val="008C3646"/>
    <w:rsid w:val="008D05F4"/>
    <w:rsid w:val="008E42DB"/>
    <w:rsid w:val="00901EB1"/>
    <w:rsid w:val="00925A7C"/>
    <w:rsid w:val="0094472B"/>
    <w:rsid w:val="009632E8"/>
    <w:rsid w:val="0096742F"/>
    <w:rsid w:val="009B298B"/>
    <w:rsid w:val="009E3C77"/>
    <w:rsid w:val="00A37870"/>
    <w:rsid w:val="00A7667D"/>
    <w:rsid w:val="00A96A93"/>
    <w:rsid w:val="00AA1335"/>
    <w:rsid w:val="00AB1B27"/>
    <w:rsid w:val="00AB316A"/>
    <w:rsid w:val="00AC4632"/>
    <w:rsid w:val="00AD1B45"/>
    <w:rsid w:val="00AD51C8"/>
    <w:rsid w:val="00AE2A34"/>
    <w:rsid w:val="00B22D54"/>
    <w:rsid w:val="00B30A85"/>
    <w:rsid w:val="00B3276F"/>
    <w:rsid w:val="00B733D2"/>
    <w:rsid w:val="00B830C8"/>
    <w:rsid w:val="00BE6513"/>
    <w:rsid w:val="00C02CF7"/>
    <w:rsid w:val="00C163F4"/>
    <w:rsid w:val="00C2640D"/>
    <w:rsid w:val="00C408D0"/>
    <w:rsid w:val="00C55297"/>
    <w:rsid w:val="00CF705B"/>
    <w:rsid w:val="00D36FA6"/>
    <w:rsid w:val="00D74615"/>
    <w:rsid w:val="00D85551"/>
    <w:rsid w:val="00D91ED7"/>
    <w:rsid w:val="00D96DC3"/>
    <w:rsid w:val="00DA18C2"/>
    <w:rsid w:val="00DF34DA"/>
    <w:rsid w:val="00E202C1"/>
    <w:rsid w:val="00E82CB5"/>
    <w:rsid w:val="00E87251"/>
    <w:rsid w:val="00E97E9E"/>
    <w:rsid w:val="00EC7F14"/>
    <w:rsid w:val="00ED08A0"/>
    <w:rsid w:val="00EE3828"/>
    <w:rsid w:val="00F102CE"/>
    <w:rsid w:val="00F31486"/>
    <w:rsid w:val="00F558B2"/>
    <w:rsid w:val="00FE14B9"/>
    <w:rsid w:val="00FF5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D914"/>
  <w15:chartTrackingRefBased/>
  <w15:docId w15:val="{5037B7BB-F563-4960-92A3-24C748FAD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0B62B4"/>
    <w:pPr>
      <w:keepNext/>
      <w:keepLines/>
      <w:numPr>
        <w:numId w:val="11"/>
      </w:numPr>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B62B4"/>
    <w:pPr>
      <w:keepNext/>
      <w:keepLines/>
      <w:numPr>
        <w:ilvl w:val="1"/>
        <w:numId w:val="11"/>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96742F"/>
    <w:pPr>
      <w:keepNext/>
      <w:keepLines/>
      <w:numPr>
        <w:ilvl w:val="2"/>
        <w:numId w:val="3"/>
      </w:numPr>
      <w:spacing w:before="160" w:after="80"/>
      <w:jc w:val="left"/>
      <w:outlineLvl w:val="2"/>
    </w:pPr>
    <w:rPr>
      <w:rFonts w:asciiTheme="majorBidi" w:eastAsiaTheme="majorEastAsia" w:hAnsiTheme="majorBidi" w:cstheme="majorBidi"/>
      <w:b/>
      <w:color w:val="2E74B5" w:themeColor="accent1" w:themeShade="BF"/>
      <w:sz w:val="2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2B4"/>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0B62B4"/>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96742F"/>
    <w:rPr>
      <w:rFonts w:asciiTheme="majorBidi" w:eastAsiaTheme="majorEastAsia" w:hAnsiTheme="majorBidi" w:cstheme="majorBidi"/>
      <w:b/>
      <w:color w:val="2E74B5" w:themeColor="accent1" w:themeShade="BF"/>
      <w:szCs w:val="28"/>
    </w:rPr>
  </w:style>
  <w:style w:type="character" w:styleId="Hyperlink">
    <w:name w:val="Hyperlink"/>
    <w:basedOn w:val="DefaultParagraphFont"/>
    <w:uiPriority w:val="99"/>
    <w:unhideWhenUsed/>
    <w:rsid w:val="008D05F4"/>
    <w:rPr>
      <w:color w:val="0563C1" w:themeColor="hyperlink"/>
      <w:u w:val="single"/>
    </w:rPr>
  </w:style>
  <w:style w:type="paragraph" w:styleId="Header">
    <w:name w:val="header"/>
    <w:basedOn w:val="Normal"/>
    <w:link w:val="HeaderChar"/>
    <w:uiPriority w:val="99"/>
    <w:unhideWhenUsed/>
    <w:rsid w:val="005658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5864"/>
    <w:rPr>
      <w:rFonts w:ascii="Times New Roman" w:hAnsi="Times New Roman"/>
      <w:color w:val="000000" w:themeColor="text1"/>
      <w:sz w:val="24"/>
      <w:lang w:val="en-GB"/>
    </w:rPr>
  </w:style>
  <w:style w:type="paragraph" w:styleId="Footer">
    <w:name w:val="footer"/>
    <w:basedOn w:val="Normal"/>
    <w:link w:val="FooterChar"/>
    <w:uiPriority w:val="99"/>
    <w:unhideWhenUsed/>
    <w:rsid w:val="005658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5864"/>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9835075">
      <w:bodyDiv w:val="1"/>
      <w:marLeft w:val="0"/>
      <w:marRight w:val="0"/>
      <w:marTop w:val="0"/>
      <w:marBottom w:val="0"/>
      <w:divBdr>
        <w:top w:val="none" w:sz="0" w:space="0" w:color="auto"/>
        <w:left w:val="none" w:sz="0" w:space="0" w:color="auto"/>
        <w:bottom w:val="none" w:sz="0" w:space="0" w:color="auto"/>
        <w:right w:val="none" w:sz="0" w:space="0" w:color="auto"/>
      </w:divBdr>
    </w:div>
    <w:div w:id="612828795">
      <w:bodyDiv w:val="1"/>
      <w:marLeft w:val="0"/>
      <w:marRight w:val="0"/>
      <w:marTop w:val="0"/>
      <w:marBottom w:val="0"/>
      <w:divBdr>
        <w:top w:val="none" w:sz="0" w:space="0" w:color="auto"/>
        <w:left w:val="none" w:sz="0" w:space="0" w:color="auto"/>
        <w:bottom w:val="none" w:sz="0" w:space="0" w:color="auto"/>
        <w:right w:val="none" w:sz="0" w:space="0" w:color="auto"/>
      </w:divBdr>
    </w:div>
    <w:div w:id="1007293548">
      <w:bodyDiv w:val="1"/>
      <w:marLeft w:val="0"/>
      <w:marRight w:val="0"/>
      <w:marTop w:val="0"/>
      <w:marBottom w:val="0"/>
      <w:divBdr>
        <w:top w:val="none" w:sz="0" w:space="0" w:color="auto"/>
        <w:left w:val="none" w:sz="0" w:space="0" w:color="auto"/>
        <w:bottom w:val="none" w:sz="0" w:space="0" w:color="auto"/>
        <w:right w:val="none" w:sz="0" w:space="0" w:color="auto"/>
      </w:divBdr>
    </w:div>
    <w:div w:id="115318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c-uk.org/professional-standards/the-professional-standards/decision-making-and-consent?" TargetMode="External"/><Relationship Id="rId13" Type="http://schemas.openxmlformats.org/officeDocument/2006/relationships/hyperlink" Target="https://www.theguardian.com/society/2024/apr/15/nhs-patient-records-coroners" TargetMode="External"/><Relationship Id="rId3" Type="http://schemas.openxmlformats.org/officeDocument/2006/relationships/settings" Target="settings.xml"/><Relationship Id="rId7" Type="http://schemas.openxmlformats.org/officeDocument/2006/relationships/hyperlink" Target="https://www.gov.uk/government/publications/hospital-discharge-and-community-support-guidance/hospital-discharge-and-community-support-guidance?" TargetMode="External"/><Relationship Id="rId12" Type="http://schemas.openxmlformats.org/officeDocument/2006/relationships/hyperlink" Target="https://www.nice.org.uk/guidance/ng19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long-read/guidance-to-support-implementation-of-the-mental-capacity-act-in-acute-trusts-for-adults-with-a-learning-disabilit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ngland.nhs.uk/personalisedcare/comprehensive-model-of-personalised-care/?" TargetMode="External"/><Relationship Id="rId4" Type="http://schemas.openxmlformats.org/officeDocument/2006/relationships/webSettings" Target="webSettings.xml"/><Relationship Id="rId9" Type="http://schemas.openxmlformats.org/officeDocument/2006/relationships/hyperlink" Target="https://www.england.nhs.uk/personalisedcare/supported-self-management/?" TargetMode="External"/><Relationship Id="rId14" Type="http://schemas.openxmlformats.org/officeDocument/2006/relationships/hyperlink" Target="https://www.kingsfund.org.uk/insight-and-analysis/long-reads/integrated-care-systems-explain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13</Pages>
  <Words>3003</Words>
  <Characters>21328</Characters>
  <Application>Microsoft Office Word</Application>
  <DocSecurity>0</DocSecurity>
  <Lines>349</Lines>
  <Paragraphs>86</Paragraphs>
  <ScaleCrop>false</ScaleCrop>
  <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MRInnovations</dc:creator>
  <cp:keywords/>
  <dc:description/>
  <cp:lastModifiedBy>Naveeda Fatima (2406614)</cp:lastModifiedBy>
  <cp:revision>112</cp:revision>
  <dcterms:created xsi:type="dcterms:W3CDTF">2025-11-06T19:02:00Z</dcterms:created>
  <dcterms:modified xsi:type="dcterms:W3CDTF">2025-11-13T11:49:00Z</dcterms:modified>
</cp:coreProperties>
</file>