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82DFB2" w14:textId="77777777" w:rsidR="0081516E" w:rsidRDefault="0081516E" w:rsidP="002B6983">
      <w:pPr>
        <w:spacing w:line="360" w:lineRule="auto"/>
        <w:rPr>
          <w:rFonts w:ascii="Arial" w:hAnsi="Arial" w:cs="Arial"/>
          <w:sz w:val="22"/>
          <w:szCs w:val="22"/>
        </w:rPr>
      </w:pPr>
    </w:p>
    <w:p w14:paraId="1FAD6F1A" w14:textId="77777777" w:rsidR="0081516E" w:rsidRDefault="0081516E" w:rsidP="002B6983">
      <w:pPr>
        <w:spacing w:line="360" w:lineRule="auto"/>
        <w:rPr>
          <w:rFonts w:ascii="Arial" w:hAnsi="Arial" w:cs="Arial"/>
          <w:sz w:val="22"/>
          <w:szCs w:val="22"/>
        </w:rPr>
      </w:pPr>
    </w:p>
    <w:p w14:paraId="0EA3B161" w14:textId="77777777" w:rsidR="0081516E" w:rsidRDefault="0081516E" w:rsidP="002B6983">
      <w:pPr>
        <w:spacing w:line="360" w:lineRule="auto"/>
        <w:rPr>
          <w:rFonts w:ascii="Arial" w:hAnsi="Arial" w:cs="Arial"/>
          <w:sz w:val="22"/>
          <w:szCs w:val="22"/>
        </w:rPr>
      </w:pPr>
    </w:p>
    <w:p w14:paraId="7EA09C1D" w14:textId="77777777" w:rsidR="00672D64" w:rsidRDefault="00672D64" w:rsidP="002B6983">
      <w:pPr>
        <w:spacing w:line="360" w:lineRule="auto"/>
        <w:rPr>
          <w:rFonts w:ascii="Arial" w:hAnsi="Arial" w:cs="Arial"/>
          <w:b/>
          <w:bCs/>
          <w:i/>
          <w:iCs/>
          <w:sz w:val="22"/>
          <w:szCs w:val="22"/>
        </w:rPr>
      </w:pPr>
    </w:p>
    <w:p w14:paraId="648A15C6" w14:textId="2BBCA206" w:rsidR="0081516E" w:rsidRPr="00672D64" w:rsidRDefault="00587751" w:rsidP="002B6983">
      <w:pPr>
        <w:spacing w:line="360" w:lineRule="auto"/>
        <w:rPr>
          <w:rFonts w:ascii="Arial" w:hAnsi="Arial" w:cs="Arial"/>
          <w:b/>
          <w:bCs/>
          <w:i/>
          <w:iCs/>
          <w:sz w:val="22"/>
          <w:szCs w:val="22"/>
        </w:rPr>
      </w:pPr>
      <w:r w:rsidRPr="00672D64">
        <w:rPr>
          <w:rFonts w:ascii="Arial" w:hAnsi="Arial" w:cs="Arial"/>
          <w:b/>
          <w:bCs/>
          <w:i/>
          <w:iCs/>
          <w:sz w:val="22"/>
          <w:szCs w:val="22"/>
        </w:rPr>
        <w:t>Student Name: Erika Dorado</w:t>
      </w:r>
    </w:p>
    <w:p w14:paraId="771FF3FD" w14:textId="76E5E787" w:rsidR="00672D64" w:rsidRPr="00672D64" w:rsidRDefault="00672D64" w:rsidP="002B6983">
      <w:pPr>
        <w:spacing w:line="360" w:lineRule="auto"/>
        <w:rPr>
          <w:rFonts w:ascii="Arial" w:hAnsi="Arial" w:cs="Arial"/>
          <w:b/>
          <w:bCs/>
          <w:i/>
          <w:iCs/>
          <w:sz w:val="22"/>
          <w:szCs w:val="22"/>
        </w:rPr>
      </w:pPr>
      <w:r w:rsidRPr="00672D64">
        <w:rPr>
          <w:rFonts w:ascii="Arial" w:hAnsi="Arial" w:cs="Arial"/>
          <w:b/>
          <w:bCs/>
          <w:i/>
          <w:iCs/>
          <w:sz w:val="22"/>
          <w:szCs w:val="22"/>
        </w:rPr>
        <w:t>ID number: 2430471</w:t>
      </w:r>
    </w:p>
    <w:p w14:paraId="4FFB9E78" w14:textId="5CEB237B" w:rsidR="00672D64" w:rsidRPr="00672D64" w:rsidRDefault="00672D64" w:rsidP="002B6983">
      <w:pPr>
        <w:spacing w:line="360" w:lineRule="auto"/>
        <w:rPr>
          <w:rFonts w:ascii="Arial" w:hAnsi="Arial" w:cs="Arial"/>
          <w:b/>
          <w:bCs/>
          <w:i/>
          <w:iCs/>
          <w:sz w:val="22"/>
          <w:szCs w:val="22"/>
        </w:rPr>
      </w:pPr>
      <w:r w:rsidRPr="00672D64">
        <w:rPr>
          <w:rFonts w:ascii="Arial" w:hAnsi="Arial" w:cs="Arial"/>
          <w:b/>
          <w:bCs/>
          <w:i/>
          <w:iCs/>
          <w:sz w:val="22"/>
          <w:szCs w:val="22"/>
        </w:rPr>
        <w:t>Module Code: BNHP5016</w:t>
      </w:r>
    </w:p>
    <w:p w14:paraId="7A1967C1" w14:textId="37CC17DF" w:rsidR="00672D64" w:rsidRPr="00672D64" w:rsidRDefault="00672D64" w:rsidP="002B6983">
      <w:pPr>
        <w:spacing w:line="360" w:lineRule="auto"/>
        <w:rPr>
          <w:rFonts w:ascii="Arial" w:hAnsi="Arial" w:cs="Arial"/>
          <w:b/>
          <w:bCs/>
          <w:i/>
          <w:iCs/>
          <w:sz w:val="22"/>
          <w:szCs w:val="22"/>
        </w:rPr>
      </w:pPr>
      <w:r w:rsidRPr="00672D64">
        <w:rPr>
          <w:rFonts w:ascii="Arial" w:hAnsi="Arial" w:cs="Arial"/>
          <w:b/>
          <w:bCs/>
          <w:i/>
          <w:iCs/>
          <w:sz w:val="22"/>
          <w:szCs w:val="22"/>
        </w:rPr>
        <w:t>Lecture Name: Dr: Farah Wiit</w:t>
      </w:r>
      <w:r>
        <w:rPr>
          <w:rFonts w:ascii="Arial" w:hAnsi="Arial" w:cs="Arial"/>
          <w:b/>
          <w:bCs/>
          <w:i/>
          <w:iCs/>
          <w:sz w:val="22"/>
          <w:szCs w:val="22"/>
        </w:rPr>
        <w:t>a</w:t>
      </w:r>
    </w:p>
    <w:p w14:paraId="5373B3B1" w14:textId="0674CDFD" w:rsidR="00672D64" w:rsidRPr="00672D64" w:rsidRDefault="00672D64" w:rsidP="002B6983">
      <w:pPr>
        <w:spacing w:line="360" w:lineRule="auto"/>
        <w:rPr>
          <w:rFonts w:ascii="Arial" w:hAnsi="Arial" w:cs="Arial"/>
          <w:b/>
          <w:bCs/>
          <w:i/>
          <w:iCs/>
          <w:sz w:val="22"/>
          <w:szCs w:val="22"/>
        </w:rPr>
      </w:pPr>
      <w:r w:rsidRPr="00672D64">
        <w:rPr>
          <w:rFonts w:ascii="Arial" w:hAnsi="Arial" w:cs="Arial"/>
          <w:b/>
          <w:bCs/>
          <w:i/>
          <w:iCs/>
          <w:sz w:val="22"/>
          <w:szCs w:val="22"/>
        </w:rPr>
        <w:t>Assignment: Assignment No.2</w:t>
      </w:r>
    </w:p>
    <w:p w14:paraId="4C954A12" w14:textId="77777777" w:rsidR="00672D64" w:rsidRDefault="00672D64" w:rsidP="002B6983">
      <w:pPr>
        <w:spacing w:line="360" w:lineRule="auto"/>
        <w:rPr>
          <w:rFonts w:ascii="Arial" w:hAnsi="Arial" w:cs="Arial"/>
          <w:sz w:val="22"/>
          <w:szCs w:val="22"/>
        </w:rPr>
      </w:pPr>
    </w:p>
    <w:p w14:paraId="58E6C6FA" w14:textId="77777777" w:rsidR="0081516E" w:rsidRDefault="0081516E" w:rsidP="002B6983">
      <w:pPr>
        <w:spacing w:line="360" w:lineRule="auto"/>
        <w:rPr>
          <w:rFonts w:ascii="Arial" w:hAnsi="Arial" w:cs="Arial"/>
          <w:sz w:val="22"/>
          <w:szCs w:val="22"/>
        </w:rPr>
      </w:pPr>
    </w:p>
    <w:p w14:paraId="04E093BF" w14:textId="77777777" w:rsidR="00587751" w:rsidRDefault="00587751" w:rsidP="002B6983">
      <w:pPr>
        <w:spacing w:line="360" w:lineRule="auto"/>
        <w:rPr>
          <w:rFonts w:ascii="Arial" w:hAnsi="Arial" w:cs="Arial"/>
          <w:sz w:val="22"/>
          <w:szCs w:val="22"/>
        </w:rPr>
      </w:pPr>
    </w:p>
    <w:p w14:paraId="679097F7" w14:textId="77777777" w:rsidR="00587751" w:rsidRDefault="00587751" w:rsidP="002B6983">
      <w:pPr>
        <w:spacing w:line="360" w:lineRule="auto"/>
        <w:rPr>
          <w:rFonts w:ascii="Arial" w:hAnsi="Arial" w:cs="Arial"/>
          <w:sz w:val="22"/>
          <w:szCs w:val="22"/>
        </w:rPr>
      </w:pPr>
    </w:p>
    <w:p w14:paraId="208A771D" w14:textId="77777777" w:rsidR="00587751" w:rsidRDefault="00587751" w:rsidP="002B6983">
      <w:pPr>
        <w:spacing w:line="360" w:lineRule="auto"/>
        <w:rPr>
          <w:rFonts w:ascii="Arial" w:hAnsi="Arial" w:cs="Arial"/>
          <w:sz w:val="22"/>
          <w:szCs w:val="22"/>
        </w:rPr>
      </w:pPr>
    </w:p>
    <w:p w14:paraId="0853E75C" w14:textId="77777777" w:rsidR="00587751" w:rsidRDefault="00587751" w:rsidP="002B6983">
      <w:pPr>
        <w:spacing w:line="360" w:lineRule="auto"/>
        <w:rPr>
          <w:rFonts w:ascii="Arial" w:hAnsi="Arial" w:cs="Arial"/>
          <w:sz w:val="22"/>
          <w:szCs w:val="22"/>
        </w:rPr>
      </w:pPr>
    </w:p>
    <w:p w14:paraId="36AD33B6" w14:textId="77777777" w:rsidR="00587751" w:rsidRDefault="00587751" w:rsidP="002B6983">
      <w:pPr>
        <w:spacing w:line="360" w:lineRule="auto"/>
        <w:rPr>
          <w:rFonts w:ascii="Arial" w:hAnsi="Arial" w:cs="Arial"/>
          <w:sz w:val="22"/>
          <w:szCs w:val="22"/>
        </w:rPr>
      </w:pPr>
    </w:p>
    <w:p w14:paraId="447933E7" w14:textId="77777777" w:rsidR="00587751" w:rsidRDefault="00587751" w:rsidP="002B6983">
      <w:pPr>
        <w:spacing w:line="360" w:lineRule="auto"/>
        <w:rPr>
          <w:rFonts w:ascii="Arial" w:hAnsi="Arial" w:cs="Arial"/>
          <w:sz w:val="22"/>
          <w:szCs w:val="22"/>
        </w:rPr>
      </w:pPr>
    </w:p>
    <w:p w14:paraId="5369188F" w14:textId="77777777" w:rsidR="00587751" w:rsidRDefault="00587751" w:rsidP="002B6983">
      <w:pPr>
        <w:spacing w:line="360" w:lineRule="auto"/>
        <w:rPr>
          <w:rFonts w:ascii="Arial" w:hAnsi="Arial" w:cs="Arial"/>
          <w:sz w:val="22"/>
          <w:szCs w:val="22"/>
        </w:rPr>
      </w:pPr>
    </w:p>
    <w:p w14:paraId="0B9260F8" w14:textId="77777777" w:rsidR="00587751" w:rsidRDefault="00587751" w:rsidP="002B6983">
      <w:pPr>
        <w:spacing w:line="360" w:lineRule="auto"/>
        <w:rPr>
          <w:rFonts w:ascii="Arial" w:hAnsi="Arial" w:cs="Arial"/>
          <w:sz w:val="22"/>
          <w:szCs w:val="22"/>
        </w:rPr>
      </w:pPr>
    </w:p>
    <w:p w14:paraId="2AB5E8E1" w14:textId="77777777" w:rsidR="00587751" w:rsidRDefault="00587751" w:rsidP="002B6983">
      <w:pPr>
        <w:spacing w:line="360" w:lineRule="auto"/>
        <w:rPr>
          <w:rFonts w:ascii="Arial" w:hAnsi="Arial" w:cs="Arial"/>
          <w:sz w:val="22"/>
          <w:szCs w:val="22"/>
        </w:rPr>
      </w:pPr>
    </w:p>
    <w:p w14:paraId="4D06FE11" w14:textId="77777777" w:rsidR="00587751" w:rsidRDefault="00587751" w:rsidP="002B6983">
      <w:pPr>
        <w:spacing w:line="360" w:lineRule="auto"/>
        <w:rPr>
          <w:rFonts w:ascii="Arial" w:hAnsi="Arial" w:cs="Arial"/>
          <w:sz w:val="22"/>
          <w:szCs w:val="22"/>
        </w:rPr>
      </w:pPr>
    </w:p>
    <w:p w14:paraId="1F0977F6" w14:textId="77777777" w:rsidR="00587751" w:rsidRDefault="00587751" w:rsidP="002B6983">
      <w:pPr>
        <w:spacing w:line="360" w:lineRule="auto"/>
        <w:rPr>
          <w:rFonts w:ascii="Arial" w:hAnsi="Arial" w:cs="Arial"/>
          <w:sz w:val="22"/>
          <w:szCs w:val="22"/>
        </w:rPr>
      </w:pPr>
    </w:p>
    <w:p w14:paraId="7D19E0A7" w14:textId="77777777" w:rsidR="00587751" w:rsidRDefault="00587751" w:rsidP="002B6983">
      <w:pPr>
        <w:spacing w:line="360" w:lineRule="auto"/>
        <w:rPr>
          <w:rFonts w:ascii="Arial" w:hAnsi="Arial" w:cs="Arial"/>
          <w:sz w:val="22"/>
          <w:szCs w:val="22"/>
        </w:rPr>
      </w:pPr>
    </w:p>
    <w:p w14:paraId="24F18B5C" w14:textId="494BD43C" w:rsidR="0081516E" w:rsidRDefault="0081516E" w:rsidP="002B6983">
      <w:pPr>
        <w:spacing w:line="360" w:lineRule="auto"/>
        <w:rPr>
          <w:rFonts w:ascii="Arial" w:hAnsi="Arial" w:cs="Arial"/>
          <w:sz w:val="22"/>
          <w:szCs w:val="22"/>
        </w:rPr>
      </w:pPr>
      <w:r>
        <w:rPr>
          <w:rFonts w:ascii="Arial" w:hAnsi="Arial" w:cs="Arial"/>
          <w:sz w:val="22"/>
          <w:szCs w:val="22"/>
        </w:rPr>
        <w:t>Development and Critique</w:t>
      </w:r>
    </w:p>
    <w:p w14:paraId="10D55495" w14:textId="77777777" w:rsidR="0081516E" w:rsidRDefault="0081516E" w:rsidP="002B6983">
      <w:pPr>
        <w:spacing w:line="360" w:lineRule="auto"/>
        <w:rPr>
          <w:rFonts w:ascii="Arial" w:hAnsi="Arial" w:cs="Arial"/>
          <w:sz w:val="22"/>
          <w:szCs w:val="22"/>
        </w:rPr>
      </w:pPr>
    </w:p>
    <w:p w14:paraId="71861E28" w14:textId="77777777" w:rsidR="0081516E" w:rsidRDefault="0081516E" w:rsidP="002B6983">
      <w:pPr>
        <w:spacing w:line="360" w:lineRule="auto"/>
        <w:rPr>
          <w:rFonts w:ascii="Arial" w:hAnsi="Arial" w:cs="Arial"/>
          <w:sz w:val="22"/>
          <w:szCs w:val="22"/>
        </w:rPr>
      </w:pPr>
    </w:p>
    <w:p w14:paraId="49CF8222" w14:textId="77777777" w:rsidR="0081516E" w:rsidRDefault="0081516E" w:rsidP="002B6983">
      <w:pPr>
        <w:spacing w:line="360" w:lineRule="auto"/>
        <w:rPr>
          <w:rFonts w:ascii="Arial" w:hAnsi="Arial" w:cs="Arial"/>
          <w:sz w:val="22"/>
          <w:szCs w:val="22"/>
        </w:rPr>
      </w:pPr>
    </w:p>
    <w:p w14:paraId="4C58E388" w14:textId="2B2752EF" w:rsidR="0081516E" w:rsidRPr="00640169" w:rsidRDefault="0081516E" w:rsidP="002B6983">
      <w:pPr>
        <w:spacing w:line="360" w:lineRule="auto"/>
        <w:rPr>
          <w:rFonts w:ascii="Arial" w:hAnsi="Arial" w:cs="Arial"/>
          <w:b/>
          <w:bCs/>
          <w:sz w:val="22"/>
          <w:szCs w:val="22"/>
        </w:rPr>
      </w:pPr>
      <w:r w:rsidRPr="00640169">
        <w:rPr>
          <w:rFonts w:ascii="Arial" w:hAnsi="Arial" w:cs="Arial"/>
          <w:b/>
          <w:bCs/>
          <w:sz w:val="22"/>
          <w:szCs w:val="22"/>
        </w:rPr>
        <w:t>Introduc</w:t>
      </w:r>
      <w:r w:rsidR="00640169" w:rsidRPr="00640169">
        <w:rPr>
          <w:rFonts w:ascii="Arial" w:hAnsi="Arial" w:cs="Arial"/>
          <w:b/>
          <w:bCs/>
          <w:sz w:val="22"/>
          <w:szCs w:val="22"/>
        </w:rPr>
        <w:t xml:space="preserve">tion </w:t>
      </w:r>
    </w:p>
    <w:p w14:paraId="493D5261" w14:textId="3346EFA0" w:rsidR="007A1E16" w:rsidRDefault="002B6983" w:rsidP="002B6983">
      <w:pPr>
        <w:spacing w:line="360" w:lineRule="auto"/>
        <w:rPr>
          <w:rFonts w:ascii="Arial" w:hAnsi="Arial" w:cs="Arial"/>
          <w:sz w:val="22"/>
          <w:szCs w:val="22"/>
        </w:rPr>
      </w:pPr>
      <w:r w:rsidRPr="002B6983">
        <w:rPr>
          <w:rFonts w:ascii="Arial" w:hAnsi="Arial" w:cs="Arial"/>
          <w:sz w:val="22"/>
          <w:szCs w:val="22"/>
        </w:rPr>
        <w:t xml:space="preserve">The wealthiest regions of the globe require a workforce for caregiving. </w:t>
      </w:r>
      <w:r w:rsidR="007506ED">
        <w:rPr>
          <w:rFonts w:ascii="Arial" w:hAnsi="Arial" w:cs="Arial"/>
          <w:sz w:val="22"/>
          <w:szCs w:val="22"/>
        </w:rPr>
        <w:t>D</w:t>
      </w:r>
      <w:r w:rsidRPr="002B6983">
        <w:rPr>
          <w:rFonts w:ascii="Arial" w:hAnsi="Arial" w:cs="Arial"/>
          <w:sz w:val="22"/>
          <w:szCs w:val="22"/>
        </w:rPr>
        <w:t xml:space="preserve">iscovered, through studies within the concept of global citizen chains, that labor is transferred from poorer areas to these wealthier areas, where emotional and physical labor are also transferred in this transaction of people, or </w:t>
      </w:r>
      <w:r w:rsidR="00CB2CB3" w:rsidRPr="002B6983">
        <w:rPr>
          <w:rFonts w:ascii="Arial" w:hAnsi="Arial" w:cs="Arial"/>
          <w:sz w:val="22"/>
          <w:szCs w:val="22"/>
        </w:rPr>
        <w:t>migration.</w:t>
      </w:r>
      <w:r w:rsidR="00CB2CB3">
        <w:rPr>
          <w:rFonts w:ascii="Arial" w:hAnsi="Arial" w:cs="Arial"/>
          <w:sz w:val="22"/>
          <w:szCs w:val="22"/>
        </w:rPr>
        <w:t xml:space="preserve"> (</w:t>
      </w:r>
      <w:proofErr w:type="spellStart"/>
      <w:r>
        <w:rPr>
          <w:rFonts w:ascii="Arial" w:hAnsi="Arial" w:cs="Arial"/>
          <w:sz w:val="22"/>
          <w:szCs w:val="22"/>
        </w:rPr>
        <w:t>Hochchild</w:t>
      </w:r>
      <w:proofErr w:type="spellEnd"/>
      <w:r>
        <w:rPr>
          <w:rFonts w:ascii="Arial" w:hAnsi="Arial" w:cs="Arial"/>
          <w:sz w:val="22"/>
          <w:szCs w:val="22"/>
        </w:rPr>
        <w:t xml:space="preserve"> 2000)</w:t>
      </w:r>
    </w:p>
    <w:p w14:paraId="55A2ED26" w14:textId="44C941C6" w:rsidR="002B6983" w:rsidRDefault="002B6983" w:rsidP="002B6983">
      <w:pPr>
        <w:spacing w:line="360" w:lineRule="auto"/>
        <w:rPr>
          <w:rFonts w:ascii="Arial" w:hAnsi="Arial" w:cs="Arial"/>
          <w:sz w:val="22"/>
          <w:szCs w:val="22"/>
        </w:rPr>
      </w:pPr>
      <w:r w:rsidRPr="002B6983">
        <w:rPr>
          <w:rFonts w:ascii="Arial" w:hAnsi="Arial" w:cs="Arial"/>
          <w:sz w:val="22"/>
          <w:szCs w:val="22"/>
        </w:rPr>
        <w:t>This chain often involves immigrant women who migrate from their countries to fill jobs such as domestic service and caregiving. They often leave other women in more precarious situations in their home countries. This demonstrates the global inequality shaped by new neoliberal economic models and the demands of the labor market and gendered work (Parreñas, 2001; Yeates, 2021).</w:t>
      </w:r>
    </w:p>
    <w:p w14:paraId="1E253EC5" w14:textId="0AB29EB1" w:rsidR="00CB2CB3" w:rsidRDefault="00CB2CB3" w:rsidP="002B6983">
      <w:pPr>
        <w:spacing w:line="360" w:lineRule="auto"/>
        <w:rPr>
          <w:rFonts w:ascii="Arial" w:hAnsi="Arial" w:cs="Arial"/>
          <w:sz w:val="22"/>
          <w:szCs w:val="22"/>
        </w:rPr>
      </w:pPr>
      <w:r w:rsidRPr="00CB2CB3">
        <w:rPr>
          <w:rFonts w:ascii="Arial" w:hAnsi="Arial" w:cs="Arial"/>
          <w:sz w:val="22"/>
          <w:szCs w:val="22"/>
        </w:rPr>
        <w:t>Over time, GCCs have expanded their chain not only in domestic service to the health and social care sector, such as nursing and adult care, thanks to which they have become the central element and global health workforce (Connell, 2010)</w:t>
      </w:r>
    </w:p>
    <w:p w14:paraId="737AD35B" w14:textId="4FD42CA3" w:rsidR="00F83A8A" w:rsidRDefault="00F83A8A" w:rsidP="002B6983">
      <w:pPr>
        <w:spacing w:line="360" w:lineRule="auto"/>
        <w:rPr>
          <w:rFonts w:ascii="Arial" w:hAnsi="Arial" w:cs="Arial"/>
          <w:sz w:val="22"/>
          <w:szCs w:val="22"/>
        </w:rPr>
      </w:pPr>
      <w:r w:rsidRPr="00F83A8A">
        <w:rPr>
          <w:rFonts w:ascii="Arial" w:hAnsi="Arial" w:cs="Arial"/>
          <w:sz w:val="22"/>
          <w:szCs w:val="22"/>
        </w:rPr>
        <w:t xml:space="preserve">According to analyses of GCC theory, it justifies or facilitates immigration procedures to help manage visas, thereby reducing exploitation and victimization, </w:t>
      </w:r>
      <w:r w:rsidRPr="00F83A8A">
        <w:rPr>
          <w:rFonts w:ascii="Arial" w:hAnsi="Arial" w:cs="Arial"/>
          <w:sz w:val="22"/>
          <w:szCs w:val="22"/>
        </w:rPr>
        <w:t>and</w:t>
      </w:r>
      <w:r w:rsidRPr="00F83A8A">
        <w:rPr>
          <w:rFonts w:ascii="Arial" w:hAnsi="Arial" w:cs="Arial"/>
          <w:sz w:val="22"/>
          <w:szCs w:val="22"/>
        </w:rPr>
        <w:t xml:space="preserve"> benefiting individuals and families in obtaining residency and working legally. (Kofman &amp; Raghuram, 2015)</w:t>
      </w:r>
    </w:p>
    <w:p w14:paraId="71544766" w14:textId="33997A16" w:rsidR="0081516E" w:rsidRDefault="0081516E" w:rsidP="002B6983">
      <w:pPr>
        <w:spacing w:line="360" w:lineRule="auto"/>
        <w:rPr>
          <w:rFonts w:ascii="Arial" w:hAnsi="Arial" w:cs="Arial"/>
          <w:sz w:val="22"/>
          <w:szCs w:val="22"/>
        </w:rPr>
      </w:pPr>
      <w:r w:rsidRPr="0081516E">
        <w:rPr>
          <w:rFonts w:ascii="Arial" w:hAnsi="Arial" w:cs="Arial"/>
          <w:sz w:val="22"/>
          <w:szCs w:val="22"/>
        </w:rPr>
        <w:t>Improved research methods have studied migration, which was previously viewed in a simpler way, but now include more factors. This means that a migrant's experience depends not on a single thing but on several simultaneously, such as their social class or ethnicity. These factors combine and affect how they experience migration. Families are separated, but people continue to support their relatives financially. This research by GCC allows for a more nuanced understanding</w:t>
      </w:r>
      <w:r w:rsidR="005950E2" w:rsidRPr="005950E2">
        <w:t xml:space="preserve"> </w:t>
      </w:r>
      <w:r w:rsidR="005950E2" w:rsidRPr="005950E2">
        <w:rPr>
          <w:rFonts w:ascii="Arial" w:hAnsi="Arial" w:cs="Arial"/>
          <w:sz w:val="22"/>
          <w:szCs w:val="22"/>
        </w:rPr>
        <w:t>within health and social assistance systems</w:t>
      </w:r>
      <w:r w:rsidR="005950E2">
        <w:rPr>
          <w:rFonts w:ascii="Arial" w:hAnsi="Arial" w:cs="Arial"/>
          <w:sz w:val="22"/>
          <w:szCs w:val="22"/>
        </w:rPr>
        <w:t>.</w:t>
      </w:r>
      <w:r w:rsidRPr="0081516E">
        <w:rPr>
          <w:rFonts w:ascii="Arial" w:hAnsi="Arial" w:cs="Arial"/>
          <w:sz w:val="22"/>
          <w:szCs w:val="22"/>
        </w:rPr>
        <w:t xml:space="preserve"> (Yates, 2012).</w:t>
      </w:r>
    </w:p>
    <w:p w14:paraId="065B5D75" w14:textId="3206AF28" w:rsidR="005950E2" w:rsidRDefault="005950E2" w:rsidP="002B6983">
      <w:pPr>
        <w:spacing w:line="360" w:lineRule="auto"/>
        <w:rPr>
          <w:rFonts w:ascii="Arial" w:hAnsi="Arial" w:cs="Arial"/>
          <w:b/>
          <w:bCs/>
          <w:sz w:val="22"/>
          <w:szCs w:val="22"/>
        </w:rPr>
      </w:pPr>
      <w:r w:rsidRPr="005950E2">
        <w:rPr>
          <w:rFonts w:ascii="Arial" w:hAnsi="Arial" w:cs="Arial"/>
          <w:b/>
          <w:bCs/>
          <w:sz w:val="22"/>
          <w:szCs w:val="22"/>
        </w:rPr>
        <w:t xml:space="preserve">Healthcare </w:t>
      </w:r>
      <w:r>
        <w:rPr>
          <w:rFonts w:ascii="Arial" w:hAnsi="Arial" w:cs="Arial"/>
          <w:b/>
          <w:bCs/>
          <w:sz w:val="22"/>
          <w:szCs w:val="22"/>
        </w:rPr>
        <w:t>C</w:t>
      </w:r>
      <w:r w:rsidRPr="005950E2">
        <w:rPr>
          <w:rFonts w:ascii="Arial" w:hAnsi="Arial" w:cs="Arial"/>
          <w:b/>
          <w:bCs/>
          <w:sz w:val="22"/>
          <w:szCs w:val="22"/>
        </w:rPr>
        <w:t xml:space="preserve">hains and their </w:t>
      </w:r>
      <w:r>
        <w:rPr>
          <w:rFonts w:ascii="Arial" w:hAnsi="Arial" w:cs="Arial"/>
          <w:b/>
          <w:bCs/>
          <w:sz w:val="22"/>
          <w:szCs w:val="22"/>
        </w:rPr>
        <w:t>S</w:t>
      </w:r>
      <w:r w:rsidRPr="005950E2">
        <w:rPr>
          <w:rFonts w:ascii="Arial" w:hAnsi="Arial" w:cs="Arial"/>
          <w:b/>
          <w:bCs/>
          <w:sz w:val="22"/>
          <w:szCs w:val="22"/>
        </w:rPr>
        <w:t xml:space="preserve">ocial </w:t>
      </w:r>
      <w:r>
        <w:rPr>
          <w:rFonts w:ascii="Arial" w:hAnsi="Arial" w:cs="Arial"/>
          <w:b/>
          <w:bCs/>
          <w:sz w:val="22"/>
          <w:szCs w:val="22"/>
        </w:rPr>
        <w:t>A</w:t>
      </w:r>
      <w:r w:rsidRPr="005950E2">
        <w:rPr>
          <w:rFonts w:ascii="Arial" w:hAnsi="Arial" w:cs="Arial"/>
          <w:b/>
          <w:bCs/>
          <w:sz w:val="22"/>
          <w:szCs w:val="22"/>
        </w:rPr>
        <w:t xml:space="preserve">ssistance </w:t>
      </w:r>
      <w:r>
        <w:rPr>
          <w:rFonts w:ascii="Arial" w:hAnsi="Arial" w:cs="Arial"/>
          <w:b/>
          <w:bCs/>
          <w:sz w:val="22"/>
          <w:szCs w:val="22"/>
        </w:rPr>
        <w:t>P</w:t>
      </w:r>
      <w:r w:rsidRPr="005950E2">
        <w:rPr>
          <w:rFonts w:ascii="Arial" w:hAnsi="Arial" w:cs="Arial"/>
          <w:b/>
          <w:bCs/>
          <w:sz w:val="22"/>
          <w:szCs w:val="22"/>
        </w:rPr>
        <w:t>olicies</w:t>
      </w:r>
    </w:p>
    <w:p w14:paraId="75ACB2FB" w14:textId="013B68F7" w:rsidR="00120D33" w:rsidRDefault="00120D33" w:rsidP="002B6983">
      <w:pPr>
        <w:spacing w:line="360" w:lineRule="auto"/>
        <w:rPr>
          <w:rFonts w:ascii="Arial" w:hAnsi="Arial" w:cs="Arial"/>
          <w:sz w:val="22"/>
          <w:szCs w:val="22"/>
        </w:rPr>
      </w:pPr>
      <w:r w:rsidRPr="00120D33">
        <w:rPr>
          <w:rFonts w:ascii="Arial" w:hAnsi="Arial" w:cs="Arial"/>
          <w:sz w:val="22"/>
          <w:szCs w:val="22"/>
        </w:rPr>
        <w:lastRenderedPageBreak/>
        <w:t>The allocation of contracts to a global group of people (GCC) and health and social care policies reveal supply and demand, as well as ethical considerations. Many countries require migrant labor, which is essential to their economy; however, there is no demand for this type of service, and the supply is greater. The high demand for nurses, nursing homes, and home care services is due to the aging population and low birth rate. (Buchan, Duffield, and Jordan, 2015)</w:t>
      </w:r>
    </w:p>
    <w:p w14:paraId="4814B2A6" w14:textId="1E9D3BF0" w:rsidR="00E7614B" w:rsidRDefault="00E7614B" w:rsidP="002B6983">
      <w:pPr>
        <w:spacing w:line="360" w:lineRule="auto"/>
        <w:rPr>
          <w:rFonts w:ascii="Arial" w:hAnsi="Arial" w:cs="Arial"/>
          <w:sz w:val="22"/>
          <w:szCs w:val="22"/>
        </w:rPr>
      </w:pPr>
      <w:r w:rsidRPr="00E7614B">
        <w:rPr>
          <w:rFonts w:ascii="Arial" w:hAnsi="Arial" w:cs="Arial"/>
          <w:sz w:val="22"/>
          <w:szCs w:val="22"/>
        </w:rPr>
        <w:t>With government and corporate organizing plans to teach new skills and train people, providing study opportunities to learn a trade and offering appropriate training courses to improve their abilities, people are being helped to adapt to new jobs. Simplifying visas has facilitated this CCG dependency within the health system. (World Health Organization, 2010)</w:t>
      </w:r>
    </w:p>
    <w:p w14:paraId="132579FF" w14:textId="7CBC2BBA" w:rsidR="00E7614B" w:rsidRDefault="00E7614B" w:rsidP="002B6983">
      <w:pPr>
        <w:spacing w:line="360" w:lineRule="auto"/>
        <w:rPr>
          <w:rFonts w:ascii="Arial" w:hAnsi="Arial" w:cs="Arial"/>
          <w:sz w:val="22"/>
          <w:szCs w:val="22"/>
        </w:rPr>
      </w:pPr>
      <w:r w:rsidRPr="00E7614B">
        <w:rPr>
          <w:rFonts w:ascii="Arial" w:hAnsi="Arial" w:cs="Arial"/>
          <w:sz w:val="22"/>
          <w:szCs w:val="22"/>
        </w:rPr>
        <w:t>The implementation of these policies raises concerns about the sustainability and equity of the global distribution of labor in these sectors. The high rate of migrant healthcare professionals from low-income countries could pose a serious problem for these countries, as it could exacerbate staff shortages and thus weaken their healthcare systems (Connell, 2010).</w:t>
      </w:r>
    </w:p>
    <w:p w14:paraId="4D12BEB9" w14:textId="152CFA04" w:rsidR="00093A94" w:rsidRDefault="00093A94" w:rsidP="002B6983">
      <w:pPr>
        <w:spacing w:line="360" w:lineRule="auto"/>
        <w:rPr>
          <w:rFonts w:ascii="Arial" w:hAnsi="Arial" w:cs="Arial"/>
          <w:sz w:val="22"/>
          <w:szCs w:val="22"/>
        </w:rPr>
      </w:pPr>
      <w:r w:rsidRPr="00093A94">
        <w:rPr>
          <w:rFonts w:ascii="Arial" w:hAnsi="Arial" w:cs="Arial"/>
          <w:sz w:val="22"/>
          <w:szCs w:val="22"/>
        </w:rPr>
        <w:t>International guidelines, such as the WHO's global code of practice on international contracts for health personnel, aim to promote ethical recruitment, but freedom of choice limits their effective implementation. Effectively, the regulatory framework almost always manages to strike a balance with global equity (World Health Organization, 2010).</w:t>
      </w:r>
    </w:p>
    <w:p w14:paraId="33091CEB" w14:textId="1A1F4BB7" w:rsidR="00587751" w:rsidRDefault="00587751" w:rsidP="002B6983">
      <w:pPr>
        <w:spacing w:line="360" w:lineRule="auto"/>
        <w:rPr>
          <w:rFonts w:ascii="Arial" w:hAnsi="Arial" w:cs="Arial"/>
          <w:sz w:val="22"/>
          <w:szCs w:val="22"/>
        </w:rPr>
      </w:pPr>
      <w:r w:rsidRPr="00587751">
        <w:rPr>
          <w:rFonts w:ascii="Arial" w:hAnsi="Arial" w:cs="Arial"/>
          <w:sz w:val="22"/>
          <w:szCs w:val="22"/>
        </w:rPr>
        <w:t>Studies of these policies clearly show uneven results. While most migrant workers contribute significantly to health services and improve access in host countries (Buchan et al., 2015), they face challenges and precarious working conditions, including discrimination, harassment, and skills loss when their work is not fully recognized. This presents a clear challenge: a gap between policy intentions and reality that suggests the need for more robust and inclusive approaches (Kofman and Raghuram, 2015).</w:t>
      </w:r>
    </w:p>
    <w:p w14:paraId="09518F7B" w14:textId="77777777" w:rsidR="00587751" w:rsidRPr="00FE480E" w:rsidRDefault="00587751" w:rsidP="00587751">
      <w:pPr>
        <w:pStyle w:val="NormalWeb"/>
        <w:rPr>
          <w:rFonts w:ascii="Arial" w:hAnsi="Arial" w:cs="Arial"/>
          <w:color w:val="000000" w:themeColor="text1"/>
          <w:sz w:val="22"/>
          <w:szCs w:val="22"/>
        </w:rPr>
      </w:pPr>
      <w:r w:rsidRPr="00FE480E">
        <w:rPr>
          <w:rStyle w:val="Strong"/>
          <w:rFonts w:ascii="Arial" w:hAnsi="Arial" w:cs="Arial"/>
          <w:color w:val="000000" w:themeColor="text1"/>
          <w:sz w:val="22"/>
          <w:szCs w:val="22"/>
        </w:rPr>
        <w:t>Legislation and Guidelines in the Context of Global Care Chains</w:t>
      </w:r>
    </w:p>
    <w:p w14:paraId="2CDF306D" w14:textId="4E461063" w:rsidR="00587751" w:rsidRDefault="00640169" w:rsidP="002B6983">
      <w:pPr>
        <w:spacing w:line="360" w:lineRule="auto"/>
        <w:rPr>
          <w:rFonts w:ascii="Arial" w:hAnsi="Arial" w:cs="Arial"/>
          <w:sz w:val="22"/>
          <w:szCs w:val="22"/>
        </w:rPr>
      </w:pPr>
      <w:r w:rsidRPr="00640169">
        <w:rPr>
          <w:rFonts w:ascii="Arial" w:hAnsi="Arial" w:cs="Arial"/>
          <w:sz w:val="22"/>
          <w:szCs w:val="22"/>
        </w:rPr>
        <w:t>Laws and professional guidelines play a fundamental role in collective bargaining agreements in health and social care. Immigration laws and regulations for professionals determine working conditions, such as minimum wage and discriminatory policies. For example, labor protection laws, minimum wage laws, and anti-discrimination policies aim to safeguard workers' rights. However, their application in practice is inconsistent, especially in the private sector. This imbalance allows exploitation to persist, fostering inequality and risks to employment contracts and for everyone (Anderson, 2012).</w:t>
      </w:r>
    </w:p>
    <w:p w14:paraId="0A51FB9C" w14:textId="062E52E3" w:rsidR="00E6534B" w:rsidRDefault="00640169" w:rsidP="002B6983">
      <w:pPr>
        <w:spacing w:line="360" w:lineRule="auto"/>
        <w:rPr>
          <w:rFonts w:ascii="Arial" w:hAnsi="Arial" w:cs="Arial"/>
          <w:sz w:val="22"/>
          <w:szCs w:val="22"/>
        </w:rPr>
      </w:pPr>
      <w:r w:rsidRPr="00640169">
        <w:rPr>
          <w:rFonts w:ascii="Arial" w:hAnsi="Arial" w:cs="Arial"/>
          <w:sz w:val="22"/>
          <w:szCs w:val="22"/>
        </w:rPr>
        <w:lastRenderedPageBreak/>
        <w:t>However, norm-based hypotheses are grounded in principles of equity, human rights, and labor sustainability. Neoliberal priorities, on the other hand, prioritize cost efficiency and labor flexibility over worker well-being. This difference is evident in policies that facilitate temporary migration programs, as these limit workers' rights to establish or access social benefits, thereby maintaining a readily available workforce (Kilkey et al., 2010).</w:t>
      </w:r>
    </w:p>
    <w:p w14:paraId="38637AD3" w14:textId="5594188E" w:rsidR="00672D64" w:rsidRDefault="00672D64" w:rsidP="002B6983">
      <w:pPr>
        <w:spacing w:line="360" w:lineRule="auto"/>
        <w:rPr>
          <w:rFonts w:ascii="Arial" w:hAnsi="Arial" w:cs="Arial"/>
          <w:sz w:val="22"/>
          <w:szCs w:val="22"/>
        </w:rPr>
      </w:pPr>
      <w:r w:rsidRPr="00672D64">
        <w:rPr>
          <w:rFonts w:ascii="Arial" w:hAnsi="Arial" w:cs="Arial"/>
          <w:sz w:val="22"/>
          <w:szCs w:val="22"/>
        </w:rPr>
        <w:t>The changes to these margins, which guidelines such as those from the WHO provide as a normative reference, are not mandatory but voluntary. This demonstrates that the code sets forth clear principles to promote the practice of fair and transparent international contracts. However, there is no sanction to guarantee its uniform adoption or effective enforcement. This shows that its impact depends largely on the political will of countries and their institutional capacity to recognize sound public policies.</w:t>
      </w:r>
      <w:r>
        <w:rPr>
          <w:rFonts w:ascii="Arial" w:hAnsi="Arial" w:cs="Arial"/>
          <w:sz w:val="22"/>
          <w:szCs w:val="22"/>
        </w:rPr>
        <w:t xml:space="preserve"> (World Health Organization, 2010).</w:t>
      </w:r>
    </w:p>
    <w:p w14:paraId="24D730C0" w14:textId="4DEA41F1" w:rsidR="00E6534B" w:rsidRDefault="00E6534B" w:rsidP="002B6983">
      <w:pPr>
        <w:spacing w:line="360" w:lineRule="auto"/>
        <w:rPr>
          <w:rFonts w:ascii="Arial" w:hAnsi="Arial" w:cs="Arial"/>
          <w:b/>
          <w:bCs/>
          <w:sz w:val="22"/>
          <w:szCs w:val="22"/>
        </w:rPr>
      </w:pPr>
      <w:r w:rsidRPr="00E6534B">
        <w:rPr>
          <w:rFonts w:ascii="Arial" w:hAnsi="Arial" w:cs="Arial"/>
          <w:b/>
          <w:bCs/>
          <w:sz w:val="22"/>
          <w:szCs w:val="22"/>
        </w:rPr>
        <w:t>Partnership Working in Global Care Chains</w:t>
      </w:r>
    </w:p>
    <w:p w14:paraId="36BC49E5" w14:textId="628CC322" w:rsidR="000D4407" w:rsidRDefault="000D4407" w:rsidP="002B6983">
      <w:pPr>
        <w:spacing w:line="360" w:lineRule="auto"/>
        <w:rPr>
          <w:rFonts w:ascii="Arial" w:hAnsi="Arial" w:cs="Arial"/>
          <w:sz w:val="22"/>
          <w:szCs w:val="22"/>
        </w:rPr>
      </w:pPr>
      <w:r w:rsidRPr="000D4407">
        <w:rPr>
          <w:rFonts w:ascii="Arial" w:hAnsi="Arial" w:cs="Arial"/>
          <w:sz w:val="22"/>
          <w:szCs w:val="22"/>
        </w:rPr>
        <w:t xml:space="preserve">Partnership working is a key strategy in addressing the complexities of GCCs within health and social care. It involves collaboration between governments, healthcare institutions, recruitment agencies, and international organizations to manage workforce mobility and ensure quality care </w:t>
      </w:r>
      <w:r w:rsidR="00961B49" w:rsidRPr="000D4407">
        <w:rPr>
          <w:rFonts w:ascii="Arial" w:hAnsi="Arial" w:cs="Arial"/>
          <w:sz w:val="22"/>
          <w:szCs w:val="22"/>
        </w:rPr>
        <w:t>provision. Theoretically</w:t>
      </w:r>
      <w:r w:rsidRPr="000D4407">
        <w:rPr>
          <w:rFonts w:ascii="Arial" w:hAnsi="Arial" w:cs="Arial"/>
          <w:sz w:val="22"/>
          <w:szCs w:val="22"/>
        </w:rPr>
        <w:t>, partnership approaches are grounded in principles of shared responsibility, coordination, and mutual benefit. With this we promote the long-term needs of staff</w:t>
      </w:r>
      <w:r>
        <w:rPr>
          <w:rFonts w:ascii="Arial" w:hAnsi="Arial" w:cs="Arial"/>
          <w:sz w:val="22"/>
          <w:szCs w:val="22"/>
        </w:rPr>
        <w:t xml:space="preserve">. </w:t>
      </w:r>
      <w:r w:rsidR="006F44FE" w:rsidRPr="006F44FE">
        <w:rPr>
          <w:rFonts w:ascii="Arial" w:hAnsi="Arial" w:cs="Arial"/>
          <w:sz w:val="22"/>
          <w:szCs w:val="22"/>
        </w:rPr>
        <w:t xml:space="preserve">This collaborative theory is based on shared responsibility, inter-institutional coordination, and mutual benefit. Shared responsibility recognizes that this requires joint commitment. This allows for the coordination and alignment of local, national, and international policies, resources, and strategies. The aim is to balance the interests of the professionals' countries of origin and destination </w:t>
      </w:r>
      <w:proofErr w:type="gramStart"/>
      <w:r>
        <w:rPr>
          <w:rFonts w:ascii="Arial" w:hAnsi="Arial" w:cs="Arial"/>
          <w:sz w:val="22"/>
          <w:szCs w:val="22"/>
        </w:rPr>
        <w:t>( Dick</w:t>
      </w:r>
      <w:r w:rsidR="006F44FE">
        <w:rPr>
          <w:rFonts w:ascii="Arial" w:hAnsi="Arial" w:cs="Arial"/>
          <w:sz w:val="22"/>
          <w:szCs w:val="22"/>
        </w:rPr>
        <w:t>ins</w:t>
      </w:r>
      <w:r>
        <w:rPr>
          <w:rFonts w:ascii="Arial" w:hAnsi="Arial" w:cs="Arial"/>
          <w:sz w:val="22"/>
          <w:szCs w:val="22"/>
        </w:rPr>
        <w:t>on</w:t>
      </w:r>
      <w:proofErr w:type="gramEnd"/>
      <w:r>
        <w:rPr>
          <w:rFonts w:ascii="Arial" w:hAnsi="Arial" w:cs="Arial"/>
          <w:sz w:val="22"/>
          <w:szCs w:val="22"/>
        </w:rPr>
        <w:t xml:space="preserve"> and </w:t>
      </w:r>
      <w:proofErr w:type="spellStart"/>
      <w:r>
        <w:rPr>
          <w:rFonts w:ascii="Arial" w:hAnsi="Arial" w:cs="Arial"/>
          <w:sz w:val="22"/>
          <w:szCs w:val="22"/>
        </w:rPr>
        <w:t>glasby</w:t>
      </w:r>
      <w:proofErr w:type="spellEnd"/>
      <w:r>
        <w:rPr>
          <w:rFonts w:ascii="Arial" w:hAnsi="Arial" w:cs="Arial"/>
          <w:sz w:val="22"/>
          <w:szCs w:val="22"/>
        </w:rPr>
        <w:t>, 2010).</w:t>
      </w:r>
    </w:p>
    <w:p w14:paraId="6B560B75" w14:textId="086125FB" w:rsidR="00A35AA5" w:rsidRDefault="00A35AA5" w:rsidP="0055263F">
      <w:pPr>
        <w:spacing w:line="360" w:lineRule="auto"/>
        <w:rPr>
          <w:rFonts w:ascii="Arial" w:hAnsi="Arial" w:cs="Arial"/>
          <w:sz w:val="22"/>
          <w:szCs w:val="22"/>
        </w:rPr>
      </w:pPr>
      <w:r w:rsidRPr="0055263F">
        <w:rPr>
          <w:rFonts w:ascii="Arial" w:hAnsi="Arial" w:cs="Arial"/>
          <w:sz w:val="22"/>
          <w:szCs w:val="22"/>
        </w:rPr>
        <w:t>However, in practice, support within Gulf Cooperation Council (GCC) countries often reflects inequality, reflecting differences in the capacity to govern regulatory frameworks and national priorities. This implementation is often inconsistent. Bilateral agreements between countries aim to regulate migration and stabilize and protect workers' rights, but their effectiveness can vary considerably depending on the strength of government structures and the accountability of monitoring methods. This procedure functions primarily as a formal commitment, resulting in limited effectiveness</w:t>
      </w:r>
      <w:r w:rsidR="00FB42B0">
        <w:rPr>
          <w:rFonts w:ascii="Arial" w:hAnsi="Arial" w:cs="Arial"/>
          <w:sz w:val="22"/>
          <w:szCs w:val="22"/>
        </w:rPr>
        <w:t xml:space="preserve"> (Buchan et al., 2015)</w:t>
      </w:r>
    </w:p>
    <w:p w14:paraId="2C072A0E" w14:textId="3FD7C547" w:rsidR="00A13C1B" w:rsidRPr="0055263F" w:rsidRDefault="00A13C1B" w:rsidP="0055263F">
      <w:pPr>
        <w:spacing w:line="360" w:lineRule="auto"/>
        <w:rPr>
          <w:rFonts w:ascii="Arial" w:hAnsi="Arial" w:cs="Arial"/>
          <w:sz w:val="22"/>
          <w:szCs w:val="22"/>
        </w:rPr>
      </w:pPr>
      <w:r w:rsidRPr="00A13C1B">
        <w:rPr>
          <w:rFonts w:ascii="Arial" w:hAnsi="Arial" w:cs="Arial"/>
          <w:sz w:val="22"/>
          <w:szCs w:val="22"/>
        </w:rPr>
        <w:t xml:space="preserve">Public-private partnerships introduce a range of challenges. While they can efficiently improve and expand service delivery and mobilize additional resources, this can create tension, especially </w:t>
      </w:r>
      <w:r w:rsidRPr="00A13C1B">
        <w:rPr>
          <w:rFonts w:ascii="Arial" w:hAnsi="Arial" w:cs="Arial"/>
          <w:sz w:val="22"/>
          <w:szCs w:val="22"/>
        </w:rPr>
        <w:lastRenderedPageBreak/>
        <w:t>when prioritizing shared objectives such as quality of care, equity, and professional ethics. The contracting companies' primary goal is often to maximize their own profits, regardless of the working conditions, which can include poor wages, abuse, and other forms of mistreatment. This raises concerns about regulation, transparency, and accountability (Aderson, 2012).</w:t>
      </w:r>
    </w:p>
    <w:p w14:paraId="6F6E3AFF" w14:textId="126007F3" w:rsidR="002B6983" w:rsidRDefault="00961B49" w:rsidP="002B6983">
      <w:pPr>
        <w:spacing w:line="360" w:lineRule="auto"/>
        <w:rPr>
          <w:rFonts w:ascii="Arial" w:hAnsi="Arial" w:cs="Arial"/>
          <w:sz w:val="22"/>
          <w:szCs w:val="22"/>
        </w:rPr>
      </w:pPr>
      <w:r w:rsidRPr="00961B49">
        <w:rPr>
          <w:rFonts w:ascii="Arial" w:hAnsi="Arial" w:cs="Arial"/>
          <w:sz w:val="22"/>
          <w:szCs w:val="22"/>
        </w:rPr>
        <w:t xml:space="preserve">The progress of these joint initiatives highlights both successes and obstacles. Professional development programs that include training, skills enhancement, and knowledge sharing benefit everyone. These collaborations strengthen the capabilities of healthcare professionals, fostering personal development and competencies in different areas of health. They also support staff retention in their countries of origin by providing development opportunities and mitigating the adverse effects of </w:t>
      </w:r>
      <w:r w:rsidR="00BC1BCE" w:rsidRPr="00961B49">
        <w:rPr>
          <w:rFonts w:ascii="Arial" w:hAnsi="Arial" w:cs="Arial"/>
          <w:sz w:val="22"/>
          <w:szCs w:val="22"/>
        </w:rPr>
        <w:t>migration.</w:t>
      </w:r>
      <w:r w:rsidR="00BC1BCE">
        <w:rPr>
          <w:rFonts w:ascii="Arial" w:hAnsi="Arial" w:cs="Arial"/>
          <w:sz w:val="22"/>
          <w:szCs w:val="22"/>
        </w:rPr>
        <w:t xml:space="preserve"> </w:t>
      </w:r>
      <w:r w:rsidR="00BC1BCE" w:rsidRPr="00BC1BCE">
        <w:rPr>
          <w:rFonts w:ascii="Arial" w:hAnsi="Arial" w:cs="Arial"/>
          <w:sz w:val="22"/>
          <w:szCs w:val="22"/>
        </w:rPr>
        <w:t>Starting with the objective of transferring skills to their places of origin, enabling them to acquire new skills, this method can improve service delivery. It introduces new practices and supports healthcare development. These partnerships encourage the promotion of professional training standards, helping to improve care.</w:t>
      </w:r>
      <w:r w:rsidR="00BC1BCE" w:rsidRPr="00BC1BCE">
        <w:rPr>
          <w:rFonts w:ascii="Arial" w:hAnsi="Arial" w:cs="Arial"/>
          <w:sz w:val="22"/>
          <w:szCs w:val="22"/>
        </w:rPr>
        <w:t xml:space="preserve"> </w:t>
      </w:r>
      <w:r w:rsidRPr="00961B49">
        <w:rPr>
          <w:rFonts w:ascii="Arial" w:hAnsi="Arial" w:cs="Arial"/>
          <w:sz w:val="22"/>
          <w:szCs w:val="22"/>
        </w:rPr>
        <w:t>(Connell, 2010).</w:t>
      </w:r>
    </w:p>
    <w:p w14:paraId="31722155" w14:textId="73017367" w:rsidR="00FE480E" w:rsidRDefault="00FE480E" w:rsidP="002B6983">
      <w:pPr>
        <w:spacing w:line="360" w:lineRule="auto"/>
        <w:rPr>
          <w:rFonts w:ascii="Arial" w:hAnsi="Arial" w:cs="Arial"/>
          <w:b/>
          <w:bCs/>
          <w:sz w:val="22"/>
          <w:szCs w:val="22"/>
        </w:rPr>
      </w:pPr>
      <w:r w:rsidRPr="00FE480E">
        <w:rPr>
          <w:rFonts w:ascii="Arial" w:hAnsi="Arial" w:cs="Arial"/>
          <w:b/>
          <w:bCs/>
          <w:sz w:val="22"/>
          <w:szCs w:val="22"/>
        </w:rPr>
        <w:t>Global Care Chains, Implementation and Challenges</w:t>
      </w:r>
    </w:p>
    <w:p w14:paraId="2AE29AD6" w14:textId="233AE951" w:rsidR="00FE480E" w:rsidRDefault="00FE480E" w:rsidP="002B6983">
      <w:pPr>
        <w:spacing w:line="360" w:lineRule="auto"/>
        <w:rPr>
          <w:rFonts w:ascii="Arial" w:hAnsi="Arial" w:cs="Arial"/>
          <w:sz w:val="22"/>
          <w:szCs w:val="22"/>
        </w:rPr>
      </w:pPr>
      <w:r w:rsidRPr="00FE480E">
        <w:rPr>
          <w:rFonts w:ascii="Arial" w:hAnsi="Arial" w:cs="Arial"/>
          <w:sz w:val="22"/>
          <w:szCs w:val="22"/>
        </w:rPr>
        <w:t>The challenges they face include the emotional and social impact of transnational care work. Migrant workers are often separated from their families, which causes psychological and emotional strain, as well as challenges in overcoming shortcomings in care procedures in their places of origin. They tend to focus on economic outcomes rather than well-being</w:t>
      </w:r>
      <w:r w:rsidR="00C30D2E">
        <w:rPr>
          <w:rFonts w:ascii="Arial" w:hAnsi="Arial" w:cs="Arial"/>
          <w:sz w:val="22"/>
          <w:szCs w:val="22"/>
        </w:rPr>
        <w:t xml:space="preserve"> (Parreñas, 2001).</w:t>
      </w:r>
    </w:p>
    <w:p w14:paraId="7AF266F1" w14:textId="4B83CBBC" w:rsidR="00FE6DA8" w:rsidRDefault="00FE6DA8" w:rsidP="002B6983">
      <w:pPr>
        <w:spacing w:line="360" w:lineRule="auto"/>
        <w:rPr>
          <w:rFonts w:ascii="Arial" w:hAnsi="Arial" w:cs="Arial"/>
          <w:sz w:val="22"/>
          <w:szCs w:val="22"/>
        </w:rPr>
      </w:pPr>
      <w:r w:rsidRPr="00FE6DA8">
        <w:rPr>
          <w:rFonts w:ascii="Arial" w:hAnsi="Arial" w:cs="Arial"/>
          <w:sz w:val="22"/>
          <w:szCs w:val="22"/>
        </w:rPr>
        <w:t>Dependence on migrant labor can hinder long-term labor planning in hiring countries. This leads to dependence on global care chains. Governments may neglect investment in training their native workforces. This process generates dependence and fosters labor inequality in the health sector (Buchan et al., 2015).</w:t>
      </w:r>
    </w:p>
    <w:p w14:paraId="00520E04" w14:textId="307A45D7" w:rsidR="00FE6DA8" w:rsidRDefault="00FE6DA8" w:rsidP="002B6983">
      <w:pPr>
        <w:spacing w:line="360" w:lineRule="auto"/>
        <w:rPr>
          <w:rFonts w:ascii="Arial" w:hAnsi="Arial" w:cs="Arial"/>
          <w:b/>
          <w:bCs/>
          <w:sz w:val="22"/>
          <w:szCs w:val="22"/>
        </w:rPr>
      </w:pPr>
      <w:r w:rsidRPr="00FE6DA8">
        <w:rPr>
          <w:rFonts w:ascii="Arial" w:hAnsi="Arial" w:cs="Arial"/>
          <w:b/>
          <w:bCs/>
          <w:sz w:val="22"/>
          <w:szCs w:val="22"/>
        </w:rPr>
        <w:t>Policy, Practice and Recommendations</w:t>
      </w:r>
    </w:p>
    <w:p w14:paraId="5B7FCFA8" w14:textId="790DF7EF" w:rsidR="00461005" w:rsidRDefault="001A73E3" w:rsidP="002B6983">
      <w:pPr>
        <w:spacing w:line="360" w:lineRule="auto"/>
        <w:rPr>
          <w:rFonts w:ascii="Arial" w:hAnsi="Arial" w:cs="Arial"/>
          <w:sz w:val="22"/>
          <w:szCs w:val="22"/>
        </w:rPr>
      </w:pPr>
      <w:r w:rsidRPr="001A73E3">
        <w:rPr>
          <w:rFonts w:ascii="Arial" w:hAnsi="Arial" w:cs="Arial"/>
          <w:sz w:val="22"/>
          <w:szCs w:val="22"/>
        </w:rPr>
        <w:t>Government legislation is designed to guarantee fair working conditions for migrant care workers. This includes ensuring their labor rights without undermining the value of their skills and qualifications. The Persian Gulf countries present significant challenges, and addressing and resolving them requires diverse and multifaceted perspectives tailored to the specific circumstances of each country. Applying the theories and proposals from the authors' research can improve job satisfaction and reduce worker exploitation in this sector. (Anderson, 2012)</w:t>
      </w:r>
    </w:p>
    <w:p w14:paraId="1F6557E3" w14:textId="7382DBFB" w:rsidR="009F7D6D" w:rsidRDefault="009F7D6D" w:rsidP="002B6983">
      <w:pPr>
        <w:spacing w:line="360" w:lineRule="auto"/>
        <w:rPr>
          <w:rFonts w:ascii="Arial" w:hAnsi="Arial" w:cs="Arial"/>
          <w:sz w:val="22"/>
          <w:szCs w:val="22"/>
        </w:rPr>
      </w:pPr>
      <w:r w:rsidRPr="009F7D6D">
        <w:rPr>
          <w:rFonts w:ascii="Arial" w:hAnsi="Arial" w:cs="Arial"/>
          <w:sz w:val="22"/>
          <w:szCs w:val="22"/>
        </w:rPr>
        <w:lastRenderedPageBreak/>
        <w:t>Strengthening the implementation of rules such as the WHO code helps to achieve more equitable outcomes for health workers. As a key point, international cooperation must be strengthened through agreements linked to promoting ethical recruitment and fairer participation for migrant workers (World Health Organization, 2010).</w:t>
      </w:r>
    </w:p>
    <w:p w14:paraId="67F8AE2F" w14:textId="4F006F77" w:rsidR="00AA4349" w:rsidRDefault="00AA4349" w:rsidP="002B6983">
      <w:pPr>
        <w:spacing w:line="360" w:lineRule="auto"/>
        <w:rPr>
          <w:rFonts w:ascii="Arial" w:hAnsi="Arial" w:cs="Arial"/>
          <w:sz w:val="22"/>
          <w:szCs w:val="22"/>
        </w:rPr>
      </w:pPr>
      <w:r w:rsidRPr="00AA4349">
        <w:rPr>
          <w:rFonts w:ascii="Arial" w:hAnsi="Arial" w:cs="Arial"/>
          <w:sz w:val="22"/>
          <w:szCs w:val="22"/>
        </w:rPr>
        <w:t xml:space="preserve">Promoting training for national citizens is crucial to reducing dependence on foreign workers. This includes improving wages and working </w:t>
      </w:r>
      <w:r w:rsidRPr="00AA4349">
        <w:rPr>
          <w:rFonts w:ascii="Arial" w:hAnsi="Arial" w:cs="Arial"/>
          <w:sz w:val="22"/>
          <w:szCs w:val="22"/>
        </w:rPr>
        <w:t>conditions and</w:t>
      </w:r>
      <w:r w:rsidRPr="00AA4349">
        <w:rPr>
          <w:rFonts w:ascii="Arial" w:hAnsi="Arial" w:cs="Arial"/>
          <w:sz w:val="22"/>
          <w:szCs w:val="22"/>
        </w:rPr>
        <w:t xml:space="preserve"> providing more opportunities for professional growth in the care sector. By promoting training, care work will become more attractive, leading to a more sustainable ecosystem (Buchan et al., 2015).</w:t>
      </w:r>
    </w:p>
    <w:p w14:paraId="33ED400F" w14:textId="6002FC54" w:rsidR="0093135A" w:rsidRDefault="00F772AB" w:rsidP="002B6983">
      <w:pPr>
        <w:spacing w:line="360" w:lineRule="auto"/>
        <w:rPr>
          <w:rFonts w:ascii="Arial" w:hAnsi="Arial" w:cs="Arial"/>
          <w:sz w:val="22"/>
          <w:szCs w:val="22"/>
        </w:rPr>
      </w:pPr>
      <w:r>
        <w:rPr>
          <w:rFonts w:ascii="Arial" w:hAnsi="Arial" w:cs="Arial"/>
          <w:sz w:val="22"/>
          <w:szCs w:val="22"/>
        </w:rPr>
        <w:t xml:space="preserve">Finally, it is </w:t>
      </w:r>
      <w:r w:rsidRPr="0093135A">
        <w:rPr>
          <w:rFonts w:ascii="Arial" w:hAnsi="Arial" w:cs="Arial"/>
          <w:sz w:val="22"/>
          <w:szCs w:val="22"/>
        </w:rPr>
        <w:t>very</w:t>
      </w:r>
      <w:r w:rsidR="0093135A" w:rsidRPr="0093135A">
        <w:rPr>
          <w:rFonts w:ascii="Arial" w:hAnsi="Arial" w:cs="Arial"/>
          <w:sz w:val="22"/>
          <w:szCs w:val="22"/>
        </w:rPr>
        <w:t xml:space="preserve"> important to listen to the lived experiences of workers </w:t>
      </w:r>
      <w:proofErr w:type="gramStart"/>
      <w:r w:rsidR="0093135A" w:rsidRPr="0093135A">
        <w:rPr>
          <w:rFonts w:ascii="Arial" w:hAnsi="Arial" w:cs="Arial"/>
          <w:sz w:val="22"/>
          <w:szCs w:val="22"/>
        </w:rPr>
        <w:t>in order to</w:t>
      </w:r>
      <w:proofErr w:type="gramEnd"/>
      <w:r w:rsidR="0093135A" w:rsidRPr="0093135A">
        <w:rPr>
          <w:rFonts w:ascii="Arial" w:hAnsi="Arial" w:cs="Arial"/>
          <w:sz w:val="22"/>
          <w:szCs w:val="22"/>
        </w:rPr>
        <w:t xml:space="preserve"> make structural changes in healthcare service chains, aimed at achieving social justice. This involves prioritizing well-being over economic factors by making workplaces more comfortable (Dickinson and Glasby, 2010).</w:t>
      </w:r>
    </w:p>
    <w:p w14:paraId="08D62EE0" w14:textId="5D5562CB" w:rsidR="00F772AB" w:rsidRDefault="00F772AB" w:rsidP="002B6983">
      <w:pPr>
        <w:spacing w:line="360" w:lineRule="auto"/>
        <w:rPr>
          <w:rFonts w:ascii="Arial" w:hAnsi="Arial" w:cs="Arial"/>
          <w:sz w:val="22"/>
          <w:szCs w:val="22"/>
        </w:rPr>
      </w:pPr>
      <w:r>
        <w:rPr>
          <w:rFonts w:ascii="Arial" w:hAnsi="Arial" w:cs="Arial"/>
          <w:sz w:val="22"/>
          <w:szCs w:val="22"/>
        </w:rPr>
        <w:t>Conclusion</w:t>
      </w:r>
    </w:p>
    <w:p w14:paraId="40152CEE" w14:textId="53B57A57" w:rsidR="0069444B" w:rsidRDefault="0069444B" w:rsidP="002B6983">
      <w:pPr>
        <w:spacing w:line="360" w:lineRule="auto"/>
        <w:rPr>
          <w:rFonts w:ascii="Arial" w:hAnsi="Arial" w:cs="Arial"/>
          <w:sz w:val="22"/>
          <w:szCs w:val="22"/>
        </w:rPr>
      </w:pPr>
      <w:r w:rsidRPr="0069444B">
        <w:rPr>
          <w:rFonts w:ascii="Arial" w:hAnsi="Arial" w:cs="Arial"/>
          <w:sz w:val="22"/>
          <w:szCs w:val="22"/>
        </w:rPr>
        <w:t xml:space="preserve">To understand how global care </w:t>
      </w:r>
      <w:r w:rsidRPr="0069444B">
        <w:rPr>
          <w:rFonts w:ascii="Arial" w:hAnsi="Arial" w:cs="Arial"/>
          <w:sz w:val="22"/>
          <w:szCs w:val="22"/>
        </w:rPr>
        <w:t>chain’s</w:t>
      </w:r>
      <w:r w:rsidRPr="0069444B">
        <w:rPr>
          <w:rFonts w:ascii="Arial" w:hAnsi="Arial" w:cs="Arial"/>
          <w:sz w:val="22"/>
          <w:szCs w:val="22"/>
        </w:rPr>
        <w:t xml:space="preserve"> function, it is necessary to delve into the dynamics of their roles to grasp the importance of labor contributions. This concept highlights important issues such as inequalities and labor displacement, and its methodology focuses on political and legislative challenges and cooperation with basic rights. Deficient frameworks expose the ethical and social shortcomings of global chains, revealing a clear gap between theory and practice.</w:t>
      </w:r>
    </w:p>
    <w:p w14:paraId="55F049FD" w14:textId="77777777" w:rsidR="00F772AB" w:rsidRDefault="00F772AB" w:rsidP="002B6983">
      <w:pPr>
        <w:spacing w:line="360" w:lineRule="auto"/>
        <w:rPr>
          <w:rFonts w:ascii="Arial" w:hAnsi="Arial" w:cs="Arial"/>
          <w:sz w:val="22"/>
          <w:szCs w:val="22"/>
        </w:rPr>
      </w:pPr>
    </w:p>
    <w:p w14:paraId="1959A934" w14:textId="77777777" w:rsidR="00DB60A2" w:rsidRPr="001A73E3" w:rsidRDefault="00DB60A2" w:rsidP="002B6983">
      <w:pPr>
        <w:spacing w:line="360" w:lineRule="auto"/>
        <w:rPr>
          <w:rFonts w:ascii="Arial" w:hAnsi="Arial" w:cs="Arial"/>
          <w:sz w:val="22"/>
          <w:szCs w:val="22"/>
        </w:rPr>
      </w:pPr>
    </w:p>
    <w:sectPr w:rsidR="00DB60A2" w:rsidRPr="001A73E3" w:rsidSect="005526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734"/>
    <w:rsid w:val="0001203C"/>
    <w:rsid w:val="00093A94"/>
    <w:rsid w:val="000D4407"/>
    <w:rsid w:val="00103D1A"/>
    <w:rsid w:val="00120D33"/>
    <w:rsid w:val="001269A0"/>
    <w:rsid w:val="001A73E3"/>
    <w:rsid w:val="002B6983"/>
    <w:rsid w:val="00302BE8"/>
    <w:rsid w:val="003A6E18"/>
    <w:rsid w:val="00461005"/>
    <w:rsid w:val="00541915"/>
    <w:rsid w:val="0055263F"/>
    <w:rsid w:val="00587751"/>
    <w:rsid w:val="005950E2"/>
    <w:rsid w:val="00632D1A"/>
    <w:rsid w:val="00640169"/>
    <w:rsid w:val="00672D64"/>
    <w:rsid w:val="0069444B"/>
    <w:rsid w:val="006F44FE"/>
    <w:rsid w:val="007506ED"/>
    <w:rsid w:val="007A1E16"/>
    <w:rsid w:val="0081516E"/>
    <w:rsid w:val="0093135A"/>
    <w:rsid w:val="00961B49"/>
    <w:rsid w:val="009C7195"/>
    <w:rsid w:val="009F7D6D"/>
    <w:rsid w:val="00A13C1B"/>
    <w:rsid w:val="00A35AA5"/>
    <w:rsid w:val="00AA4349"/>
    <w:rsid w:val="00BC1BCE"/>
    <w:rsid w:val="00C30D2E"/>
    <w:rsid w:val="00C4645B"/>
    <w:rsid w:val="00CB2CB3"/>
    <w:rsid w:val="00D276F3"/>
    <w:rsid w:val="00D67B5A"/>
    <w:rsid w:val="00DA4863"/>
    <w:rsid w:val="00DB60A2"/>
    <w:rsid w:val="00E6534B"/>
    <w:rsid w:val="00E7614B"/>
    <w:rsid w:val="00F05734"/>
    <w:rsid w:val="00F772AB"/>
    <w:rsid w:val="00F83A8A"/>
    <w:rsid w:val="00FB42B0"/>
    <w:rsid w:val="00FD79F9"/>
    <w:rsid w:val="00FE480E"/>
    <w:rsid w:val="00FE6D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94C59"/>
  <w15:chartTrackingRefBased/>
  <w15:docId w15:val="{3FFDFEAD-83EF-9740-843F-22EB177CD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263F"/>
  </w:style>
  <w:style w:type="paragraph" w:styleId="Heading1">
    <w:name w:val="heading 1"/>
    <w:basedOn w:val="Normal"/>
    <w:next w:val="Normal"/>
    <w:link w:val="Heading1Char"/>
    <w:uiPriority w:val="9"/>
    <w:qFormat/>
    <w:rsid w:val="0055263F"/>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55263F"/>
    <w:pPr>
      <w:spacing w:before="240" w:after="80"/>
      <w:jc w:val="left"/>
      <w:outlineLvl w:val="1"/>
    </w:pPr>
    <w:rPr>
      <w:smallCaps/>
      <w:spacing w:val="5"/>
      <w:sz w:val="28"/>
      <w:szCs w:val="28"/>
    </w:rPr>
  </w:style>
  <w:style w:type="paragraph" w:styleId="Heading3">
    <w:name w:val="heading 3"/>
    <w:basedOn w:val="Normal"/>
    <w:next w:val="Normal"/>
    <w:link w:val="Heading3Char"/>
    <w:uiPriority w:val="9"/>
    <w:unhideWhenUsed/>
    <w:qFormat/>
    <w:rsid w:val="0055263F"/>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55263F"/>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55263F"/>
    <w:pPr>
      <w:spacing w:before="200" w:after="0"/>
      <w:jc w:val="left"/>
      <w:outlineLvl w:val="4"/>
    </w:pPr>
    <w:rPr>
      <w:smallCaps/>
      <w:color w:val="BF4E14" w:themeColor="accent2" w:themeShade="BF"/>
      <w:spacing w:val="10"/>
      <w:sz w:val="22"/>
      <w:szCs w:val="26"/>
    </w:rPr>
  </w:style>
  <w:style w:type="paragraph" w:styleId="Heading6">
    <w:name w:val="heading 6"/>
    <w:basedOn w:val="Normal"/>
    <w:next w:val="Normal"/>
    <w:link w:val="Heading6Char"/>
    <w:uiPriority w:val="9"/>
    <w:semiHidden/>
    <w:unhideWhenUsed/>
    <w:qFormat/>
    <w:rsid w:val="0055263F"/>
    <w:pPr>
      <w:spacing w:after="0"/>
      <w:jc w:val="left"/>
      <w:outlineLvl w:val="5"/>
    </w:pPr>
    <w:rPr>
      <w:smallCaps/>
      <w:color w:val="E97132" w:themeColor="accent2"/>
      <w:spacing w:val="5"/>
      <w:sz w:val="22"/>
    </w:rPr>
  </w:style>
  <w:style w:type="paragraph" w:styleId="Heading7">
    <w:name w:val="heading 7"/>
    <w:basedOn w:val="Normal"/>
    <w:next w:val="Normal"/>
    <w:link w:val="Heading7Char"/>
    <w:uiPriority w:val="9"/>
    <w:semiHidden/>
    <w:unhideWhenUsed/>
    <w:qFormat/>
    <w:rsid w:val="0055263F"/>
    <w:pPr>
      <w:spacing w:after="0"/>
      <w:jc w:val="left"/>
      <w:outlineLvl w:val="6"/>
    </w:pPr>
    <w:rPr>
      <w:b/>
      <w:smallCaps/>
      <w:color w:val="E97132" w:themeColor="accent2"/>
      <w:spacing w:val="10"/>
    </w:rPr>
  </w:style>
  <w:style w:type="paragraph" w:styleId="Heading8">
    <w:name w:val="heading 8"/>
    <w:basedOn w:val="Normal"/>
    <w:next w:val="Normal"/>
    <w:link w:val="Heading8Char"/>
    <w:uiPriority w:val="9"/>
    <w:semiHidden/>
    <w:unhideWhenUsed/>
    <w:qFormat/>
    <w:rsid w:val="0055263F"/>
    <w:pPr>
      <w:spacing w:after="0"/>
      <w:jc w:val="left"/>
      <w:outlineLvl w:val="7"/>
    </w:pPr>
    <w:rPr>
      <w:b/>
      <w:i/>
      <w:smallCaps/>
      <w:color w:val="BF4E14" w:themeColor="accent2" w:themeShade="BF"/>
    </w:rPr>
  </w:style>
  <w:style w:type="paragraph" w:styleId="Heading9">
    <w:name w:val="heading 9"/>
    <w:basedOn w:val="Normal"/>
    <w:next w:val="Normal"/>
    <w:link w:val="Heading9Char"/>
    <w:uiPriority w:val="9"/>
    <w:semiHidden/>
    <w:unhideWhenUsed/>
    <w:qFormat/>
    <w:rsid w:val="0055263F"/>
    <w:pPr>
      <w:spacing w:after="0"/>
      <w:jc w:val="left"/>
      <w:outlineLvl w:val="8"/>
    </w:pPr>
    <w:rPr>
      <w:b/>
      <w:i/>
      <w:smallCaps/>
      <w:color w:val="7F340D"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263F"/>
    <w:rPr>
      <w:smallCaps/>
      <w:spacing w:val="5"/>
      <w:sz w:val="32"/>
      <w:szCs w:val="32"/>
    </w:rPr>
  </w:style>
  <w:style w:type="character" w:customStyle="1" w:styleId="Heading2Char">
    <w:name w:val="Heading 2 Char"/>
    <w:basedOn w:val="DefaultParagraphFont"/>
    <w:link w:val="Heading2"/>
    <w:uiPriority w:val="9"/>
    <w:rsid w:val="0055263F"/>
    <w:rPr>
      <w:smallCaps/>
      <w:spacing w:val="5"/>
      <w:sz w:val="28"/>
      <w:szCs w:val="28"/>
    </w:rPr>
  </w:style>
  <w:style w:type="character" w:customStyle="1" w:styleId="Heading3Char">
    <w:name w:val="Heading 3 Char"/>
    <w:basedOn w:val="DefaultParagraphFont"/>
    <w:link w:val="Heading3"/>
    <w:uiPriority w:val="9"/>
    <w:rsid w:val="0055263F"/>
    <w:rPr>
      <w:smallCaps/>
      <w:spacing w:val="5"/>
      <w:sz w:val="24"/>
      <w:szCs w:val="24"/>
    </w:rPr>
  </w:style>
  <w:style w:type="character" w:customStyle="1" w:styleId="Heading4Char">
    <w:name w:val="Heading 4 Char"/>
    <w:basedOn w:val="DefaultParagraphFont"/>
    <w:link w:val="Heading4"/>
    <w:uiPriority w:val="9"/>
    <w:semiHidden/>
    <w:rsid w:val="0055263F"/>
    <w:rPr>
      <w:smallCaps/>
      <w:spacing w:val="10"/>
      <w:sz w:val="22"/>
      <w:szCs w:val="22"/>
    </w:rPr>
  </w:style>
  <w:style w:type="character" w:customStyle="1" w:styleId="Heading5Char">
    <w:name w:val="Heading 5 Char"/>
    <w:basedOn w:val="DefaultParagraphFont"/>
    <w:link w:val="Heading5"/>
    <w:uiPriority w:val="9"/>
    <w:semiHidden/>
    <w:rsid w:val="0055263F"/>
    <w:rPr>
      <w:smallCaps/>
      <w:color w:val="BF4E14" w:themeColor="accent2" w:themeShade="BF"/>
      <w:spacing w:val="10"/>
      <w:sz w:val="22"/>
      <w:szCs w:val="26"/>
    </w:rPr>
  </w:style>
  <w:style w:type="character" w:customStyle="1" w:styleId="Heading6Char">
    <w:name w:val="Heading 6 Char"/>
    <w:basedOn w:val="DefaultParagraphFont"/>
    <w:link w:val="Heading6"/>
    <w:uiPriority w:val="9"/>
    <w:semiHidden/>
    <w:rsid w:val="0055263F"/>
    <w:rPr>
      <w:smallCaps/>
      <w:color w:val="E97132" w:themeColor="accent2"/>
      <w:spacing w:val="5"/>
      <w:sz w:val="22"/>
    </w:rPr>
  </w:style>
  <w:style w:type="character" w:customStyle="1" w:styleId="Heading7Char">
    <w:name w:val="Heading 7 Char"/>
    <w:basedOn w:val="DefaultParagraphFont"/>
    <w:link w:val="Heading7"/>
    <w:uiPriority w:val="9"/>
    <w:semiHidden/>
    <w:rsid w:val="0055263F"/>
    <w:rPr>
      <w:b/>
      <w:smallCaps/>
      <w:color w:val="E97132" w:themeColor="accent2"/>
      <w:spacing w:val="10"/>
    </w:rPr>
  </w:style>
  <w:style w:type="character" w:customStyle="1" w:styleId="Heading8Char">
    <w:name w:val="Heading 8 Char"/>
    <w:basedOn w:val="DefaultParagraphFont"/>
    <w:link w:val="Heading8"/>
    <w:uiPriority w:val="9"/>
    <w:semiHidden/>
    <w:rsid w:val="0055263F"/>
    <w:rPr>
      <w:b/>
      <w:i/>
      <w:smallCaps/>
      <w:color w:val="BF4E14" w:themeColor="accent2" w:themeShade="BF"/>
    </w:rPr>
  </w:style>
  <w:style w:type="character" w:customStyle="1" w:styleId="Heading9Char">
    <w:name w:val="Heading 9 Char"/>
    <w:basedOn w:val="DefaultParagraphFont"/>
    <w:link w:val="Heading9"/>
    <w:uiPriority w:val="9"/>
    <w:semiHidden/>
    <w:rsid w:val="0055263F"/>
    <w:rPr>
      <w:b/>
      <w:i/>
      <w:smallCaps/>
      <w:color w:val="7F340D" w:themeColor="accent2" w:themeShade="7F"/>
    </w:rPr>
  </w:style>
  <w:style w:type="paragraph" w:styleId="Title">
    <w:name w:val="Title"/>
    <w:basedOn w:val="Normal"/>
    <w:next w:val="Normal"/>
    <w:link w:val="TitleChar"/>
    <w:uiPriority w:val="10"/>
    <w:qFormat/>
    <w:rsid w:val="0055263F"/>
    <w:pPr>
      <w:pBdr>
        <w:top w:val="single" w:sz="12" w:space="1" w:color="E97132"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55263F"/>
    <w:rPr>
      <w:smallCaps/>
      <w:sz w:val="48"/>
      <w:szCs w:val="48"/>
    </w:rPr>
  </w:style>
  <w:style w:type="paragraph" w:styleId="Subtitle">
    <w:name w:val="Subtitle"/>
    <w:basedOn w:val="Normal"/>
    <w:next w:val="Normal"/>
    <w:link w:val="SubtitleChar"/>
    <w:uiPriority w:val="11"/>
    <w:qFormat/>
    <w:rsid w:val="0055263F"/>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55263F"/>
    <w:rPr>
      <w:rFonts w:asciiTheme="majorHAnsi" w:eastAsiaTheme="majorEastAsia" w:hAnsiTheme="majorHAnsi" w:cstheme="majorBidi"/>
      <w:szCs w:val="22"/>
    </w:rPr>
  </w:style>
  <w:style w:type="paragraph" w:styleId="Quote">
    <w:name w:val="Quote"/>
    <w:basedOn w:val="Normal"/>
    <w:next w:val="Normal"/>
    <w:link w:val="QuoteChar"/>
    <w:uiPriority w:val="29"/>
    <w:qFormat/>
    <w:rsid w:val="0055263F"/>
    <w:rPr>
      <w:i/>
    </w:rPr>
  </w:style>
  <w:style w:type="character" w:customStyle="1" w:styleId="QuoteChar">
    <w:name w:val="Quote Char"/>
    <w:basedOn w:val="DefaultParagraphFont"/>
    <w:link w:val="Quote"/>
    <w:uiPriority w:val="29"/>
    <w:rsid w:val="0055263F"/>
    <w:rPr>
      <w:i/>
    </w:rPr>
  </w:style>
  <w:style w:type="paragraph" w:styleId="ListParagraph">
    <w:name w:val="List Paragraph"/>
    <w:basedOn w:val="Normal"/>
    <w:uiPriority w:val="34"/>
    <w:qFormat/>
    <w:rsid w:val="0055263F"/>
    <w:pPr>
      <w:ind w:left="720"/>
      <w:contextualSpacing/>
    </w:pPr>
  </w:style>
  <w:style w:type="character" w:styleId="IntenseEmphasis">
    <w:name w:val="Intense Emphasis"/>
    <w:uiPriority w:val="21"/>
    <w:qFormat/>
    <w:rsid w:val="0055263F"/>
    <w:rPr>
      <w:b/>
      <w:i/>
      <w:color w:val="E97132" w:themeColor="accent2"/>
      <w:spacing w:val="10"/>
    </w:rPr>
  </w:style>
  <w:style w:type="paragraph" w:styleId="IntenseQuote">
    <w:name w:val="Intense Quote"/>
    <w:basedOn w:val="Normal"/>
    <w:next w:val="Normal"/>
    <w:link w:val="IntenseQuoteChar"/>
    <w:uiPriority w:val="30"/>
    <w:qFormat/>
    <w:rsid w:val="0055263F"/>
    <w:pPr>
      <w:pBdr>
        <w:top w:val="single" w:sz="8" w:space="10" w:color="BF4E14" w:themeColor="accent2" w:themeShade="BF"/>
        <w:left w:val="single" w:sz="8" w:space="10" w:color="BF4E14" w:themeColor="accent2" w:themeShade="BF"/>
        <w:bottom w:val="single" w:sz="8" w:space="10" w:color="BF4E14" w:themeColor="accent2" w:themeShade="BF"/>
        <w:right w:val="single" w:sz="8" w:space="10" w:color="BF4E14" w:themeColor="accent2" w:themeShade="BF"/>
      </w:pBdr>
      <w:shd w:val="clear" w:color="auto" w:fill="E97132"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55263F"/>
    <w:rPr>
      <w:b/>
      <w:i/>
      <w:color w:val="FFFFFF" w:themeColor="background1"/>
      <w:shd w:val="clear" w:color="auto" w:fill="E97132" w:themeFill="accent2"/>
    </w:rPr>
  </w:style>
  <w:style w:type="character" w:styleId="IntenseReference">
    <w:name w:val="Intense Reference"/>
    <w:uiPriority w:val="32"/>
    <w:qFormat/>
    <w:rsid w:val="0055263F"/>
    <w:rPr>
      <w:b/>
      <w:bCs/>
      <w:smallCaps/>
      <w:spacing w:val="5"/>
      <w:sz w:val="22"/>
      <w:szCs w:val="22"/>
      <w:u w:val="single"/>
    </w:rPr>
  </w:style>
  <w:style w:type="paragraph" w:styleId="NormalWeb">
    <w:name w:val="Normal (Web)"/>
    <w:basedOn w:val="Normal"/>
    <w:uiPriority w:val="99"/>
    <w:semiHidden/>
    <w:unhideWhenUsed/>
    <w:rsid w:val="009C7195"/>
    <w:pPr>
      <w:spacing w:before="100" w:beforeAutospacing="1" w:after="100" w:afterAutospacing="1" w:line="240" w:lineRule="auto"/>
    </w:pPr>
    <w:rPr>
      <w:rFonts w:ascii="Times New Roman" w:eastAsia="Times New Roman" w:hAnsi="Times New Roman" w:cs="Times New Roman"/>
    </w:rPr>
  </w:style>
  <w:style w:type="character" w:styleId="Strong">
    <w:name w:val="Strong"/>
    <w:uiPriority w:val="22"/>
    <w:qFormat/>
    <w:rsid w:val="0055263F"/>
    <w:rPr>
      <w:b/>
      <w:color w:val="E97132" w:themeColor="accent2"/>
    </w:rPr>
  </w:style>
  <w:style w:type="paragraph" w:styleId="NoSpacing">
    <w:name w:val="No Spacing"/>
    <w:basedOn w:val="Normal"/>
    <w:link w:val="NoSpacingChar"/>
    <w:uiPriority w:val="1"/>
    <w:qFormat/>
    <w:rsid w:val="0055263F"/>
    <w:pPr>
      <w:spacing w:after="0" w:line="240" w:lineRule="auto"/>
    </w:pPr>
  </w:style>
  <w:style w:type="paragraph" w:styleId="Caption">
    <w:name w:val="caption"/>
    <w:basedOn w:val="Normal"/>
    <w:next w:val="Normal"/>
    <w:uiPriority w:val="35"/>
    <w:semiHidden/>
    <w:unhideWhenUsed/>
    <w:qFormat/>
    <w:rsid w:val="0055263F"/>
    <w:rPr>
      <w:b/>
      <w:bCs/>
      <w:caps/>
      <w:sz w:val="16"/>
      <w:szCs w:val="18"/>
    </w:rPr>
  </w:style>
  <w:style w:type="character" w:styleId="Emphasis">
    <w:name w:val="Emphasis"/>
    <w:uiPriority w:val="20"/>
    <w:qFormat/>
    <w:rsid w:val="0055263F"/>
    <w:rPr>
      <w:b/>
      <w:i/>
      <w:spacing w:val="10"/>
    </w:rPr>
  </w:style>
  <w:style w:type="character" w:customStyle="1" w:styleId="NoSpacingChar">
    <w:name w:val="No Spacing Char"/>
    <w:basedOn w:val="DefaultParagraphFont"/>
    <w:link w:val="NoSpacing"/>
    <w:uiPriority w:val="1"/>
    <w:rsid w:val="0055263F"/>
  </w:style>
  <w:style w:type="character" w:styleId="SubtleEmphasis">
    <w:name w:val="Subtle Emphasis"/>
    <w:uiPriority w:val="19"/>
    <w:qFormat/>
    <w:rsid w:val="0055263F"/>
    <w:rPr>
      <w:i/>
    </w:rPr>
  </w:style>
  <w:style w:type="character" w:styleId="SubtleReference">
    <w:name w:val="Subtle Reference"/>
    <w:uiPriority w:val="31"/>
    <w:qFormat/>
    <w:rsid w:val="0055263F"/>
    <w:rPr>
      <w:b/>
    </w:rPr>
  </w:style>
  <w:style w:type="character" w:styleId="BookTitle">
    <w:name w:val="Book Title"/>
    <w:uiPriority w:val="33"/>
    <w:qFormat/>
    <w:rsid w:val="0055263F"/>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55263F"/>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97</TotalTime>
  <Pages>6</Pages>
  <Words>1714</Words>
  <Characters>9773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Dorado Cabello (2430471)</dc:creator>
  <cp:keywords/>
  <dc:description/>
  <cp:lastModifiedBy>Erika Dorado Cabello (2430471)</cp:lastModifiedBy>
  <cp:revision>29</cp:revision>
  <dcterms:created xsi:type="dcterms:W3CDTF">2026-04-26T17:43:00Z</dcterms:created>
  <dcterms:modified xsi:type="dcterms:W3CDTF">2026-04-28T22:47:00Z</dcterms:modified>
</cp:coreProperties>
</file>