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C2A89" w14:textId="5A735E9D" w:rsidR="00C52EBA" w:rsidRPr="00C52EBA" w:rsidRDefault="00C27BAD" w:rsidP="00C27BAD">
      <w:pPr>
        <w:spacing w:line="259" w:lineRule="auto"/>
        <w:ind w:left="360" w:hanging="360"/>
        <w:contextualSpacing/>
        <w:rPr>
          <w:rFonts w:cstheme="minorHAnsi"/>
          <w:b/>
          <w:bCs/>
          <w:sz w:val="28"/>
          <w:szCs w:val="28"/>
        </w:rPr>
      </w:pPr>
      <w:r w:rsidRPr="00C52EBA">
        <w:rPr>
          <w:rFonts w:cstheme="minorHAnsi"/>
          <w:b/>
          <w:bCs/>
          <w:sz w:val="28"/>
          <w:szCs w:val="28"/>
        </w:rPr>
        <w:t xml:space="preserve">5CO01 – </w:t>
      </w:r>
      <w:r w:rsidR="00C52EBA" w:rsidRPr="00C52EBA">
        <w:rPr>
          <w:rFonts w:cstheme="minorHAnsi"/>
          <w:b/>
          <w:bCs/>
          <w:sz w:val="28"/>
          <w:szCs w:val="28"/>
        </w:rPr>
        <w:t>Organisational Performance and Culture in Practice</w:t>
      </w:r>
    </w:p>
    <w:p w14:paraId="5522FB90" w14:textId="77777777" w:rsidR="00C52EBA" w:rsidRDefault="00C52EBA" w:rsidP="00C27BAD">
      <w:pPr>
        <w:spacing w:line="259" w:lineRule="auto"/>
        <w:ind w:left="360" w:hanging="360"/>
        <w:contextualSpacing/>
        <w:rPr>
          <w:rFonts w:cstheme="minorHAnsi"/>
        </w:rPr>
      </w:pPr>
    </w:p>
    <w:p w14:paraId="4B61699B" w14:textId="33F44432" w:rsidR="00C27BAD" w:rsidRPr="00C52EBA" w:rsidRDefault="00C27BAD" w:rsidP="00C52EBA">
      <w:r w:rsidRPr="00F5710C">
        <w:rPr>
          <w:rFonts w:cstheme="minorHAnsi"/>
        </w:rPr>
        <w:t>Melanie Warne</w:t>
      </w:r>
      <w:r w:rsidR="00C52EBA">
        <w:rPr>
          <w:rFonts w:cstheme="minorHAnsi"/>
        </w:rPr>
        <w:t xml:space="preserve"> </w:t>
      </w:r>
      <w:r w:rsidR="00C52EBA">
        <w:t>- 2419781</w:t>
      </w:r>
    </w:p>
    <w:p w14:paraId="458D5CCD" w14:textId="77777777" w:rsidR="00C27BAD" w:rsidRPr="00F5710C" w:rsidRDefault="00C27BAD" w:rsidP="00C27BAD">
      <w:pPr>
        <w:spacing w:line="259" w:lineRule="auto"/>
        <w:ind w:left="360" w:hanging="360"/>
        <w:contextualSpacing/>
        <w:rPr>
          <w:rFonts w:cstheme="minorHAnsi"/>
        </w:rPr>
      </w:pPr>
    </w:p>
    <w:p w14:paraId="01C0F1CD" w14:textId="205DAD5C" w:rsidR="009C1DD8" w:rsidRPr="00F5710C" w:rsidRDefault="00FE1706" w:rsidP="00FE1706">
      <w:pPr>
        <w:spacing w:line="259" w:lineRule="auto"/>
        <w:contextualSpacing/>
        <w:rPr>
          <w:rFonts w:eastAsia="Arial" w:cstheme="minorHAnsi"/>
        </w:rPr>
      </w:pPr>
      <w:r>
        <w:rPr>
          <w:rFonts w:eastAsia="Arial" w:cstheme="minorHAnsi"/>
        </w:rPr>
        <w:t>Q1</w:t>
      </w:r>
      <w:r w:rsidR="009C1DD8" w:rsidRPr="00F5710C">
        <w:rPr>
          <w:rFonts w:eastAsia="Arial" w:cstheme="minorHAnsi"/>
        </w:rPr>
        <w:t xml:space="preserve"> (AC 1.1)</w:t>
      </w:r>
    </w:p>
    <w:p w14:paraId="0E8214BD" w14:textId="77777777" w:rsidR="00C27BAD" w:rsidRPr="00F5710C" w:rsidRDefault="00C27BAD" w:rsidP="00C27BAD">
      <w:pPr>
        <w:spacing w:line="259" w:lineRule="auto"/>
        <w:contextualSpacing/>
        <w:rPr>
          <w:rFonts w:eastAsia="Arial" w:cstheme="minorHAnsi"/>
        </w:rPr>
      </w:pPr>
    </w:p>
    <w:p w14:paraId="1AC57745" w14:textId="77777777" w:rsidR="00990685" w:rsidRPr="00990685" w:rsidRDefault="00990685" w:rsidP="00990685">
      <w:pPr>
        <w:spacing w:line="259" w:lineRule="auto"/>
        <w:contextualSpacing/>
        <w:rPr>
          <w:rFonts w:eastAsia="Arial" w:cstheme="minorHAnsi"/>
        </w:rPr>
      </w:pPr>
      <w:r w:rsidRPr="00990685">
        <w:rPr>
          <w:rFonts w:eastAsia="Arial" w:cstheme="minorHAnsi"/>
        </w:rPr>
        <w:t>A divisional structure organizes employees into divisions or business units based on customers, regions, or products—a model that works particularly well in large companies with multiple products or services (Jones, 2013). Within each division, functional departments such as operations, distribution, finance, and marketing are established, each with its own management team responsible for overall success (Daft, 2015). The advantages of a divisional structure include the ability for each division to focus on its specific offering, dedicate resources to its unique challenges, and ensure clear accountability for profit and loss. Improved efficiency often results from better communication and greater autonomy in resolving issues (Hitt et al., 2013). However, disadvantages include potential inequities in funding allocation, duplication of roles and resources, and challenges for senior management to maintain effective strategy and structure across all divisions (Mintzberg, 1979).</w:t>
      </w:r>
    </w:p>
    <w:p w14:paraId="247D4372" w14:textId="77777777" w:rsidR="00990685" w:rsidRPr="00990685" w:rsidRDefault="00990685" w:rsidP="00990685">
      <w:pPr>
        <w:spacing w:line="259" w:lineRule="auto"/>
        <w:contextualSpacing/>
        <w:rPr>
          <w:rFonts w:eastAsia="Arial" w:cstheme="minorHAnsi"/>
        </w:rPr>
      </w:pPr>
      <w:r w:rsidRPr="00990685">
        <w:rPr>
          <w:rFonts w:eastAsia="Arial" w:cstheme="minorHAnsi"/>
        </w:rPr>
        <w:t>In contrast, a matrix structure allows employees to work across departments, projects, and teams while still operating within their primary functional area. In this model, employees often report to two managers with differing responsibilities, which can foster innovation and effective problem solving in complex environments (Mintzberg, 1979). Advantages of the matrix structure include improved communication, reduced duplication, and the opportunity for employees to expand their roles and avoid monotony—leading to enhanced motivation (Hitt et al., 2013). However, disadvantages can arise from ambiguous accountability, as conflicting priorities may delay decisions, and divided loyalties between managers can hamper team cohesion and efficiency (Daft, 2015).</w:t>
      </w:r>
    </w:p>
    <w:p w14:paraId="74913AC9" w14:textId="77777777" w:rsidR="00990685" w:rsidRPr="00990685" w:rsidRDefault="00990685" w:rsidP="00990685">
      <w:pPr>
        <w:spacing w:line="259" w:lineRule="auto"/>
        <w:contextualSpacing/>
        <w:rPr>
          <w:rFonts w:eastAsia="Arial" w:cstheme="minorHAnsi"/>
        </w:rPr>
      </w:pPr>
      <w:r w:rsidRPr="00990685">
        <w:rPr>
          <w:rFonts w:eastAsia="Arial" w:cstheme="minorHAnsi"/>
        </w:rPr>
        <w:t>For example, Maximus operates within a divisional structure. Experience indicates that while this structure is robust and provides substantial financial resources, it can be slower to react to market changes. With the current drive towards increased agility and the use of artificial intelligence (AI) to support routine tasks, there may be a shift towards adopting a matrix structure that allows for quicker decision-making and enhanced innovation (Davenport et al., 2020).</w:t>
      </w:r>
    </w:p>
    <w:p w14:paraId="05525C5B" w14:textId="77777777" w:rsidR="00D97AA3" w:rsidRDefault="00D97AA3" w:rsidP="00FE1706">
      <w:pPr>
        <w:spacing w:line="259" w:lineRule="auto"/>
        <w:contextualSpacing/>
        <w:rPr>
          <w:rFonts w:eastAsia="Arial" w:cstheme="minorHAnsi"/>
        </w:rPr>
      </w:pPr>
    </w:p>
    <w:p w14:paraId="1E4FDCDE" w14:textId="79F9F5A9" w:rsidR="00FE1706" w:rsidRDefault="00FE1706" w:rsidP="00FE1706">
      <w:pPr>
        <w:spacing w:line="259" w:lineRule="auto"/>
        <w:contextualSpacing/>
        <w:rPr>
          <w:rFonts w:eastAsia="Arial" w:cstheme="minorHAnsi"/>
        </w:rPr>
      </w:pPr>
      <w:r>
        <w:rPr>
          <w:rFonts w:eastAsia="Arial" w:cstheme="minorHAnsi"/>
        </w:rPr>
        <w:t>Q2, (</w:t>
      </w:r>
      <w:r w:rsidR="0012109B">
        <w:rPr>
          <w:rFonts w:eastAsia="Arial" w:cstheme="minorHAnsi"/>
        </w:rPr>
        <w:t>AC 1.2)</w:t>
      </w:r>
    </w:p>
    <w:p w14:paraId="7C8B4DBF" w14:textId="77777777" w:rsidR="00D97AA3" w:rsidRDefault="00D97AA3" w:rsidP="00FE1706">
      <w:pPr>
        <w:spacing w:line="259" w:lineRule="auto"/>
        <w:contextualSpacing/>
        <w:rPr>
          <w:rFonts w:eastAsia="Arial" w:cstheme="minorHAnsi"/>
        </w:rPr>
      </w:pPr>
    </w:p>
    <w:p w14:paraId="173F3AFD" w14:textId="388696B1" w:rsidR="0024312C" w:rsidRPr="00FE1706" w:rsidRDefault="00BB3B68" w:rsidP="00FE1706">
      <w:pPr>
        <w:spacing w:line="259" w:lineRule="auto"/>
        <w:contextualSpacing/>
        <w:rPr>
          <w:rFonts w:eastAsia="Arial" w:cstheme="minorHAnsi"/>
        </w:rPr>
      </w:pPr>
      <w:r>
        <w:rPr>
          <w:rFonts w:cstheme="minorHAnsi"/>
          <w:color w:val="000000"/>
        </w:rPr>
        <w:t xml:space="preserve">I work in an </w:t>
      </w:r>
      <w:r w:rsidR="00FF3E5A">
        <w:rPr>
          <w:rFonts w:cstheme="minorHAnsi"/>
          <w:color w:val="000000"/>
        </w:rPr>
        <w:t>O</w:t>
      </w:r>
      <w:r w:rsidRPr="00F5710C">
        <w:rPr>
          <w:rFonts w:cstheme="minorHAnsi"/>
          <w:color w:val="000000"/>
        </w:rPr>
        <w:t xml:space="preserve">utsourced </w:t>
      </w:r>
      <w:r w:rsidR="00FF3E5A">
        <w:rPr>
          <w:rFonts w:cstheme="minorHAnsi"/>
          <w:color w:val="000000"/>
        </w:rPr>
        <w:t>C</w:t>
      </w:r>
      <w:r w:rsidRPr="00F5710C">
        <w:rPr>
          <w:rFonts w:cstheme="minorHAnsi"/>
          <w:color w:val="000000"/>
        </w:rPr>
        <w:t xml:space="preserve">ontact </w:t>
      </w:r>
      <w:r w:rsidR="00FF3E5A">
        <w:rPr>
          <w:rFonts w:cstheme="minorHAnsi"/>
          <w:color w:val="000000"/>
        </w:rPr>
        <w:t>C</w:t>
      </w:r>
      <w:r w:rsidRPr="00F5710C">
        <w:rPr>
          <w:rFonts w:cstheme="minorHAnsi"/>
          <w:color w:val="000000"/>
        </w:rPr>
        <w:t>entre</w:t>
      </w:r>
      <w:r w:rsidR="00FF3E5A">
        <w:rPr>
          <w:rFonts w:cstheme="minorHAnsi"/>
          <w:color w:val="000000"/>
        </w:rPr>
        <w:t xml:space="preserve"> (OCC)</w:t>
      </w:r>
      <w:r>
        <w:rPr>
          <w:rFonts w:cstheme="minorHAnsi"/>
          <w:color w:val="000000"/>
        </w:rPr>
        <w:t>, t</w:t>
      </w:r>
      <w:r w:rsidR="0024312C" w:rsidRPr="00F5710C">
        <w:rPr>
          <w:rFonts w:cstheme="minorHAnsi"/>
          <w:color w:val="000000"/>
        </w:rPr>
        <w:t>he organisational strategy plays a critical role in ensuring that products or services meet customers’ needs by aligning service delivery with the client’s business objectives, establishing robust performance metrics, and fostering a culture of continuous improvement.</w:t>
      </w:r>
    </w:p>
    <w:p w14:paraId="15ECC7FE" w14:textId="4C4B3617" w:rsidR="00D97AA3"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 xml:space="preserve">An effective organisational strategy </w:t>
      </w:r>
      <w:r w:rsidR="00BB3B68">
        <w:rPr>
          <w:rFonts w:asciiTheme="minorHAnsi" w:hAnsiTheme="minorHAnsi" w:cstheme="minorHAnsi"/>
          <w:color w:val="000000"/>
        </w:rPr>
        <w:t>with</w:t>
      </w:r>
      <w:r w:rsidRPr="00F5710C">
        <w:rPr>
          <w:rFonts w:asciiTheme="minorHAnsi" w:hAnsiTheme="minorHAnsi" w:cstheme="minorHAnsi"/>
          <w:color w:val="000000"/>
        </w:rPr>
        <w:t xml:space="preserve">in an </w:t>
      </w:r>
      <w:r w:rsidR="00FF3E5A">
        <w:rPr>
          <w:rFonts w:asciiTheme="minorHAnsi" w:hAnsiTheme="minorHAnsi" w:cstheme="minorHAnsi"/>
          <w:color w:val="000000"/>
        </w:rPr>
        <w:t>OCC</w:t>
      </w:r>
      <w:r w:rsidRPr="00F5710C">
        <w:rPr>
          <w:rFonts w:asciiTheme="minorHAnsi" w:hAnsiTheme="minorHAnsi" w:cstheme="minorHAnsi"/>
          <w:color w:val="000000"/>
        </w:rPr>
        <w:t xml:space="preserve"> is typically designed around the client’s overall business goals. This means that the contact centre’s operations, from staffing to technology deployment, are configured to reflect the client’s service standards and </w:t>
      </w:r>
      <w:r w:rsidRPr="00F5710C">
        <w:rPr>
          <w:rFonts w:asciiTheme="minorHAnsi" w:hAnsiTheme="minorHAnsi" w:cstheme="minorHAnsi"/>
          <w:color w:val="000000"/>
        </w:rPr>
        <w:lastRenderedPageBreak/>
        <w:t xml:space="preserve">customer experience expectations. For instance, strategic elements such as service level agreements and key performance indicators are often jointly developed to ensure that the contact centre is not only efficient but also responsive to customer needs. </w:t>
      </w:r>
    </w:p>
    <w:p w14:paraId="34F5729F" w14:textId="0635FDF2" w:rsidR="0024312C" w:rsidRPr="00F5710C"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Research by the CIPD (2020) indicates that when service delivery models are closely aligned with the client’s strategic priorities, th</w:t>
      </w:r>
      <w:r w:rsidR="00FF3E5A">
        <w:rPr>
          <w:rFonts w:asciiTheme="minorHAnsi" w:hAnsiTheme="minorHAnsi" w:cstheme="minorHAnsi"/>
          <w:color w:val="000000"/>
        </w:rPr>
        <w:t>is positively impacts</w:t>
      </w:r>
      <w:r w:rsidRPr="00F5710C">
        <w:rPr>
          <w:rFonts w:asciiTheme="minorHAnsi" w:hAnsiTheme="minorHAnsi" w:cstheme="minorHAnsi"/>
          <w:color w:val="000000"/>
        </w:rPr>
        <w:t xml:space="preserve"> customer satisfaction and loyalty.</w:t>
      </w:r>
      <w:r w:rsidR="00671A25">
        <w:rPr>
          <w:rFonts w:asciiTheme="minorHAnsi" w:hAnsiTheme="minorHAnsi" w:cstheme="minorHAnsi"/>
          <w:color w:val="000000"/>
        </w:rPr>
        <w:t xml:space="preserve"> </w:t>
      </w:r>
      <w:r w:rsidRPr="00F5710C">
        <w:rPr>
          <w:rFonts w:asciiTheme="minorHAnsi" w:hAnsiTheme="minorHAnsi" w:cstheme="minorHAnsi"/>
          <w:color w:val="000000"/>
        </w:rPr>
        <w:t xml:space="preserve">A core aspect of </w:t>
      </w:r>
      <w:r w:rsidR="00671A25">
        <w:rPr>
          <w:rFonts w:asciiTheme="minorHAnsi" w:hAnsiTheme="minorHAnsi" w:cstheme="minorHAnsi"/>
          <w:color w:val="000000"/>
        </w:rPr>
        <w:t xml:space="preserve">such an organisation </w:t>
      </w:r>
      <w:r w:rsidRPr="00F5710C">
        <w:rPr>
          <w:rFonts w:asciiTheme="minorHAnsi" w:hAnsiTheme="minorHAnsi" w:cstheme="minorHAnsi"/>
          <w:color w:val="000000"/>
        </w:rPr>
        <w:t xml:space="preserve">is the use of performance metrics to monitor and enhance service quality. Metrics such as </w:t>
      </w:r>
      <w:r w:rsidR="00D97AA3">
        <w:rPr>
          <w:rFonts w:asciiTheme="minorHAnsi" w:hAnsiTheme="minorHAnsi" w:cstheme="minorHAnsi"/>
          <w:color w:val="000000"/>
        </w:rPr>
        <w:t>a</w:t>
      </w:r>
      <w:r w:rsidRPr="00F5710C">
        <w:rPr>
          <w:rFonts w:asciiTheme="minorHAnsi" w:hAnsiTheme="minorHAnsi" w:cstheme="minorHAnsi"/>
          <w:color w:val="000000"/>
        </w:rPr>
        <w:t xml:space="preserve">verage </w:t>
      </w:r>
      <w:r w:rsidR="00D97AA3">
        <w:rPr>
          <w:rFonts w:asciiTheme="minorHAnsi" w:hAnsiTheme="minorHAnsi" w:cstheme="minorHAnsi"/>
          <w:color w:val="000000"/>
        </w:rPr>
        <w:t>h</w:t>
      </w:r>
      <w:r w:rsidRPr="00F5710C">
        <w:rPr>
          <w:rFonts w:asciiTheme="minorHAnsi" w:hAnsiTheme="minorHAnsi" w:cstheme="minorHAnsi"/>
          <w:color w:val="000000"/>
        </w:rPr>
        <w:t xml:space="preserve">andle </w:t>
      </w:r>
      <w:r w:rsidR="00D97AA3">
        <w:rPr>
          <w:rFonts w:asciiTheme="minorHAnsi" w:hAnsiTheme="minorHAnsi" w:cstheme="minorHAnsi"/>
          <w:color w:val="000000"/>
        </w:rPr>
        <w:t>t</w:t>
      </w:r>
      <w:r w:rsidRPr="00F5710C">
        <w:rPr>
          <w:rFonts w:asciiTheme="minorHAnsi" w:hAnsiTheme="minorHAnsi" w:cstheme="minorHAnsi"/>
          <w:color w:val="000000"/>
        </w:rPr>
        <w:t xml:space="preserve">ime, </w:t>
      </w:r>
      <w:r w:rsidR="00D97AA3">
        <w:rPr>
          <w:rFonts w:asciiTheme="minorHAnsi" w:hAnsiTheme="minorHAnsi" w:cstheme="minorHAnsi"/>
          <w:color w:val="000000"/>
        </w:rPr>
        <w:t>f</w:t>
      </w:r>
      <w:r w:rsidRPr="00F5710C">
        <w:rPr>
          <w:rFonts w:asciiTheme="minorHAnsi" w:hAnsiTheme="minorHAnsi" w:cstheme="minorHAnsi"/>
          <w:color w:val="000000"/>
        </w:rPr>
        <w:t xml:space="preserve">irst </w:t>
      </w:r>
      <w:r w:rsidR="00D97AA3">
        <w:rPr>
          <w:rFonts w:asciiTheme="minorHAnsi" w:hAnsiTheme="minorHAnsi" w:cstheme="minorHAnsi"/>
          <w:color w:val="000000"/>
        </w:rPr>
        <w:t>c</w:t>
      </w:r>
      <w:r w:rsidRPr="00F5710C">
        <w:rPr>
          <w:rFonts w:asciiTheme="minorHAnsi" w:hAnsiTheme="minorHAnsi" w:cstheme="minorHAnsi"/>
          <w:color w:val="000000"/>
        </w:rPr>
        <w:t xml:space="preserve">all </w:t>
      </w:r>
      <w:r w:rsidR="00D97AA3">
        <w:rPr>
          <w:rFonts w:asciiTheme="minorHAnsi" w:hAnsiTheme="minorHAnsi" w:cstheme="minorHAnsi"/>
          <w:color w:val="000000"/>
        </w:rPr>
        <w:t>r</w:t>
      </w:r>
      <w:r w:rsidRPr="00F5710C">
        <w:rPr>
          <w:rFonts w:asciiTheme="minorHAnsi" w:hAnsiTheme="minorHAnsi" w:cstheme="minorHAnsi"/>
          <w:color w:val="000000"/>
        </w:rPr>
        <w:t xml:space="preserve">esolution, and </w:t>
      </w:r>
      <w:r w:rsidR="00D97AA3">
        <w:rPr>
          <w:rFonts w:asciiTheme="minorHAnsi" w:hAnsiTheme="minorHAnsi" w:cstheme="minorHAnsi"/>
          <w:color w:val="000000"/>
        </w:rPr>
        <w:t>n</w:t>
      </w:r>
      <w:r w:rsidRPr="00F5710C">
        <w:rPr>
          <w:rFonts w:asciiTheme="minorHAnsi" w:hAnsiTheme="minorHAnsi" w:cstheme="minorHAnsi"/>
          <w:color w:val="000000"/>
        </w:rPr>
        <w:t xml:space="preserve">et </w:t>
      </w:r>
      <w:r w:rsidR="00D97AA3">
        <w:rPr>
          <w:rFonts w:asciiTheme="minorHAnsi" w:hAnsiTheme="minorHAnsi" w:cstheme="minorHAnsi"/>
          <w:color w:val="000000"/>
        </w:rPr>
        <w:t>p</w:t>
      </w:r>
      <w:r w:rsidRPr="00F5710C">
        <w:rPr>
          <w:rFonts w:asciiTheme="minorHAnsi" w:hAnsiTheme="minorHAnsi" w:cstheme="minorHAnsi"/>
          <w:color w:val="000000"/>
        </w:rPr>
        <w:t xml:space="preserve">romoter </w:t>
      </w:r>
      <w:r w:rsidR="00D97AA3">
        <w:rPr>
          <w:rFonts w:asciiTheme="minorHAnsi" w:hAnsiTheme="minorHAnsi" w:cstheme="minorHAnsi"/>
          <w:color w:val="000000"/>
        </w:rPr>
        <w:t>s</w:t>
      </w:r>
      <w:r w:rsidRPr="00F5710C">
        <w:rPr>
          <w:rFonts w:asciiTheme="minorHAnsi" w:hAnsiTheme="minorHAnsi" w:cstheme="minorHAnsi"/>
          <w:color w:val="000000"/>
        </w:rPr>
        <w:t>core</w:t>
      </w:r>
      <w:r w:rsidR="00D97AA3">
        <w:rPr>
          <w:rFonts w:asciiTheme="minorHAnsi" w:hAnsiTheme="minorHAnsi" w:cstheme="minorHAnsi"/>
          <w:color w:val="000000"/>
        </w:rPr>
        <w:t xml:space="preserve"> </w:t>
      </w:r>
      <w:r w:rsidRPr="00F5710C">
        <w:rPr>
          <w:rFonts w:asciiTheme="minorHAnsi" w:hAnsiTheme="minorHAnsi" w:cstheme="minorHAnsi"/>
          <w:color w:val="000000"/>
        </w:rPr>
        <w:t xml:space="preserve">provide quantifiable insights into how well customer interactions are managed. </w:t>
      </w:r>
      <w:r w:rsidR="00D97AA3">
        <w:rPr>
          <w:rFonts w:asciiTheme="minorHAnsi" w:hAnsiTheme="minorHAnsi" w:cstheme="minorHAnsi"/>
          <w:color w:val="000000"/>
        </w:rPr>
        <w:t>HBR</w:t>
      </w:r>
      <w:r w:rsidRPr="00F5710C">
        <w:rPr>
          <w:rFonts w:asciiTheme="minorHAnsi" w:hAnsiTheme="minorHAnsi" w:cstheme="minorHAnsi"/>
          <w:color w:val="000000"/>
        </w:rPr>
        <w:t xml:space="preserve">(2018) emphasises that data-driven decision-making is crucial in identifying service gaps and implementing corrective measures in real time. By continually assessing performance against </w:t>
      </w:r>
      <w:r w:rsidR="00D97AA3">
        <w:rPr>
          <w:rFonts w:asciiTheme="minorHAnsi" w:hAnsiTheme="minorHAnsi" w:cstheme="minorHAnsi"/>
          <w:color w:val="000000"/>
        </w:rPr>
        <w:t xml:space="preserve">organisationally </w:t>
      </w:r>
      <w:r w:rsidRPr="00F5710C">
        <w:rPr>
          <w:rFonts w:asciiTheme="minorHAnsi" w:hAnsiTheme="minorHAnsi" w:cstheme="minorHAnsi"/>
          <w:color w:val="000000"/>
        </w:rPr>
        <w:t>established benchmarks, the contact centre can adjust its processes and training programmes to address emerging customer needs, thereby ensuring that the client’s products or services are supported by effective and responsive customer care.</w:t>
      </w:r>
    </w:p>
    <w:p w14:paraId="0A419618" w14:textId="532920AB" w:rsidR="009076B0" w:rsidRDefault="00FF3E5A" w:rsidP="00F24D7E">
      <w:pPr>
        <w:pStyle w:val="NormalWeb"/>
        <w:rPr>
          <w:rFonts w:asciiTheme="minorHAnsi" w:hAnsiTheme="minorHAnsi" w:cstheme="minorHAnsi"/>
          <w:color w:val="000000"/>
        </w:rPr>
      </w:pPr>
      <w:r>
        <w:rPr>
          <w:rFonts w:asciiTheme="minorHAnsi" w:hAnsiTheme="minorHAnsi" w:cstheme="minorHAnsi"/>
          <w:color w:val="000000"/>
        </w:rPr>
        <w:t>Another factor is the c</w:t>
      </w:r>
      <w:r w:rsidR="0024312C" w:rsidRPr="00F5710C">
        <w:rPr>
          <w:rFonts w:asciiTheme="minorHAnsi" w:hAnsiTheme="minorHAnsi" w:cstheme="minorHAnsi"/>
          <w:color w:val="000000"/>
        </w:rPr>
        <w:t>ontinuous development of staff to ensure they have the necessary skills, product knowledge, and soft skills required to meet customer expectations. Comprehensive training programmes and regular performance reviews,</w:t>
      </w:r>
      <w:r w:rsidR="009076B0">
        <w:rPr>
          <w:rFonts w:asciiTheme="minorHAnsi" w:hAnsiTheme="minorHAnsi" w:cstheme="minorHAnsi"/>
          <w:color w:val="000000"/>
        </w:rPr>
        <w:t xml:space="preserve"> </w:t>
      </w:r>
      <w:r w:rsidR="0024312C" w:rsidRPr="00F5710C">
        <w:rPr>
          <w:rFonts w:asciiTheme="minorHAnsi" w:hAnsiTheme="minorHAnsi" w:cstheme="minorHAnsi"/>
          <w:color w:val="000000"/>
        </w:rPr>
        <w:t>help employees stay updated on both the client’s offerings and best practices in customer service. Taylor and Woodhams (2020) argue that when employees are well-trained and empowered, they can deliver service that not only resolves issues efficiently but also contributes to a positive overall customer experience. In an</w:t>
      </w:r>
      <w:r>
        <w:rPr>
          <w:rFonts w:asciiTheme="minorHAnsi" w:hAnsiTheme="minorHAnsi" w:cstheme="minorHAnsi"/>
          <w:color w:val="000000"/>
        </w:rPr>
        <w:t xml:space="preserve"> OCC</w:t>
      </w:r>
      <w:r w:rsidR="0024312C" w:rsidRPr="00F5710C">
        <w:rPr>
          <w:rFonts w:asciiTheme="minorHAnsi" w:hAnsiTheme="minorHAnsi" w:cstheme="minorHAnsi"/>
          <w:color w:val="000000"/>
        </w:rPr>
        <w:t>, this means that the strategic focus on employee development directly supports the quality of customer interactions, which in turn reflects on the client’s products or services.</w:t>
      </w:r>
    </w:p>
    <w:p w14:paraId="58CF47ED" w14:textId="77777777" w:rsidR="00587695"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 xml:space="preserve">The adoption of advanced customer relationship management (CRM) systems and communication technologies is another strategic element that helps </w:t>
      </w:r>
      <w:r w:rsidR="00FF3E5A">
        <w:rPr>
          <w:rFonts w:asciiTheme="minorHAnsi" w:hAnsiTheme="minorHAnsi" w:cstheme="minorHAnsi"/>
          <w:color w:val="000000"/>
        </w:rPr>
        <w:t xml:space="preserve">OCC’s </w:t>
      </w:r>
      <w:r w:rsidRPr="00F5710C">
        <w:rPr>
          <w:rFonts w:asciiTheme="minorHAnsi" w:hAnsiTheme="minorHAnsi" w:cstheme="minorHAnsi"/>
          <w:color w:val="000000"/>
        </w:rPr>
        <w:t xml:space="preserve">meet customer needs effectively. These technologies facilitate real-time monitoring of customer interactions, enable seamless data sharing between the contact centre and the client, and support the automation of routine tasks. </w:t>
      </w:r>
      <w:r w:rsidR="009076B0">
        <w:rPr>
          <w:rFonts w:asciiTheme="minorHAnsi" w:hAnsiTheme="minorHAnsi" w:cstheme="minorHAnsi"/>
          <w:color w:val="000000"/>
        </w:rPr>
        <w:t>This</w:t>
      </w:r>
      <w:r w:rsidRPr="00F5710C">
        <w:rPr>
          <w:rFonts w:asciiTheme="minorHAnsi" w:hAnsiTheme="minorHAnsi" w:cstheme="minorHAnsi"/>
          <w:color w:val="000000"/>
        </w:rPr>
        <w:t xml:space="preserve"> is crucial in ensuring consistency and speed in service delivery (Porter &amp; Heppelmann, 2014). By leveraging technology, the organisational strategy not only improves operational efficiency but also enhances the ability to respond swiftly to customer queries, ultimately supporting the client’s competitive position in the market.</w:t>
      </w:r>
    </w:p>
    <w:p w14:paraId="22273BDC" w14:textId="11D3A939" w:rsidR="0024312C" w:rsidRPr="00F5710C"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 xml:space="preserve">In summary, </w:t>
      </w:r>
      <w:r w:rsidR="009076B0">
        <w:rPr>
          <w:rFonts w:asciiTheme="minorHAnsi" w:hAnsiTheme="minorHAnsi" w:cstheme="minorHAnsi"/>
          <w:color w:val="000000"/>
        </w:rPr>
        <w:t>b</w:t>
      </w:r>
      <w:r w:rsidRPr="00F5710C">
        <w:rPr>
          <w:rFonts w:asciiTheme="minorHAnsi" w:hAnsiTheme="minorHAnsi" w:cstheme="minorHAnsi"/>
          <w:color w:val="000000"/>
        </w:rPr>
        <w:t>y aligning operational practices with client objectives, robust performance metrics, employee development, and advanced technolog</w:t>
      </w:r>
      <w:r w:rsidR="009076B0">
        <w:rPr>
          <w:rFonts w:asciiTheme="minorHAnsi" w:hAnsiTheme="minorHAnsi" w:cstheme="minorHAnsi"/>
          <w:color w:val="000000"/>
        </w:rPr>
        <w:t xml:space="preserve">y an OCC can better meet their customer’s needs. </w:t>
      </w:r>
      <w:r w:rsidRPr="00F5710C">
        <w:rPr>
          <w:rFonts w:asciiTheme="minorHAnsi" w:hAnsiTheme="minorHAnsi" w:cstheme="minorHAnsi"/>
          <w:color w:val="000000"/>
        </w:rPr>
        <w:t xml:space="preserve"> While challenges exist, a well-formulated</w:t>
      </w:r>
      <w:r w:rsidR="009076B0">
        <w:rPr>
          <w:rFonts w:asciiTheme="minorHAnsi" w:hAnsiTheme="minorHAnsi" w:cstheme="minorHAnsi"/>
          <w:color w:val="000000"/>
        </w:rPr>
        <w:t xml:space="preserve"> operational</w:t>
      </w:r>
      <w:r w:rsidRPr="00F5710C">
        <w:rPr>
          <w:rFonts w:asciiTheme="minorHAnsi" w:hAnsiTheme="minorHAnsi" w:cstheme="minorHAnsi"/>
          <w:color w:val="000000"/>
        </w:rPr>
        <w:t xml:space="preserve"> strategy that embraces continuous improvement and regular feedback can significantly enhance the overall customer experience and support long-term business success.</w:t>
      </w:r>
    </w:p>
    <w:p w14:paraId="4AB7E872" w14:textId="268CF59E" w:rsidR="0024312C" w:rsidRPr="00F5710C" w:rsidRDefault="0024312C" w:rsidP="008B3A0D">
      <w:pPr>
        <w:pStyle w:val="ListParagraph"/>
        <w:spacing w:line="259" w:lineRule="auto"/>
        <w:rPr>
          <w:rFonts w:eastAsia="Arial" w:cstheme="minorHAnsi"/>
        </w:rPr>
      </w:pPr>
    </w:p>
    <w:p w14:paraId="6DA21B78" w14:textId="07D8FDF7" w:rsidR="009C1DD8" w:rsidRDefault="0012109B">
      <w:pPr>
        <w:rPr>
          <w:rFonts w:eastAsia="Arial" w:cstheme="minorHAnsi"/>
        </w:rPr>
      </w:pPr>
      <w:r>
        <w:rPr>
          <w:rFonts w:eastAsia="Arial" w:cstheme="minorHAnsi"/>
        </w:rPr>
        <w:t>Q</w:t>
      </w:r>
      <w:r w:rsidR="0024312C" w:rsidRPr="00F5710C">
        <w:rPr>
          <w:rFonts w:eastAsia="Arial" w:cstheme="minorHAnsi"/>
        </w:rPr>
        <w:t>3</w:t>
      </w:r>
      <w:r>
        <w:rPr>
          <w:rFonts w:eastAsia="Arial" w:cstheme="minorHAnsi"/>
        </w:rPr>
        <w:t>, (AC 1.3)</w:t>
      </w:r>
    </w:p>
    <w:p w14:paraId="6F481B06" w14:textId="77777777" w:rsidR="008B3A0D" w:rsidRDefault="008B3A0D">
      <w:pPr>
        <w:rPr>
          <w:rFonts w:eastAsia="Arial" w:cstheme="minorHAnsi"/>
        </w:rPr>
      </w:pPr>
    </w:p>
    <w:p w14:paraId="1948D132" w14:textId="4628165F" w:rsidR="00D97AA3" w:rsidRPr="00D97AA3" w:rsidRDefault="00D97AA3" w:rsidP="00D97AA3">
      <w:pPr>
        <w:rPr>
          <w:rFonts w:eastAsia="Arial" w:cstheme="minorHAnsi"/>
        </w:rPr>
      </w:pPr>
      <w:r w:rsidRPr="00D97AA3">
        <w:rPr>
          <w:rFonts w:eastAsia="Arial" w:cstheme="minorHAnsi"/>
        </w:rPr>
        <w:t xml:space="preserve">Outsourced contact centres (OCCs) operate in an environment increasingly shaped by macroeconomic and political factors. Rising interest rates, inflation, and a change of </w:t>
      </w:r>
      <w:r w:rsidRPr="00D97AA3">
        <w:rPr>
          <w:rFonts w:eastAsia="Arial" w:cstheme="minorHAnsi"/>
        </w:rPr>
        <w:lastRenderedPageBreak/>
        <w:t>government each have distinct impacts that organi</w:t>
      </w:r>
      <w:r>
        <w:rPr>
          <w:rFonts w:eastAsia="Arial" w:cstheme="minorHAnsi"/>
        </w:rPr>
        <w:t>s</w:t>
      </w:r>
      <w:r w:rsidRPr="00D97AA3">
        <w:rPr>
          <w:rFonts w:eastAsia="Arial" w:cstheme="minorHAnsi"/>
        </w:rPr>
        <w:t>ations must address to maintain competitiveness and service quality.</w:t>
      </w:r>
    </w:p>
    <w:p w14:paraId="0930806C" w14:textId="77777777" w:rsidR="00D97AA3" w:rsidRDefault="00D97AA3" w:rsidP="00D97AA3">
      <w:pPr>
        <w:rPr>
          <w:rFonts w:eastAsia="Arial" w:cstheme="minorHAnsi"/>
          <w:b/>
          <w:bCs/>
        </w:rPr>
      </w:pPr>
    </w:p>
    <w:p w14:paraId="008459DA" w14:textId="7DD5E772" w:rsidR="00D97AA3" w:rsidRPr="00D97AA3" w:rsidRDefault="00D97AA3" w:rsidP="00D97AA3">
      <w:pPr>
        <w:rPr>
          <w:rFonts w:eastAsia="Arial" w:cstheme="minorHAnsi"/>
        </w:rPr>
      </w:pPr>
      <w:r w:rsidRPr="00D97AA3">
        <w:rPr>
          <w:rFonts w:eastAsia="Arial" w:cstheme="minorHAnsi"/>
          <w:b/>
          <w:bCs/>
        </w:rPr>
        <w:t>Impact Analysis</w:t>
      </w:r>
      <w:r w:rsidRPr="00D97AA3">
        <w:rPr>
          <w:rFonts w:eastAsia="Arial" w:cstheme="minorHAnsi"/>
        </w:rPr>
        <w:br/>
        <w:t xml:space="preserve">Higher interest rates raise the cost of borrowing, affecting OCCs that depend on external financing for technology upgrades, expansion, and employee training. As borrowing becomes more expensive, investments in critical innovations—such as automation and artificial intelligence—may be delayed or scaled back. This can hinder efforts to improve operational efficiency and customer service quality. Additionally, increased financing costs compress profit margins, </w:t>
      </w:r>
      <w:r>
        <w:rPr>
          <w:rFonts w:eastAsia="Arial" w:cstheme="minorHAnsi"/>
        </w:rPr>
        <w:t>forcing</w:t>
      </w:r>
      <w:r w:rsidRPr="00D97AA3">
        <w:rPr>
          <w:rFonts w:eastAsia="Arial" w:cstheme="minorHAnsi"/>
        </w:rPr>
        <w:t xml:space="preserve"> tighter expenditure controls and a more rigorous focus on cost efficiency.</w:t>
      </w:r>
    </w:p>
    <w:p w14:paraId="7077B1DF" w14:textId="276BC7B3" w:rsidR="00D97AA3" w:rsidRPr="00D97AA3" w:rsidRDefault="00D97AA3" w:rsidP="00D97AA3">
      <w:pPr>
        <w:rPr>
          <w:rFonts w:eastAsia="Arial" w:cstheme="minorHAnsi"/>
        </w:rPr>
      </w:pPr>
      <w:r w:rsidRPr="00D97AA3">
        <w:rPr>
          <w:rFonts w:eastAsia="Arial" w:cstheme="minorHAnsi"/>
        </w:rPr>
        <w:br/>
        <w:t xml:space="preserve">Inflation drives up operational costs, notably </w:t>
      </w:r>
      <w:r>
        <w:rPr>
          <w:rFonts w:eastAsia="Arial" w:cstheme="minorHAnsi"/>
        </w:rPr>
        <w:t>employment</w:t>
      </w:r>
      <w:r w:rsidRPr="00D97AA3">
        <w:rPr>
          <w:rFonts w:eastAsia="Arial" w:cstheme="minorHAnsi"/>
        </w:rPr>
        <w:t xml:space="preserve">, utilities, rent, and telecommunications expenses. Given that </w:t>
      </w:r>
      <w:r>
        <w:rPr>
          <w:rFonts w:eastAsia="Arial" w:cstheme="minorHAnsi"/>
        </w:rPr>
        <w:t>employment</w:t>
      </w:r>
      <w:r w:rsidRPr="00D97AA3">
        <w:rPr>
          <w:rFonts w:eastAsia="Arial" w:cstheme="minorHAnsi"/>
        </w:rPr>
        <w:t xml:space="preserve"> costs are a significant expense for OCCs, rising living costs often lead employees to demand higher wages and enhanced benefits. If these increased costs cannot be passed on to clients through revised contracts, profit margins suffer further. </w:t>
      </w:r>
      <w:r>
        <w:rPr>
          <w:rFonts w:eastAsia="Arial" w:cstheme="minorHAnsi"/>
        </w:rPr>
        <w:t>This can lead</w:t>
      </w:r>
      <w:r w:rsidRPr="00D97AA3">
        <w:rPr>
          <w:rFonts w:eastAsia="Arial" w:cstheme="minorHAnsi"/>
        </w:rPr>
        <w:t xml:space="preserve"> clients to renegotiate service contracts or demand cost reductions, </w:t>
      </w:r>
      <w:r>
        <w:rPr>
          <w:rFonts w:eastAsia="Arial" w:cstheme="minorHAnsi"/>
        </w:rPr>
        <w:t xml:space="preserve">adding </w:t>
      </w:r>
      <w:r w:rsidRPr="00D97AA3">
        <w:rPr>
          <w:rFonts w:eastAsia="Arial" w:cstheme="minorHAnsi"/>
        </w:rPr>
        <w:t>pressure to manage expenses effectively.</w:t>
      </w:r>
    </w:p>
    <w:p w14:paraId="3AEFA243" w14:textId="5617E5F4" w:rsidR="00D97AA3" w:rsidRDefault="00D97AA3" w:rsidP="00D97AA3">
      <w:pPr>
        <w:rPr>
          <w:rFonts w:eastAsia="Arial" w:cstheme="minorHAnsi"/>
        </w:rPr>
      </w:pPr>
      <w:r w:rsidRPr="00D97AA3">
        <w:rPr>
          <w:rFonts w:eastAsia="Arial" w:cstheme="minorHAnsi"/>
        </w:rPr>
        <w:br/>
        <w:t xml:space="preserve">A change in government can introduce regulatory and </w:t>
      </w:r>
      <w:r>
        <w:rPr>
          <w:rFonts w:eastAsia="Arial" w:cstheme="minorHAnsi"/>
        </w:rPr>
        <w:t>budget</w:t>
      </w:r>
      <w:r w:rsidRPr="00D97AA3">
        <w:rPr>
          <w:rFonts w:eastAsia="Arial" w:cstheme="minorHAnsi"/>
        </w:rPr>
        <w:t xml:space="preserve"> policy shifts that affect OCC operations. New government policies may lead to changes in </w:t>
      </w:r>
      <w:r>
        <w:rPr>
          <w:rFonts w:eastAsia="Arial" w:cstheme="minorHAnsi"/>
        </w:rPr>
        <w:t>employment</w:t>
      </w:r>
      <w:r w:rsidRPr="00D97AA3">
        <w:rPr>
          <w:rFonts w:eastAsia="Arial" w:cstheme="minorHAnsi"/>
        </w:rPr>
        <w:t xml:space="preserve"> laws, taxation, or trade regulations, potentially increasing compliance costs or altering outsourcing strategies. For example, a government that prioriti</w:t>
      </w:r>
      <w:r>
        <w:rPr>
          <w:rFonts w:eastAsia="Arial" w:cstheme="minorHAnsi"/>
        </w:rPr>
        <w:t>s</w:t>
      </w:r>
      <w:r w:rsidRPr="00D97AA3">
        <w:rPr>
          <w:rFonts w:eastAsia="Arial" w:cstheme="minorHAnsi"/>
        </w:rPr>
        <w:t>es domestic employment may reduce the volume of outsourced contracts available. The resulting regulatory uncertainty requires OCCs to remain agile and responsive to policy shifts, ensuring compliance while maintaining operational stability.</w:t>
      </w:r>
    </w:p>
    <w:p w14:paraId="07F3142C" w14:textId="77777777" w:rsidR="00D97AA3" w:rsidRPr="00D97AA3" w:rsidRDefault="00D97AA3" w:rsidP="00D97AA3">
      <w:pPr>
        <w:rPr>
          <w:rFonts w:eastAsia="Arial" w:cstheme="minorHAnsi"/>
        </w:rPr>
      </w:pPr>
    </w:p>
    <w:p w14:paraId="1630B916" w14:textId="77777777" w:rsidR="00D97AA3" w:rsidRPr="00D97AA3" w:rsidRDefault="00D97AA3" w:rsidP="00D97AA3">
      <w:pPr>
        <w:rPr>
          <w:rFonts w:eastAsia="Arial" w:cstheme="minorHAnsi"/>
        </w:rPr>
      </w:pPr>
      <w:r w:rsidRPr="00D97AA3">
        <w:rPr>
          <w:rFonts w:eastAsia="Arial" w:cstheme="minorHAnsi"/>
          <w:b/>
          <w:bCs/>
        </w:rPr>
        <w:t>Organisational Priorities</w:t>
      </w:r>
    </w:p>
    <w:p w14:paraId="6639452D" w14:textId="72C17778" w:rsidR="00D97AA3" w:rsidRPr="00D97AA3" w:rsidRDefault="00D97AA3" w:rsidP="00D97AA3">
      <w:pPr>
        <w:rPr>
          <w:rFonts w:eastAsia="Arial" w:cstheme="minorHAnsi"/>
        </w:rPr>
      </w:pPr>
      <w:r w:rsidRPr="00D97AA3">
        <w:rPr>
          <w:rFonts w:eastAsia="Arial" w:cstheme="minorHAnsi"/>
        </w:rPr>
        <w:t>Cost Efficiency and Financial Planning</w:t>
      </w:r>
      <w:r>
        <w:rPr>
          <w:rFonts w:eastAsia="Arial" w:cstheme="minorHAnsi"/>
        </w:rPr>
        <w:t xml:space="preserve"> </w:t>
      </w:r>
      <w:r w:rsidRPr="00D97AA3">
        <w:rPr>
          <w:rFonts w:eastAsia="Arial" w:cstheme="minorHAnsi"/>
        </w:rPr>
        <w:t>must</w:t>
      </w:r>
      <w:r>
        <w:rPr>
          <w:rFonts w:eastAsia="Arial" w:cstheme="minorHAnsi"/>
        </w:rPr>
        <w:t xml:space="preserve"> be a</w:t>
      </w:r>
      <w:r w:rsidRPr="00D97AA3">
        <w:rPr>
          <w:rFonts w:eastAsia="Arial" w:cstheme="minorHAnsi"/>
        </w:rPr>
        <w:t xml:space="preserve"> priorit</w:t>
      </w:r>
      <w:r>
        <w:rPr>
          <w:rFonts w:eastAsia="Arial" w:cstheme="minorHAnsi"/>
        </w:rPr>
        <w:t>y for OCC’s to</w:t>
      </w:r>
      <w:r w:rsidRPr="00D97AA3">
        <w:rPr>
          <w:rFonts w:eastAsia="Arial" w:cstheme="minorHAnsi"/>
        </w:rPr>
        <w:t xml:space="preserve"> streamlin</w:t>
      </w:r>
      <w:r>
        <w:rPr>
          <w:rFonts w:eastAsia="Arial" w:cstheme="minorHAnsi"/>
        </w:rPr>
        <w:t>e</w:t>
      </w:r>
      <w:r w:rsidRPr="00D97AA3">
        <w:rPr>
          <w:rFonts w:eastAsia="Arial" w:cstheme="minorHAnsi"/>
        </w:rPr>
        <w:t xml:space="preserve"> processes and cut unnecessary expenditures. Investing in automation and digital transformation can offset rising borrowing and operational costs by reducing reliance on manual labour. Enhanced financial planning and risk management—such as hedging against interest rate fluctuations—are essential to cushion against economic volatility (Harvard Business Review, 2018).</w:t>
      </w:r>
    </w:p>
    <w:p w14:paraId="3E1FB46D" w14:textId="5F1FB06C" w:rsidR="00D97AA3" w:rsidRDefault="00D97AA3" w:rsidP="00D97AA3">
      <w:pPr>
        <w:rPr>
          <w:rFonts w:eastAsia="Arial" w:cstheme="minorHAnsi"/>
        </w:rPr>
      </w:pPr>
      <w:r w:rsidRPr="00D97AA3">
        <w:rPr>
          <w:rFonts w:eastAsia="Arial" w:cstheme="minorHAnsi"/>
        </w:rPr>
        <w:t>Investment in Technology</w:t>
      </w:r>
      <w:r>
        <w:rPr>
          <w:rFonts w:eastAsia="Arial" w:cstheme="minorHAnsi"/>
          <w:b/>
          <w:bCs/>
        </w:rPr>
        <w:t xml:space="preserve"> </w:t>
      </w:r>
      <w:r>
        <w:rPr>
          <w:rFonts w:eastAsia="Arial" w:cstheme="minorHAnsi"/>
        </w:rPr>
        <w:t>d</w:t>
      </w:r>
      <w:r w:rsidRPr="00D97AA3">
        <w:rPr>
          <w:rFonts w:eastAsia="Arial" w:cstheme="minorHAnsi"/>
        </w:rPr>
        <w:t>espite higher financing costs</w:t>
      </w:r>
      <w:r>
        <w:rPr>
          <w:rFonts w:eastAsia="Arial" w:cstheme="minorHAnsi"/>
        </w:rPr>
        <w:t>.</w:t>
      </w:r>
      <w:r w:rsidRPr="00D97AA3">
        <w:rPr>
          <w:rFonts w:eastAsia="Arial" w:cstheme="minorHAnsi"/>
        </w:rPr>
        <w:t xml:space="preserve"> OCCs should continue investing in advanced technologies (e.g., CRM systems, AI, and automation). These technologies not only drive operational efficiency but also improve service quality, enabling cost savings and enhanced customer satisfaction over the long term (Forbes, 2019).</w:t>
      </w:r>
    </w:p>
    <w:p w14:paraId="615994B5" w14:textId="41FF9C63" w:rsidR="00D97AA3" w:rsidRDefault="00D97AA3" w:rsidP="00D97AA3">
      <w:pPr>
        <w:rPr>
          <w:rFonts w:eastAsia="Arial" w:cstheme="minorHAnsi"/>
        </w:rPr>
      </w:pPr>
      <w:r w:rsidRPr="00D97AA3">
        <w:rPr>
          <w:rFonts w:eastAsia="Arial" w:cstheme="minorHAnsi"/>
        </w:rPr>
        <w:br/>
        <w:t>With wage inflation a constant threat, effective labour management is critical. Organi</w:t>
      </w:r>
      <w:r>
        <w:rPr>
          <w:rFonts w:eastAsia="Arial" w:cstheme="minorHAnsi"/>
        </w:rPr>
        <w:t>s</w:t>
      </w:r>
      <w:r w:rsidRPr="00D97AA3">
        <w:rPr>
          <w:rFonts w:eastAsia="Arial" w:cstheme="minorHAnsi"/>
        </w:rPr>
        <w:t>ations must invest in training and upskilling to enhance employee productivity and offset rising wage costs. Flexible working arrangements and robust performance management can also help sustain employee engagement and retention (CIPD, 2020).</w:t>
      </w:r>
    </w:p>
    <w:p w14:paraId="2A899737" w14:textId="77777777" w:rsidR="00D15A52" w:rsidRDefault="00D15A52" w:rsidP="00D97AA3">
      <w:pPr>
        <w:rPr>
          <w:rFonts w:eastAsia="Arial" w:cstheme="minorHAnsi"/>
        </w:rPr>
      </w:pPr>
    </w:p>
    <w:p w14:paraId="44AADF29" w14:textId="7B7AEB53" w:rsidR="00D97AA3" w:rsidRPr="00D97AA3" w:rsidRDefault="00D97AA3" w:rsidP="00D97AA3">
      <w:pPr>
        <w:rPr>
          <w:rFonts w:eastAsia="Arial" w:cstheme="minorHAnsi"/>
        </w:rPr>
      </w:pPr>
      <w:r w:rsidRPr="00D97AA3">
        <w:rPr>
          <w:rFonts w:eastAsia="Arial" w:cstheme="minorHAnsi"/>
        </w:rPr>
        <w:t xml:space="preserve">Given the uncertainties associated with government changes, OCCs should proactively monitor regulatory developments. Maintaining strong client relationships through </w:t>
      </w:r>
      <w:r w:rsidRPr="00D97AA3">
        <w:rPr>
          <w:rFonts w:eastAsia="Arial" w:cstheme="minorHAnsi"/>
        </w:rPr>
        <w:lastRenderedPageBreak/>
        <w:t>transparent communication and flexible contractual arrangements will help manage the risks associated with policy shifts.</w:t>
      </w:r>
    </w:p>
    <w:p w14:paraId="6A4007F3" w14:textId="13598EB7" w:rsidR="00D97AA3" w:rsidRPr="00D97AA3" w:rsidRDefault="00D97AA3" w:rsidP="00D97AA3">
      <w:pPr>
        <w:rPr>
          <w:rFonts w:eastAsia="Arial" w:cstheme="minorHAnsi"/>
        </w:rPr>
      </w:pPr>
      <w:r w:rsidRPr="00D97AA3">
        <w:rPr>
          <w:rFonts w:eastAsia="Arial" w:cstheme="minorHAnsi"/>
        </w:rPr>
        <w:br/>
        <w:t>The pressures of rising interest rates, inflation, and political changes necessitate that OCCs focus on cost efficiency, technology investment, workforce development, and regulatory agility. Addressing these priorities will help OCCs navigate the current economic landscape while continuing to deliver high-quality, customer-focused services.</w:t>
      </w:r>
    </w:p>
    <w:p w14:paraId="357DF03C" w14:textId="77777777" w:rsidR="00D97AA3" w:rsidRPr="00D97AA3" w:rsidRDefault="00185969" w:rsidP="00D97AA3">
      <w:pPr>
        <w:rPr>
          <w:rFonts w:eastAsia="Arial" w:cstheme="minorHAnsi"/>
        </w:rPr>
      </w:pPr>
      <w:r>
        <w:rPr>
          <w:rFonts w:eastAsia="Arial" w:cstheme="minorHAnsi"/>
          <w:noProof/>
        </w:rPr>
        <w:pict w14:anchorId="1977857D">
          <v:rect id="_x0000_i1025" alt="" style="width:451.3pt;height:.05pt;mso-width-percent:0;mso-height-percent:0;mso-width-percent:0;mso-height-percent:0" o:hralign="center" o:hrstd="t" o:hrnoshade="t" o:hr="t" fillcolor="black" stroked="f"/>
        </w:pict>
      </w:r>
    </w:p>
    <w:p w14:paraId="1ED2D18D" w14:textId="77777777" w:rsidR="00D97AA3" w:rsidRPr="00F5710C" w:rsidRDefault="00D97AA3">
      <w:pPr>
        <w:rPr>
          <w:rFonts w:eastAsia="Arial" w:cstheme="minorHAnsi"/>
        </w:rPr>
      </w:pPr>
    </w:p>
    <w:p w14:paraId="4F61FCC2" w14:textId="77777777" w:rsidR="008B3A0D" w:rsidRPr="00F5710C" w:rsidRDefault="008B3A0D">
      <w:pPr>
        <w:rPr>
          <w:rFonts w:eastAsia="Arial" w:cstheme="minorHAnsi"/>
        </w:rPr>
      </w:pPr>
    </w:p>
    <w:p w14:paraId="6FE7D497" w14:textId="32384A9C" w:rsidR="008B3A0D" w:rsidRPr="00F5710C" w:rsidRDefault="0012109B">
      <w:pPr>
        <w:rPr>
          <w:rFonts w:eastAsia="Arial" w:cstheme="minorHAnsi"/>
        </w:rPr>
      </w:pPr>
      <w:r>
        <w:rPr>
          <w:rFonts w:eastAsia="Arial" w:cstheme="minorHAnsi"/>
        </w:rPr>
        <w:t>Q4, (AC 1.4)</w:t>
      </w:r>
    </w:p>
    <w:p w14:paraId="2FB1D0A7" w14:textId="5649BA93" w:rsidR="0093300C" w:rsidRPr="00F5710C" w:rsidRDefault="0093300C" w:rsidP="00A1738D">
      <w:pPr>
        <w:rPr>
          <w:rFonts w:eastAsia="Arial" w:cstheme="minorHAnsi"/>
        </w:rPr>
      </w:pPr>
      <w:r w:rsidRPr="00F5710C">
        <w:rPr>
          <w:rFonts w:eastAsia="Arial" w:cstheme="minorHAnsi"/>
        </w:rPr>
        <w:t>AI is being applied across a range of functions in</w:t>
      </w:r>
      <w:r w:rsidR="00A1738D">
        <w:rPr>
          <w:rFonts w:eastAsia="Arial" w:cstheme="minorHAnsi"/>
        </w:rPr>
        <w:t xml:space="preserve"> OCC’s</w:t>
      </w:r>
      <w:r w:rsidRPr="00F5710C">
        <w:rPr>
          <w:rFonts w:eastAsia="Arial" w:cstheme="minorHAnsi"/>
        </w:rPr>
        <w:t xml:space="preserve">, including customer interaction, process optimisation, data analytics, and quality assurance. </w:t>
      </w:r>
      <w:r w:rsidRPr="00F5710C">
        <w:rPr>
          <w:rFonts w:eastAsia="Arial" w:cstheme="minorHAnsi"/>
        </w:rPr>
        <w:br/>
        <w:t>AI-powered chatbots and virtual assistants are widely deployed to handle routine customer inquiries. These systems utilise natural language processing (NLP) to interpret and respond to customer queries efficiently, reducing wait times and freeing human agents to address more complex issues (Huang and Rust, 2021). In many contact centres, chatbots serve as the first point of contact, ensuring that a high volume of routine queries is managed effectively.</w:t>
      </w:r>
    </w:p>
    <w:p w14:paraId="539E59A7" w14:textId="32EC15FB" w:rsidR="0093300C" w:rsidRPr="00F5710C" w:rsidRDefault="0093300C" w:rsidP="00A1738D">
      <w:pPr>
        <w:rPr>
          <w:rFonts w:eastAsia="Arial" w:cstheme="minorHAnsi"/>
        </w:rPr>
      </w:pPr>
      <w:r w:rsidRPr="00F5710C">
        <w:rPr>
          <w:rFonts w:eastAsia="Arial" w:cstheme="minorHAnsi"/>
        </w:rPr>
        <w:br/>
        <w:t xml:space="preserve">Advanced voice recognition technologies, combined with sentiment analysis, are used to monitor customer interactions in real time. These AI systems can detect customer emotions and flag interactions that may require intervention, thereby improving the overall quality of service. </w:t>
      </w:r>
      <w:r w:rsidR="00A1738D">
        <w:rPr>
          <w:rFonts w:eastAsia="Arial" w:cstheme="minorHAnsi"/>
        </w:rPr>
        <w:t xml:space="preserve">In my organisation they can detect what we call safeguarding Based on language picked up on the call. </w:t>
      </w:r>
      <w:r w:rsidRPr="00F5710C">
        <w:rPr>
          <w:rFonts w:eastAsia="Arial" w:cstheme="minorHAnsi"/>
        </w:rPr>
        <w:t>Such applications are critical in ensuring that customer feedback is rapidly addressed, thus enhancing customer satisfaction (Vidal, 2019).</w:t>
      </w:r>
    </w:p>
    <w:p w14:paraId="0F64B44C" w14:textId="28DD996A" w:rsidR="0093300C" w:rsidRPr="00F5710C" w:rsidRDefault="0093300C" w:rsidP="00A1738D">
      <w:pPr>
        <w:rPr>
          <w:rFonts w:eastAsia="Arial" w:cstheme="minorHAnsi"/>
        </w:rPr>
      </w:pPr>
      <w:r w:rsidRPr="00F5710C">
        <w:rPr>
          <w:rFonts w:eastAsia="Arial" w:cstheme="minorHAnsi"/>
        </w:rPr>
        <w:br/>
        <w:t>AI</w:t>
      </w:r>
      <w:r w:rsidR="00A1738D">
        <w:rPr>
          <w:rFonts w:eastAsia="Arial" w:cstheme="minorHAnsi"/>
        </w:rPr>
        <w:t xml:space="preserve"> can also </w:t>
      </w:r>
      <w:r w:rsidRPr="00F5710C">
        <w:rPr>
          <w:rFonts w:eastAsia="Arial" w:cstheme="minorHAnsi"/>
        </w:rPr>
        <w:t>streamline internal processes, such as call routing</w:t>
      </w:r>
      <w:r w:rsidR="00A1738D">
        <w:rPr>
          <w:rFonts w:eastAsia="Arial" w:cstheme="minorHAnsi"/>
        </w:rPr>
        <w:t xml:space="preserve"> and</w:t>
      </w:r>
      <w:r w:rsidRPr="00F5710C">
        <w:rPr>
          <w:rFonts w:eastAsia="Arial" w:cstheme="minorHAnsi"/>
        </w:rPr>
        <w:t xml:space="preserve"> workforce scheduling. This reduces operational costs and contributes to better service level performance.</w:t>
      </w:r>
      <w:r w:rsidR="00A1738D">
        <w:rPr>
          <w:rFonts w:eastAsia="Arial" w:cstheme="minorHAnsi"/>
        </w:rPr>
        <w:t xml:space="preserve"> By analysing vast</w:t>
      </w:r>
      <w:r w:rsidRPr="00F5710C">
        <w:rPr>
          <w:rFonts w:eastAsia="Arial" w:cstheme="minorHAnsi"/>
        </w:rPr>
        <w:t xml:space="preserve"> amounts of data generated </w:t>
      </w:r>
      <w:r w:rsidR="00A1738D">
        <w:rPr>
          <w:rFonts w:eastAsia="Arial" w:cstheme="minorHAnsi"/>
        </w:rPr>
        <w:t>in almost real time OCC’s are able to provide</w:t>
      </w:r>
      <w:r w:rsidRPr="00F5710C">
        <w:rPr>
          <w:rFonts w:eastAsia="Arial" w:cstheme="minorHAnsi"/>
        </w:rPr>
        <w:t xml:space="preserve"> actionable insights into customer behaviour, agent performance, and operational efficiency. Additionally, AI assists in automated quality monitoring by analysing call recordings for compliance and performance trends (Forbes, 2021).</w:t>
      </w:r>
    </w:p>
    <w:p w14:paraId="52E69AF0" w14:textId="77777777" w:rsidR="00A1738D" w:rsidRDefault="00A1738D" w:rsidP="0093300C">
      <w:pPr>
        <w:rPr>
          <w:rFonts w:eastAsia="Arial" w:cstheme="minorHAnsi"/>
          <w:b/>
          <w:bCs/>
        </w:rPr>
      </w:pPr>
    </w:p>
    <w:p w14:paraId="08216DEC" w14:textId="15EF6625" w:rsidR="0093300C" w:rsidRPr="00F5710C" w:rsidRDefault="0093300C" w:rsidP="00A1738D">
      <w:pPr>
        <w:rPr>
          <w:rFonts w:eastAsia="Arial" w:cstheme="minorHAnsi"/>
        </w:rPr>
      </w:pPr>
      <w:r w:rsidRPr="00F5710C">
        <w:rPr>
          <w:rFonts w:eastAsia="Arial" w:cstheme="minorHAnsi"/>
        </w:rPr>
        <w:t>The deployment of AI in outsourced contact centres has notable implications for the nature of work, affecting both job roles and organisational practices</w:t>
      </w:r>
      <w:r w:rsidR="00A1738D">
        <w:rPr>
          <w:rFonts w:eastAsia="Arial" w:cstheme="minorHAnsi"/>
        </w:rPr>
        <w:t xml:space="preserve">. </w:t>
      </w:r>
      <w:r w:rsidRPr="00F5710C">
        <w:rPr>
          <w:rFonts w:eastAsia="Arial" w:cstheme="minorHAnsi"/>
        </w:rPr>
        <w:t>By automating routine and repetitive tasks, AI allows human agents to focus on more complex, high-value interactions that require empathy and critical thinking. This reallocation of tasks enhances overall productivity and operational efficiency (Huang and Rust, 2021). As routine queries are handled by AI systems, agents benefit from a reduced workload, enabling them to provide more personalised service when necessary</w:t>
      </w:r>
      <w:r w:rsidR="00A1738D">
        <w:rPr>
          <w:rFonts w:eastAsia="Arial" w:cstheme="minorHAnsi"/>
        </w:rPr>
        <w:t>. A</w:t>
      </w:r>
      <w:r w:rsidRPr="00F5710C">
        <w:rPr>
          <w:rFonts w:eastAsia="Arial" w:cstheme="minorHAnsi"/>
        </w:rPr>
        <w:t xml:space="preserve"> shift in the skill set </w:t>
      </w:r>
      <w:r w:rsidR="00A1738D">
        <w:rPr>
          <w:rFonts w:eastAsia="Arial" w:cstheme="minorHAnsi"/>
        </w:rPr>
        <w:t xml:space="preserve">is </w:t>
      </w:r>
      <w:r w:rsidRPr="00F5710C">
        <w:rPr>
          <w:rFonts w:eastAsia="Arial" w:cstheme="minorHAnsi"/>
        </w:rPr>
        <w:t>required of contact centre employees</w:t>
      </w:r>
      <w:r w:rsidR="00A1738D">
        <w:rPr>
          <w:rFonts w:eastAsia="Arial" w:cstheme="minorHAnsi"/>
        </w:rPr>
        <w:t xml:space="preserve"> with a</w:t>
      </w:r>
      <w:r w:rsidR="00A1738D" w:rsidRPr="00A1738D">
        <w:rPr>
          <w:rFonts w:eastAsia="Arial" w:cstheme="minorHAnsi"/>
        </w:rPr>
        <w:t xml:space="preserve"> </w:t>
      </w:r>
      <w:r w:rsidR="00A1738D" w:rsidRPr="00F5710C">
        <w:rPr>
          <w:rFonts w:eastAsia="Arial" w:cstheme="minorHAnsi"/>
        </w:rPr>
        <w:t>an emphasis on continuous professional development and upskilling initiatives</w:t>
      </w:r>
      <w:r w:rsidRPr="00F5710C">
        <w:rPr>
          <w:rFonts w:eastAsia="Arial" w:cstheme="minorHAnsi"/>
        </w:rPr>
        <w:t>. Workers must now be proficient in collaborating with AI systems</w:t>
      </w:r>
      <w:r w:rsidR="00A1738D">
        <w:rPr>
          <w:rFonts w:eastAsia="Arial" w:cstheme="minorHAnsi"/>
        </w:rPr>
        <w:t xml:space="preserve"> and </w:t>
      </w:r>
      <w:r w:rsidRPr="00F5710C">
        <w:rPr>
          <w:rFonts w:eastAsia="Arial" w:cstheme="minorHAnsi"/>
        </w:rPr>
        <w:t>adapt to a more technologically sophisticated work environment (CIPD, 2020).</w:t>
      </w:r>
      <w:r w:rsidR="00A1738D">
        <w:rPr>
          <w:rFonts w:eastAsia="Arial" w:cstheme="minorHAnsi"/>
        </w:rPr>
        <w:t xml:space="preserve">  </w:t>
      </w:r>
      <w:r w:rsidRPr="00F5710C">
        <w:rPr>
          <w:rFonts w:eastAsia="Arial" w:cstheme="minorHAnsi"/>
        </w:rPr>
        <w:t xml:space="preserve">Rather than resulting in widespread job displacement, AI is leading to a transformation of job roles within contact centres. While AI handles standardised tasks, human agents are increasingly tasked with managing exceptions, complex problem-solving and providing a high level of personal service. </w:t>
      </w:r>
    </w:p>
    <w:p w14:paraId="02B4352E" w14:textId="7A1DC401" w:rsidR="0093300C" w:rsidRDefault="0093300C" w:rsidP="00A1738D">
      <w:pPr>
        <w:rPr>
          <w:rFonts w:eastAsia="Arial" w:cstheme="minorHAnsi"/>
        </w:rPr>
      </w:pPr>
      <w:r w:rsidRPr="00F5710C">
        <w:rPr>
          <w:rFonts w:eastAsia="Arial" w:cstheme="minorHAnsi"/>
        </w:rPr>
        <w:lastRenderedPageBreak/>
        <w:br/>
        <w:t>Despite the operational benefits, the integration of AI raises ethical concerns regarding data privacy, algorithmic bias and the transparency of decision-making processes. Additionally, there may be apprehension among employees about job security and the evolving nature of work. Addressing these concerns through clear communication, ethical guidelines and change management programmes is essential to ensure a smooth transition and maintain workforce morale (CIPD, 2020).</w:t>
      </w:r>
    </w:p>
    <w:p w14:paraId="5FE08C47" w14:textId="77777777" w:rsidR="00A1738D" w:rsidRPr="00F5710C" w:rsidRDefault="00A1738D" w:rsidP="00A1738D">
      <w:pPr>
        <w:rPr>
          <w:rFonts w:eastAsia="Arial" w:cstheme="minorHAnsi"/>
        </w:rPr>
      </w:pPr>
    </w:p>
    <w:p w14:paraId="0D305155" w14:textId="07EE347B" w:rsidR="0093300C" w:rsidRPr="00F5710C" w:rsidRDefault="00A1738D" w:rsidP="0093300C">
      <w:pPr>
        <w:rPr>
          <w:rFonts w:eastAsia="Arial" w:cstheme="minorHAnsi"/>
        </w:rPr>
      </w:pPr>
      <w:r w:rsidRPr="00A1738D">
        <w:rPr>
          <w:rFonts w:eastAsia="Arial" w:cstheme="minorHAnsi"/>
        </w:rPr>
        <w:t>In summary</w:t>
      </w:r>
      <w:r>
        <w:rPr>
          <w:rFonts w:eastAsia="Arial" w:cstheme="minorHAnsi"/>
          <w:b/>
          <w:bCs/>
        </w:rPr>
        <w:t xml:space="preserve"> </w:t>
      </w:r>
      <w:r w:rsidR="0093300C" w:rsidRPr="00F5710C">
        <w:rPr>
          <w:rFonts w:eastAsia="Arial" w:cstheme="minorHAnsi"/>
        </w:rPr>
        <w:t xml:space="preserve">AI holds considerable potential for use in </w:t>
      </w:r>
      <w:r>
        <w:rPr>
          <w:rFonts w:eastAsia="Arial" w:cstheme="minorHAnsi"/>
        </w:rPr>
        <w:t>OCC’s</w:t>
      </w:r>
      <w:r w:rsidR="0093300C" w:rsidRPr="00F5710C">
        <w:rPr>
          <w:rFonts w:eastAsia="Arial" w:cstheme="minorHAnsi"/>
        </w:rPr>
        <w:t>, offering extensive benefits in terms of enhanced customer interaction, workforce optimisation and quality assurance. Its impact on work is multifaceted: while Organisations must</w:t>
      </w:r>
      <w:r>
        <w:rPr>
          <w:rFonts w:eastAsia="Arial" w:cstheme="minorHAnsi"/>
        </w:rPr>
        <w:t xml:space="preserve"> </w:t>
      </w:r>
      <w:r w:rsidR="0093300C" w:rsidRPr="00F5710C">
        <w:rPr>
          <w:rFonts w:eastAsia="Arial" w:cstheme="minorHAnsi"/>
        </w:rPr>
        <w:t>balance technological innovation with strategic investment in employee development and robust ethical governance to fully capitalise on the benefits of AI in contact centres.</w:t>
      </w:r>
    </w:p>
    <w:p w14:paraId="508EC5BA" w14:textId="77777777" w:rsidR="009C1DD8" w:rsidRPr="00F5710C" w:rsidRDefault="009C1DD8">
      <w:pPr>
        <w:rPr>
          <w:rFonts w:cstheme="minorHAnsi"/>
        </w:rPr>
      </w:pPr>
    </w:p>
    <w:p w14:paraId="25608168" w14:textId="1A06058E" w:rsidR="009C1DD8" w:rsidRPr="00F5710C" w:rsidRDefault="00A1738D">
      <w:pPr>
        <w:rPr>
          <w:rFonts w:cstheme="minorHAnsi"/>
        </w:rPr>
      </w:pPr>
      <w:r>
        <w:rPr>
          <w:rFonts w:cstheme="minorHAnsi"/>
        </w:rPr>
        <w:t>Q</w:t>
      </w:r>
      <w:r w:rsidR="0012109B">
        <w:rPr>
          <w:rFonts w:cstheme="minorHAnsi"/>
        </w:rPr>
        <w:t>5</w:t>
      </w:r>
      <w:r>
        <w:rPr>
          <w:rFonts w:cstheme="minorHAnsi"/>
        </w:rPr>
        <w:t>, (AC</w:t>
      </w:r>
      <w:r w:rsidR="0012109B">
        <w:rPr>
          <w:rFonts w:cstheme="minorHAnsi"/>
        </w:rPr>
        <w:t xml:space="preserve"> 2.1</w:t>
      </w:r>
      <w:r>
        <w:rPr>
          <w:rFonts w:cstheme="minorHAnsi"/>
        </w:rPr>
        <w:t>)</w:t>
      </w:r>
    </w:p>
    <w:p w14:paraId="5226D7A1" w14:textId="3DFCBB46" w:rsidR="009C1DD8" w:rsidRDefault="009C1DD8">
      <w:pPr>
        <w:rPr>
          <w:rFonts w:cstheme="minorHAnsi"/>
        </w:rPr>
      </w:pPr>
      <w:r w:rsidRPr="00F5710C">
        <w:rPr>
          <w:rFonts w:cstheme="minorHAnsi"/>
        </w:rPr>
        <w:t>Handy theorises that there are 4 main types of organisational culture which shapes the way decisions are made and who is trusted with responsibility.</w:t>
      </w:r>
      <w:r w:rsidR="00290DEC" w:rsidRPr="00F5710C">
        <w:rPr>
          <w:rFonts w:cstheme="minorHAnsi"/>
        </w:rPr>
        <w:t xml:space="preserve">  </w:t>
      </w:r>
      <w:r w:rsidR="00081FEE" w:rsidRPr="00F5710C">
        <w:rPr>
          <w:rFonts w:cstheme="minorHAnsi"/>
        </w:rPr>
        <w:t>His book titled the Go</w:t>
      </w:r>
      <w:r w:rsidR="00350529" w:rsidRPr="00F5710C">
        <w:rPr>
          <w:rFonts w:cstheme="minorHAnsi"/>
        </w:rPr>
        <w:t>d’</w:t>
      </w:r>
      <w:r w:rsidR="00081FEE" w:rsidRPr="00F5710C">
        <w:rPr>
          <w:rFonts w:cstheme="minorHAnsi"/>
        </w:rPr>
        <w:t>s of Mana</w:t>
      </w:r>
      <w:r w:rsidR="00350529" w:rsidRPr="00F5710C">
        <w:rPr>
          <w:rFonts w:cstheme="minorHAnsi"/>
        </w:rPr>
        <w:t xml:space="preserve">gement likens each </w:t>
      </w:r>
      <w:r w:rsidR="006E30A5" w:rsidRPr="00F5710C">
        <w:rPr>
          <w:rFonts w:cstheme="minorHAnsi"/>
        </w:rPr>
        <w:t>cu</w:t>
      </w:r>
      <w:r w:rsidR="00110294" w:rsidRPr="00F5710C">
        <w:rPr>
          <w:rFonts w:cstheme="minorHAnsi"/>
        </w:rPr>
        <w:t>l</w:t>
      </w:r>
      <w:r w:rsidR="006E30A5" w:rsidRPr="00F5710C">
        <w:rPr>
          <w:rFonts w:cstheme="minorHAnsi"/>
        </w:rPr>
        <w:t>ture type to the Greek God</w:t>
      </w:r>
      <w:r w:rsidR="00110294" w:rsidRPr="00F5710C">
        <w:rPr>
          <w:rFonts w:cstheme="minorHAnsi"/>
        </w:rPr>
        <w:t>’</w:t>
      </w:r>
      <w:r w:rsidR="006E30A5" w:rsidRPr="00F5710C">
        <w:rPr>
          <w:rFonts w:cstheme="minorHAnsi"/>
        </w:rPr>
        <w:t>s</w:t>
      </w:r>
      <w:r w:rsidR="00D97AA3">
        <w:rPr>
          <w:rFonts w:cstheme="minorHAnsi"/>
        </w:rPr>
        <w:t>.</w:t>
      </w:r>
    </w:p>
    <w:p w14:paraId="2D92726A" w14:textId="77777777" w:rsidR="00D97AA3" w:rsidRPr="00F5710C" w:rsidRDefault="00D97AA3">
      <w:pPr>
        <w:rPr>
          <w:rFonts w:cstheme="minorHAnsi"/>
        </w:rPr>
      </w:pPr>
    </w:p>
    <w:p w14:paraId="7FE1E4F9" w14:textId="1D835A84" w:rsidR="00350F99" w:rsidRPr="00A1738D" w:rsidRDefault="00350F99" w:rsidP="00350F99">
      <w:pPr>
        <w:rPr>
          <w:rFonts w:cstheme="minorHAnsi"/>
        </w:rPr>
      </w:pPr>
      <w:r w:rsidRPr="00D97AA3">
        <w:rPr>
          <w:rFonts w:cstheme="minorHAnsi"/>
          <w:b/>
          <w:bCs/>
        </w:rPr>
        <w:t>The Power Culture</w:t>
      </w:r>
      <w:r w:rsidRPr="00A1738D">
        <w:rPr>
          <w:rFonts w:cstheme="minorHAnsi"/>
        </w:rPr>
        <w:t xml:space="preserve">: Rooted in the figure of Zeus, </w:t>
      </w:r>
      <w:r w:rsidR="00D97AA3">
        <w:rPr>
          <w:rFonts w:cstheme="minorHAnsi"/>
        </w:rPr>
        <w:t xml:space="preserve">it </w:t>
      </w:r>
      <w:r w:rsidRPr="00A1738D">
        <w:rPr>
          <w:rFonts w:cstheme="minorHAnsi"/>
        </w:rPr>
        <w:t xml:space="preserve">centres on concentrated, top-down authority and control. It often functions within a formal setting, driven by a fast-moving leader, typically an entrepreneurial figure, who aims for rapid outcomes. While </w:t>
      </w:r>
      <w:r w:rsidR="00D97AA3">
        <w:rPr>
          <w:rFonts w:cstheme="minorHAnsi"/>
        </w:rPr>
        <w:t xml:space="preserve">this </w:t>
      </w:r>
      <w:r w:rsidRPr="00A1738D">
        <w:rPr>
          <w:rFonts w:cstheme="minorHAnsi"/>
        </w:rPr>
        <w:t>structure can deliver results efficiently, it may make it difficult for employees to excel due to its high</w:t>
      </w:r>
      <w:r w:rsidR="00A1738D">
        <w:rPr>
          <w:rFonts w:cstheme="minorHAnsi"/>
        </w:rPr>
        <w:t xml:space="preserve"> demands</w:t>
      </w:r>
      <w:r w:rsidRPr="00A1738D">
        <w:rPr>
          <w:rFonts w:cstheme="minorHAnsi"/>
        </w:rPr>
        <w:t>. Leadership quality tends to be the key factor in determining success.</w:t>
      </w:r>
    </w:p>
    <w:p w14:paraId="181A214A" w14:textId="5BA17C13" w:rsidR="00350F99" w:rsidRPr="00A1738D" w:rsidRDefault="00350F99" w:rsidP="00350F99">
      <w:pPr>
        <w:rPr>
          <w:rFonts w:cstheme="minorHAnsi"/>
        </w:rPr>
      </w:pPr>
      <w:r w:rsidRPr="00D97AA3">
        <w:rPr>
          <w:rFonts w:cstheme="minorHAnsi"/>
          <w:b/>
          <w:bCs/>
        </w:rPr>
        <w:t>The Role Culture</w:t>
      </w:r>
      <w:r w:rsidRPr="00A1738D">
        <w:rPr>
          <w:rFonts w:cstheme="minorHAnsi"/>
        </w:rPr>
        <w:t xml:space="preserve">: Inspired by Apollo, </w:t>
      </w:r>
      <w:r w:rsidR="00D97AA3">
        <w:rPr>
          <w:rFonts w:cstheme="minorHAnsi"/>
        </w:rPr>
        <w:t>is</w:t>
      </w:r>
      <w:r w:rsidRPr="00A1738D">
        <w:rPr>
          <w:rFonts w:cstheme="minorHAnsi"/>
        </w:rPr>
        <w:t xml:space="preserve"> bureaucratic</w:t>
      </w:r>
      <w:r w:rsidR="00D97AA3">
        <w:rPr>
          <w:rFonts w:cstheme="minorHAnsi"/>
        </w:rPr>
        <w:t>. R</w:t>
      </w:r>
      <w:r w:rsidRPr="00A1738D">
        <w:rPr>
          <w:rFonts w:cstheme="minorHAnsi"/>
        </w:rPr>
        <w:t>elying on rigid processes, clearly defined responsibilities, and fixed authority. The predictability and stability it offers can help employees understand their duties, but this very structure may hinder the organisation’s ability to adapt to changes or innovate.</w:t>
      </w:r>
    </w:p>
    <w:p w14:paraId="3D7BDEE3" w14:textId="0A22893C" w:rsidR="00350F99" w:rsidRPr="00A1738D" w:rsidRDefault="00350F99" w:rsidP="00350F99">
      <w:pPr>
        <w:rPr>
          <w:rFonts w:cstheme="minorHAnsi"/>
        </w:rPr>
      </w:pPr>
      <w:r w:rsidRPr="00D97AA3">
        <w:rPr>
          <w:rFonts w:cstheme="minorHAnsi"/>
          <w:b/>
          <w:bCs/>
        </w:rPr>
        <w:t>The Task Culture</w:t>
      </w:r>
      <w:r w:rsidRPr="00A1738D">
        <w:rPr>
          <w:rFonts w:cstheme="minorHAnsi"/>
        </w:rPr>
        <w:t xml:space="preserve">: Drawing on Athena, </w:t>
      </w:r>
      <w:r w:rsidR="00D97AA3">
        <w:rPr>
          <w:rFonts w:cstheme="minorHAnsi"/>
        </w:rPr>
        <w:t>it</w:t>
      </w:r>
      <w:r w:rsidRPr="00A1738D">
        <w:rPr>
          <w:rFonts w:cstheme="minorHAnsi"/>
        </w:rPr>
        <w:t xml:space="preserve"> thrives on small, task-oriented teams focused on achieving outcomes, characterised by flexibility and a results-driven mindset. The culture encourages autonomy and creativity, fostering high levels of engagement among team members. However, its success depends on motivated employees who are open to collaboration and problem-solving.</w:t>
      </w:r>
    </w:p>
    <w:p w14:paraId="54227D7C" w14:textId="405CF2A4" w:rsidR="00350F99" w:rsidRDefault="00350F99" w:rsidP="00350F99">
      <w:pPr>
        <w:rPr>
          <w:rFonts w:cstheme="minorHAnsi"/>
        </w:rPr>
      </w:pPr>
      <w:r w:rsidRPr="00D97AA3">
        <w:rPr>
          <w:rFonts w:cstheme="minorHAnsi"/>
          <w:b/>
          <w:bCs/>
        </w:rPr>
        <w:t>The Person Culture</w:t>
      </w:r>
      <w:r w:rsidRPr="00A1738D">
        <w:rPr>
          <w:rFonts w:cstheme="minorHAnsi"/>
        </w:rPr>
        <w:t>: Based</w:t>
      </w:r>
      <w:r w:rsidRPr="00F5710C">
        <w:rPr>
          <w:rFonts w:cstheme="minorHAnsi"/>
        </w:rPr>
        <w:t xml:space="preserve"> on Dionysius, </w:t>
      </w:r>
      <w:r w:rsidR="00D97AA3">
        <w:rPr>
          <w:rFonts w:cstheme="minorHAnsi"/>
        </w:rPr>
        <w:t>it</w:t>
      </w:r>
      <w:r w:rsidRPr="00F5710C">
        <w:rPr>
          <w:rFonts w:cstheme="minorHAnsi"/>
        </w:rPr>
        <w:t>places great importance on the individual, with the aim of nurturing personal growth within the organisation. It prioritises values, focusing on meeting employees’ self-fulfilment needs and harnessing their unique abilities. However, as this culture depends on self-drive, it can be difficult to implement consistently within a business environment.</w:t>
      </w:r>
    </w:p>
    <w:p w14:paraId="53858755" w14:textId="77777777" w:rsidR="00A1738D" w:rsidRDefault="00A1738D" w:rsidP="00350F99">
      <w:pPr>
        <w:rPr>
          <w:rFonts w:cstheme="minorHAnsi"/>
        </w:rPr>
      </w:pPr>
    </w:p>
    <w:p w14:paraId="58A9EA3D" w14:textId="2577727E" w:rsidR="00D97AA3" w:rsidRPr="00D97AA3" w:rsidRDefault="00D97AA3" w:rsidP="00D97AA3">
      <w:pPr>
        <w:rPr>
          <w:rFonts w:cstheme="minorHAnsi"/>
        </w:rPr>
      </w:pPr>
      <w:r w:rsidRPr="00D97AA3">
        <w:rPr>
          <w:rFonts w:cstheme="minorHAnsi"/>
        </w:rPr>
        <w:t>David Rock’s SCARF theory is a brain-based model explaining how five social domains—Status, Certainty, Autonomy, Relatedness, and Fairness—affect behavior and cognition in the workplace</w:t>
      </w:r>
      <w:r>
        <w:rPr>
          <w:rFonts w:cstheme="minorHAnsi"/>
        </w:rPr>
        <w:t>.</w:t>
      </w:r>
    </w:p>
    <w:p w14:paraId="098C101D" w14:textId="41AAC0EA" w:rsidR="00D97AA3" w:rsidRDefault="00D97AA3" w:rsidP="00D97AA3">
      <w:pPr>
        <w:rPr>
          <w:rFonts w:cstheme="minorHAnsi"/>
        </w:rPr>
      </w:pPr>
      <w:r w:rsidRPr="00D97AA3">
        <w:rPr>
          <w:rFonts w:cstheme="minorHAnsi"/>
          <w:b/>
          <w:bCs/>
        </w:rPr>
        <w:t>Status</w:t>
      </w:r>
      <w:r w:rsidRPr="00D97AA3">
        <w:rPr>
          <w:rFonts w:cstheme="minorHAnsi"/>
        </w:rPr>
        <w:t> refers to one’s social standing; threats to status can trigger defensive reactions, while recognition boosts motivation. </w:t>
      </w:r>
      <w:r w:rsidRPr="00D97AA3">
        <w:rPr>
          <w:rFonts w:cstheme="minorHAnsi"/>
          <w:b/>
          <w:bCs/>
        </w:rPr>
        <w:t>Certainty</w:t>
      </w:r>
      <w:r w:rsidRPr="00D97AA3">
        <w:rPr>
          <w:rFonts w:cstheme="minorHAnsi"/>
        </w:rPr>
        <w:t> is the need for predictability; ambiguity can create anxiety, whereas clear communication fosters security</w:t>
      </w:r>
      <w:r>
        <w:rPr>
          <w:rFonts w:cstheme="minorHAnsi"/>
        </w:rPr>
        <w:t xml:space="preserve">. </w:t>
      </w:r>
      <w:r w:rsidRPr="00D97AA3">
        <w:rPr>
          <w:rFonts w:cstheme="minorHAnsi"/>
          <w:b/>
          <w:bCs/>
        </w:rPr>
        <w:t>Autonomy</w:t>
      </w:r>
      <w:r w:rsidRPr="00D97AA3">
        <w:rPr>
          <w:rFonts w:cstheme="minorHAnsi"/>
        </w:rPr>
        <w:t> involves control over one’s environment, with increased autonomy enhancing engagement and reduced control diminishing motivation. </w:t>
      </w:r>
      <w:r w:rsidRPr="00D97AA3">
        <w:rPr>
          <w:rFonts w:cstheme="minorHAnsi"/>
          <w:b/>
          <w:bCs/>
        </w:rPr>
        <w:t>Relatedness</w:t>
      </w:r>
      <w:r w:rsidRPr="00D97AA3">
        <w:rPr>
          <w:rFonts w:cstheme="minorHAnsi"/>
        </w:rPr>
        <w:t> emphasi</w:t>
      </w:r>
      <w:r>
        <w:rPr>
          <w:rFonts w:cstheme="minorHAnsi"/>
        </w:rPr>
        <w:t>s</w:t>
      </w:r>
      <w:r w:rsidRPr="00D97AA3">
        <w:rPr>
          <w:rFonts w:cstheme="minorHAnsi"/>
        </w:rPr>
        <w:t xml:space="preserve">es the importance of social connection; </w:t>
      </w:r>
      <w:r w:rsidRPr="00D97AA3">
        <w:rPr>
          <w:rFonts w:cstheme="minorHAnsi"/>
        </w:rPr>
        <w:lastRenderedPageBreak/>
        <w:t>positive interactions improve teamwork, while isolation can cause stress. </w:t>
      </w:r>
      <w:r w:rsidRPr="00D97AA3">
        <w:rPr>
          <w:rFonts w:cstheme="minorHAnsi"/>
          <w:b/>
          <w:bCs/>
        </w:rPr>
        <w:t>Fairness</w:t>
      </w:r>
      <w:r w:rsidRPr="00D97AA3">
        <w:rPr>
          <w:rFonts w:cstheme="minorHAnsi"/>
        </w:rPr>
        <w:t> pertains to the perception of just treatment, where inequity can provoke resentment, and fairness builds trust (Rock, 2008; Lieberman, 2013</w:t>
      </w:r>
      <w:r>
        <w:rPr>
          <w:rFonts w:cstheme="minorHAnsi"/>
        </w:rPr>
        <w:t>).</w:t>
      </w:r>
    </w:p>
    <w:p w14:paraId="4221B43F" w14:textId="77777777" w:rsidR="00D97AA3" w:rsidRPr="00D97AA3" w:rsidRDefault="00D97AA3" w:rsidP="00D97AA3">
      <w:pPr>
        <w:rPr>
          <w:rFonts w:cstheme="minorHAnsi"/>
        </w:rPr>
      </w:pPr>
    </w:p>
    <w:p w14:paraId="4DE37B5E" w14:textId="78D424F9" w:rsidR="00D97AA3" w:rsidRPr="00D97AA3" w:rsidRDefault="00D97AA3" w:rsidP="00D97AA3">
      <w:pPr>
        <w:rPr>
          <w:rFonts w:cstheme="minorHAnsi"/>
        </w:rPr>
      </w:pPr>
      <w:r>
        <w:rPr>
          <w:rFonts w:cstheme="minorHAnsi"/>
        </w:rPr>
        <w:t>U</w:t>
      </w:r>
      <w:r w:rsidRPr="00D97AA3">
        <w:rPr>
          <w:rFonts w:cstheme="minorHAnsi"/>
        </w:rPr>
        <w:t>nderstanding SCARF enables leaders to tailor feedback, manage change more effectively, and improve team dynamics. By addressing these domains, organi</w:t>
      </w:r>
      <w:r>
        <w:rPr>
          <w:rFonts w:cstheme="minorHAnsi"/>
        </w:rPr>
        <w:t>s</w:t>
      </w:r>
      <w:r w:rsidRPr="00D97AA3">
        <w:rPr>
          <w:rFonts w:cstheme="minorHAnsi"/>
        </w:rPr>
        <w:t>ations can minimi</w:t>
      </w:r>
      <w:r>
        <w:rPr>
          <w:rFonts w:cstheme="minorHAnsi"/>
        </w:rPr>
        <w:t>s</w:t>
      </w:r>
      <w:r w:rsidRPr="00D97AA3">
        <w:rPr>
          <w:rFonts w:cstheme="minorHAnsi"/>
        </w:rPr>
        <w:t>e stress responses and cultivate a work environment that promotes a reward-based mindset, ultimately enhancing individual performance and overall organi</w:t>
      </w:r>
      <w:r>
        <w:rPr>
          <w:rFonts w:cstheme="minorHAnsi"/>
        </w:rPr>
        <w:t>s</w:t>
      </w:r>
      <w:r w:rsidRPr="00D97AA3">
        <w:rPr>
          <w:rFonts w:cstheme="minorHAnsi"/>
        </w:rPr>
        <w:t>ational resilience.</w:t>
      </w:r>
    </w:p>
    <w:p w14:paraId="22A9D0F7" w14:textId="40E48951" w:rsidR="00A1738D" w:rsidRDefault="00A1738D" w:rsidP="00350F99">
      <w:pPr>
        <w:rPr>
          <w:rFonts w:cstheme="minorHAnsi"/>
        </w:rPr>
      </w:pPr>
    </w:p>
    <w:p w14:paraId="459F37D0" w14:textId="77777777" w:rsidR="0012109B" w:rsidRDefault="0012109B" w:rsidP="00350F99">
      <w:pPr>
        <w:rPr>
          <w:rFonts w:cstheme="minorHAnsi"/>
        </w:rPr>
      </w:pPr>
    </w:p>
    <w:p w14:paraId="3EB500C6" w14:textId="45E9749E" w:rsidR="0012109B" w:rsidRDefault="0012109B" w:rsidP="00350F99">
      <w:pPr>
        <w:rPr>
          <w:rFonts w:cstheme="minorHAnsi"/>
        </w:rPr>
      </w:pPr>
      <w:r>
        <w:rPr>
          <w:rFonts w:cstheme="minorHAnsi"/>
        </w:rPr>
        <w:t xml:space="preserve">Q6, (AC 2.2) </w:t>
      </w:r>
    </w:p>
    <w:p w14:paraId="470AB0C8" w14:textId="63EA71FA" w:rsidR="00D97AA3" w:rsidRPr="00D97AA3" w:rsidRDefault="00D97AA3" w:rsidP="00D97AA3">
      <w:pPr>
        <w:rPr>
          <w:rFonts w:cstheme="minorHAnsi"/>
        </w:rPr>
      </w:pPr>
      <w:r w:rsidRPr="00D97AA3">
        <w:rPr>
          <w:rFonts w:cstheme="minorHAnsi"/>
        </w:rPr>
        <w:t xml:space="preserve">Employee selection and employee development are critical human resource practices that significantly influence organisational culture and behaviour in </w:t>
      </w:r>
      <w:r>
        <w:rPr>
          <w:rFonts w:cstheme="minorHAnsi"/>
        </w:rPr>
        <w:t>OCC’s</w:t>
      </w:r>
      <w:r w:rsidRPr="00D97AA3">
        <w:rPr>
          <w:rFonts w:cstheme="minorHAnsi"/>
        </w:rPr>
        <w:t>. These centres operate in competitive environments where employees directly represent the client’s brand, making cultural alignment and behavioural consistency essential for delivering high-quality service.</w:t>
      </w:r>
    </w:p>
    <w:p w14:paraId="002CD109" w14:textId="23D8D287" w:rsidR="00D97AA3" w:rsidRPr="00D97AA3" w:rsidRDefault="00D97AA3" w:rsidP="00D97AA3">
      <w:pPr>
        <w:rPr>
          <w:rFonts w:cstheme="minorHAnsi"/>
        </w:rPr>
      </w:pPr>
      <w:r w:rsidRPr="00D97AA3">
        <w:rPr>
          <w:rFonts w:cstheme="minorHAnsi"/>
        </w:rPr>
        <w:br/>
        <w:t xml:space="preserve">Robust selection processes help ensure that candidates not only possess the necessary technical skills but also align with the core values and behavioural norms of the organisation. According to Chatman (1989) and O’Reilly et al. (1991), assessing cultural fit during selection is crucial. In the context of </w:t>
      </w:r>
      <w:r>
        <w:rPr>
          <w:rFonts w:cstheme="minorHAnsi"/>
        </w:rPr>
        <w:t xml:space="preserve">OCC’s </w:t>
      </w:r>
      <w:r w:rsidRPr="00D97AA3">
        <w:rPr>
          <w:rFonts w:cstheme="minorHAnsi"/>
        </w:rPr>
        <w:t>hiring individuals who share the client’s ethos fosters a cohesive culture, enhancing teamwork, customer orientation, and overall service quality. Conversely, ineffective selection practices may result in a workforce misaligned with organisational values, leading to inconsistent customer interactions, higher turnover, and a diminished reputation.</w:t>
      </w:r>
    </w:p>
    <w:p w14:paraId="525BFAB8" w14:textId="50113BBD" w:rsidR="00D97AA3" w:rsidRPr="00D97AA3" w:rsidRDefault="00D97AA3" w:rsidP="00D97AA3">
      <w:pPr>
        <w:rPr>
          <w:rFonts w:cstheme="minorHAnsi"/>
        </w:rPr>
      </w:pPr>
      <w:r w:rsidRPr="00D97AA3">
        <w:rPr>
          <w:rFonts w:cstheme="minorHAnsi"/>
        </w:rPr>
        <w:br/>
        <w:t>Employee development further reinforces organisational culture by providing continuous learning opportunities and career progression, which are vital in fast-paced, service-oriented environments. Noe et al. (2014) emphasi</w:t>
      </w:r>
      <w:r>
        <w:rPr>
          <w:rFonts w:cstheme="minorHAnsi"/>
        </w:rPr>
        <w:t>s</w:t>
      </w:r>
      <w:r w:rsidRPr="00D97AA3">
        <w:rPr>
          <w:rFonts w:cstheme="minorHAnsi"/>
        </w:rPr>
        <w:t>e that ongoing training, mentoring, and professional development initiatives not only upgrade technical competencies but also strengthen</w:t>
      </w:r>
      <w:r>
        <w:rPr>
          <w:rFonts w:cstheme="minorHAnsi"/>
        </w:rPr>
        <w:t>s and aligns</w:t>
      </w:r>
      <w:r w:rsidRPr="00D97AA3">
        <w:rPr>
          <w:rFonts w:cstheme="minorHAnsi"/>
        </w:rPr>
        <w:t xml:space="preserve"> behaviour</w:t>
      </w:r>
      <w:r>
        <w:rPr>
          <w:rFonts w:cstheme="minorHAnsi"/>
        </w:rPr>
        <w:t>s</w:t>
      </w:r>
      <w:r w:rsidRPr="00D97AA3">
        <w:rPr>
          <w:rFonts w:cstheme="minorHAnsi"/>
        </w:rPr>
        <w:t xml:space="preserve"> with the organisation’s cultur</w:t>
      </w:r>
      <w:r>
        <w:rPr>
          <w:rFonts w:cstheme="minorHAnsi"/>
        </w:rPr>
        <w:t>e</w:t>
      </w:r>
      <w:r w:rsidRPr="00D97AA3">
        <w:rPr>
          <w:rFonts w:cstheme="minorHAnsi"/>
        </w:rPr>
        <w:t xml:space="preserve">. In </w:t>
      </w:r>
      <w:r>
        <w:rPr>
          <w:rFonts w:cstheme="minorHAnsi"/>
        </w:rPr>
        <w:t>OCC’s</w:t>
      </w:r>
      <w:r w:rsidRPr="00D97AA3">
        <w:rPr>
          <w:rFonts w:cstheme="minorHAnsi"/>
        </w:rPr>
        <w:t>, regular development programmes contribute to a culture of excellence and adaptability. This leads to increased employee engagement and job satisfaction, ultimately improving service delivery and fostering long-term loyalty among both employees and customers.</w:t>
      </w:r>
    </w:p>
    <w:p w14:paraId="2DAE4461" w14:textId="23DCC0B7" w:rsidR="00D97AA3" w:rsidRPr="00D97AA3" w:rsidRDefault="00D97AA3" w:rsidP="00D97AA3">
      <w:pPr>
        <w:rPr>
          <w:rFonts w:cstheme="minorHAnsi"/>
        </w:rPr>
      </w:pPr>
      <w:r w:rsidRPr="00D97AA3">
        <w:rPr>
          <w:rFonts w:cstheme="minorHAnsi"/>
        </w:rPr>
        <w:br/>
        <w:t xml:space="preserve">In summary, effective employee selection establishes a strong cultural foundation, while comprehensive employee development continuously reinforces positive behaviours and values. Together, these practices enable </w:t>
      </w:r>
      <w:r>
        <w:rPr>
          <w:rFonts w:cstheme="minorHAnsi"/>
        </w:rPr>
        <w:t>OCC’s</w:t>
      </w:r>
      <w:r w:rsidRPr="00D97AA3">
        <w:rPr>
          <w:rFonts w:cstheme="minorHAnsi"/>
        </w:rPr>
        <w:t xml:space="preserve"> to maintain a high-performing, customer-focused culture that supports consistent and superior service delivery.</w:t>
      </w:r>
    </w:p>
    <w:p w14:paraId="73C577CC" w14:textId="77777777" w:rsidR="00D97AA3" w:rsidRPr="00F5710C" w:rsidRDefault="00D97AA3" w:rsidP="00350F99">
      <w:pPr>
        <w:rPr>
          <w:rFonts w:cstheme="minorHAnsi"/>
        </w:rPr>
      </w:pPr>
    </w:p>
    <w:p w14:paraId="6FC78EF6" w14:textId="77777777" w:rsidR="00A1738D" w:rsidRDefault="00A1738D" w:rsidP="00D86B92">
      <w:pPr>
        <w:rPr>
          <w:rFonts w:cstheme="minorHAnsi"/>
        </w:rPr>
      </w:pPr>
    </w:p>
    <w:p w14:paraId="082551B4" w14:textId="2371C218" w:rsidR="00653934" w:rsidRPr="00F5710C" w:rsidRDefault="00A1738D">
      <w:pPr>
        <w:rPr>
          <w:rFonts w:cstheme="minorHAnsi"/>
        </w:rPr>
      </w:pPr>
      <w:r>
        <w:rPr>
          <w:rFonts w:cstheme="minorHAnsi"/>
        </w:rPr>
        <w:t>Q7, (AC 2.1)</w:t>
      </w:r>
    </w:p>
    <w:p w14:paraId="32BC1859" w14:textId="7E86FF02" w:rsidR="00BA7ADA" w:rsidRPr="00F5710C" w:rsidRDefault="0082307F">
      <w:pPr>
        <w:rPr>
          <w:rFonts w:cstheme="minorHAnsi"/>
        </w:rPr>
      </w:pPr>
      <w:r w:rsidRPr="00F5710C">
        <w:rPr>
          <w:rFonts w:cstheme="minorHAnsi"/>
        </w:rPr>
        <w:t xml:space="preserve">Kotters model </w:t>
      </w:r>
      <w:r w:rsidR="0031412F" w:rsidRPr="00F5710C">
        <w:rPr>
          <w:rFonts w:cstheme="minorHAnsi"/>
        </w:rPr>
        <w:t>is a widely used framework for managing organisational change. It</w:t>
      </w:r>
      <w:r w:rsidR="001E595A" w:rsidRPr="00F5710C">
        <w:rPr>
          <w:rFonts w:cstheme="minorHAnsi"/>
        </w:rPr>
        <w:t xml:space="preserve"> is designed to guide organisations through the complexities of change and increase the likelihood of successful implementation by involving people, creating urgency, and maintaining momentum.</w:t>
      </w:r>
    </w:p>
    <w:p w14:paraId="6B8C5209" w14:textId="599D6579" w:rsidR="00BA7ADA" w:rsidRPr="00F5710C" w:rsidRDefault="00BA7ADA" w:rsidP="00402034">
      <w:pPr>
        <w:rPr>
          <w:rFonts w:cstheme="minorHAnsi"/>
        </w:rPr>
      </w:pPr>
      <w:r w:rsidRPr="00F5710C">
        <w:rPr>
          <w:rFonts w:cstheme="minorHAnsi"/>
        </w:rPr>
        <w:t>Create a Sense of Urgency</w:t>
      </w:r>
      <w:r w:rsidR="00A1738D">
        <w:rPr>
          <w:rFonts w:cstheme="minorHAnsi"/>
        </w:rPr>
        <w:t xml:space="preserve"> - h</w:t>
      </w:r>
      <w:r w:rsidRPr="00F5710C">
        <w:rPr>
          <w:rFonts w:cstheme="minorHAnsi"/>
        </w:rPr>
        <w:t>ighlight the business benefits of in-office collaboration (e.g., productivity, innovation, career growth).</w:t>
      </w:r>
      <w:r w:rsidR="00402034" w:rsidRPr="00F5710C">
        <w:rPr>
          <w:rFonts w:cstheme="minorHAnsi"/>
        </w:rPr>
        <w:t xml:space="preserve"> </w:t>
      </w:r>
      <w:r w:rsidRPr="00F5710C">
        <w:rPr>
          <w:rFonts w:cstheme="minorHAnsi"/>
        </w:rPr>
        <w:t xml:space="preserve">Use data (e.g., engagement surveys, performance </w:t>
      </w:r>
      <w:r w:rsidRPr="00F5710C">
        <w:rPr>
          <w:rFonts w:cstheme="minorHAnsi"/>
        </w:rPr>
        <w:lastRenderedPageBreak/>
        <w:t>metrics) to show why hybrid working is necessary.</w:t>
      </w:r>
      <w:r w:rsidR="00402034" w:rsidRPr="00F5710C">
        <w:rPr>
          <w:rFonts w:cstheme="minorHAnsi"/>
        </w:rPr>
        <w:t xml:space="preserve"> </w:t>
      </w:r>
      <w:r w:rsidRPr="00F5710C">
        <w:rPr>
          <w:rFonts w:cstheme="minorHAnsi"/>
        </w:rPr>
        <w:t>Address risks of staying fully remote, such as isolation, lack of visibility, and reduced team cohesion.</w:t>
      </w:r>
    </w:p>
    <w:p w14:paraId="2D1EDEED" w14:textId="649C2E91" w:rsidR="00BA7ADA" w:rsidRPr="00F5710C" w:rsidRDefault="00BA7ADA" w:rsidP="00D06A27">
      <w:pPr>
        <w:rPr>
          <w:rFonts w:cstheme="minorHAnsi"/>
        </w:rPr>
      </w:pPr>
      <w:r w:rsidRPr="00F5710C">
        <w:rPr>
          <w:rFonts w:cstheme="minorHAnsi"/>
        </w:rPr>
        <w:t>Build a Guiding Coalition</w:t>
      </w:r>
      <w:r w:rsidR="00A1738D">
        <w:rPr>
          <w:rFonts w:cstheme="minorHAnsi"/>
        </w:rPr>
        <w:t xml:space="preserve"> -f</w:t>
      </w:r>
      <w:r w:rsidRPr="00F5710C">
        <w:rPr>
          <w:rFonts w:cstheme="minorHAnsi"/>
        </w:rPr>
        <w:t>orm a team of influential leaders and employees to champion hybrid working.</w:t>
      </w:r>
      <w:r w:rsidR="00D06A27" w:rsidRPr="00F5710C">
        <w:rPr>
          <w:rFonts w:cstheme="minorHAnsi"/>
        </w:rPr>
        <w:t xml:space="preserve"> </w:t>
      </w:r>
      <w:r w:rsidRPr="00F5710C">
        <w:rPr>
          <w:rFonts w:cstheme="minorHAnsi"/>
        </w:rPr>
        <w:t>Get senior leaders, team managers, and well-respected colleagues to role model office attendance.</w:t>
      </w:r>
      <w:r w:rsidR="00A1738D">
        <w:rPr>
          <w:rFonts w:cstheme="minorHAnsi"/>
        </w:rPr>
        <w:t xml:space="preserve"> </w:t>
      </w:r>
      <w:r w:rsidRPr="00F5710C">
        <w:rPr>
          <w:rFonts w:cstheme="minorHAnsi"/>
        </w:rPr>
        <w:t>Identify and empower </w:t>
      </w:r>
      <w:r w:rsidR="00A1738D">
        <w:rPr>
          <w:rFonts w:cstheme="minorHAnsi"/>
        </w:rPr>
        <w:t>champions</w:t>
      </w:r>
      <w:r w:rsidRPr="00F5710C">
        <w:rPr>
          <w:rFonts w:cstheme="minorHAnsi"/>
        </w:rPr>
        <w:t> who can positively influence their peers.</w:t>
      </w:r>
    </w:p>
    <w:p w14:paraId="59C45766" w14:textId="2430685F" w:rsidR="00BA7ADA" w:rsidRPr="00F5710C" w:rsidRDefault="00BA7ADA" w:rsidP="00081D70">
      <w:pPr>
        <w:rPr>
          <w:rFonts w:cstheme="minorHAnsi"/>
        </w:rPr>
      </w:pPr>
      <w:r w:rsidRPr="00F5710C">
        <w:rPr>
          <w:rFonts w:cstheme="minorHAnsi"/>
        </w:rPr>
        <w:t>Develop a Vision and Strategy</w:t>
      </w:r>
      <w:r w:rsidR="00A1738D">
        <w:rPr>
          <w:rFonts w:cstheme="minorHAnsi"/>
        </w:rPr>
        <w:t xml:space="preserve"> - </w:t>
      </w:r>
      <w:r w:rsidRPr="00F5710C">
        <w:rPr>
          <w:rFonts w:cstheme="minorHAnsi"/>
        </w:rPr>
        <w:t>communicate the why behind hybrid working</w:t>
      </w:r>
      <w:r w:rsidR="00244F93" w:rsidRPr="00F5710C">
        <w:rPr>
          <w:rFonts w:cstheme="minorHAnsi"/>
        </w:rPr>
        <w:t xml:space="preserve"> </w:t>
      </w:r>
      <w:r w:rsidR="00D004B6" w:rsidRPr="00F5710C">
        <w:rPr>
          <w:rFonts w:cstheme="minorHAnsi"/>
        </w:rPr>
        <w:t xml:space="preserve">such as </w:t>
      </w:r>
      <w:r w:rsidR="00081D70" w:rsidRPr="00F5710C">
        <w:rPr>
          <w:rFonts w:cstheme="minorHAnsi"/>
        </w:rPr>
        <w:t>s</w:t>
      </w:r>
      <w:r w:rsidRPr="00F5710C">
        <w:rPr>
          <w:rFonts w:cstheme="minorHAnsi"/>
        </w:rPr>
        <w:t>tronger teams, better collaboration</w:t>
      </w:r>
      <w:r w:rsidR="00081D70" w:rsidRPr="00F5710C">
        <w:rPr>
          <w:rFonts w:cstheme="minorHAnsi"/>
        </w:rPr>
        <w:t xml:space="preserve"> etc</w:t>
      </w:r>
      <w:r w:rsidRPr="00F5710C">
        <w:rPr>
          <w:rFonts w:cstheme="minorHAnsi"/>
        </w:rPr>
        <w:t>.</w:t>
      </w:r>
      <w:r w:rsidR="000B5E5C" w:rsidRPr="00F5710C">
        <w:rPr>
          <w:rFonts w:cstheme="minorHAnsi"/>
        </w:rPr>
        <w:t xml:space="preserve"> </w:t>
      </w:r>
      <w:r w:rsidRPr="00F5710C">
        <w:rPr>
          <w:rFonts w:cstheme="minorHAnsi"/>
        </w:rPr>
        <w:t>Outline how it will work</w:t>
      </w:r>
      <w:r w:rsidR="00D004B6" w:rsidRPr="00F5710C">
        <w:rPr>
          <w:rFonts w:cstheme="minorHAnsi"/>
        </w:rPr>
        <w:t>;</w:t>
      </w:r>
      <w:r w:rsidR="00244F93" w:rsidRPr="00F5710C">
        <w:rPr>
          <w:rFonts w:cstheme="minorHAnsi"/>
        </w:rPr>
        <w:t xml:space="preserve"> f</w:t>
      </w:r>
      <w:r w:rsidRPr="00F5710C">
        <w:rPr>
          <w:rFonts w:cstheme="minorHAnsi"/>
        </w:rPr>
        <w:t>ixed vs. flexible office days, team-led decisions.</w:t>
      </w:r>
      <w:r w:rsidR="00081D70" w:rsidRPr="00F5710C">
        <w:rPr>
          <w:rFonts w:cstheme="minorHAnsi"/>
        </w:rPr>
        <w:t xml:space="preserve"> </w:t>
      </w:r>
      <w:r w:rsidRPr="00F5710C">
        <w:rPr>
          <w:rFonts w:cstheme="minorHAnsi"/>
        </w:rPr>
        <w:t xml:space="preserve">Show how this benefits employees </w:t>
      </w:r>
      <w:r w:rsidR="007F2877" w:rsidRPr="00F5710C">
        <w:rPr>
          <w:rFonts w:cstheme="minorHAnsi"/>
        </w:rPr>
        <w:t>personally through</w:t>
      </w:r>
      <w:r w:rsidR="00D004B6" w:rsidRPr="00F5710C">
        <w:rPr>
          <w:rFonts w:cstheme="minorHAnsi"/>
        </w:rPr>
        <w:t xml:space="preserve"> </w:t>
      </w:r>
      <w:r w:rsidRPr="00F5710C">
        <w:rPr>
          <w:rFonts w:cstheme="minorHAnsi"/>
        </w:rPr>
        <w:t>networking, development, better work-life balance</w:t>
      </w:r>
      <w:r w:rsidR="00244F93" w:rsidRPr="00F5710C">
        <w:rPr>
          <w:rFonts w:cstheme="minorHAnsi"/>
        </w:rPr>
        <w:t>.</w:t>
      </w:r>
    </w:p>
    <w:p w14:paraId="3295C345" w14:textId="08D1845A" w:rsidR="00BA7ADA" w:rsidRPr="00F5710C" w:rsidRDefault="00BA7ADA" w:rsidP="005C0631">
      <w:pPr>
        <w:rPr>
          <w:rFonts w:cstheme="minorHAnsi"/>
        </w:rPr>
      </w:pPr>
      <w:r w:rsidRPr="00F5710C">
        <w:rPr>
          <w:rFonts w:cstheme="minorHAnsi"/>
        </w:rPr>
        <w:t>Communicate the Vision</w:t>
      </w:r>
      <w:r w:rsidR="00A1738D">
        <w:rPr>
          <w:rFonts w:cstheme="minorHAnsi"/>
        </w:rPr>
        <w:t xml:space="preserve"> - u</w:t>
      </w:r>
      <w:r w:rsidRPr="00F5710C">
        <w:rPr>
          <w:rFonts w:cstheme="minorHAnsi"/>
        </w:rPr>
        <w:t xml:space="preserve">se multiple channels </w:t>
      </w:r>
      <w:r w:rsidR="0028119E" w:rsidRPr="00F5710C">
        <w:rPr>
          <w:rFonts w:cstheme="minorHAnsi"/>
        </w:rPr>
        <w:t xml:space="preserve">for </w:t>
      </w:r>
      <w:r w:rsidR="007F2877" w:rsidRPr="00F5710C">
        <w:rPr>
          <w:rFonts w:cstheme="minorHAnsi"/>
        </w:rPr>
        <w:t>instance</w:t>
      </w:r>
      <w:r w:rsidRPr="00F5710C">
        <w:rPr>
          <w:rFonts w:cstheme="minorHAnsi"/>
        </w:rPr>
        <w:t> </w:t>
      </w:r>
      <w:r w:rsidR="00567969" w:rsidRPr="00F5710C">
        <w:rPr>
          <w:rFonts w:cstheme="minorHAnsi"/>
        </w:rPr>
        <w:t>newsletters</w:t>
      </w:r>
      <w:r w:rsidRPr="00F5710C">
        <w:rPr>
          <w:rFonts w:cstheme="minorHAnsi"/>
        </w:rPr>
        <w:t>, emails, team meetings to reinforce the hybrid work message.</w:t>
      </w:r>
      <w:r w:rsidR="0028119E" w:rsidRPr="00F5710C">
        <w:rPr>
          <w:rFonts w:cstheme="minorHAnsi"/>
        </w:rPr>
        <w:t xml:space="preserve"> K</w:t>
      </w:r>
      <w:r w:rsidRPr="00F5710C">
        <w:rPr>
          <w:rFonts w:cstheme="minorHAnsi"/>
        </w:rPr>
        <w:t>eep it clear, consistent, and positive—focus on what employees gain rather than what they lose.</w:t>
      </w:r>
      <w:r w:rsidR="005C0631" w:rsidRPr="00F5710C">
        <w:rPr>
          <w:rFonts w:cstheme="minorHAnsi"/>
        </w:rPr>
        <w:t xml:space="preserve"> </w:t>
      </w:r>
      <w:r w:rsidRPr="00F5710C">
        <w:rPr>
          <w:rFonts w:cstheme="minorHAnsi"/>
        </w:rPr>
        <w:t>Address concerns directly, FAQs, testimonials, and success stories.</w:t>
      </w:r>
    </w:p>
    <w:p w14:paraId="64F9491F" w14:textId="535B8D2B" w:rsidR="00BA7ADA" w:rsidRPr="00F5710C" w:rsidRDefault="00BA7ADA" w:rsidP="005C0631">
      <w:pPr>
        <w:rPr>
          <w:rFonts w:cstheme="minorHAnsi"/>
        </w:rPr>
      </w:pPr>
      <w:r w:rsidRPr="00F5710C">
        <w:rPr>
          <w:rFonts w:cstheme="minorHAnsi"/>
        </w:rPr>
        <w:t>Empower Employees for Broad-Based Action</w:t>
      </w:r>
      <w:r w:rsidR="00A1738D">
        <w:rPr>
          <w:rFonts w:cstheme="minorHAnsi"/>
        </w:rPr>
        <w:t xml:space="preserve"> - r</w:t>
      </w:r>
      <w:r w:rsidRPr="00F5710C">
        <w:rPr>
          <w:rFonts w:cstheme="minorHAnsi"/>
        </w:rPr>
        <w:t xml:space="preserve">emove barriers: </w:t>
      </w:r>
      <w:r w:rsidR="00A1738D">
        <w:rPr>
          <w:rFonts w:cstheme="minorHAnsi"/>
        </w:rPr>
        <w:t>E</w:t>
      </w:r>
      <w:r w:rsidRPr="00F5710C">
        <w:rPr>
          <w:rFonts w:cstheme="minorHAnsi"/>
        </w:rPr>
        <w:t>nsure office tech, desks, meeting spaces, and commuting support are in place.</w:t>
      </w:r>
      <w:r w:rsidR="005C0631" w:rsidRPr="00F5710C">
        <w:rPr>
          <w:rFonts w:cstheme="minorHAnsi"/>
        </w:rPr>
        <w:t xml:space="preserve"> </w:t>
      </w:r>
      <w:r w:rsidRPr="00F5710C">
        <w:rPr>
          <w:rFonts w:cstheme="minorHAnsi"/>
        </w:rPr>
        <w:t>Provide autonomy: Allow teams some control over choosing their in-office days.</w:t>
      </w:r>
      <w:r w:rsidR="00A1738D">
        <w:rPr>
          <w:rFonts w:cstheme="minorHAnsi"/>
        </w:rPr>
        <w:t xml:space="preserve"> </w:t>
      </w:r>
      <w:r w:rsidRPr="00F5710C">
        <w:rPr>
          <w:rFonts w:cstheme="minorHAnsi"/>
        </w:rPr>
        <w:t>Encourage team discussions to make hybrid working feel like a shared decision rather than mandat</w:t>
      </w:r>
      <w:r w:rsidR="00831F8B" w:rsidRPr="00F5710C">
        <w:rPr>
          <w:rFonts w:cstheme="minorHAnsi"/>
        </w:rPr>
        <w:t>ory</w:t>
      </w:r>
      <w:r w:rsidRPr="00F5710C">
        <w:rPr>
          <w:rFonts w:cstheme="minorHAnsi"/>
        </w:rPr>
        <w:t>.</w:t>
      </w:r>
    </w:p>
    <w:p w14:paraId="494CDE81" w14:textId="28CD6236" w:rsidR="00BA7ADA" w:rsidRPr="00F5710C" w:rsidRDefault="00BA7ADA" w:rsidP="00831F8B">
      <w:pPr>
        <w:rPr>
          <w:rFonts w:cstheme="minorHAnsi"/>
        </w:rPr>
      </w:pPr>
      <w:r w:rsidRPr="00F5710C">
        <w:rPr>
          <w:rFonts w:cstheme="minorHAnsi"/>
        </w:rPr>
        <w:t>Generate Short-Term Wins</w:t>
      </w:r>
      <w:r w:rsidR="00A1738D">
        <w:rPr>
          <w:rFonts w:cstheme="minorHAnsi"/>
        </w:rPr>
        <w:t xml:space="preserve"> - c</w:t>
      </w:r>
      <w:r w:rsidRPr="00F5710C">
        <w:rPr>
          <w:rFonts w:cstheme="minorHAnsi"/>
        </w:rPr>
        <w:t>elebrate quick successes, such as increased team engagement or positive feedback.</w:t>
      </w:r>
      <w:r w:rsidR="00831F8B" w:rsidRPr="00F5710C">
        <w:rPr>
          <w:rFonts w:cstheme="minorHAnsi"/>
        </w:rPr>
        <w:t xml:space="preserve"> </w:t>
      </w:r>
      <w:r w:rsidRPr="00F5710C">
        <w:rPr>
          <w:rFonts w:cstheme="minorHAnsi"/>
        </w:rPr>
        <w:t>Offer small incentives </w:t>
      </w:r>
      <w:r w:rsidR="009E12D2" w:rsidRPr="00F5710C">
        <w:rPr>
          <w:rFonts w:cstheme="minorHAnsi"/>
        </w:rPr>
        <w:t xml:space="preserve">such as </w:t>
      </w:r>
      <w:r w:rsidRPr="00F5710C">
        <w:rPr>
          <w:rFonts w:cstheme="minorHAnsi"/>
        </w:rPr>
        <w:t xml:space="preserve">free </w:t>
      </w:r>
      <w:r w:rsidR="009E12D2" w:rsidRPr="00F5710C">
        <w:rPr>
          <w:rFonts w:cstheme="minorHAnsi"/>
        </w:rPr>
        <w:t>drinks/</w:t>
      </w:r>
      <w:r w:rsidRPr="00F5710C">
        <w:rPr>
          <w:rFonts w:cstheme="minorHAnsi"/>
        </w:rPr>
        <w:t>coffee, lunch</w:t>
      </w:r>
      <w:r w:rsidR="008B0671" w:rsidRPr="00F5710C">
        <w:rPr>
          <w:rFonts w:cstheme="minorHAnsi"/>
        </w:rPr>
        <w:t>/snacks</w:t>
      </w:r>
      <w:r w:rsidRPr="00F5710C">
        <w:rPr>
          <w:rFonts w:cstheme="minorHAnsi"/>
        </w:rPr>
        <w:t>, or team events on office days.</w:t>
      </w:r>
      <w:r w:rsidR="008B0671" w:rsidRPr="00F5710C">
        <w:rPr>
          <w:rFonts w:cstheme="minorHAnsi"/>
        </w:rPr>
        <w:t xml:space="preserve"> </w:t>
      </w:r>
      <w:r w:rsidRPr="00F5710C">
        <w:rPr>
          <w:rFonts w:cstheme="minorHAnsi"/>
        </w:rPr>
        <w:t>Share employee stories on how hybrid working has improved their experience.</w:t>
      </w:r>
    </w:p>
    <w:p w14:paraId="38507F14" w14:textId="237C5663" w:rsidR="00BA7ADA" w:rsidRPr="00F5710C" w:rsidRDefault="00BA7ADA" w:rsidP="009E12D2">
      <w:pPr>
        <w:rPr>
          <w:rFonts w:cstheme="minorHAnsi"/>
        </w:rPr>
      </w:pPr>
      <w:r w:rsidRPr="00F5710C">
        <w:rPr>
          <w:rFonts w:cstheme="minorHAnsi"/>
        </w:rPr>
        <w:t>Sustain Acceleration</w:t>
      </w:r>
      <w:r w:rsidR="00A1738D">
        <w:rPr>
          <w:rFonts w:cstheme="minorHAnsi"/>
        </w:rPr>
        <w:t xml:space="preserve"> –k</w:t>
      </w:r>
      <w:r w:rsidRPr="00F5710C">
        <w:rPr>
          <w:rFonts w:cstheme="minorHAnsi"/>
        </w:rPr>
        <w:t>eep tracking progress through surveys, check-ins, and data on office attendance.</w:t>
      </w:r>
      <w:r w:rsidR="009E12D2" w:rsidRPr="00F5710C">
        <w:rPr>
          <w:rFonts w:cstheme="minorHAnsi"/>
        </w:rPr>
        <w:t xml:space="preserve"> </w:t>
      </w:r>
      <w:r w:rsidRPr="00F5710C">
        <w:rPr>
          <w:rFonts w:cstheme="minorHAnsi"/>
        </w:rPr>
        <w:t>Adapt based on feedback—if something isn’t working, adjust the approach.</w:t>
      </w:r>
      <w:r w:rsidR="009E12D2" w:rsidRPr="00F5710C">
        <w:rPr>
          <w:rFonts w:cstheme="minorHAnsi"/>
        </w:rPr>
        <w:t xml:space="preserve"> </w:t>
      </w:r>
      <w:r w:rsidRPr="00F5710C">
        <w:rPr>
          <w:rFonts w:cstheme="minorHAnsi"/>
        </w:rPr>
        <w:t>Continue reinforcing the value of office collaboration through ongoing communication.</w:t>
      </w:r>
    </w:p>
    <w:p w14:paraId="1F421DA4" w14:textId="5D9823E4" w:rsidR="00BA7ADA" w:rsidRPr="00F5710C" w:rsidRDefault="00BA7ADA" w:rsidP="00B64E0F">
      <w:pPr>
        <w:rPr>
          <w:rFonts w:cstheme="minorHAnsi"/>
        </w:rPr>
      </w:pPr>
      <w:r w:rsidRPr="00F5710C">
        <w:rPr>
          <w:rFonts w:cstheme="minorHAnsi"/>
        </w:rPr>
        <w:t>Anchor the Changes in Culture</w:t>
      </w:r>
      <w:r w:rsidR="00A1738D">
        <w:rPr>
          <w:rFonts w:cstheme="minorHAnsi"/>
        </w:rPr>
        <w:t xml:space="preserve"> - m</w:t>
      </w:r>
      <w:r w:rsidRPr="00F5710C">
        <w:rPr>
          <w:rFonts w:cstheme="minorHAnsi"/>
        </w:rPr>
        <w:t>ake hybrid working a long-term norm, not a short-term experiment.</w:t>
      </w:r>
      <w:r w:rsidR="00B64E0F" w:rsidRPr="00F5710C">
        <w:rPr>
          <w:rFonts w:cstheme="minorHAnsi"/>
        </w:rPr>
        <w:t xml:space="preserve"> </w:t>
      </w:r>
      <w:r w:rsidRPr="00F5710C">
        <w:rPr>
          <w:rFonts w:cstheme="minorHAnsi"/>
        </w:rPr>
        <w:t>Integrate office collaboration into performance reviews, team goals, and career development.</w:t>
      </w:r>
      <w:r w:rsidR="00B64E0F" w:rsidRPr="00F5710C">
        <w:rPr>
          <w:rFonts w:cstheme="minorHAnsi"/>
        </w:rPr>
        <w:t xml:space="preserve"> </w:t>
      </w:r>
      <w:r w:rsidRPr="00F5710C">
        <w:rPr>
          <w:rFonts w:cstheme="minorHAnsi"/>
        </w:rPr>
        <w:t>Ensure leadership continues to lead by example, regularly working in the office themselves</w:t>
      </w:r>
      <w:r w:rsidR="00D97AA3">
        <w:rPr>
          <w:rFonts w:cstheme="minorHAnsi"/>
        </w:rPr>
        <w:t xml:space="preserve"> (Kotter, 2014).</w:t>
      </w:r>
    </w:p>
    <w:p w14:paraId="73400497" w14:textId="77777777" w:rsidR="00BA7ADA" w:rsidRPr="00F5710C" w:rsidRDefault="00BA7ADA">
      <w:pPr>
        <w:rPr>
          <w:rFonts w:cstheme="minorHAnsi"/>
        </w:rPr>
      </w:pPr>
    </w:p>
    <w:p w14:paraId="765F51E7" w14:textId="1C5D0169" w:rsidR="0059031C" w:rsidRPr="00F5710C" w:rsidRDefault="0012109B">
      <w:pPr>
        <w:rPr>
          <w:rFonts w:cstheme="minorHAnsi"/>
        </w:rPr>
      </w:pPr>
      <w:r>
        <w:rPr>
          <w:rFonts w:cstheme="minorHAnsi"/>
        </w:rPr>
        <w:t>Q</w:t>
      </w:r>
      <w:r w:rsidR="0059031C" w:rsidRPr="00F5710C">
        <w:rPr>
          <w:rFonts w:cstheme="minorHAnsi"/>
        </w:rPr>
        <w:t>8</w:t>
      </w:r>
      <w:r>
        <w:rPr>
          <w:rFonts w:cstheme="minorHAnsi"/>
        </w:rPr>
        <w:t>, (AC 2.4)</w:t>
      </w:r>
    </w:p>
    <w:p w14:paraId="772B3BED" w14:textId="77777777" w:rsidR="0059031C" w:rsidRPr="00F5710C" w:rsidRDefault="0059031C" w:rsidP="0059031C">
      <w:pPr>
        <w:rPr>
          <w:rFonts w:cstheme="minorHAnsi"/>
        </w:rPr>
      </w:pPr>
      <w:r w:rsidRPr="00F5710C">
        <w:rPr>
          <w:rFonts w:cstheme="minorHAnsi"/>
        </w:rPr>
        <w:t>The Kubler-Ross change curve provides a framework for understanding the emotional journey individuals experience when faced with significant change. Originally developed to describe the stages of grief (Kubler-Ross, 1969), the model has been adapted in organisational settings to help explain how employees emotionally react to change initiatives.</w:t>
      </w:r>
    </w:p>
    <w:p w14:paraId="2FC5233D" w14:textId="5F521905" w:rsidR="0059031C" w:rsidRPr="00F5710C" w:rsidRDefault="0059031C" w:rsidP="0059031C">
      <w:pPr>
        <w:rPr>
          <w:rFonts w:cstheme="minorHAnsi"/>
        </w:rPr>
      </w:pPr>
      <w:r w:rsidRPr="00F5710C">
        <w:rPr>
          <w:rFonts w:cstheme="minorHAnsi"/>
        </w:rPr>
        <w:t>Denial</w:t>
      </w:r>
      <w:r w:rsidR="00A1738D">
        <w:rPr>
          <w:rFonts w:cstheme="minorHAnsi"/>
        </w:rPr>
        <w:t xml:space="preserve"> -</w:t>
      </w:r>
      <w:r w:rsidRPr="00F5710C">
        <w:rPr>
          <w:rFonts w:cstheme="minorHAnsi"/>
        </w:rPr>
        <w:t>this might manifest as disbelief or a reluctance to acknowledge that change is necessary, as employees cling to familiar routines and practices. As the reality of the change becomes apparent, feelings of Anger can emerge. This stage is characterised by frustration and resistance, as employees may perceive the change as a threat to their job security or established working methods (Kotter, 1996).</w:t>
      </w:r>
      <w:r w:rsidR="00A1738D">
        <w:rPr>
          <w:rFonts w:cstheme="minorHAnsi"/>
        </w:rPr>
        <w:t xml:space="preserve"> The next phase is B</w:t>
      </w:r>
      <w:r w:rsidRPr="00F5710C">
        <w:rPr>
          <w:rFonts w:cstheme="minorHAnsi"/>
        </w:rPr>
        <w:t>argaining, where they attempt to negotiate or mitigate the impact of the change. In the workplace, this can involve seeking compromises or additional support, as employees try to retain some elements of the old ways. However, when these efforts do not resolve the underlying issues, a period of Depression may set in. This stage is marked by reduced motivation and a sense of loss, as employees struggle to cope with the disruption to their familiar environment (Carnall, 2007).</w:t>
      </w:r>
    </w:p>
    <w:p w14:paraId="38E5A5A4" w14:textId="77777777" w:rsidR="0059031C" w:rsidRPr="00F5710C" w:rsidRDefault="0059031C" w:rsidP="0059031C">
      <w:pPr>
        <w:rPr>
          <w:rFonts w:cstheme="minorHAnsi"/>
        </w:rPr>
      </w:pPr>
      <w:r w:rsidRPr="00F5710C">
        <w:rPr>
          <w:rFonts w:cstheme="minorHAnsi"/>
        </w:rPr>
        <w:lastRenderedPageBreak/>
        <w:t>Ultimately, with appropriate support and time, individuals tend to reach the Acceptance stage. Here, employees begin to integrate the new realities into their work lives, recognising opportunities for growth and adapting to the changes. Acceptance does not necessarily imply enthusiasm for the change, but rather a realistic understanding of its inevitability and a willingness to move forward.</w:t>
      </w:r>
    </w:p>
    <w:p w14:paraId="45F43FE8" w14:textId="77777777" w:rsidR="0059031C" w:rsidRPr="00F5710C" w:rsidRDefault="0059031C">
      <w:pPr>
        <w:rPr>
          <w:rFonts w:cstheme="minorHAnsi"/>
        </w:rPr>
      </w:pPr>
    </w:p>
    <w:p w14:paraId="39144A8E" w14:textId="6F326104" w:rsidR="00CF326F" w:rsidRPr="00F5710C" w:rsidRDefault="00805FF2" w:rsidP="00CF326F">
      <w:pPr>
        <w:rPr>
          <w:rFonts w:cstheme="minorHAnsi"/>
        </w:rPr>
      </w:pPr>
      <w:r>
        <w:rPr>
          <w:rFonts w:cstheme="minorHAnsi"/>
        </w:rPr>
        <w:t>Q9, (AC2.5)</w:t>
      </w:r>
    </w:p>
    <w:p w14:paraId="5A7CF915" w14:textId="77777777" w:rsidR="00CF326F" w:rsidRPr="00F5710C" w:rsidRDefault="00CF326F" w:rsidP="00CF326F">
      <w:pPr>
        <w:rPr>
          <w:rFonts w:cstheme="minorHAnsi"/>
        </w:rPr>
      </w:pPr>
      <w:r w:rsidRPr="00F5710C">
        <w:rPr>
          <w:rFonts w:cstheme="minorHAnsi"/>
        </w:rPr>
        <w:t>Employee wellbeing is integral to both individual and organisational performance. A positive state of wellbeing can lead to enhanced job satisfaction, reduced stress and absenteeism, and improved overall productivity. Research has consistently demonstrated that employees who feel supported in their physical, mental and emotional health are more engaged and motivated in their roles (CIPD, 2020). Furthermore, organisations that prioritise wellbeing tend to experience lower turnover rates, as a supportive work environment fosters loyalty and commitment.</w:t>
      </w:r>
    </w:p>
    <w:p w14:paraId="076C901F" w14:textId="77777777" w:rsidR="00CF326F" w:rsidRPr="00F5710C" w:rsidRDefault="00CF326F" w:rsidP="00CF326F">
      <w:pPr>
        <w:rPr>
          <w:rFonts w:cstheme="minorHAnsi"/>
        </w:rPr>
      </w:pPr>
      <w:r w:rsidRPr="00F5710C">
        <w:rPr>
          <w:rFonts w:cstheme="minorHAnsi"/>
        </w:rPr>
        <w:t>From a strategic perspective, investing in employee wellbeing is not merely a benevolent practice but a competitive necessity. Organisations with robust wellbeing programmes are better able to navigate periods of change and uncertainty, as resilient employees are more adaptable and better equipped to manage stress. Additionally, a focus on wellbeing contributes to a positive organisational culture, where trust, transparency and mutual support underpin everyday interactions. This, in turn, enhances the organisation’s reputation, making it a more attractive destination for top talent.</w:t>
      </w:r>
    </w:p>
    <w:p w14:paraId="27946D37" w14:textId="0D231E55" w:rsidR="00805FF2" w:rsidRDefault="00CF326F" w:rsidP="00805FF2">
      <w:pPr>
        <w:rPr>
          <w:rFonts w:cstheme="minorHAnsi"/>
        </w:rPr>
      </w:pPr>
      <w:r w:rsidRPr="00F5710C">
        <w:rPr>
          <w:rFonts w:cstheme="minorHAnsi"/>
        </w:rPr>
        <w:br/>
        <w:t>When employees have control over their work and the autonomy to make decisions, they are more likely to experience a sense of ownership and fulfilment in their roles. This empowerment can reduce stress and increase motivation, leading to higher levels of job satisfaction (Cooper and Cartwright, 1994</w:t>
      </w:r>
      <w:r w:rsidR="00F81980">
        <w:rPr>
          <w:rFonts w:cstheme="minorHAnsi"/>
        </w:rPr>
        <w:t>).</w:t>
      </w:r>
    </w:p>
    <w:p w14:paraId="16AB5415" w14:textId="0D4FE3A1" w:rsidR="00CF326F" w:rsidRPr="00F5710C" w:rsidRDefault="00CF326F" w:rsidP="00805FF2">
      <w:pPr>
        <w:rPr>
          <w:rFonts w:cstheme="minorHAnsi"/>
        </w:rPr>
      </w:pPr>
      <w:r w:rsidRPr="00F5710C">
        <w:rPr>
          <w:rFonts w:cstheme="minorHAnsi"/>
        </w:rPr>
        <w:t>Leadership that is empathetic and supportive plays a crucial role in fostering employee wellbeing. Managers who actively listen, provide constructive feedback and create opportunities for professional development contribute to a work atmosphere that values and supports its staff.</w:t>
      </w:r>
      <w:r w:rsidR="00805FF2">
        <w:rPr>
          <w:rFonts w:cstheme="minorHAnsi"/>
        </w:rPr>
        <w:t xml:space="preserve"> </w:t>
      </w:r>
      <w:r w:rsidRPr="00F5710C">
        <w:rPr>
          <w:rFonts w:cstheme="minorHAnsi"/>
        </w:rPr>
        <w:t xml:space="preserve"> </w:t>
      </w:r>
      <w:r w:rsidR="00805FF2">
        <w:rPr>
          <w:rFonts w:cstheme="minorHAnsi"/>
        </w:rPr>
        <w:t>S</w:t>
      </w:r>
      <w:r w:rsidRPr="00F5710C">
        <w:rPr>
          <w:rFonts w:cstheme="minorHAnsi"/>
        </w:rPr>
        <w:t>ocial support network</w:t>
      </w:r>
      <w:r w:rsidR="00805FF2">
        <w:rPr>
          <w:rFonts w:cstheme="minorHAnsi"/>
        </w:rPr>
        <w:t>s</w:t>
      </w:r>
      <w:r w:rsidRPr="00F5710C">
        <w:rPr>
          <w:rFonts w:cstheme="minorHAnsi"/>
        </w:rPr>
        <w:t xml:space="preserve"> </w:t>
      </w:r>
      <w:r w:rsidR="00805FF2">
        <w:rPr>
          <w:rFonts w:cstheme="minorHAnsi"/>
        </w:rPr>
        <w:t>can</w:t>
      </w:r>
      <w:r w:rsidRPr="00F5710C">
        <w:rPr>
          <w:rFonts w:cstheme="minorHAnsi"/>
        </w:rPr>
        <w:t xml:space="preserve"> mitigat</w:t>
      </w:r>
      <w:r w:rsidR="00805FF2">
        <w:rPr>
          <w:rFonts w:cstheme="minorHAnsi"/>
        </w:rPr>
        <w:t>e</w:t>
      </w:r>
      <w:r w:rsidRPr="00F5710C">
        <w:rPr>
          <w:rFonts w:cstheme="minorHAnsi"/>
        </w:rPr>
        <w:t xml:space="preserve"> the effects of workplace stress and promoting mental health (HSE, 2019).</w:t>
      </w:r>
      <w:r w:rsidR="00805FF2">
        <w:rPr>
          <w:rFonts w:cstheme="minorHAnsi"/>
        </w:rPr>
        <w:t xml:space="preserve">  </w:t>
      </w:r>
      <w:r w:rsidRPr="00F5710C">
        <w:rPr>
          <w:rFonts w:cstheme="minorHAnsi"/>
        </w:rPr>
        <w:t xml:space="preserve">Organisations that invest in employee development not only enhance the skills of their workforce but also contribute to a sense of purpose and progress among employees. </w:t>
      </w:r>
      <w:r w:rsidR="00805FF2">
        <w:rPr>
          <w:rFonts w:cstheme="minorHAnsi"/>
        </w:rPr>
        <w:t xml:space="preserve"> </w:t>
      </w:r>
      <w:r w:rsidRPr="00F5710C">
        <w:rPr>
          <w:rFonts w:cstheme="minorHAnsi"/>
        </w:rPr>
        <w:t xml:space="preserve">Good work practices recognise the importance of flexibility and encourage policies that allow </w:t>
      </w:r>
      <w:r w:rsidR="00805FF2">
        <w:rPr>
          <w:rFonts w:cstheme="minorHAnsi"/>
        </w:rPr>
        <w:t xml:space="preserve">a good work/life balance. </w:t>
      </w:r>
    </w:p>
    <w:p w14:paraId="5F927520" w14:textId="77777777" w:rsidR="00805FF2" w:rsidRDefault="00805FF2" w:rsidP="00CF326F">
      <w:pPr>
        <w:rPr>
          <w:rFonts w:cstheme="minorHAnsi"/>
          <w:b/>
          <w:bCs/>
        </w:rPr>
      </w:pPr>
    </w:p>
    <w:p w14:paraId="3E9A719A" w14:textId="28DA739F" w:rsidR="00CF326F" w:rsidRPr="00F5710C" w:rsidRDefault="00CF326F" w:rsidP="00CF326F">
      <w:pPr>
        <w:rPr>
          <w:rFonts w:cstheme="minorHAnsi"/>
        </w:rPr>
      </w:pPr>
      <w:r w:rsidRPr="00F5710C">
        <w:rPr>
          <w:rFonts w:cstheme="minorHAnsi"/>
        </w:rPr>
        <w:t xml:space="preserve">In summary, the importance of wellbeing at work cannot be overstated. Organisations that invest in the physical, mental and emotional health of their employees are likely to benefit from increased productivity, enhanced engagement, and lower turnover rates. Good work practices—characterised by enhanced job control, supportive leadership, development, work–life balance and safe working conditions—play a pivotal role in fostering employee wellbeing. </w:t>
      </w:r>
    </w:p>
    <w:p w14:paraId="4605037A" w14:textId="04BAB107" w:rsidR="00CF326F" w:rsidRPr="00F5710C" w:rsidRDefault="00CF326F" w:rsidP="00CF326F">
      <w:pPr>
        <w:rPr>
          <w:rFonts w:cstheme="minorHAnsi"/>
        </w:rPr>
      </w:pPr>
    </w:p>
    <w:p w14:paraId="49AF4A71" w14:textId="77777777" w:rsidR="0059031C" w:rsidRPr="00F5710C" w:rsidRDefault="0059031C">
      <w:pPr>
        <w:rPr>
          <w:rFonts w:cstheme="minorHAnsi"/>
        </w:rPr>
      </w:pPr>
    </w:p>
    <w:p w14:paraId="79A55015" w14:textId="648DE4AB" w:rsidR="00CB08EF" w:rsidRPr="00F5710C" w:rsidRDefault="00805FF2">
      <w:pPr>
        <w:rPr>
          <w:rFonts w:cstheme="minorHAnsi"/>
        </w:rPr>
      </w:pPr>
      <w:r>
        <w:rPr>
          <w:rFonts w:cstheme="minorHAnsi"/>
        </w:rPr>
        <w:t>Q</w:t>
      </w:r>
      <w:r w:rsidR="005763E7" w:rsidRPr="00F5710C">
        <w:rPr>
          <w:rFonts w:cstheme="minorHAnsi"/>
        </w:rPr>
        <w:t>10</w:t>
      </w:r>
      <w:r>
        <w:rPr>
          <w:rFonts w:cstheme="minorHAnsi"/>
        </w:rPr>
        <w:t>, (AC 3.1)</w:t>
      </w:r>
    </w:p>
    <w:p w14:paraId="0E8234C9" w14:textId="77777777" w:rsidR="00D97AA3" w:rsidRPr="00D97AA3" w:rsidRDefault="00D97AA3" w:rsidP="00D97AA3">
      <w:pPr>
        <w:rPr>
          <w:rFonts w:cstheme="minorHAnsi"/>
        </w:rPr>
      </w:pPr>
      <w:r w:rsidRPr="00D97AA3">
        <w:rPr>
          <w:rFonts w:cstheme="minorHAnsi"/>
        </w:rPr>
        <w:t xml:space="preserve">The employee lifecycle is a framework that outlines the stages an individual experiences within an organisation—from initial awareness to becoming a lifelong advocate—and </w:t>
      </w:r>
      <w:r w:rsidRPr="00D97AA3">
        <w:rPr>
          <w:rFonts w:cstheme="minorHAnsi"/>
        </w:rPr>
        <w:lastRenderedPageBreak/>
        <w:t>highlights the tailored people practices needed at each stage to meet both strategic and employee needs (CIPD, 2020).</w:t>
      </w:r>
    </w:p>
    <w:p w14:paraId="342FADE1" w14:textId="77777777" w:rsidR="00D97AA3" w:rsidRPr="00D97AA3" w:rsidRDefault="00D97AA3" w:rsidP="00D97AA3">
      <w:pPr>
        <w:rPr>
          <w:rFonts w:cstheme="minorHAnsi"/>
        </w:rPr>
      </w:pPr>
      <w:r w:rsidRPr="00D97AA3">
        <w:rPr>
          <w:rFonts w:cstheme="minorHAnsi"/>
          <w:b/>
          <w:bCs/>
        </w:rPr>
        <w:t>Attraction</w:t>
      </w:r>
      <w:r w:rsidRPr="00D97AA3">
        <w:rPr>
          <w:rFonts w:cstheme="minorHAnsi"/>
        </w:rPr>
        <w:br/>
        <w:t>At this stage, potential employees first become aware of the organisation. Effective employer branding, targeted social media content, and participation in industry events help create a compelling image that attracts high-calibre candidates (CIPD, 2020).</w:t>
      </w:r>
    </w:p>
    <w:p w14:paraId="242E66AF" w14:textId="77777777" w:rsidR="00D97AA3" w:rsidRPr="00D97AA3" w:rsidRDefault="00D97AA3" w:rsidP="00D97AA3">
      <w:pPr>
        <w:rPr>
          <w:rFonts w:cstheme="minorHAnsi"/>
        </w:rPr>
      </w:pPr>
      <w:r w:rsidRPr="00D97AA3">
        <w:rPr>
          <w:rFonts w:cstheme="minorHAnsi"/>
          <w:b/>
          <w:bCs/>
        </w:rPr>
        <w:t>Recruitment</w:t>
      </w:r>
      <w:r w:rsidRPr="00D97AA3">
        <w:rPr>
          <w:rFonts w:cstheme="minorHAnsi"/>
        </w:rPr>
        <w:br/>
        <w:t>Recruitment involves finding and hiring the right candidate. Organisations must ensure that the selection process is transparent, fair, and aligned with strategic objectives. This includes clear job descriptions, unbiased assessments, and data-driven recruitment practices that secure talent that fits well with the company culture (Boxall, Purcell &amp; Wright, 2007).</w:t>
      </w:r>
    </w:p>
    <w:p w14:paraId="2326082A" w14:textId="77777777" w:rsidR="00D97AA3" w:rsidRPr="00D97AA3" w:rsidRDefault="00D97AA3" w:rsidP="00D97AA3">
      <w:pPr>
        <w:rPr>
          <w:rFonts w:cstheme="minorHAnsi"/>
        </w:rPr>
      </w:pPr>
      <w:r w:rsidRPr="00D97AA3">
        <w:rPr>
          <w:rFonts w:cstheme="minorHAnsi"/>
          <w:b/>
          <w:bCs/>
        </w:rPr>
        <w:t>Onboarding</w:t>
      </w:r>
      <w:r w:rsidRPr="00D97AA3">
        <w:rPr>
          <w:rFonts w:cstheme="minorHAnsi"/>
        </w:rPr>
        <w:br/>
        <w:t>Onboarding is the process of integrating new hires into the organisation through formal induction, setting up access, and initial training. Structured induction programmes, early mentorship, and comprehensive orientation sessions are essential for helping employees understand their roles and the organisational culture, enabling them to contribute effectively from the outset (CIPD, 2020).</w:t>
      </w:r>
    </w:p>
    <w:p w14:paraId="0513FCC4" w14:textId="77777777" w:rsidR="00D97AA3" w:rsidRPr="00D97AA3" w:rsidRDefault="00D97AA3" w:rsidP="00D97AA3">
      <w:pPr>
        <w:rPr>
          <w:rFonts w:cstheme="minorHAnsi"/>
        </w:rPr>
      </w:pPr>
      <w:r w:rsidRPr="00D97AA3">
        <w:rPr>
          <w:rFonts w:cstheme="minorHAnsi"/>
          <w:b/>
          <w:bCs/>
        </w:rPr>
        <w:t>Development</w:t>
      </w:r>
      <w:r w:rsidRPr="00D97AA3">
        <w:rPr>
          <w:rFonts w:cstheme="minorHAnsi"/>
        </w:rPr>
        <w:br/>
        <w:t>The development stage focuses on expanding employees’ skills and capabilities. Continuous professional development through training courses, mentoring programmes, and performance management systems aligns individual career aspirations with organisational needs, fostering a culture of continuous improvement and innovation (Noe et al., 2014).</w:t>
      </w:r>
    </w:p>
    <w:p w14:paraId="6AD4A5F2" w14:textId="77777777" w:rsidR="00D97AA3" w:rsidRPr="00D97AA3" w:rsidRDefault="00D97AA3" w:rsidP="00D97AA3">
      <w:pPr>
        <w:rPr>
          <w:rFonts w:cstheme="minorHAnsi"/>
        </w:rPr>
      </w:pPr>
      <w:r w:rsidRPr="00D97AA3">
        <w:rPr>
          <w:rFonts w:cstheme="minorHAnsi"/>
          <w:b/>
          <w:bCs/>
        </w:rPr>
        <w:t>Retention</w:t>
      </w:r>
      <w:r w:rsidRPr="00D97AA3">
        <w:rPr>
          <w:rFonts w:cstheme="minorHAnsi"/>
        </w:rPr>
        <w:br/>
        <w:t>Retention strategies are designed to keep employees engaged and motivated over the long term. Effective retention practices include creating a supportive work environment, recognising achievements, offering competitive benefits, and providing clear career progression pathways. Regular engagement surveys and tailored development plans help reduce turnover and maintain a high-performing workforce (CIPD, 2020).</w:t>
      </w:r>
    </w:p>
    <w:p w14:paraId="7AEF1E56" w14:textId="77777777" w:rsidR="00D97AA3" w:rsidRPr="00D97AA3" w:rsidRDefault="00D97AA3" w:rsidP="00D97AA3">
      <w:pPr>
        <w:rPr>
          <w:rFonts w:cstheme="minorHAnsi"/>
        </w:rPr>
      </w:pPr>
      <w:r w:rsidRPr="00D97AA3">
        <w:rPr>
          <w:rFonts w:cstheme="minorHAnsi"/>
          <w:b/>
          <w:bCs/>
        </w:rPr>
        <w:t>Separation</w:t>
      </w:r>
      <w:r w:rsidRPr="00D97AA3">
        <w:rPr>
          <w:rFonts w:cstheme="minorHAnsi"/>
        </w:rPr>
        <w:br/>
        <w:t>Separation manages the departure of employees, whether voluntary or involuntary. A respectful offboarding process that includes exit interviews and knowledge transfer not only ensures a smooth transition but also safeguards the organisation’s reputation and provides valuable insights for future improvement (Boxall et al., 2007).</w:t>
      </w:r>
    </w:p>
    <w:p w14:paraId="426BB8F6" w14:textId="77777777" w:rsidR="00D97AA3" w:rsidRPr="00D97AA3" w:rsidRDefault="00D97AA3" w:rsidP="00D97AA3">
      <w:pPr>
        <w:rPr>
          <w:rFonts w:cstheme="minorHAnsi"/>
        </w:rPr>
      </w:pPr>
      <w:r w:rsidRPr="00D97AA3">
        <w:rPr>
          <w:rFonts w:cstheme="minorHAnsi"/>
          <w:b/>
          <w:bCs/>
        </w:rPr>
        <w:t>Advocacy</w:t>
      </w:r>
      <w:r w:rsidRPr="00D97AA3">
        <w:rPr>
          <w:rFonts w:cstheme="minorHAnsi"/>
        </w:rPr>
        <w:br/>
        <w:t>Finally, advocacy involves maintaining positive relationships with former employees, who can act as brand ambassadors, refer new talent, or return as rehires. Alumni networks and ongoing engagement help reinforce a positive employer brand (CIPD, 2020).</w:t>
      </w:r>
    </w:p>
    <w:p w14:paraId="39A3889D" w14:textId="77777777" w:rsidR="00D97AA3" w:rsidRPr="00D97AA3" w:rsidRDefault="00D97AA3" w:rsidP="00D97AA3">
      <w:pPr>
        <w:rPr>
          <w:rFonts w:cstheme="minorHAnsi"/>
        </w:rPr>
      </w:pPr>
      <w:r w:rsidRPr="00D97AA3">
        <w:rPr>
          <w:rFonts w:cstheme="minorHAnsi"/>
        </w:rPr>
        <w:t>By effectively managing the employee lifecycle—from Attraction to Advocacy—organisations can implement targeted people practices that enhance employee experience, support strategic goals, and contribute to long-term success in a competitive talent market.</w:t>
      </w:r>
    </w:p>
    <w:p w14:paraId="4B42117B" w14:textId="77777777" w:rsidR="005763E7" w:rsidRPr="00F5710C" w:rsidRDefault="005763E7">
      <w:pPr>
        <w:rPr>
          <w:rFonts w:cstheme="minorHAnsi"/>
        </w:rPr>
      </w:pPr>
    </w:p>
    <w:p w14:paraId="677D4314" w14:textId="77777777" w:rsidR="00694B33" w:rsidRPr="00F5710C" w:rsidRDefault="00694B33">
      <w:pPr>
        <w:rPr>
          <w:rFonts w:cstheme="minorHAnsi"/>
        </w:rPr>
      </w:pPr>
    </w:p>
    <w:p w14:paraId="071D9C57" w14:textId="245908A0" w:rsidR="00694B33" w:rsidRPr="00F5710C" w:rsidRDefault="00805FF2">
      <w:pPr>
        <w:rPr>
          <w:rFonts w:cstheme="minorHAnsi"/>
        </w:rPr>
      </w:pPr>
      <w:r>
        <w:rPr>
          <w:rFonts w:cstheme="minorHAnsi"/>
        </w:rPr>
        <w:t>Q</w:t>
      </w:r>
      <w:r w:rsidR="009A1138" w:rsidRPr="00F5710C">
        <w:rPr>
          <w:rFonts w:cstheme="minorHAnsi"/>
        </w:rPr>
        <w:t>11</w:t>
      </w:r>
      <w:r>
        <w:rPr>
          <w:rFonts w:cstheme="minorHAnsi"/>
        </w:rPr>
        <w:t>, (</w:t>
      </w:r>
      <w:r w:rsidR="00FE1706">
        <w:rPr>
          <w:rFonts w:cstheme="minorHAnsi"/>
        </w:rPr>
        <w:t>AC 3.2)</w:t>
      </w:r>
    </w:p>
    <w:p w14:paraId="5F52B00B" w14:textId="292D0181" w:rsidR="00694B33" w:rsidRPr="00F5710C" w:rsidRDefault="00FE1706" w:rsidP="00694B33">
      <w:pPr>
        <w:rPr>
          <w:rFonts w:cstheme="minorHAnsi"/>
        </w:rPr>
      </w:pPr>
      <w:r>
        <w:rPr>
          <w:rFonts w:cstheme="minorHAnsi"/>
        </w:rPr>
        <w:t>I</w:t>
      </w:r>
      <w:r w:rsidR="00694B33" w:rsidRPr="00F5710C">
        <w:rPr>
          <w:rFonts w:cstheme="minorHAnsi"/>
        </w:rPr>
        <w:t>n contemporary organi</w:t>
      </w:r>
      <w:r w:rsidR="00C857D2" w:rsidRPr="00F5710C">
        <w:rPr>
          <w:rFonts w:cstheme="minorHAnsi"/>
        </w:rPr>
        <w:t>s</w:t>
      </w:r>
      <w:r w:rsidR="00694B33" w:rsidRPr="00F5710C">
        <w:rPr>
          <w:rFonts w:cstheme="minorHAnsi"/>
        </w:rPr>
        <w:t>ations, effective people practices are crucial for aligning human resource functions with overarching business objectives. This alignment is achieved through both vertical and horizontal integration.</w:t>
      </w:r>
    </w:p>
    <w:p w14:paraId="6A5DA92F" w14:textId="77777777" w:rsidR="00D97AA3" w:rsidRDefault="00D97AA3" w:rsidP="00694B33">
      <w:pPr>
        <w:rPr>
          <w:rFonts w:cstheme="minorHAnsi"/>
          <w:b/>
          <w:bCs/>
        </w:rPr>
      </w:pPr>
    </w:p>
    <w:p w14:paraId="49D0FA4B" w14:textId="2859479C" w:rsidR="00694B33" w:rsidRPr="00F5710C" w:rsidRDefault="00634B8D" w:rsidP="00694B33">
      <w:pPr>
        <w:rPr>
          <w:rFonts w:cstheme="minorHAnsi"/>
        </w:rPr>
      </w:pPr>
      <w:r w:rsidRPr="00F5710C">
        <w:rPr>
          <w:rFonts w:cstheme="minorHAnsi"/>
        </w:rPr>
        <w:lastRenderedPageBreak/>
        <w:t xml:space="preserve">Vertical integration involves aligning people practices directly with the overall organisational strategy. </w:t>
      </w:r>
      <w:r w:rsidR="00694B33" w:rsidRPr="00F5710C">
        <w:rPr>
          <w:rFonts w:cstheme="minorHAnsi"/>
        </w:rPr>
        <w:t xml:space="preserve">This ensures that HR initiatives support and drive the business's mission and objectives. </w:t>
      </w:r>
      <w:r w:rsidR="000A6201" w:rsidRPr="00F5710C">
        <w:rPr>
          <w:rFonts w:cstheme="minorHAnsi"/>
        </w:rPr>
        <w:t>The CIPD emphasises that HR should be a strategic partner, ensuring that processes such as recruitment, performance management, and leadership development mirror the organisation’s core objectives and mission.</w:t>
      </w:r>
      <w:r w:rsidR="00CC0135" w:rsidRPr="00F5710C">
        <w:rPr>
          <w:rFonts w:cstheme="minorHAnsi"/>
        </w:rPr>
        <w:t xml:space="preserve"> </w:t>
      </w:r>
      <w:r w:rsidR="00694B33" w:rsidRPr="00F5710C">
        <w:rPr>
          <w:rFonts w:cstheme="minorHAnsi"/>
        </w:rPr>
        <w:t xml:space="preserve">For instance, if a company's strategy focuses on innovation, HR can facilitate this by implementing recruitment and development programs that attract and nurture creative talent. This alignment </w:t>
      </w:r>
      <w:r w:rsidR="007B142C" w:rsidRPr="00F5710C">
        <w:rPr>
          <w:rFonts w:cstheme="minorHAnsi"/>
        </w:rPr>
        <w:t>reinforces the organisation’s competitive edge and long-term goals</w:t>
      </w:r>
      <w:r w:rsidR="00694B33" w:rsidRPr="00F5710C">
        <w:rPr>
          <w:rFonts w:cstheme="minorHAnsi"/>
        </w:rPr>
        <w:t>. </w:t>
      </w:r>
      <w:r w:rsidR="000D655B" w:rsidRPr="00F5710C">
        <w:rPr>
          <w:rFonts w:cstheme="minorHAnsi"/>
        </w:rPr>
        <w:t xml:space="preserve"> </w:t>
      </w:r>
      <w:r w:rsidR="00B150FF" w:rsidRPr="00F5710C">
        <w:rPr>
          <w:rFonts w:cstheme="minorHAnsi"/>
        </w:rPr>
        <w:t>Budget</w:t>
      </w:r>
      <w:r w:rsidR="000D655B" w:rsidRPr="00F5710C">
        <w:rPr>
          <w:rFonts w:cstheme="minorHAnsi"/>
        </w:rPr>
        <w:t xml:space="preserve"> con</w:t>
      </w:r>
      <w:r w:rsidR="00B150FF" w:rsidRPr="00F5710C">
        <w:rPr>
          <w:rFonts w:cstheme="minorHAnsi"/>
        </w:rPr>
        <w:t>s</w:t>
      </w:r>
      <w:r w:rsidR="000D655B" w:rsidRPr="00F5710C">
        <w:rPr>
          <w:rFonts w:cstheme="minorHAnsi"/>
        </w:rPr>
        <w:t xml:space="preserve">traints </w:t>
      </w:r>
      <w:r w:rsidR="005D495A" w:rsidRPr="00F5710C">
        <w:rPr>
          <w:rFonts w:cstheme="minorHAnsi"/>
        </w:rPr>
        <w:t>may</w:t>
      </w:r>
      <w:r w:rsidR="000D655B" w:rsidRPr="00F5710C">
        <w:rPr>
          <w:rFonts w:cstheme="minorHAnsi"/>
        </w:rPr>
        <w:t xml:space="preserve"> impa</w:t>
      </w:r>
      <w:r w:rsidR="00B150FF" w:rsidRPr="00F5710C">
        <w:rPr>
          <w:rFonts w:cstheme="minorHAnsi"/>
        </w:rPr>
        <w:t xml:space="preserve">ct the organisation through </w:t>
      </w:r>
      <w:r w:rsidR="007F110E" w:rsidRPr="00F5710C">
        <w:rPr>
          <w:rFonts w:cstheme="minorHAnsi"/>
        </w:rPr>
        <w:t>impeding the ability to develop new initiatives</w:t>
      </w:r>
      <w:r w:rsidR="002A69BB" w:rsidRPr="00F5710C">
        <w:rPr>
          <w:rFonts w:cstheme="minorHAnsi"/>
        </w:rPr>
        <w:t xml:space="preserve">. For example, </w:t>
      </w:r>
      <w:r w:rsidR="007F110E" w:rsidRPr="00F5710C">
        <w:rPr>
          <w:rFonts w:cstheme="minorHAnsi"/>
        </w:rPr>
        <w:t>budget limitations can restrict investments in training and development, which are essential for aligning employee skills with organi</w:t>
      </w:r>
      <w:r w:rsidR="00DB0F65" w:rsidRPr="00F5710C">
        <w:rPr>
          <w:rFonts w:cstheme="minorHAnsi"/>
        </w:rPr>
        <w:t>s</w:t>
      </w:r>
      <w:r w:rsidR="007F110E" w:rsidRPr="00F5710C">
        <w:rPr>
          <w:rFonts w:cstheme="minorHAnsi"/>
        </w:rPr>
        <w:t>ational needs</w:t>
      </w:r>
      <w:r w:rsidR="00D97AA3">
        <w:rPr>
          <w:rFonts w:cstheme="minorHAnsi"/>
        </w:rPr>
        <w:t xml:space="preserve"> </w:t>
      </w:r>
      <w:r w:rsidR="00D97AA3" w:rsidRPr="00D97AA3">
        <w:rPr>
          <w:rFonts w:cstheme="minorHAnsi"/>
        </w:rPr>
        <w:t>(International Journal Corner, n.d.)</w:t>
      </w:r>
      <w:r w:rsidR="00D97AA3">
        <w:rPr>
          <w:rFonts w:cstheme="minorHAnsi"/>
        </w:rPr>
        <w:t>.</w:t>
      </w:r>
    </w:p>
    <w:p w14:paraId="711EF12D" w14:textId="0B7FF0A7" w:rsidR="00694B33" w:rsidRPr="00F5710C" w:rsidRDefault="00694B33" w:rsidP="00694B33">
      <w:pPr>
        <w:rPr>
          <w:rFonts w:cstheme="minorHAnsi"/>
        </w:rPr>
      </w:pPr>
    </w:p>
    <w:p w14:paraId="57BFF1B6" w14:textId="2F592BF4" w:rsidR="00694B33" w:rsidRPr="00F5710C" w:rsidRDefault="00D97AA3" w:rsidP="00694B33">
      <w:pPr>
        <w:rPr>
          <w:rFonts w:cstheme="minorHAnsi"/>
        </w:rPr>
      </w:pPr>
      <w:r>
        <w:rPr>
          <w:rFonts w:cstheme="minorHAnsi"/>
        </w:rPr>
        <w:t>H</w:t>
      </w:r>
      <w:r w:rsidR="00694B33" w:rsidRPr="00F5710C">
        <w:rPr>
          <w:rFonts w:cstheme="minorHAnsi"/>
        </w:rPr>
        <w:t>orizontal integration refers to the</w:t>
      </w:r>
      <w:r w:rsidR="005F0402" w:rsidRPr="00F5710C">
        <w:rPr>
          <w:rFonts w:cstheme="minorHAnsi"/>
        </w:rPr>
        <w:t xml:space="preserve"> collaboration</w:t>
      </w:r>
      <w:r w:rsidR="00694B33" w:rsidRPr="00F5710C">
        <w:rPr>
          <w:rFonts w:cstheme="minorHAnsi"/>
        </w:rPr>
        <w:t xml:space="preserve"> of various HR practices across different functions within the organi</w:t>
      </w:r>
      <w:r w:rsidR="00293CE3" w:rsidRPr="00F5710C">
        <w:rPr>
          <w:rFonts w:cstheme="minorHAnsi"/>
        </w:rPr>
        <w:t>s</w:t>
      </w:r>
      <w:r w:rsidR="00694B33" w:rsidRPr="00F5710C">
        <w:rPr>
          <w:rFonts w:cstheme="minorHAnsi"/>
        </w:rPr>
        <w:t xml:space="preserve">ation. It ensures consistency among HR activities such as recruitment, training, performance management, and compensation. For example, recruitment policies should align with training and development programs to ensure that new hires receive appropriate onboarding and skill enhancement opportunities. </w:t>
      </w:r>
      <w:r w:rsidR="00BD14D4" w:rsidRPr="00F5710C">
        <w:rPr>
          <w:rFonts w:cstheme="minorHAnsi"/>
        </w:rPr>
        <w:t xml:space="preserve">In addition </w:t>
      </w:r>
      <w:r w:rsidR="00FE1706">
        <w:rPr>
          <w:rFonts w:cstheme="minorHAnsi"/>
        </w:rPr>
        <w:t>to</w:t>
      </w:r>
      <w:r w:rsidR="00BD14D4" w:rsidRPr="00F5710C">
        <w:rPr>
          <w:rFonts w:cstheme="minorHAnsi"/>
        </w:rPr>
        <w:t xml:space="preserve"> this </w:t>
      </w:r>
      <w:r w:rsidR="007C0CFF" w:rsidRPr="00F5710C">
        <w:rPr>
          <w:rFonts w:cstheme="minorHAnsi"/>
        </w:rPr>
        <w:t xml:space="preserve">employee engagement, learning and development, diversity, and well-being – are integrated across the board, they create a unified and consistent employee experience. </w:t>
      </w:r>
      <w:r w:rsidR="00694B33" w:rsidRPr="00F5710C">
        <w:rPr>
          <w:rFonts w:cstheme="minorHAnsi"/>
        </w:rPr>
        <w:t>This cohesive approach ensures that all HR practices work together to support the organi</w:t>
      </w:r>
      <w:r w:rsidR="00293CE3" w:rsidRPr="00F5710C">
        <w:rPr>
          <w:rFonts w:cstheme="minorHAnsi"/>
        </w:rPr>
        <w:t>s</w:t>
      </w:r>
      <w:r w:rsidR="00694B33" w:rsidRPr="00F5710C">
        <w:rPr>
          <w:rFonts w:cstheme="minorHAnsi"/>
        </w:rPr>
        <w:t>ation's people strategy. </w:t>
      </w:r>
      <w:r w:rsidR="00A369BD" w:rsidRPr="00F5710C">
        <w:rPr>
          <w:rFonts w:cstheme="minorHAnsi"/>
        </w:rPr>
        <w:t>Resource constraints can disrupt this coherence by limiting the ability to standardi</w:t>
      </w:r>
      <w:r w:rsidR="009C491F" w:rsidRPr="00F5710C">
        <w:rPr>
          <w:rFonts w:cstheme="minorHAnsi"/>
        </w:rPr>
        <w:t>s</w:t>
      </w:r>
      <w:r w:rsidR="00A369BD" w:rsidRPr="00F5710C">
        <w:rPr>
          <w:rFonts w:cstheme="minorHAnsi"/>
        </w:rPr>
        <w:t>e HR processes, leading to inconsistencies in recruitment, performance management, and employee development. For instance, inadequate staffing may result in uneven application of performance appraisal systems, affecting employee morale and engagement</w:t>
      </w:r>
      <w:r>
        <w:rPr>
          <w:rFonts w:cstheme="minorHAnsi"/>
        </w:rPr>
        <w:t xml:space="preserve"> </w:t>
      </w:r>
      <w:r w:rsidRPr="00D97AA3">
        <w:rPr>
          <w:rFonts w:cstheme="minorHAnsi"/>
        </w:rPr>
        <w:t>(Practicus, n.d.)</w:t>
      </w:r>
      <w:r>
        <w:rPr>
          <w:rFonts w:cstheme="minorHAnsi"/>
        </w:rPr>
        <w:t>.</w:t>
      </w:r>
    </w:p>
    <w:p w14:paraId="387F32BB" w14:textId="77777777" w:rsidR="00D97AA3" w:rsidRDefault="00D97AA3" w:rsidP="009164EC">
      <w:pPr>
        <w:rPr>
          <w:rFonts w:cstheme="minorHAnsi"/>
        </w:rPr>
      </w:pPr>
    </w:p>
    <w:p w14:paraId="45F5DEC9" w14:textId="7F7B4E7E" w:rsidR="009164EC" w:rsidRPr="00F5710C" w:rsidRDefault="009164EC" w:rsidP="009164EC">
      <w:pPr>
        <w:rPr>
          <w:rFonts w:cstheme="minorHAnsi"/>
        </w:rPr>
      </w:pPr>
      <w:r w:rsidRPr="00F5710C">
        <w:rPr>
          <w:rFonts w:cstheme="minorHAnsi"/>
        </w:rPr>
        <w:t>In summary, vertical integration ensures that people practices are directly linked to and support the broader organisational strategy, thereby driving overall business performance. Horizontal integration, meanwhile, creates a seamless and coordinated approach to managing people, ensuring that all HR initiatives work together to foster a positive and effective work environment. Both integration approaches are essential for organisations aiming to align their human resource management with strategic objectives while also addressing the wider needs of their employees.</w:t>
      </w:r>
    </w:p>
    <w:p w14:paraId="3740A48F" w14:textId="77777777" w:rsidR="009164EC" w:rsidRPr="00F5710C" w:rsidRDefault="009164EC" w:rsidP="00694B33">
      <w:pPr>
        <w:rPr>
          <w:rFonts w:cstheme="minorHAnsi"/>
        </w:rPr>
      </w:pPr>
    </w:p>
    <w:p w14:paraId="1CDA512E" w14:textId="77777777" w:rsidR="00694B33" w:rsidRPr="00F5710C" w:rsidRDefault="00694B33">
      <w:pPr>
        <w:rPr>
          <w:rFonts w:cstheme="minorHAnsi"/>
        </w:rPr>
      </w:pPr>
    </w:p>
    <w:p w14:paraId="0B302D43" w14:textId="0460E06F" w:rsidR="009A1138" w:rsidRPr="00F5710C" w:rsidRDefault="00FE1706">
      <w:pPr>
        <w:rPr>
          <w:rFonts w:cstheme="minorHAnsi"/>
        </w:rPr>
      </w:pPr>
      <w:r>
        <w:rPr>
          <w:rFonts w:cstheme="minorHAnsi"/>
        </w:rPr>
        <w:t>Q</w:t>
      </w:r>
      <w:r w:rsidR="009A1138" w:rsidRPr="00F5710C">
        <w:rPr>
          <w:rFonts w:cstheme="minorHAnsi"/>
        </w:rPr>
        <w:t>12</w:t>
      </w:r>
      <w:r>
        <w:rPr>
          <w:rFonts w:cstheme="minorHAnsi"/>
        </w:rPr>
        <w:t>, (AC 3.3)</w:t>
      </w:r>
    </w:p>
    <w:p w14:paraId="1F08E6D7" w14:textId="41E0B07E" w:rsidR="00D97AA3" w:rsidRPr="00D97AA3" w:rsidRDefault="00D97AA3" w:rsidP="00D97AA3">
      <w:pPr>
        <w:rPr>
          <w:rFonts w:cstheme="minorHAnsi"/>
        </w:rPr>
      </w:pPr>
      <w:r w:rsidRPr="00D97AA3">
        <w:rPr>
          <w:rFonts w:cstheme="minorHAnsi"/>
        </w:rPr>
        <w:t>Moving from a five-day to a four-day working week requires careful consultation with managers and employees to ensure the change aligns with both their needs and the organisation’s objectives. Structured processes can facilitate this transition effectively.</w:t>
      </w:r>
      <w:r>
        <w:rPr>
          <w:rFonts w:cstheme="minorHAnsi"/>
        </w:rPr>
        <w:t xml:space="preserve"> Creating a better work/life balance through flexible working options and better training for managers to help support their teams in managing their workloads effectively</w:t>
      </w:r>
      <w:sdt>
        <w:sdtPr>
          <w:rPr>
            <w:rFonts w:cstheme="minorHAnsi"/>
          </w:rPr>
          <w:id w:val="594216312"/>
          <w:citation/>
        </w:sdtPr>
        <w:sdtEndPr/>
        <w:sdtContent>
          <w:r>
            <w:rPr>
              <w:rFonts w:cstheme="minorHAnsi"/>
            </w:rPr>
            <w:fldChar w:fldCharType="begin"/>
          </w:r>
          <w:r>
            <w:rPr>
              <w:rFonts w:cstheme="minorHAnsi"/>
            </w:rPr>
            <w:instrText xml:space="preserve"> CITATION Isa25 \l 2057 </w:instrText>
          </w:r>
          <w:r>
            <w:rPr>
              <w:rFonts w:cstheme="minorHAnsi"/>
            </w:rPr>
            <w:fldChar w:fldCharType="separate"/>
          </w:r>
          <w:r>
            <w:rPr>
              <w:rFonts w:cstheme="minorHAnsi"/>
              <w:noProof/>
            </w:rPr>
            <w:t xml:space="preserve"> </w:t>
          </w:r>
          <w:r w:rsidRPr="00D97AA3">
            <w:rPr>
              <w:rFonts w:cstheme="minorHAnsi"/>
              <w:noProof/>
            </w:rPr>
            <w:t>(Jackson, 2025)</w:t>
          </w:r>
          <w:r>
            <w:rPr>
              <w:rFonts w:cstheme="minorHAnsi"/>
            </w:rPr>
            <w:fldChar w:fldCharType="end"/>
          </w:r>
        </w:sdtContent>
      </w:sdt>
      <w:r>
        <w:rPr>
          <w:rFonts w:cstheme="minorHAnsi"/>
        </w:rPr>
        <w:t>.</w:t>
      </w:r>
    </w:p>
    <w:p w14:paraId="1745B618" w14:textId="77777777" w:rsidR="00D97AA3" w:rsidRDefault="00D97AA3" w:rsidP="00D97AA3">
      <w:pPr>
        <w:rPr>
          <w:rFonts w:cstheme="minorHAnsi"/>
          <w:b/>
          <w:bCs/>
        </w:rPr>
      </w:pPr>
    </w:p>
    <w:p w14:paraId="338C8545" w14:textId="262BBE0F" w:rsidR="00D97AA3" w:rsidRPr="00D97AA3" w:rsidRDefault="00D97AA3" w:rsidP="00D97AA3">
      <w:pPr>
        <w:rPr>
          <w:rFonts w:cstheme="minorHAnsi"/>
        </w:rPr>
      </w:pPr>
      <w:r w:rsidRPr="00D97AA3">
        <w:rPr>
          <w:rFonts w:cstheme="minorHAnsi"/>
          <w:b/>
          <w:bCs/>
        </w:rPr>
        <w:t>Surveys and Focus Groups</w:t>
      </w:r>
      <w:r w:rsidRPr="00D97AA3">
        <w:rPr>
          <w:rFonts w:cstheme="minorHAnsi"/>
        </w:rPr>
        <w:br/>
        <w:t xml:space="preserve">Begin by gathering insights from managers and employees </w:t>
      </w:r>
      <w:r>
        <w:rPr>
          <w:rFonts w:cstheme="minorHAnsi"/>
        </w:rPr>
        <w:t xml:space="preserve"> </w:t>
      </w:r>
      <w:r w:rsidRPr="00D97AA3">
        <w:rPr>
          <w:rFonts w:cstheme="minorHAnsi"/>
        </w:rPr>
        <w:t>Early involvement helps the people function understand expectations and concerns, ensuring that the change meets both employee needs and business goals</w:t>
      </w:r>
      <w:r>
        <w:rPr>
          <w:rFonts w:cstheme="minorHAnsi"/>
        </w:rPr>
        <w:t>.</w:t>
      </w:r>
    </w:p>
    <w:p w14:paraId="30E186A1" w14:textId="506E3E21" w:rsidR="00D97AA3" w:rsidRPr="00D97AA3" w:rsidRDefault="00D97AA3" w:rsidP="00D97AA3">
      <w:pPr>
        <w:rPr>
          <w:rFonts w:cstheme="minorHAnsi"/>
        </w:rPr>
      </w:pPr>
      <w:r w:rsidRPr="00D97AA3">
        <w:rPr>
          <w:rFonts w:cstheme="minorHAnsi"/>
          <w:b/>
          <w:bCs/>
        </w:rPr>
        <w:lastRenderedPageBreak/>
        <w:t>Workshops and Information Sessions</w:t>
      </w:r>
      <w:r w:rsidRPr="00D97AA3">
        <w:rPr>
          <w:rFonts w:cstheme="minorHAnsi"/>
        </w:rPr>
        <w:br/>
        <w:t>Organise workshops and information sessions to educate all stakeholders on the benefits and challenges of a four-day week. Transparent communication during these sessions fosters trust and encourages open dialogue</w:t>
      </w:r>
      <w:r>
        <w:rPr>
          <w:rFonts w:cstheme="minorHAnsi"/>
        </w:rPr>
        <w:t>.</w:t>
      </w:r>
    </w:p>
    <w:p w14:paraId="56F68ACE" w14:textId="77777777" w:rsidR="00D97AA3" w:rsidRPr="00D97AA3" w:rsidRDefault="00D97AA3" w:rsidP="00D97AA3">
      <w:pPr>
        <w:rPr>
          <w:rFonts w:cstheme="minorHAnsi"/>
        </w:rPr>
      </w:pPr>
      <w:r w:rsidRPr="00D97AA3">
        <w:rPr>
          <w:rFonts w:cstheme="minorHAnsi"/>
          <w:b/>
          <w:bCs/>
        </w:rPr>
        <w:t>Pilot Programs</w:t>
      </w:r>
      <w:r w:rsidRPr="00D97AA3">
        <w:rPr>
          <w:rFonts w:cstheme="minorHAnsi"/>
        </w:rPr>
        <w:br/>
        <w:t>Implement pilot programs to test the four-day working week on a smaller scale. This approach allows the organisation to evaluate impacts on productivity, employee satisfaction, and operational efficiency. Involving employees in the design and planning of these pilots can lead to better outcomes and higher acceptance (4 Day Week, n.d.).</w:t>
      </w:r>
    </w:p>
    <w:p w14:paraId="4B37E324" w14:textId="58CC7B93" w:rsidR="00D97AA3" w:rsidRPr="00D97AA3" w:rsidRDefault="00D97AA3" w:rsidP="00D97AA3">
      <w:pPr>
        <w:rPr>
          <w:rFonts w:cstheme="minorHAnsi"/>
        </w:rPr>
      </w:pPr>
      <w:r w:rsidRPr="00D97AA3">
        <w:rPr>
          <w:rFonts w:cstheme="minorHAnsi"/>
          <w:b/>
          <w:bCs/>
        </w:rPr>
        <w:t>Clear Communication Channels</w:t>
      </w:r>
      <w:r w:rsidRPr="00D97AA3">
        <w:rPr>
          <w:rFonts w:cstheme="minorHAnsi"/>
        </w:rPr>
        <w:br/>
        <w:t xml:space="preserve">Maintain open communication throughout the transition with regular updates and feedback opportunities. Clear channels help manage expectations and reduce resistance to change (HRD Connect, </w:t>
      </w:r>
      <w:r>
        <w:rPr>
          <w:rFonts w:cstheme="minorHAnsi"/>
        </w:rPr>
        <w:t>2025</w:t>
      </w:r>
      <w:r w:rsidRPr="00D97AA3">
        <w:rPr>
          <w:rFonts w:cstheme="minorHAnsi"/>
        </w:rPr>
        <w:t>).</w:t>
      </w:r>
    </w:p>
    <w:p w14:paraId="3A11C1E8" w14:textId="1FCF1E74" w:rsidR="00D97AA3" w:rsidRPr="00D97AA3" w:rsidRDefault="00D97AA3" w:rsidP="00D97AA3">
      <w:pPr>
        <w:rPr>
          <w:rFonts w:cstheme="minorHAnsi"/>
        </w:rPr>
      </w:pPr>
      <w:r w:rsidRPr="00D97AA3">
        <w:rPr>
          <w:rFonts w:cstheme="minorHAnsi"/>
          <w:b/>
          <w:bCs/>
        </w:rPr>
        <w:t>Training and Support</w:t>
      </w:r>
      <w:r w:rsidRPr="00D97AA3">
        <w:rPr>
          <w:rFonts w:cstheme="minorHAnsi"/>
        </w:rPr>
        <w:br/>
        <w:t>Provide training and support, such as time management and stress management workshops, to help employees adjust to the new arrangement. This support is vital for maintaining morale and productivity during the transition</w:t>
      </w:r>
      <w:r>
        <w:rPr>
          <w:rFonts w:cstheme="minorHAnsi"/>
        </w:rPr>
        <w:t xml:space="preserve">. </w:t>
      </w:r>
    </w:p>
    <w:p w14:paraId="5648B55A" w14:textId="4D51F62D" w:rsidR="00D97AA3" w:rsidRPr="00D97AA3" w:rsidRDefault="00D97AA3" w:rsidP="00D97AA3">
      <w:pPr>
        <w:rPr>
          <w:rFonts w:cstheme="minorHAnsi"/>
        </w:rPr>
      </w:pPr>
      <w:r w:rsidRPr="00D97AA3">
        <w:rPr>
          <w:rFonts w:cstheme="minorHAnsi"/>
          <w:b/>
          <w:bCs/>
        </w:rPr>
        <w:t>Monitor and Evaluate</w:t>
      </w:r>
      <w:r w:rsidRPr="00D97AA3">
        <w:rPr>
          <w:rFonts w:cstheme="minorHAnsi"/>
        </w:rPr>
        <w:br/>
        <w:t>Continuously monitor the impact of the four-day working week and gather feedback from both employees and managers. Ongoing evaluation ensures the new arrangement remains effective and aligned with organisational and employee needs (People Management, n.d.).</w:t>
      </w:r>
    </w:p>
    <w:p w14:paraId="3E620FE4" w14:textId="77777777" w:rsidR="00D97AA3" w:rsidRPr="00D97AA3" w:rsidRDefault="00D97AA3" w:rsidP="00D97AA3">
      <w:pPr>
        <w:rPr>
          <w:rFonts w:cstheme="minorHAnsi"/>
        </w:rPr>
      </w:pPr>
      <w:r w:rsidRPr="00D97AA3">
        <w:rPr>
          <w:rFonts w:cstheme="minorHAnsi"/>
        </w:rPr>
        <w:t>By implementing these processes, the people function can ensure a smooth transition to a four-day working week that benefits both employees and the organisation.</w:t>
      </w:r>
    </w:p>
    <w:p w14:paraId="476DF56B" w14:textId="77777777" w:rsidR="00D97AA3" w:rsidRDefault="00D97AA3">
      <w:pPr>
        <w:rPr>
          <w:rFonts w:cstheme="minorHAnsi"/>
        </w:rPr>
      </w:pPr>
    </w:p>
    <w:p w14:paraId="4B7159E9" w14:textId="77777777" w:rsidR="00D97AA3" w:rsidRDefault="00D97AA3">
      <w:pPr>
        <w:rPr>
          <w:rFonts w:cstheme="minorHAnsi"/>
        </w:rPr>
      </w:pPr>
    </w:p>
    <w:p w14:paraId="6592ECB7" w14:textId="77777777" w:rsidR="00D97AA3" w:rsidRDefault="00D97AA3">
      <w:pPr>
        <w:rPr>
          <w:rFonts w:cstheme="minorHAnsi"/>
        </w:rPr>
      </w:pPr>
    </w:p>
    <w:p w14:paraId="007D0D17" w14:textId="77777777" w:rsidR="00FF3E5A" w:rsidRDefault="00FF3E5A">
      <w:pPr>
        <w:rPr>
          <w:rFonts w:cstheme="minorHAnsi"/>
        </w:rPr>
      </w:pPr>
    </w:p>
    <w:p w14:paraId="3F220E1A" w14:textId="11BCE40E" w:rsidR="00FF3E5A" w:rsidRDefault="00FF3E5A">
      <w:pPr>
        <w:rPr>
          <w:rFonts w:cstheme="minorHAnsi"/>
        </w:rPr>
      </w:pPr>
      <w:r>
        <w:rPr>
          <w:rFonts w:cstheme="minorHAnsi"/>
        </w:rPr>
        <w:t>Bibliography</w:t>
      </w:r>
    </w:p>
    <w:p w14:paraId="23221B4F" w14:textId="77777777" w:rsidR="00FF3E5A" w:rsidRDefault="00FF3E5A">
      <w:pPr>
        <w:rPr>
          <w:rFonts w:cstheme="minorHAnsi"/>
        </w:rPr>
      </w:pPr>
    </w:p>
    <w:p w14:paraId="27526B40" w14:textId="77777777" w:rsidR="00D97AA3" w:rsidRDefault="00D97AA3" w:rsidP="00D97AA3">
      <w:pPr>
        <w:rPr>
          <w:rFonts w:cstheme="minorHAnsi"/>
        </w:rPr>
      </w:pPr>
      <w:r w:rsidRPr="00D97AA3">
        <w:rPr>
          <w:rFonts w:cstheme="minorHAnsi"/>
        </w:rPr>
        <w:t>4 Day Week (n.d.) </w:t>
      </w:r>
      <w:r w:rsidRPr="00D97AA3">
        <w:rPr>
          <w:rFonts w:cstheme="minorHAnsi"/>
          <w:i/>
          <w:iCs/>
        </w:rPr>
        <w:t>Research</w:t>
      </w:r>
      <w:r w:rsidRPr="00D97AA3">
        <w:rPr>
          <w:rFonts w:cstheme="minorHAnsi"/>
        </w:rPr>
        <w:t>. Available at: </w:t>
      </w:r>
      <w:hyperlink r:id="rId6" w:tgtFrame="_new" w:history="1">
        <w:r w:rsidRPr="00D97AA3">
          <w:rPr>
            <w:rStyle w:val="Hyperlink"/>
            <w:rFonts w:cstheme="minorHAnsi"/>
          </w:rPr>
          <w:t>https://www.4dayweek.com/research</w:t>
        </w:r>
      </w:hyperlink>
      <w:r w:rsidRPr="00D97AA3">
        <w:rPr>
          <w:rFonts w:cstheme="minorHAnsi"/>
        </w:rPr>
        <w:t> (Accessed: 8 February 2025).</w:t>
      </w:r>
    </w:p>
    <w:p w14:paraId="194034CF" w14:textId="77777777" w:rsidR="00D97AA3" w:rsidRPr="00D97AA3" w:rsidRDefault="00D97AA3" w:rsidP="00D97AA3">
      <w:pPr>
        <w:rPr>
          <w:rFonts w:cstheme="minorHAnsi"/>
        </w:rPr>
      </w:pPr>
    </w:p>
    <w:p w14:paraId="1FE936EA" w14:textId="77777777" w:rsidR="00D97AA3" w:rsidRDefault="00D97AA3" w:rsidP="00D97AA3">
      <w:pPr>
        <w:rPr>
          <w:rFonts w:cstheme="minorHAnsi"/>
        </w:rPr>
      </w:pPr>
      <w:r w:rsidRPr="00D97AA3">
        <w:rPr>
          <w:rFonts w:cstheme="minorHAnsi"/>
        </w:rPr>
        <w:t>Boxall, P., Purcell, J. and Wright, P. (2007) </w:t>
      </w:r>
      <w:r w:rsidRPr="00D97AA3">
        <w:rPr>
          <w:rFonts w:cstheme="minorHAnsi"/>
          <w:i/>
          <w:iCs/>
        </w:rPr>
        <w:t>The Oxford Handbook of Human Resource Management</w:t>
      </w:r>
      <w:r w:rsidRPr="00D97AA3">
        <w:rPr>
          <w:rFonts w:cstheme="minorHAnsi"/>
        </w:rPr>
        <w:t>. Oxford: Oxford University Press.</w:t>
      </w:r>
    </w:p>
    <w:p w14:paraId="0058A5AA" w14:textId="77777777" w:rsidR="00D97AA3" w:rsidRPr="00D97AA3" w:rsidRDefault="00D97AA3" w:rsidP="00D97AA3">
      <w:pPr>
        <w:rPr>
          <w:rFonts w:cstheme="minorHAnsi"/>
        </w:rPr>
      </w:pPr>
    </w:p>
    <w:p w14:paraId="50EC7F7B" w14:textId="77777777" w:rsidR="00D97AA3" w:rsidRDefault="00D97AA3" w:rsidP="00D97AA3">
      <w:pPr>
        <w:rPr>
          <w:rFonts w:cstheme="minorHAnsi"/>
        </w:rPr>
      </w:pPr>
      <w:r w:rsidRPr="00D97AA3">
        <w:rPr>
          <w:rFonts w:cstheme="minorHAnsi"/>
        </w:rPr>
        <w:t>Cameron, E. and Green, M. (2020) </w:t>
      </w:r>
      <w:r w:rsidRPr="00D97AA3">
        <w:rPr>
          <w:rFonts w:cstheme="minorHAnsi"/>
          <w:i/>
          <w:iCs/>
        </w:rPr>
        <w:t>Making Sense of Change Management: A Complete Guide to the Models, Tools and Techniques of Organizational Change</w:t>
      </w:r>
      <w:r w:rsidRPr="00D97AA3">
        <w:rPr>
          <w:rFonts w:cstheme="minorHAnsi"/>
        </w:rPr>
        <w:t>. 5th ed. London: Kogan Page.</w:t>
      </w:r>
    </w:p>
    <w:p w14:paraId="7731BCC4" w14:textId="77777777" w:rsidR="00D97AA3" w:rsidRPr="00D97AA3" w:rsidRDefault="00D97AA3" w:rsidP="00D97AA3">
      <w:pPr>
        <w:rPr>
          <w:rFonts w:cstheme="minorHAnsi"/>
        </w:rPr>
      </w:pPr>
    </w:p>
    <w:p w14:paraId="1BE36EAC" w14:textId="77777777" w:rsidR="00D97AA3" w:rsidRPr="00D97AA3" w:rsidRDefault="00D97AA3" w:rsidP="00D97AA3">
      <w:pPr>
        <w:rPr>
          <w:rFonts w:cstheme="minorHAnsi"/>
        </w:rPr>
      </w:pPr>
      <w:r w:rsidRPr="00D97AA3">
        <w:rPr>
          <w:rFonts w:cstheme="minorHAnsi"/>
        </w:rPr>
        <w:t>Carnall, C.A. (2007) </w:t>
      </w:r>
      <w:r w:rsidRPr="00D97AA3">
        <w:rPr>
          <w:rFonts w:cstheme="minorHAnsi"/>
          <w:i/>
          <w:iCs/>
        </w:rPr>
        <w:t>Managing Change in Organisations</w:t>
      </w:r>
      <w:r w:rsidRPr="00D97AA3">
        <w:rPr>
          <w:rFonts w:cstheme="minorHAnsi"/>
        </w:rPr>
        <w:t>. 5th ed. Harlow: Pearson Education.</w:t>
      </w:r>
    </w:p>
    <w:p w14:paraId="7F197FEB" w14:textId="77777777" w:rsidR="00D97AA3" w:rsidRDefault="00D97AA3" w:rsidP="00D97AA3">
      <w:pPr>
        <w:rPr>
          <w:rFonts w:cstheme="minorHAnsi"/>
        </w:rPr>
      </w:pPr>
      <w:r w:rsidRPr="00D97AA3">
        <w:rPr>
          <w:rFonts w:cstheme="minorHAnsi"/>
        </w:rPr>
        <w:t>Chatman, J.A. (1989) ‘Improving interactional organizational research: a model of person-organization fit’, </w:t>
      </w:r>
      <w:r w:rsidRPr="00D97AA3">
        <w:rPr>
          <w:rFonts w:cstheme="minorHAnsi"/>
          <w:i/>
          <w:iCs/>
        </w:rPr>
        <w:t>Academy of Management Review</w:t>
      </w:r>
      <w:r w:rsidRPr="00D97AA3">
        <w:rPr>
          <w:rFonts w:cstheme="minorHAnsi"/>
        </w:rPr>
        <w:t>, 14(3), pp. 333–349.</w:t>
      </w:r>
    </w:p>
    <w:p w14:paraId="549070AB" w14:textId="77777777" w:rsidR="00D97AA3" w:rsidRPr="00D97AA3" w:rsidRDefault="00D97AA3" w:rsidP="00D97AA3">
      <w:pPr>
        <w:rPr>
          <w:rFonts w:cstheme="minorHAnsi"/>
        </w:rPr>
      </w:pPr>
    </w:p>
    <w:p w14:paraId="104D467F" w14:textId="77777777" w:rsidR="00D97AA3" w:rsidRPr="00D97AA3" w:rsidRDefault="00D97AA3" w:rsidP="00D97AA3">
      <w:pPr>
        <w:rPr>
          <w:rFonts w:cstheme="minorHAnsi"/>
        </w:rPr>
      </w:pPr>
      <w:r w:rsidRPr="00D97AA3">
        <w:rPr>
          <w:rFonts w:cstheme="minorHAnsi"/>
        </w:rPr>
        <w:t>CIPD (2020) </w:t>
      </w:r>
      <w:r w:rsidRPr="00D97AA3">
        <w:rPr>
          <w:rFonts w:cstheme="minorHAnsi"/>
          <w:i/>
          <w:iCs/>
        </w:rPr>
        <w:t>Employee Lifecycle</w:t>
      </w:r>
      <w:r w:rsidRPr="00D97AA3">
        <w:rPr>
          <w:rFonts w:cstheme="minorHAnsi"/>
        </w:rPr>
        <w:t>. Available at: </w:t>
      </w:r>
      <w:hyperlink r:id="rId7" w:tgtFrame="_new" w:history="1">
        <w:r w:rsidRPr="00D97AA3">
          <w:rPr>
            <w:rStyle w:val="Hyperlink"/>
            <w:rFonts w:cstheme="minorHAnsi"/>
          </w:rPr>
          <w:t>https://www.cipd.co.uk/knowledge/fundamentals/emp-law</w:t>
        </w:r>
      </w:hyperlink>
      <w:r w:rsidRPr="00D97AA3">
        <w:rPr>
          <w:rFonts w:cstheme="minorHAnsi"/>
        </w:rPr>
        <w:t> (Accessed: 8 February 2025).</w:t>
      </w:r>
    </w:p>
    <w:p w14:paraId="7F962DCE" w14:textId="77777777" w:rsidR="00D97AA3" w:rsidRDefault="00D97AA3" w:rsidP="00D97AA3">
      <w:pPr>
        <w:rPr>
          <w:rFonts w:cstheme="minorHAnsi"/>
        </w:rPr>
      </w:pPr>
      <w:r w:rsidRPr="00D97AA3">
        <w:rPr>
          <w:rFonts w:cstheme="minorHAnsi"/>
        </w:rPr>
        <w:t>CIPD (2020) </w:t>
      </w:r>
      <w:r w:rsidRPr="00D97AA3">
        <w:rPr>
          <w:rFonts w:cstheme="minorHAnsi"/>
          <w:i/>
          <w:iCs/>
        </w:rPr>
        <w:t>Health and Wellbeing at Work</w:t>
      </w:r>
      <w:r w:rsidRPr="00D97AA3">
        <w:rPr>
          <w:rFonts w:cstheme="minorHAnsi"/>
        </w:rPr>
        <w:t>. CIPD. Available at: </w:t>
      </w:r>
      <w:hyperlink r:id="rId8" w:tgtFrame="_new" w:history="1">
        <w:r w:rsidRPr="00D97AA3">
          <w:rPr>
            <w:rStyle w:val="Hyperlink"/>
            <w:rFonts w:cstheme="minorHAnsi"/>
          </w:rPr>
          <w:t>https://www.cipd.co.uk</w:t>
        </w:r>
      </w:hyperlink>
      <w:r w:rsidRPr="00D97AA3">
        <w:rPr>
          <w:rFonts w:cstheme="minorHAnsi"/>
        </w:rPr>
        <w:t> (Accessed: 6 February 2025).</w:t>
      </w:r>
    </w:p>
    <w:p w14:paraId="48F4149D" w14:textId="77777777" w:rsidR="00D97AA3" w:rsidRPr="00D97AA3" w:rsidRDefault="00D97AA3" w:rsidP="00D97AA3">
      <w:pPr>
        <w:rPr>
          <w:rFonts w:cstheme="minorHAnsi"/>
        </w:rPr>
      </w:pPr>
    </w:p>
    <w:p w14:paraId="3F683677" w14:textId="77777777" w:rsidR="00D97AA3" w:rsidRDefault="00D97AA3" w:rsidP="00D97AA3">
      <w:pPr>
        <w:rPr>
          <w:rFonts w:cstheme="minorHAnsi"/>
        </w:rPr>
      </w:pPr>
      <w:r w:rsidRPr="00D97AA3">
        <w:rPr>
          <w:rFonts w:cstheme="minorHAnsi"/>
        </w:rPr>
        <w:lastRenderedPageBreak/>
        <w:t>CIPD (2020) </w:t>
      </w:r>
      <w:r w:rsidRPr="00D97AA3">
        <w:rPr>
          <w:rFonts w:cstheme="minorHAnsi"/>
          <w:i/>
          <w:iCs/>
        </w:rPr>
        <w:t>Outsourcing and the Future of Work</w:t>
      </w:r>
      <w:r w:rsidRPr="00D97AA3">
        <w:rPr>
          <w:rFonts w:cstheme="minorHAnsi"/>
        </w:rPr>
        <w:t>. CIPD. Available at: </w:t>
      </w:r>
      <w:hyperlink r:id="rId9" w:tgtFrame="_new" w:history="1">
        <w:r w:rsidRPr="00D97AA3">
          <w:rPr>
            <w:rStyle w:val="Hyperlink"/>
            <w:rFonts w:cstheme="minorHAnsi"/>
          </w:rPr>
          <w:t>https://www.cipd.co.uk</w:t>
        </w:r>
      </w:hyperlink>
      <w:r w:rsidRPr="00D97AA3">
        <w:rPr>
          <w:rFonts w:cstheme="minorHAnsi"/>
        </w:rPr>
        <w:t> (Accessed: 6 February 2025).</w:t>
      </w:r>
    </w:p>
    <w:p w14:paraId="43635EAD" w14:textId="77777777" w:rsidR="00D97AA3" w:rsidRPr="00D97AA3" w:rsidRDefault="00D97AA3" w:rsidP="00D97AA3">
      <w:pPr>
        <w:rPr>
          <w:rFonts w:cstheme="minorHAnsi"/>
        </w:rPr>
      </w:pPr>
    </w:p>
    <w:p w14:paraId="1BFE4C06" w14:textId="77777777" w:rsidR="00D97AA3" w:rsidRDefault="00D97AA3" w:rsidP="00D97AA3">
      <w:pPr>
        <w:rPr>
          <w:rFonts w:cstheme="minorHAnsi"/>
        </w:rPr>
      </w:pPr>
      <w:r w:rsidRPr="00D97AA3">
        <w:rPr>
          <w:rFonts w:cstheme="minorHAnsi"/>
        </w:rPr>
        <w:t>CIPD (2020) </w:t>
      </w:r>
      <w:r w:rsidRPr="00D97AA3">
        <w:rPr>
          <w:rFonts w:cstheme="minorHAnsi"/>
          <w:i/>
          <w:iCs/>
        </w:rPr>
        <w:t>The Future of Work: Managing the Impact of AI in the Workplace</w:t>
      </w:r>
      <w:r w:rsidRPr="00D97AA3">
        <w:rPr>
          <w:rFonts w:cstheme="minorHAnsi"/>
        </w:rPr>
        <w:t>. CIPD. Available at: </w:t>
      </w:r>
      <w:hyperlink r:id="rId10" w:tgtFrame="_new" w:history="1">
        <w:r w:rsidRPr="00D97AA3">
          <w:rPr>
            <w:rStyle w:val="Hyperlink"/>
            <w:rFonts w:cstheme="minorHAnsi"/>
          </w:rPr>
          <w:t>https://www.cipd.co.uk</w:t>
        </w:r>
      </w:hyperlink>
      <w:r w:rsidRPr="00D97AA3">
        <w:rPr>
          <w:rFonts w:cstheme="minorHAnsi"/>
        </w:rPr>
        <w:t> (Accessed: 6 February 2025).</w:t>
      </w:r>
    </w:p>
    <w:p w14:paraId="22EBF804" w14:textId="77777777" w:rsidR="00D97AA3" w:rsidRPr="00D97AA3" w:rsidRDefault="00D97AA3" w:rsidP="00D97AA3">
      <w:pPr>
        <w:rPr>
          <w:rFonts w:cstheme="minorHAnsi"/>
        </w:rPr>
      </w:pPr>
    </w:p>
    <w:p w14:paraId="05B73F06" w14:textId="77777777" w:rsidR="00D97AA3" w:rsidRDefault="00D97AA3" w:rsidP="00D97AA3">
      <w:pPr>
        <w:rPr>
          <w:rFonts w:cstheme="minorHAnsi"/>
        </w:rPr>
      </w:pPr>
      <w:r w:rsidRPr="00D97AA3">
        <w:rPr>
          <w:rFonts w:cstheme="minorHAnsi"/>
        </w:rPr>
        <w:t>CIPD (2020) </w:t>
      </w:r>
      <w:r w:rsidRPr="00D97AA3">
        <w:rPr>
          <w:rFonts w:cstheme="minorHAnsi"/>
          <w:i/>
          <w:iCs/>
        </w:rPr>
        <w:t>Workforce Management</w:t>
      </w:r>
      <w:r w:rsidRPr="00D97AA3">
        <w:rPr>
          <w:rFonts w:cstheme="minorHAnsi"/>
        </w:rPr>
        <w:t>. Available at: </w:t>
      </w:r>
      <w:hyperlink r:id="rId11" w:tgtFrame="_new" w:history="1">
        <w:r w:rsidRPr="00D97AA3">
          <w:rPr>
            <w:rStyle w:val="Hyperlink"/>
            <w:rFonts w:cstheme="minorHAnsi"/>
          </w:rPr>
          <w:t>https://www.cipd.co.uk</w:t>
        </w:r>
      </w:hyperlink>
      <w:r w:rsidRPr="00D97AA3">
        <w:rPr>
          <w:rFonts w:cstheme="minorHAnsi"/>
        </w:rPr>
        <w:t> (Accessed: 8 February 2025).</w:t>
      </w:r>
    </w:p>
    <w:p w14:paraId="11F2ACE7" w14:textId="77777777" w:rsidR="00D97AA3" w:rsidRPr="00D97AA3" w:rsidRDefault="00D97AA3" w:rsidP="00D97AA3">
      <w:pPr>
        <w:rPr>
          <w:rFonts w:cstheme="minorHAnsi"/>
        </w:rPr>
      </w:pPr>
    </w:p>
    <w:p w14:paraId="61F98F89" w14:textId="77777777" w:rsidR="00D97AA3" w:rsidRDefault="00D97AA3" w:rsidP="00D97AA3">
      <w:pPr>
        <w:rPr>
          <w:rFonts w:cstheme="minorHAnsi"/>
        </w:rPr>
      </w:pPr>
      <w:r w:rsidRPr="00D97AA3">
        <w:rPr>
          <w:rFonts w:cstheme="minorHAnsi"/>
        </w:rPr>
        <w:t>CIPD, 2023. </w:t>
      </w:r>
      <w:r w:rsidRPr="00D97AA3">
        <w:rPr>
          <w:rFonts w:cstheme="minorHAnsi"/>
          <w:i/>
          <w:iCs/>
        </w:rPr>
        <w:t>CIPD Level 5 5CO01 3.2 Supporting Organisational Strategy</w:t>
      </w:r>
      <w:r w:rsidRPr="00D97AA3">
        <w:rPr>
          <w:rFonts w:cstheme="minorHAnsi"/>
        </w:rPr>
        <w:t>. [video online] Available at: </w:t>
      </w:r>
      <w:hyperlink r:id="rId12" w:tgtFrame="_new" w:history="1">
        <w:r w:rsidRPr="00D97AA3">
          <w:rPr>
            <w:rStyle w:val="Hyperlink"/>
            <w:rFonts w:cstheme="minorHAnsi"/>
          </w:rPr>
          <w:t>https://www.youtube.com/watch?v=CZoOdv1Z4Q0</w:t>
        </w:r>
      </w:hyperlink>
      <w:r w:rsidRPr="00D97AA3">
        <w:rPr>
          <w:rFonts w:cstheme="minorHAnsi"/>
        </w:rPr>
        <w:t> (Accessed: 2 February 2025).</w:t>
      </w:r>
    </w:p>
    <w:p w14:paraId="1B5A4409" w14:textId="77777777" w:rsidR="00B168E4" w:rsidRDefault="00B168E4" w:rsidP="00D97AA3">
      <w:pPr>
        <w:rPr>
          <w:rFonts w:cstheme="minorHAnsi"/>
        </w:rPr>
      </w:pPr>
    </w:p>
    <w:p w14:paraId="4253A6F1" w14:textId="77777777" w:rsidR="00B168E4" w:rsidRDefault="00B168E4" w:rsidP="00B168E4">
      <w:pPr>
        <w:rPr>
          <w:rFonts w:cstheme="minorHAnsi"/>
        </w:rPr>
      </w:pPr>
      <w:r w:rsidRPr="00B355CE">
        <w:rPr>
          <w:rFonts w:cstheme="minorHAnsi"/>
        </w:rPr>
        <w:t>Daft, R.L. (2015) </w:t>
      </w:r>
      <w:r w:rsidRPr="00B355CE">
        <w:rPr>
          <w:rFonts w:cstheme="minorHAnsi"/>
          <w:i/>
          <w:iCs/>
        </w:rPr>
        <w:t>Organization Theory and Design</w:t>
      </w:r>
      <w:r w:rsidRPr="00B355CE">
        <w:rPr>
          <w:rFonts w:cstheme="minorHAnsi"/>
        </w:rPr>
        <w:t>. 12th ed. Boston: Cengage Learning.</w:t>
      </w:r>
    </w:p>
    <w:p w14:paraId="1E384937" w14:textId="77777777" w:rsidR="00B168E4" w:rsidRPr="00B355CE" w:rsidRDefault="00B168E4" w:rsidP="00B168E4">
      <w:pPr>
        <w:rPr>
          <w:rFonts w:cstheme="minorHAnsi"/>
        </w:rPr>
      </w:pPr>
    </w:p>
    <w:p w14:paraId="61E2513E" w14:textId="00BB1929" w:rsidR="00B168E4" w:rsidRDefault="00B168E4" w:rsidP="00D97AA3">
      <w:pPr>
        <w:rPr>
          <w:rFonts w:cstheme="minorHAnsi"/>
        </w:rPr>
      </w:pPr>
      <w:r w:rsidRPr="00B355CE">
        <w:rPr>
          <w:rFonts w:cstheme="minorHAnsi"/>
        </w:rPr>
        <w:t>Davenport, T.H., Guha, A., Grewal, D. and Bressgott, T. (2020) ‘How Artificial Intelligence Will Change the Future of Marketing’, </w:t>
      </w:r>
      <w:r w:rsidRPr="00B355CE">
        <w:rPr>
          <w:rFonts w:cstheme="minorHAnsi"/>
          <w:i/>
          <w:iCs/>
        </w:rPr>
        <w:t>Journal of the Academy of Marketing Science</w:t>
      </w:r>
      <w:r w:rsidRPr="00B355CE">
        <w:rPr>
          <w:rFonts w:cstheme="minorHAnsi"/>
        </w:rPr>
        <w:t>, 48(1), pp. 24–42.</w:t>
      </w:r>
    </w:p>
    <w:p w14:paraId="1794F952" w14:textId="77777777" w:rsidR="00D97AA3" w:rsidRPr="00D97AA3" w:rsidRDefault="00D97AA3" w:rsidP="00D97AA3">
      <w:pPr>
        <w:rPr>
          <w:rFonts w:cstheme="minorHAnsi"/>
        </w:rPr>
      </w:pPr>
    </w:p>
    <w:p w14:paraId="3E046A1D" w14:textId="77777777" w:rsidR="00D97AA3" w:rsidRDefault="00D97AA3" w:rsidP="00D97AA3">
      <w:pPr>
        <w:rPr>
          <w:rFonts w:cstheme="minorHAnsi"/>
        </w:rPr>
      </w:pPr>
      <w:r w:rsidRPr="00D97AA3">
        <w:rPr>
          <w:rFonts w:cstheme="minorHAnsi"/>
        </w:rPr>
        <w:t>Forbes (2019) ‘How Employee Training is Transforming Customer Service in Outsourced Contact Centres’, </w:t>
      </w:r>
      <w:r w:rsidRPr="00D97AA3">
        <w:rPr>
          <w:rFonts w:cstheme="minorHAnsi"/>
          <w:i/>
          <w:iCs/>
        </w:rPr>
        <w:t>Forbes</w:t>
      </w:r>
      <w:r w:rsidRPr="00D97AA3">
        <w:rPr>
          <w:rFonts w:cstheme="minorHAnsi"/>
        </w:rPr>
        <w:t>. Available at: </w:t>
      </w:r>
      <w:hyperlink r:id="rId13" w:tgtFrame="_new" w:history="1">
        <w:r w:rsidRPr="00D97AA3">
          <w:rPr>
            <w:rStyle w:val="Hyperlink"/>
            <w:rFonts w:cstheme="minorHAnsi"/>
          </w:rPr>
          <w:t>https://www.forbes.com</w:t>
        </w:r>
      </w:hyperlink>
      <w:r w:rsidRPr="00D97AA3">
        <w:rPr>
          <w:rFonts w:cstheme="minorHAnsi"/>
        </w:rPr>
        <w:t> (Accessed: 6 February 2025).</w:t>
      </w:r>
    </w:p>
    <w:p w14:paraId="7176B600" w14:textId="77777777" w:rsidR="00D97AA3" w:rsidRPr="00D97AA3" w:rsidRDefault="00D97AA3" w:rsidP="00D97AA3">
      <w:pPr>
        <w:rPr>
          <w:rFonts w:cstheme="minorHAnsi"/>
        </w:rPr>
      </w:pPr>
    </w:p>
    <w:p w14:paraId="4A67B13A" w14:textId="77777777" w:rsidR="00D97AA3" w:rsidRDefault="00D97AA3" w:rsidP="00D97AA3">
      <w:pPr>
        <w:rPr>
          <w:rFonts w:cstheme="minorHAnsi"/>
        </w:rPr>
      </w:pPr>
      <w:r w:rsidRPr="00D97AA3">
        <w:rPr>
          <w:rFonts w:cstheme="minorHAnsi"/>
        </w:rPr>
        <w:t>Forbes (2021) ‘How AI is Transforming the Contact Centre Industry’, </w:t>
      </w:r>
      <w:r w:rsidRPr="00D97AA3">
        <w:rPr>
          <w:rFonts w:cstheme="minorHAnsi"/>
          <w:i/>
          <w:iCs/>
        </w:rPr>
        <w:t>Forbes</w:t>
      </w:r>
      <w:r w:rsidRPr="00D97AA3">
        <w:rPr>
          <w:rFonts w:cstheme="minorHAnsi"/>
        </w:rPr>
        <w:t>. Available at: </w:t>
      </w:r>
      <w:hyperlink r:id="rId14" w:tgtFrame="_new" w:history="1">
        <w:r w:rsidRPr="00D97AA3">
          <w:rPr>
            <w:rStyle w:val="Hyperlink"/>
            <w:rFonts w:cstheme="minorHAnsi"/>
          </w:rPr>
          <w:t>https://www.forbes.com</w:t>
        </w:r>
      </w:hyperlink>
      <w:r w:rsidRPr="00D97AA3">
        <w:rPr>
          <w:rFonts w:cstheme="minorHAnsi"/>
        </w:rPr>
        <w:t>(Accessed: 6 February 2025).</w:t>
      </w:r>
    </w:p>
    <w:p w14:paraId="5DF3CA01" w14:textId="77777777" w:rsidR="00D97AA3" w:rsidRPr="00D97AA3" w:rsidRDefault="00D97AA3" w:rsidP="00D97AA3">
      <w:pPr>
        <w:rPr>
          <w:rFonts w:cstheme="minorHAnsi"/>
        </w:rPr>
      </w:pPr>
    </w:p>
    <w:p w14:paraId="0706DDFB" w14:textId="77777777" w:rsidR="00D97AA3" w:rsidRDefault="00D97AA3" w:rsidP="00D97AA3">
      <w:pPr>
        <w:rPr>
          <w:rFonts w:cstheme="minorHAnsi"/>
        </w:rPr>
      </w:pPr>
      <w:r w:rsidRPr="00D97AA3">
        <w:rPr>
          <w:rFonts w:cstheme="minorHAnsi"/>
        </w:rPr>
        <w:t>Harvard Business Review (2018) ‘Data-Driven Customer Service: The Key to Success in a Digital World’, </w:t>
      </w:r>
      <w:r w:rsidRPr="00D97AA3">
        <w:rPr>
          <w:rFonts w:cstheme="minorHAnsi"/>
          <w:i/>
          <w:iCs/>
        </w:rPr>
        <w:t>Harvard Business Review</w:t>
      </w:r>
      <w:r w:rsidRPr="00D97AA3">
        <w:rPr>
          <w:rFonts w:cstheme="minorHAnsi"/>
        </w:rPr>
        <w:t>. Available at: </w:t>
      </w:r>
      <w:hyperlink r:id="rId15" w:tgtFrame="_new" w:history="1">
        <w:r w:rsidRPr="00D97AA3">
          <w:rPr>
            <w:rStyle w:val="Hyperlink"/>
            <w:rFonts w:cstheme="minorHAnsi"/>
          </w:rPr>
          <w:t>https://hbr.org</w:t>
        </w:r>
      </w:hyperlink>
      <w:r w:rsidRPr="00D97AA3">
        <w:rPr>
          <w:rFonts w:cstheme="minorHAnsi"/>
        </w:rPr>
        <w:t> (Accessed: 6 February 2025).</w:t>
      </w:r>
    </w:p>
    <w:p w14:paraId="57AEC4A4" w14:textId="77777777" w:rsidR="00D97AA3" w:rsidRPr="00D97AA3" w:rsidRDefault="00D97AA3" w:rsidP="00D97AA3">
      <w:pPr>
        <w:rPr>
          <w:rFonts w:cstheme="minorHAnsi"/>
        </w:rPr>
      </w:pPr>
    </w:p>
    <w:p w14:paraId="2D7EACD8" w14:textId="77777777" w:rsidR="00D97AA3" w:rsidRDefault="00D97AA3" w:rsidP="00D97AA3">
      <w:pPr>
        <w:rPr>
          <w:rFonts w:cstheme="minorHAnsi"/>
        </w:rPr>
      </w:pPr>
      <w:r w:rsidRPr="00D97AA3">
        <w:rPr>
          <w:rFonts w:cstheme="minorHAnsi"/>
        </w:rPr>
        <w:t>Health and Safety Executive (HSE) (2019) </w:t>
      </w:r>
      <w:r w:rsidRPr="00D97AA3">
        <w:rPr>
          <w:rFonts w:cstheme="minorHAnsi"/>
          <w:i/>
          <w:iCs/>
        </w:rPr>
        <w:t>Workplace Health, Stress and Wellbeing</w:t>
      </w:r>
      <w:r w:rsidRPr="00D97AA3">
        <w:rPr>
          <w:rFonts w:cstheme="minorHAnsi"/>
        </w:rPr>
        <w:t>. HSE. Available at: </w:t>
      </w:r>
      <w:hyperlink r:id="rId16" w:tgtFrame="_new" w:history="1">
        <w:r w:rsidRPr="00D97AA3">
          <w:rPr>
            <w:rStyle w:val="Hyperlink"/>
            <w:rFonts w:cstheme="minorHAnsi"/>
          </w:rPr>
          <w:t>https://www.hse.gov.uk</w:t>
        </w:r>
      </w:hyperlink>
      <w:r w:rsidRPr="00D97AA3">
        <w:rPr>
          <w:rFonts w:cstheme="minorHAnsi"/>
        </w:rPr>
        <w:t> (Accessed: 6 February 2025).</w:t>
      </w:r>
    </w:p>
    <w:p w14:paraId="60314126" w14:textId="77777777" w:rsidR="00771D2A" w:rsidRDefault="00771D2A" w:rsidP="00D97AA3">
      <w:pPr>
        <w:rPr>
          <w:rFonts w:cstheme="minorHAnsi"/>
        </w:rPr>
      </w:pPr>
    </w:p>
    <w:p w14:paraId="153587B8" w14:textId="1FF6B3D7" w:rsidR="00771D2A" w:rsidRDefault="00771D2A" w:rsidP="00D97AA3">
      <w:pPr>
        <w:rPr>
          <w:rFonts w:cstheme="minorHAnsi"/>
        </w:rPr>
      </w:pPr>
      <w:r w:rsidRPr="00B355CE">
        <w:rPr>
          <w:rFonts w:cstheme="minorHAnsi"/>
        </w:rPr>
        <w:t>Hitt, M.A., Ireland, R.D. and Hoskisson, R.E. (2013) </w:t>
      </w:r>
      <w:r w:rsidRPr="00B355CE">
        <w:rPr>
          <w:rFonts w:cstheme="minorHAnsi"/>
          <w:i/>
          <w:iCs/>
        </w:rPr>
        <w:t>Strategic Management: Concepts and Cases: Competitiveness and Globalization</w:t>
      </w:r>
      <w:r w:rsidRPr="00B355CE">
        <w:rPr>
          <w:rFonts w:cstheme="minorHAnsi"/>
        </w:rPr>
        <w:t>. 10th ed. Mason, OH: Cengage Learning.</w:t>
      </w:r>
    </w:p>
    <w:p w14:paraId="23D1B4E3" w14:textId="77777777" w:rsidR="00D97AA3" w:rsidRPr="00D97AA3" w:rsidRDefault="00D97AA3" w:rsidP="00D97AA3">
      <w:pPr>
        <w:rPr>
          <w:rFonts w:cstheme="minorHAnsi"/>
        </w:rPr>
      </w:pPr>
    </w:p>
    <w:p w14:paraId="6FB998F5" w14:textId="77777777" w:rsidR="00D97AA3" w:rsidRDefault="00D97AA3" w:rsidP="00D97AA3">
      <w:pPr>
        <w:rPr>
          <w:rFonts w:cstheme="minorHAnsi"/>
        </w:rPr>
      </w:pPr>
      <w:r w:rsidRPr="00D97AA3">
        <w:rPr>
          <w:rFonts w:cstheme="minorHAnsi"/>
        </w:rPr>
        <w:t>Huang, M.-H. and Rust, R.T. (2021) ‘A Strategic Framework for Artificial Intelligence in Marketing’, </w:t>
      </w:r>
      <w:r w:rsidRPr="00D97AA3">
        <w:rPr>
          <w:rFonts w:cstheme="minorHAnsi"/>
          <w:i/>
          <w:iCs/>
        </w:rPr>
        <w:t>Journal of the Academy of Marketing Science</w:t>
      </w:r>
      <w:r w:rsidRPr="00D97AA3">
        <w:rPr>
          <w:rFonts w:cstheme="minorHAnsi"/>
        </w:rPr>
        <w:t>, 49(1), pp. 79–95.</w:t>
      </w:r>
    </w:p>
    <w:p w14:paraId="4BF82835" w14:textId="77777777" w:rsidR="00F36560" w:rsidRDefault="00F36560" w:rsidP="00D97AA3">
      <w:pPr>
        <w:rPr>
          <w:rFonts w:cstheme="minorHAnsi"/>
        </w:rPr>
      </w:pPr>
    </w:p>
    <w:p w14:paraId="39A9E234" w14:textId="66DF8862" w:rsidR="00F36560" w:rsidRDefault="00F36560" w:rsidP="00D97AA3">
      <w:pPr>
        <w:rPr>
          <w:rFonts w:cstheme="minorHAnsi"/>
        </w:rPr>
      </w:pPr>
      <w:r w:rsidRPr="00B355CE">
        <w:rPr>
          <w:rFonts w:cstheme="minorHAnsi"/>
        </w:rPr>
        <w:t>Jones, G.R. (2013) </w:t>
      </w:r>
      <w:r w:rsidRPr="00B355CE">
        <w:rPr>
          <w:rFonts w:cstheme="minorHAnsi"/>
          <w:i/>
          <w:iCs/>
        </w:rPr>
        <w:t>Organizational Theory, Design, and Change</w:t>
      </w:r>
      <w:r w:rsidRPr="00B355CE">
        <w:rPr>
          <w:rFonts w:cstheme="minorHAnsi"/>
        </w:rPr>
        <w:t>. 7th ed. Upper Saddle River, NJ: Pearson.</w:t>
      </w:r>
    </w:p>
    <w:p w14:paraId="2902F108" w14:textId="77777777" w:rsidR="00D97AA3" w:rsidRPr="00D97AA3" w:rsidRDefault="00D97AA3" w:rsidP="00D97AA3">
      <w:pPr>
        <w:rPr>
          <w:rFonts w:cstheme="minorHAnsi"/>
        </w:rPr>
      </w:pPr>
    </w:p>
    <w:p w14:paraId="3E2DDB93" w14:textId="77777777" w:rsidR="00D97AA3" w:rsidRDefault="00D97AA3" w:rsidP="00D97AA3">
      <w:pPr>
        <w:rPr>
          <w:rFonts w:cstheme="minorHAnsi"/>
        </w:rPr>
      </w:pPr>
      <w:r w:rsidRPr="00D97AA3">
        <w:rPr>
          <w:rFonts w:cstheme="minorHAnsi"/>
        </w:rPr>
        <w:t>Kotter, J.P. (1996) </w:t>
      </w:r>
      <w:r w:rsidRPr="00D97AA3">
        <w:rPr>
          <w:rFonts w:cstheme="minorHAnsi"/>
          <w:i/>
          <w:iCs/>
        </w:rPr>
        <w:t>Leading Change</w:t>
      </w:r>
      <w:r w:rsidRPr="00D97AA3">
        <w:rPr>
          <w:rFonts w:cstheme="minorHAnsi"/>
        </w:rPr>
        <w:t>. Boston: Harvard Business School Press.</w:t>
      </w:r>
    </w:p>
    <w:p w14:paraId="4BF87793" w14:textId="77777777" w:rsidR="00D97AA3" w:rsidRPr="00D97AA3" w:rsidRDefault="00D97AA3" w:rsidP="00D97AA3">
      <w:pPr>
        <w:rPr>
          <w:rFonts w:cstheme="minorHAnsi"/>
        </w:rPr>
      </w:pPr>
    </w:p>
    <w:p w14:paraId="004D77E3" w14:textId="77777777" w:rsidR="00D97AA3" w:rsidRDefault="00D97AA3" w:rsidP="00D97AA3">
      <w:pPr>
        <w:rPr>
          <w:rFonts w:cstheme="minorHAnsi"/>
        </w:rPr>
      </w:pPr>
      <w:r w:rsidRPr="00D97AA3">
        <w:rPr>
          <w:rFonts w:cstheme="minorHAnsi"/>
        </w:rPr>
        <w:t>Kotter, J.P. (2014) </w:t>
      </w:r>
      <w:r w:rsidRPr="00D97AA3">
        <w:rPr>
          <w:rFonts w:cstheme="minorHAnsi"/>
          <w:i/>
          <w:iCs/>
        </w:rPr>
        <w:t>Accelerate: Building Strategic Agility for a Faster-Moving World</w:t>
      </w:r>
      <w:r w:rsidRPr="00D97AA3">
        <w:rPr>
          <w:rFonts w:cstheme="minorHAnsi"/>
        </w:rPr>
        <w:t>. Boston, MA: Harvard Business Review Press.</w:t>
      </w:r>
    </w:p>
    <w:p w14:paraId="337603FE" w14:textId="77777777" w:rsidR="00D97AA3" w:rsidRPr="00D97AA3" w:rsidRDefault="00D97AA3" w:rsidP="00D97AA3">
      <w:pPr>
        <w:rPr>
          <w:rFonts w:cstheme="minorHAnsi"/>
        </w:rPr>
      </w:pPr>
    </w:p>
    <w:p w14:paraId="36FCFF01" w14:textId="77777777" w:rsidR="00D97AA3" w:rsidRPr="00D97AA3" w:rsidRDefault="00D97AA3" w:rsidP="00D97AA3">
      <w:pPr>
        <w:rPr>
          <w:rFonts w:cstheme="minorHAnsi"/>
        </w:rPr>
      </w:pPr>
      <w:r w:rsidRPr="00D97AA3">
        <w:rPr>
          <w:rFonts w:cstheme="minorHAnsi"/>
        </w:rPr>
        <w:t>Kubler-Ross, E. (1969) </w:t>
      </w:r>
      <w:r w:rsidRPr="00D97AA3">
        <w:rPr>
          <w:rFonts w:cstheme="minorHAnsi"/>
          <w:i/>
          <w:iCs/>
        </w:rPr>
        <w:t>On Death and Dying</w:t>
      </w:r>
      <w:r w:rsidRPr="00D97AA3">
        <w:rPr>
          <w:rFonts w:cstheme="minorHAnsi"/>
        </w:rPr>
        <w:t>. New York: Macmillan.</w:t>
      </w:r>
    </w:p>
    <w:p w14:paraId="22CFA468" w14:textId="77777777" w:rsidR="00D97AA3" w:rsidRDefault="00D97AA3" w:rsidP="00D97AA3">
      <w:pPr>
        <w:rPr>
          <w:rFonts w:cstheme="minorHAnsi"/>
        </w:rPr>
      </w:pPr>
      <w:r w:rsidRPr="00D97AA3">
        <w:rPr>
          <w:rFonts w:cstheme="minorHAnsi"/>
        </w:rPr>
        <w:lastRenderedPageBreak/>
        <w:t>Lieberman, M.D. (2013) </w:t>
      </w:r>
      <w:r w:rsidRPr="00D97AA3">
        <w:rPr>
          <w:rFonts w:cstheme="minorHAnsi"/>
          <w:i/>
          <w:iCs/>
        </w:rPr>
        <w:t>Social: Why Our Brains Are Wired to Connect</w:t>
      </w:r>
      <w:r w:rsidRPr="00D97AA3">
        <w:rPr>
          <w:rFonts w:cstheme="minorHAnsi"/>
        </w:rPr>
        <w:t>. New York: Crown Publishers.</w:t>
      </w:r>
    </w:p>
    <w:p w14:paraId="20A891A2" w14:textId="77777777" w:rsidR="00F36560" w:rsidRDefault="00F36560" w:rsidP="00D97AA3">
      <w:pPr>
        <w:rPr>
          <w:rFonts w:cstheme="minorHAnsi"/>
        </w:rPr>
      </w:pPr>
    </w:p>
    <w:p w14:paraId="3E440E12" w14:textId="48BCE01F" w:rsidR="00F36560" w:rsidRDefault="00F36560" w:rsidP="00D97AA3">
      <w:pPr>
        <w:rPr>
          <w:rFonts w:cstheme="minorHAnsi"/>
        </w:rPr>
      </w:pPr>
      <w:r w:rsidRPr="00B355CE">
        <w:rPr>
          <w:rFonts w:cstheme="minorHAnsi"/>
        </w:rPr>
        <w:t>Mintzberg, H. (1979) </w:t>
      </w:r>
      <w:r w:rsidRPr="00B355CE">
        <w:rPr>
          <w:rFonts w:cstheme="minorHAnsi"/>
          <w:i/>
          <w:iCs/>
        </w:rPr>
        <w:t>The Structuring of Organizations</w:t>
      </w:r>
      <w:r w:rsidRPr="00B355CE">
        <w:rPr>
          <w:rFonts w:cstheme="minorHAnsi"/>
        </w:rPr>
        <w:t>. Englewood Cliffs, NJ: Prentice-Hall.</w:t>
      </w:r>
    </w:p>
    <w:p w14:paraId="0409BD56" w14:textId="77777777" w:rsidR="00D97AA3" w:rsidRPr="00D97AA3" w:rsidRDefault="00D97AA3" w:rsidP="00D97AA3">
      <w:pPr>
        <w:rPr>
          <w:rFonts w:cstheme="minorHAnsi"/>
        </w:rPr>
      </w:pPr>
    </w:p>
    <w:p w14:paraId="12E2DFE2" w14:textId="77777777" w:rsidR="00D97AA3" w:rsidRDefault="00D97AA3" w:rsidP="00D97AA3">
      <w:pPr>
        <w:rPr>
          <w:rFonts w:cstheme="minorHAnsi"/>
        </w:rPr>
      </w:pPr>
      <w:r w:rsidRPr="00D97AA3">
        <w:rPr>
          <w:rFonts w:cstheme="minorHAnsi"/>
        </w:rPr>
        <w:t>Noe, R.A., Hollenbeck, J.R., Gerhart, B. and Wright, P.M. (2014) </w:t>
      </w:r>
      <w:r w:rsidRPr="00D97AA3">
        <w:rPr>
          <w:rFonts w:cstheme="minorHAnsi"/>
          <w:i/>
          <w:iCs/>
        </w:rPr>
        <w:t>Fundamentals of Human Resource Management</w:t>
      </w:r>
      <w:r w:rsidRPr="00D97AA3">
        <w:rPr>
          <w:rFonts w:cstheme="minorHAnsi"/>
        </w:rPr>
        <w:t>. New York: McGraw-Hill Education.</w:t>
      </w:r>
    </w:p>
    <w:p w14:paraId="1EB289D9" w14:textId="77777777" w:rsidR="00D97AA3" w:rsidRPr="00D97AA3" w:rsidRDefault="00D97AA3" w:rsidP="00D97AA3">
      <w:pPr>
        <w:rPr>
          <w:rFonts w:cstheme="minorHAnsi"/>
        </w:rPr>
      </w:pPr>
    </w:p>
    <w:p w14:paraId="24B39A20" w14:textId="77777777" w:rsidR="00D97AA3" w:rsidRDefault="00D97AA3" w:rsidP="00D97AA3">
      <w:pPr>
        <w:rPr>
          <w:rFonts w:cstheme="minorHAnsi"/>
        </w:rPr>
      </w:pPr>
      <w:r w:rsidRPr="00D97AA3">
        <w:rPr>
          <w:rFonts w:cstheme="minorHAnsi"/>
        </w:rPr>
        <w:t>O’Reilly, C.A., Chatman, J.A. and Caldwell, D.F. (1991) ‘People and organizational culture: a profile comparison approach to assessing person-organization fit’, </w:t>
      </w:r>
      <w:r w:rsidRPr="00D97AA3">
        <w:rPr>
          <w:rFonts w:cstheme="minorHAnsi"/>
          <w:i/>
          <w:iCs/>
        </w:rPr>
        <w:t>Academy of Management Journal</w:t>
      </w:r>
      <w:r w:rsidRPr="00D97AA3">
        <w:rPr>
          <w:rFonts w:cstheme="minorHAnsi"/>
        </w:rPr>
        <w:t>, 34(3), pp. 487–516.</w:t>
      </w:r>
    </w:p>
    <w:p w14:paraId="50B5968B" w14:textId="77777777" w:rsidR="00D97AA3" w:rsidRPr="00D97AA3" w:rsidRDefault="00D97AA3" w:rsidP="00D97AA3">
      <w:pPr>
        <w:rPr>
          <w:rFonts w:cstheme="minorHAnsi"/>
        </w:rPr>
      </w:pPr>
    </w:p>
    <w:p w14:paraId="192C79DF" w14:textId="77777777" w:rsidR="00D97AA3" w:rsidRDefault="00D97AA3" w:rsidP="00D97AA3">
      <w:pPr>
        <w:rPr>
          <w:rFonts w:cstheme="minorHAnsi"/>
        </w:rPr>
      </w:pPr>
      <w:r w:rsidRPr="00D97AA3">
        <w:rPr>
          <w:rFonts w:cstheme="minorHAnsi"/>
        </w:rPr>
        <w:t>Porter, M.E. and Heppelmann, J.E. (2014) ‘How Smart, Connected Products Are Transforming Competition’, </w:t>
      </w:r>
      <w:r w:rsidRPr="00D97AA3">
        <w:rPr>
          <w:rFonts w:cstheme="minorHAnsi"/>
          <w:i/>
          <w:iCs/>
        </w:rPr>
        <w:t>Harvard Business Review</w:t>
      </w:r>
      <w:r w:rsidRPr="00D97AA3">
        <w:rPr>
          <w:rFonts w:cstheme="minorHAnsi"/>
        </w:rPr>
        <w:t>, 92(11), pp. 64–88.</w:t>
      </w:r>
    </w:p>
    <w:p w14:paraId="501E5E08" w14:textId="77777777" w:rsidR="00D97AA3" w:rsidRPr="00D97AA3" w:rsidRDefault="00D97AA3" w:rsidP="00D97AA3">
      <w:pPr>
        <w:rPr>
          <w:rFonts w:cstheme="minorHAnsi"/>
        </w:rPr>
      </w:pPr>
    </w:p>
    <w:p w14:paraId="5A4C14FC" w14:textId="77777777" w:rsidR="00D97AA3" w:rsidRDefault="00D97AA3" w:rsidP="00D97AA3">
      <w:pPr>
        <w:rPr>
          <w:rFonts w:cstheme="minorHAnsi"/>
        </w:rPr>
      </w:pPr>
      <w:r w:rsidRPr="00D97AA3">
        <w:rPr>
          <w:rFonts w:cstheme="minorHAnsi"/>
        </w:rPr>
        <w:t>Rock, D. (2008) ‘SCARF: a brain-based model for collaborating with and influencing others’, </w:t>
      </w:r>
      <w:r w:rsidRPr="00D97AA3">
        <w:rPr>
          <w:rFonts w:cstheme="minorHAnsi"/>
          <w:i/>
          <w:iCs/>
        </w:rPr>
        <w:t>NeuroLeadership Journal</w:t>
      </w:r>
      <w:r w:rsidRPr="00D97AA3">
        <w:rPr>
          <w:rFonts w:cstheme="minorHAnsi"/>
        </w:rPr>
        <w:t>, 1(1), pp. 44–52.</w:t>
      </w:r>
    </w:p>
    <w:p w14:paraId="7C0A06E1" w14:textId="77777777" w:rsidR="00D97AA3" w:rsidRPr="00D97AA3" w:rsidRDefault="00D97AA3" w:rsidP="00D97AA3">
      <w:pPr>
        <w:rPr>
          <w:rFonts w:cstheme="minorHAnsi"/>
        </w:rPr>
      </w:pPr>
    </w:p>
    <w:p w14:paraId="33CDF17F" w14:textId="77777777" w:rsidR="00D97AA3" w:rsidRDefault="00D97AA3" w:rsidP="00D97AA3">
      <w:pPr>
        <w:rPr>
          <w:rFonts w:cstheme="minorHAnsi"/>
        </w:rPr>
      </w:pPr>
      <w:r w:rsidRPr="00D97AA3">
        <w:rPr>
          <w:rFonts w:cstheme="minorHAnsi"/>
        </w:rPr>
        <w:t>Rock, D. (2009) </w:t>
      </w:r>
      <w:r w:rsidRPr="00D97AA3">
        <w:rPr>
          <w:rFonts w:cstheme="minorHAnsi"/>
          <w:i/>
          <w:iCs/>
        </w:rPr>
        <w:t>Your Brain at Work</w:t>
      </w:r>
      <w:r w:rsidRPr="00D97AA3">
        <w:rPr>
          <w:rFonts w:cstheme="minorHAnsi"/>
        </w:rPr>
        <w:t>. New York: HarperBusiness.</w:t>
      </w:r>
    </w:p>
    <w:p w14:paraId="2FF3510A" w14:textId="77777777" w:rsidR="00D97AA3" w:rsidRPr="00D97AA3" w:rsidRDefault="00D97AA3" w:rsidP="00D97AA3">
      <w:pPr>
        <w:rPr>
          <w:rFonts w:cstheme="minorHAnsi"/>
        </w:rPr>
      </w:pPr>
    </w:p>
    <w:p w14:paraId="7EB668D4" w14:textId="77777777" w:rsidR="00D97AA3" w:rsidRDefault="00D97AA3" w:rsidP="00D97AA3">
      <w:pPr>
        <w:rPr>
          <w:rFonts w:cstheme="minorHAnsi"/>
        </w:rPr>
      </w:pPr>
      <w:r w:rsidRPr="00D97AA3">
        <w:rPr>
          <w:rFonts w:cstheme="minorHAnsi"/>
        </w:rPr>
        <w:t>Taylor, S. and Woodhams, M. (2020) </w:t>
      </w:r>
      <w:r w:rsidRPr="00D97AA3">
        <w:rPr>
          <w:rFonts w:cstheme="minorHAnsi"/>
          <w:i/>
          <w:iCs/>
        </w:rPr>
        <w:t>Human Resource Management in Outsourcing</w:t>
      </w:r>
      <w:r w:rsidRPr="00D97AA3">
        <w:rPr>
          <w:rFonts w:cstheme="minorHAnsi"/>
        </w:rPr>
        <w:t>. London: Routledge.</w:t>
      </w:r>
    </w:p>
    <w:p w14:paraId="457A6320" w14:textId="77777777" w:rsidR="00D97AA3" w:rsidRPr="00D97AA3" w:rsidRDefault="00D97AA3" w:rsidP="00D97AA3">
      <w:pPr>
        <w:rPr>
          <w:rFonts w:cstheme="minorHAnsi"/>
        </w:rPr>
      </w:pPr>
    </w:p>
    <w:p w14:paraId="36E08919" w14:textId="77777777" w:rsidR="00D97AA3" w:rsidRDefault="00D97AA3" w:rsidP="00D97AA3">
      <w:pPr>
        <w:rPr>
          <w:rFonts w:cstheme="minorHAnsi"/>
        </w:rPr>
      </w:pPr>
      <w:r w:rsidRPr="00D97AA3">
        <w:rPr>
          <w:rFonts w:cstheme="minorHAnsi"/>
        </w:rPr>
        <w:t>HRD Connect (2025) </w:t>
      </w:r>
      <w:r w:rsidRPr="00D97AA3">
        <w:rPr>
          <w:rFonts w:cstheme="minorHAnsi"/>
          <w:i/>
          <w:iCs/>
        </w:rPr>
        <w:t>Organisational culture survey shows widespread mismatch between behaviour and policies</w:t>
      </w:r>
      <w:r w:rsidRPr="00D97AA3">
        <w:rPr>
          <w:rFonts w:cstheme="minorHAnsi"/>
        </w:rPr>
        <w:t>. Available at: </w:t>
      </w:r>
      <w:hyperlink r:id="rId17" w:tgtFrame="_new" w:history="1">
        <w:r w:rsidRPr="00D97AA3">
          <w:rPr>
            <w:rStyle w:val="Hyperlink"/>
            <w:rFonts w:cstheme="minorHAnsi"/>
          </w:rPr>
          <w:t>https://www.hrdconnect.com/2025/01/21/organisational-culture-survey-shows-widespread-mismatch-between-behaviour-and-policies/</w:t>
        </w:r>
      </w:hyperlink>
      <w:r w:rsidRPr="00D97AA3">
        <w:rPr>
          <w:rFonts w:cstheme="minorHAnsi"/>
        </w:rPr>
        <w:t> (Accessed: 8 February 2025).</w:t>
      </w:r>
    </w:p>
    <w:p w14:paraId="531D7F72" w14:textId="77777777" w:rsidR="00D97AA3" w:rsidRPr="00D97AA3" w:rsidRDefault="00D97AA3" w:rsidP="00D97AA3">
      <w:pPr>
        <w:rPr>
          <w:rFonts w:cstheme="minorHAnsi"/>
        </w:rPr>
      </w:pPr>
    </w:p>
    <w:p w14:paraId="5EF85620" w14:textId="77777777" w:rsidR="00D97AA3" w:rsidRDefault="00D97AA3" w:rsidP="00D97AA3">
      <w:pPr>
        <w:rPr>
          <w:rFonts w:cstheme="minorHAnsi"/>
        </w:rPr>
      </w:pPr>
      <w:r w:rsidRPr="00D97AA3">
        <w:rPr>
          <w:rFonts w:cstheme="minorHAnsi"/>
        </w:rPr>
        <w:t>People Management (2023) </w:t>
      </w:r>
      <w:r w:rsidRPr="00D97AA3">
        <w:rPr>
          <w:rFonts w:cstheme="minorHAnsi"/>
          <w:i/>
          <w:iCs/>
        </w:rPr>
        <w:t>Half HR leaders experience anxiety at least once a week, study reveals</w:t>
      </w:r>
      <w:r w:rsidRPr="00D97AA3">
        <w:rPr>
          <w:rFonts w:cstheme="minorHAnsi"/>
        </w:rPr>
        <w:t>. Available at: </w:t>
      </w:r>
      <w:hyperlink r:id="rId18" w:tgtFrame="_new" w:history="1">
        <w:r w:rsidRPr="00D97AA3">
          <w:rPr>
            <w:rStyle w:val="Hyperlink"/>
            <w:rFonts w:cstheme="minorHAnsi"/>
          </w:rPr>
          <w:t>https://www.peoplemanagement.co.uk/article/1905498/half-hr-leaders-experience-anxiety-least-once-week-study-reveals</w:t>
        </w:r>
      </w:hyperlink>
      <w:r w:rsidRPr="00D97AA3">
        <w:rPr>
          <w:rFonts w:cstheme="minorHAnsi"/>
        </w:rPr>
        <w:t> (Accessed: 8 February 2025).</w:t>
      </w:r>
    </w:p>
    <w:p w14:paraId="32B4F543" w14:textId="77777777" w:rsidR="00D97AA3" w:rsidRPr="00D97AA3" w:rsidRDefault="00D97AA3" w:rsidP="00D97AA3">
      <w:pPr>
        <w:rPr>
          <w:rFonts w:cstheme="minorHAnsi"/>
        </w:rPr>
      </w:pPr>
    </w:p>
    <w:p w14:paraId="780D05DA" w14:textId="77777777" w:rsidR="00D97AA3" w:rsidRDefault="00D97AA3" w:rsidP="00D97AA3">
      <w:pPr>
        <w:rPr>
          <w:rFonts w:cstheme="minorHAnsi"/>
        </w:rPr>
      </w:pPr>
      <w:r w:rsidRPr="00D97AA3">
        <w:rPr>
          <w:rFonts w:cstheme="minorHAnsi"/>
        </w:rPr>
        <w:t>The HR Consultants (n.d.) [Organisationall Culture]. Available at: </w:t>
      </w:r>
      <w:hyperlink r:id="rId19" w:tgtFrame="_new" w:history="1">
        <w:r w:rsidRPr="00D97AA3">
          <w:rPr>
            <w:rStyle w:val="Hyperlink"/>
            <w:rFonts w:cstheme="minorHAnsi"/>
          </w:rPr>
          <w:t>https://www.thehrconsultants.co.uk</w:t>
        </w:r>
      </w:hyperlink>
      <w:r w:rsidRPr="00D97AA3">
        <w:rPr>
          <w:rFonts w:cstheme="minorHAnsi"/>
        </w:rPr>
        <w:t> (Accessed: 8 February 2025).</w:t>
      </w:r>
    </w:p>
    <w:p w14:paraId="082CD5AF" w14:textId="77777777" w:rsidR="00D97AA3" w:rsidRPr="00D97AA3" w:rsidRDefault="00D97AA3" w:rsidP="00D97AA3">
      <w:pPr>
        <w:rPr>
          <w:rFonts w:cstheme="minorHAnsi"/>
        </w:rPr>
      </w:pPr>
    </w:p>
    <w:p w14:paraId="26A6828B" w14:textId="77777777" w:rsidR="00D97AA3" w:rsidRDefault="00D97AA3" w:rsidP="00D97AA3">
      <w:pPr>
        <w:rPr>
          <w:rFonts w:cstheme="minorHAnsi"/>
        </w:rPr>
      </w:pPr>
      <w:r w:rsidRPr="00D97AA3">
        <w:rPr>
          <w:rFonts w:cstheme="minorHAnsi"/>
        </w:rPr>
        <w:t>Vidal, R. (2019) ‘Artificial Intelligence and its Impact on the Customer Experience’, </w:t>
      </w:r>
      <w:r w:rsidRPr="00D97AA3">
        <w:rPr>
          <w:rFonts w:cstheme="minorHAnsi"/>
          <w:i/>
          <w:iCs/>
        </w:rPr>
        <w:t>Journal of Service Management</w:t>
      </w:r>
      <w:r w:rsidRPr="00D97AA3">
        <w:rPr>
          <w:rFonts w:cstheme="minorHAnsi"/>
        </w:rPr>
        <w:t>, 30(3), pp. 318–333.</w:t>
      </w:r>
    </w:p>
    <w:p w14:paraId="16821985" w14:textId="77777777" w:rsidR="00D708A5" w:rsidRDefault="00D708A5" w:rsidP="00D97AA3">
      <w:pPr>
        <w:rPr>
          <w:rFonts w:cstheme="minorHAnsi"/>
        </w:rPr>
      </w:pPr>
    </w:p>
    <w:p w14:paraId="305ABAD4" w14:textId="77777777" w:rsidR="00D708A5" w:rsidRDefault="00D708A5" w:rsidP="00D97AA3">
      <w:pPr>
        <w:rPr>
          <w:rFonts w:cstheme="minorHAnsi"/>
        </w:rPr>
      </w:pPr>
    </w:p>
    <w:p w14:paraId="51EC58A9" w14:textId="77777777" w:rsidR="00D708A5" w:rsidRDefault="00D708A5" w:rsidP="00D97AA3">
      <w:pPr>
        <w:rPr>
          <w:rFonts w:cstheme="minorHAnsi"/>
        </w:rPr>
      </w:pPr>
    </w:p>
    <w:p w14:paraId="1D0B1F5D" w14:textId="77777777" w:rsidR="00D708A5" w:rsidRDefault="00D708A5" w:rsidP="00D97AA3">
      <w:pPr>
        <w:rPr>
          <w:rFonts w:cstheme="minorHAnsi"/>
        </w:rPr>
      </w:pPr>
    </w:p>
    <w:p w14:paraId="0F68C96D" w14:textId="77777777" w:rsidR="00D708A5" w:rsidRDefault="00D708A5" w:rsidP="00D97AA3">
      <w:pPr>
        <w:rPr>
          <w:rFonts w:cstheme="minorHAnsi"/>
        </w:rPr>
      </w:pPr>
    </w:p>
    <w:p w14:paraId="30240602" w14:textId="77777777" w:rsidR="00D708A5" w:rsidRDefault="00D708A5" w:rsidP="00D97AA3">
      <w:pPr>
        <w:rPr>
          <w:rFonts w:cstheme="minorHAnsi"/>
        </w:rPr>
      </w:pPr>
    </w:p>
    <w:p w14:paraId="3E643175" w14:textId="77777777" w:rsidR="00D708A5" w:rsidRDefault="00D708A5" w:rsidP="00D97AA3">
      <w:pPr>
        <w:rPr>
          <w:rFonts w:cstheme="minorHAnsi"/>
        </w:rPr>
      </w:pPr>
    </w:p>
    <w:p w14:paraId="789BB643" w14:textId="77777777" w:rsidR="00D708A5" w:rsidRDefault="00D708A5" w:rsidP="00D97AA3">
      <w:pPr>
        <w:rPr>
          <w:rFonts w:cstheme="minorHAnsi"/>
        </w:rPr>
      </w:pPr>
    </w:p>
    <w:p w14:paraId="4F2373AD" w14:textId="77777777" w:rsidR="00D708A5" w:rsidRDefault="00D708A5" w:rsidP="00D97AA3">
      <w:pPr>
        <w:rPr>
          <w:rFonts w:cstheme="minorHAnsi"/>
        </w:rPr>
      </w:pPr>
    </w:p>
    <w:p w14:paraId="5388DFB0" w14:textId="77777777" w:rsidR="00D708A5" w:rsidRPr="00D97AA3" w:rsidRDefault="00D708A5" w:rsidP="00D97AA3">
      <w:pPr>
        <w:rPr>
          <w:rFonts w:cstheme="minorHAnsi"/>
        </w:rPr>
      </w:pPr>
    </w:p>
    <w:p w14:paraId="3BF1AB94" w14:textId="77777777" w:rsidR="00D708A5" w:rsidRPr="001C4711" w:rsidRDefault="00D708A5" w:rsidP="00D708A5">
      <w:pPr>
        <w:rPr>
          <w:b/>
          <w:bCs/>
          <w:sz w:val="28"/>
          <w:szCs w:val="28"/>
        </w:rPr>
      </w:pPr>
      <w:r w:rsidRPr="001C4711">
        <w:rPr>
          <w:b/>
          <w:bCs/>
          <w:sz w:val="28"/>
          <w:szCs w:val="28"/>
        </w:rPr>
        <w:lastRenderedPageBreak/>
        <w:t>Declaration of Authentication</w:t>
      </w:r>
    </w:p>
    <w:p w14:paraId="41502482" w14:textId="77777777" w:rsidR="00D708A5" w:rsidRDefault="00D708A5" w:rsidP="00D708A5">
      <w:r>
        <w:t>Declaration by learner</w:t>
      </w:r>
    </w:p>
    <w:p w14:paraId="3A955D9A" w14:textId="77777777" w:rsidR="00D708A5" w:rsidRPr="001C4711" w:rsidRDefault="00D708A5" w:rsidP="00D708A5">
      <w:pPr>
        <w:rPr>
          <w:b/>
          <w:bCs/>
        </w:rPr>
      </w:pPr>
      <w:r w:rsidRPr="001C4711">
        <w:rPr>
          <w:b/>
          <w:bCs/>
        </w:rPr>
        <w:t>I can confirm that:</w:t>
      </w:r>
    </w:p>
    <w:p w14:paraId="0F34B6A3" w14:textId="77777777" w:rsidR="00D708A5" w:rsidRDefault="00D708A5" w:rsidP="00D708A5">
      <w:pPr>
        <w:pStyle w:val="ListParagraph"/>
        <w:numPr>
          <w:ilvl w:val="0"/>
          <w:numId w:val="32"/>
        </w:numPr>
        <w:spacing w:after="160" w:line="278" w:lineRule="auto"/>
      </w:pPr>
      <w:r>
        <w:t>This assessment is all my own work.</w:t>
      </w:r>
    </w:p>
    <w:p w14:paraId="744F4EF2" w14:textId="5883D610" w:rsidR="00D708A5" w:rsidRDefault="00D708A5" w:rsidP="00D708A5">
      <w:pPr>
        <w:pStyle w:val="ListParagraph"/>
        <w:numPr>
          <w:ilvl w:val="0"/>
          <w:numId w:val="32"/>
        </w:numPr>
        <w:spacing w:after="160" w:line="278" w:lineRule="auto"/>
      </w:pPr>
      <w:r>
        <w:t xml:space="preserve">Where I have used materials </w:t>
      </w:r>
      <w:r w:rsidR="00185969">
        <w:t>from</w:t>
      </w:r>
      <w:r>
        <w:t xml:space="preserve"> other sources, they have been properly acknowledged and referenced.</w:t>
      </w:r>
    </w:p>
    <w:p w14:paraId="2194A1E9" w14:textId="77777777" w:rsidR="00D708A5" w:rsidRDefault="00D708A5" w:rsidP="00D708A5">
      <w:pPr>
        <w:pStyle w:val="ListParagraph"/>
        <w:numPr>
          <w:ilvl w:val="0"/>
          <w:numId w:val="32"/>
        </w:numPr>
        <w:spacing w:after="160" w:line="278" w:lineRule="auto"/>
      </w:pPr>
      <w:r>
        <w:t>I have not used Artificial Intelligence tools to generate content for my assessment.</w:t>
      </w:r>
    </w:p>
    <w:p w14:paraId="5E143532" w14:textId="77777777" w:rsidR="00D708A5" w:rsidRDefault="00D708A5" w:rsidP="00D708A5">
      <w:r>
        <w:t>I understand the consequences of malpractice and accept that any violation of this agreement may result in disciplinary action.</w:t>
      </w:r>
    </w:p>
    <w:p w14:paraId="484998EE" w14:textId="77777777" w:rsidR="00D708A5" w:rsidRDefault="00D708A5" w:rsidP="00D708A5"/>
    <w:p w14:paraId="4A7CAD2A" w14:textId="77777777" w:rsidR="00D708A5" w:rsidRDefault="00D708A5" w:rsidP="00D708A5">
      <w:r w:rsidRPr="001C4711">
        <w:rPr>
          <w:b/>
          <w:bCs/>
        </w:rPr>
        <w:t>Learner Name:</w:t>
      </w:r>
      <w:r>
        <w:t xml:space="preserve">  Melanie Warne</w:t>
      </w:r>
    </w:p>
    <w:p w14:paraId="2C0C01C5" w14:textId="2279BB25" w:rsidR="00D708A5" w:rsidRDefault="00D708A5" w:rsidP="00D708A5">
      <w:r w:rsidRPr="001C4711">
        <w:rPr>
          <w:b/>
          <w:bCs/>
        </w:rPr>
        <w:t>Date</w:t>
      </w:r>
      <w:r>
        <w:t xml:space="preserve">: </w:t>
      </w:r>
      <w:r w:rsidR="00185969">
        <w:t>08</w:t>
      </w:r>
      <w:r>
        <w:t>/0</w:t>
      </w:r>
      <w:r w:rsidR="00185969">
        <w:t>2</w:t>
      </w:r>
      <w:r>
        <w:t>/25</w:t>
      </w:r>
    </w:p>
    <w:p w14:paraId="54B001D1" w14:textId="77777777" w:rsidR="00D97AA3" w:rsidRPr="00F5710C" w:rsidRDefault="00D97AA3">
      <w:pPr>
        <w:rPr>
          <w:rFonts w:cstheme="minorHAnsi"/>
        </w:rPr>
      </w:pPr>
    </w:p>
    <w:sectPr w:rsidR="00D97AA3" w:rsidRPr="00F57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1C6"/>
    <w:multiLevelType w:val="multilevel"/>
    <w:tmpl w:val="36164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514A5"/>
    <w:multiLevelType w:val="multilevel"/>
    <w:tmpl w:val="78AAA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41512"/>
    <w:multiLevelType w:val="multilevel"/>
    <w:tmpl w:val="3470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9680D"/>
    <w:multiLevelType w:val="multilevel"/>
    <w:tmpl w:val="FF643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415375"/>
    <w:multiLevelType w:val="multilevel"/>
    <w:tmpl w:val="D3C6C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E73D6D"/>
    <w:multiLevelType w:val="multilevel"/>
    <w:tmpl w:val="6772F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8C274C"/>
    <w:multiLevelType w:val="multilevel"/>
    <w:tmpl w:val="71DC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7179D"/>
    <w:multiLevelType w:val="multilevel"/>
    <w:tmpl w:val="4A40C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F814F9"/>
    <w:multiLevelType w:val="multilevel"/>
    <w:tmpl w:val="86143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BF4017"/>
    <w:multiLevelType w:val="multilevel"/>
    <w:tmpl w:val="E954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C04A7"/>
    <w:multiLevelType w:val="multilevel"/>
    <w:tmpl w:val="5892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32AE9"/>
    <w:multiLevelType w:val="multilevel"/>
    <w:tmpl w:val="BA7A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37CA7"/>
    <w:multiLevelType w:val="multilevel"/>
    <w:tmpl w:val="D5C4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53FE3"/>
    <w:multiLevelType w:val="multilevel"/>
    <w:tmpl w:val="7166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E2717"/>
    <w:multiLevelType w:val="multilevel"/>
    <w:tmpl w:val="B660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4276D3"/>
    <w:multiLevelType w:val="multilevel"/>
    <w:tmpl w:val="82E28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E542B8"/>
    <w:multiLevelType w:val="multilevel"/>
    <w:tmpl w:val="B69A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6920E5"/>
    <w:multiLevelType w:val="multilevel"/>
    <w:tmpl w:val="6CB842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FE6EC3"/>
    <w:multiLevelType w:val="multilevel"/>
    <w:tmpl w:val="D908C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9D11BC"/>
    <w:multiLevelType w:val="multilevel"/>
    <w:tmpl w:val="FC0E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F33D2A"/>
    <w:multiLevelType w:val="multilevel"/>
    <w:tmpl w:val="723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3E7078"/>
    <w:multiLevelType w:val="multilevel"/>
    <w:tmpl w:val="15BE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9A1456"/>
    <w:multiLevelType w:val="multilevel"/>
    <w:tmpl w:val="C186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726557"/>
    <w:multiLevelType w:val="multilevel"/>
    <w:tmpl w:val="EFB0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C427B2"/>
    <w:multiLevelType w:val="hybridMultilevel"/>
    <w:tmpl w:val="3DA8B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1906D8"/>
    <w:multiLevelType w:val="multilevel"/>
    <w:tmpl w:val="89B2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682201"/>
    <w:multiLevelType w:val="multilevel"/>
    <w:tmpl w:val="54769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3B35A0"/>
    <w:multiLevelType w:val="multilevel"/>
    <w:tmpl w:val="FA00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F111C7"/>
    <w:multiLevelType w:val="multilevel"/>
    <w:tmpl w:val="4678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D653D7"/>
    <w:multiLevelType w:val="multilevel"/>
    <w:tmpl w:val="31CE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200C75"/>
    <w:multiLevelType w:val="multilevel"/>
    <w:tmpl w:val="273EC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9373750">
    <w:abstractNumId w:val="18"/>
  </w:num>
  <w:num w:numId="2" w16cid:durableId="1681472362">
    <w:abstractNumId w:val="17"/>
  </w:num>
  <w:num w:numId="3" w16cid:durableId="873542364">
    <w:abstractNumId w:val="21"/>
  </w:num>
  <w:num w:numId="4" w16cid:durableId="836266672">
    <w:abstractNumId w:val="23"/>
  </w:num>
  <w:num w:numId="5" w16cid:durableId="1329288472">
    <w:abstractNumId w:val="9"/>
  </w:num>
  <w:num w:numId="6" w16cid:durableId="1737316903">
    <w:abstractNumId w:val="16"/>
  </w:num>
  <w:num w:numId="7" w16cid:durableId="689650094">
    <w:abstractNumId w:val="20"/>
  </w:num>
  <w:num w:numId="8" w16cid:durableId="1858036516">
    <w:abstractNumId w:val="6"/>
  </w:num>
  <w:num w:numId="9" w16cid:durableId="618296879">
    <w:abstractNumId w:val="12"/>
  </w:num>
  <w:num w:numId="10" w16cid:durableId="2030525133">
    <w:abstractNumId w:val="14"/>
  </w:num>
  <w:num w:numId="11" w16cid:durableId="887184182">
    <w:abstractNumId w:val="2"/>
  </w:num>
  <w:num w:numId="12" w16cid:durableId="1993949322">
    <w:abstractNumId w:val="26"/>
  </w:num>
  <w:num w:numId="13" w16cid:durableId="1812595090">
    <w:abstractNumId w:val="10"/>
  </w:num>
  <w:num w:numId="14" w16cid:durableId="261379937">
    <w:abstractNumId w:val="30"/>
  </w:num>
  <w:num w:numId="15" w16cid:durableId="188379789">
    <w:abstractNumId w:val="24"/>
  </w:num>
  <w:num w:numId="16" w16cid:durableId="356392339">
    <w:abstractNumId w:val="28"/>
  </w:num>
  <w:num w:numId="17" w16cid:durableId="1892879297">
    <w:abstractNumId w:val="5"/>
  </w:num>
  <w:num w:numId="18" w16cid:durableId="1324311211">
    <w:abstractNumId w:val="15"/>
  </w:num>
  <w:num w:numId="19" w16cid:durableId="233711805">
    <w:abstractNumId w:val="31"/>
  </w:num>
  <w:num w:numId="20" w16cid:durableId="234170573">
    <w:abstractNumId w:val="8"/>
  </w:num>
  <w:num w:numId="21" w16cid:durableId="252082527">
    <w:abstractNumId w:val="13"/>
  </w:num>
  <w:num w:numId="22" w16cid:durableId="212814794">
    <w:abstractNumId w:val="29"/>
  </w:num>
  <w:num w:numId="23" w16cid:durableId="121046750">
    <w:abstractNumId w:val="22"/>
  </w:num>
  <w:num w:numId="24" w16cid:durableId="1331329162">
    <w:abstractNumId w:val="27"/>
  </w:num>
  <w:num w:numId="25" w16cid:durableId="1214998004">
    <w:abstractNumId w:val="3"/>
  </w:num>
  <w:num w:numId="26" w16cid:durableId="1956136562">
    <w:abstractNumId w:val="7"/>
  </w:num>
  <w:num w:numId="27" w16cid:durableId="844171588">
    <w:abstractNumId w:val="1"/>
  </w:num>
  <w:num w:numId="28" w16cid:durableId="1029263932">
    <w:abstractNumId w:val="4"/>
  </w:num>
  <w:num w:numId="29" w16cid:durableId="1770586779">
    <w:abstractNumId w:val="0"/>
  </w:num>
  <w:num w:numId="30" w16cid:durableId="343946331">
    <w:abstractNumId w:val="11"/>
  </w:num>
  <w:num w:numId="31" w16cid:durableId="347953810">
    <w:abstractNumId w:val="19"/>
  </w:num>
  <w:num w:numId="32" w16cid:durableId="8468678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D8"/>
    <w:rsid w:val="0003420C"/>
    <w:rsid w:val="00045B3E"/>
    <w:rsid w:val="00071C09"/>
    <w:rsid w:val="00071F7C"/>
    <w:rsid w:val="00081D70"/>
    <w:rsid w:val="00081FEE"/>
    <w:rsid w:val="00087880"/>
    <w:rsid w:val="000878CA"/>
    <w:rsid w:val="000A6201"/>
    <w:rsid w:val="000B5E5C"/>
    <w:rsid w:val="000D655B"/>
    <w:rsid w:val="000E7DDF"/>
    <w:rsid w:val="00110294"/>
    <w:rsid w:val="00114011"/>
    <w:rsid w:val="0012109B"/>
    <w:rsid w:val="00132D46"/>
    <w:rsid w:val="001420B4"/>
    <w:rsid w:val="00143099"/>
    <w:rsid w:val="00153145"/>
    <w:rsid w:val="00185969"/>
    <w:rsid w:val="001B2019"/>
    <w:rsid w:val="001B7AB9"/>
    <w:rsid w:val="001C0371"/>
    <w:rsid w:val="001C0B67"/>
    <w:rsid w:val="001E595A"/>
    <w:rsid w:val="001E7174"/>
    <w:rsid w:val="001F0EE5"/>
    <w:rsid w:val="0023124C"/>
    <w:rsid w:val="0024312C"/>
    <w:rsid w:val="00244F93"/>
    <w:rsid w:val="00245B31"/>
    <w:rsid w:val="0028119E"/>
    <w:rsid w:val="00287835"/>
    <w:rsid w:val="00290DEC"/>
    <w:rsid w:val="00293CE3"/>
    <w:rsid w:val="002A69BB"/>
    <w:rsid w:val="002C05D4"/>
    <w:rsid w:val="002F11C3"/>
    <w:rsid w:val="002F44A2"/>
    <w:rsid w:val="002F5EB2"/>
    <w:rsid w:val="003100FB"/>
    <w:rsid w:val="00313723"/>
    <w:rsid w:val="0031412F"/>
    <w:rsid w:val="00350529"/>
    <w:rsid w:val="00350F99"/>
    <w:rsid w:val="00391211"/>
    <w:rsid w:val="003F58EC"/>
    <w:rsid w:val="003F5D58"/>
    <w:rsid w:val="00402034"/>
    <w:rsid w:val="00405B9E"/>
    <w:rsid w:val="00410623"/>
    <w:rsid w:val="00445986"/>
    <w:rsid w:val="00446A53"/>
    <w:rsid w:val="00464B5D"/>
    <w:rsid w:val="00496588"/>
    <w:rsid w:val="004A0294"/>
    <w:rsid w:val="004A281E"/>
    <w:rsid w:val="004A56F2"/>
    <w:rsid w:val="004D3444"/>
    <w:rsid w:val="004E15CF"/>
    <w:rsid w:val="004E3244"/>
    <w:rsid w:val="0050027B"/>
    <w:rsid w:val="00512C56"/>
    <w:rsid w:val="0054552B"/>
    <w:rsid w:val="00567969"/>
    <w:rsid w:val="00567BC8"/>
    <w:rsid w:val="005763E7"/>
    <w:rsid w:val="00587695"/>
    <w:rsid w:val="0059031C"/>
    <w:rsid w:val="005C0631"/>
    <w:rsid w:val="005C5405"/>
    <w:rsid w:val="005D47BB"/>
    <w:rsid w:val="005D495A"/>
    <w:rsid w:val="005F0402"/>
    <w:rsid w:val="006149B9"/>
    <w:rsid w:val="0063456C"/>
    <w:rsid w:val="00634B8D"/>
    <w:rsid w:val="00644CE9"/>
    <w:rsid w:val="00653934"/>
    <w:rsid w:val="00671A25"/>
    <w:rsid w:val="00682BB3"/>
    <w:rsid w:val="006914B1"/>
    <w:rsid w:val="00694B33"/>
    <w:rsid w:val="006B4F6C"/>
    <w:rsid w:val="006B66DB"/>
    <w:rsid w:val="006E30A5"/>
    <w:rsid w:val="006E366B"/>
    <w:rsid w:val="006F3FC7"/>
    <w:rsid w:val="006F6B36"/>
    <w:rsid w:val="00746F15"/>
    <w:rsid w:val="00762ACE"/>
    <w:rsid w:val="00771D2A"/>
    <w:rsid w:val="00774194"/>
    <w:rsid w:val="00797138"/>
    <w:rsid w:val="007B142C"/>
    <w:rsid w:val="007B508D"/>
    <w:rsid w:val="007C0CFF"/>
    <w:rsid w:val="007E54A2"/>
    <w:rsid w:val="007F110E"/>
    <w:rsid w:val="007F2877"/>
    <w:rsid w:val="00805FF2"/>
    <w:rsid w:val="00813478"/>
    <w:rsid w:val="00816D16"/>
    <w:rsid w:val="0082307F"/>
    <w:rsid w:val="00831F8B"/>
    <w:rsid w:val="008336EA"/>
    <w:rsid w:val="008654FC"/>
    <w:rsid w:val="00870AE8"/>
    <w:rsid w:val="0088671A"/>
    <w:rsid w:val="008B0671"/>
    <w:rsid w:val="008B3A0D"/>
    <w:rsid w:val="008C355D"/>
    <w:rsid w:val="008F7B95"/>
    <w:rsid w:val="009076B0"/>
    <w:rsid w:val="009107A9"/>
    <w:rsid w:val="009164EC"/>
    <w:rsid w:val="00920C63"/>
    <w:rsid w:val="009271F2"/>
    <w:rsid w:val="0093300C"/>
    <w:rsid w:val="00940D80"/>
    <w:rsid w:val="009602EA"/>
    <w:rsid w:val="009626E8"/>
    <w:rsid w:val="0098256A"/>
    <w:rsid w:val="00990685"/>
    <w:rsid w:val="00993E74"/>
    <w:rsid w:val="009A1138"/>
    <w:rsid w:val="009C1DD8"/>
    <w:rsid w:val="009C491F"/>
    <w:rsid w:val="009D33B6"/>
    <w:rsid w:val="009E12D2"/>
    <w:rsid w:val="009E3632"/>
    <w:rsid w:val="00A1738D"/>
    <w:rsid w:val="00A22DAB"/>
    <w:rsid w:val="00A25A06"/>
    <w:rsid w:val="00A317B9"/>
    <w:rsid w:val="00A32B37"/>
    <w:rsid w:val="00A369BD"/>
    <w:rsid w:val="00A43E3F"/>
    <w:rsid w:val="00A94F25"/>
    <w:rsid w:val="00A97F8C"/>
    <w:rsid w:val="00AC22D6"/>
    <w:rsid w:val="00AE197F"/>
    <w:rsid w:val="00AE78EC"/>
    <w:rsid w:val="00B150FF"/>
    <w:rsid w:val="00B168E4"/>
    <w:rsid w:val="00B355CE"/>
    <w:rsid w:val="00B64B01"/>
    <w:rsid w:val="00B64E0F"/>
    <w:rsid w:val="00B7789F"/>
    <w:rsid w:val="00BA7ADA"/>
    <w:rsid w:val="00BB3B68"/>
    <w:rsid w:val="00BC686C"/>
    <w:rsid w:val="00BD14D4"/>
    <w:rsid w:val="00C27BAD"/>
    <w:rsid w:val="00C40A3E"/>
    <w:rsid w:val="00C52EBA"/>
    <w:rsid w:val="00C555F2"/>
    <w:rsid w:val="00C63B40"/>
    <w:rsid w:val="00C64490"/>
    <w:rsid w:val="00C8234A"/>
    <w:rsid w:val="00C857D2"/>
    <w:rsid w:val="00CA492D"/>
    <w:rsid w:val="00CB08EF"/>
    <w:rsid w:val="00CB0D44"/>
    <w:rsid w:val="00CC0135"/>
    <w:rsid w:val="00CF0CF1"/>
    <w:rsid w:val="00CF326F"/>
    <w:rsid w:val="00CF60D6"/>
    <w:rsid w:val="00D004B6"/>
    <w:rsid w:val="00D04DF9"/>
    <w:rsid w:val="00D04E62"/>
    <w:rsid w:val="00D06A27"/>
    <w:rsid w:val="00D07E8D"/>
    <w:rsid w:val="00D15A52"/>
    <w:rsid w:val="00D20916"/>
    <w:rsid w:val="00D708A5"/>
    <w:rsid w:val="00D86B92"/>
    <w:rsid w:val="00D97AA3"/>
    <w:rsid w:val="00DB0F65"/>
    <w:rsid w:val="00DB1AB9"/>
    <w:rsid w:val="00DB5B73"/>
    <w:rsid w:val="00DC2C12"/>
    <w:rsid w:val="00DD4FD9"/>
    <w:rsid w:val="00DE1D72"/>
    <w:rsid w:val="00E05FFD"/>
    <w:rsid w:val="00E92344"/>
    <w:rsid w:val="00E939EE"/>
    <w:rsid w:val="00EB7659"/>
    <w:rsid w:val="00EC2F30"/>
    <w:rsid w:val="00EC340A"/>
    <w:rsid w:val="00EC43F4"/>
    <w:rsid w:val="00EC7CAE"/>
    <w:rsid w:val="00EC7E37"/>
    <w:rsid w:val="00ED22CB"/>
    <w:rsid w:val="00EF5621"/>
    <w:rsid w:val="00EF7443"/>
    <w:rsid w:val="00F24D7E"/>
    <w:rsid w:val="00F256F2"/>
    <w:rsid w:val="00F36560"/>
    <w:rsid w:val="00F52F73"/>
    <w:rsid w:val="00F5710C"/>
    <w:rsid w:val="00F81980"/>
    <w:rsid w:val="00F84E78"/>
    <w:rsid w:val="00FA52D0"/>
    <w:rsid w:val="00FB5753"/>
    <w:rsid w:val="00FD77A3"/>
    <w:rsid w:val="00FE1706"/>
    <w:rsid w:val="00FF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AB4A03"/>
  <w15:chartTrackingRefBased/>
  <w15:docId w15:val="{23D5BB92-CD1E-0B44-A2FA-520043E8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685"/>
  </w:style>
  <w:style w:type="paragraph" w:styleId="Heading1">
    <w:name w:val="heading 1"/>
    <w:basedOn w:val="Normal"/>
    <w:next w:val="Normal"/>
    <w:link w:val="Heading1Char"/>
    <w:uiPriority w:val="9"/>
    <w:qFormat/>
    <w:rsid w:val="009C1D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D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D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D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D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D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D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D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D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D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D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1D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1D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1D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1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DD8"/>
    <w:rPr>
      <w:rFonts w:eastAsiaTheme="majorEastAsia" w:cstheme="majorBidi"/>
      <w:color w:val="272727" w:themeColor="text1" w:themeTint="D8"/>
    </w:rPr>
  </w:style>
  <w:style w:type="paragraph" w:styleId="Title">
    <w:name w:val="Title"/>
    <w:basedOn w:val="Normal"/>
    <w:next w:val="Normal"/>
    <w:link w:val="TitleChar"/>
    <w:uiPriority w:val="10"/>
    <w:qFormat/>
    <w:rsid w:val="009C1D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D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D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1DD8"/>
    <w:rPr>
      <w:i/>
      <w:iCs/>
      <w:color w:val="404040" w:themeColor="text1" w:themeTint="BF"/>
    </w:rPr>
  </w:style>
  <w:style w:type="paragraph" w:styleId="ListParagraph">
    <w:name w:val="List Paragraph"/>
    <w:aliases w:val="List bullet"/>
    <w:basedOn w:val="Normal"/>
    <w:uiPriority w:val="34"/>
    <w:qFormat/>
    <w:rsid w:val="009C1DD8"/>
    <w:pPr>
      <w:ind w:left="720"/>
      <w:contextualSpacing/>
    </w:pPr>
  </w:style>
  <w:style w:type="character" w:styleId="IntenseEmphasis">
    <w:name w:val="Intense Emphasis"/>
    <w:basedOn w:val="DefaultParagraphFont"/>
    <w:uiPriority w:val="21"/>
    <w:qFormat/>
    <w:rsid w:val="009C1DD8"/>
    <w:rPr>
      <w:i/>
      <w:iCs/>
      <w:color w:val="2F5496" w:themeColor="accent1" w:themeShade="BF"/>
    </w:rPr>
  </w:style>
  <w:style w:type="paragraph" w:styleId="IntenseQuote">
    <w:name w:val="Intense Quote"/>
    <w:basedOn w:val="Normal"/>
    <w:next w:val="Normal"/>
    <w:link w:val="IntenseQuoteChar"/>
    <w:uiPriority w:val="30"/>
    <w:qFormat/>
    <w:rsid w:val="009C1D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DD8"/>
    <w:rPr>
      <w:i/>
      <w:iCs/>
      <w:color w:val="2F5496" w:themeColor="accent1" w:themeShade="BF"/>
    </w:rPr>
  </w:style>
  <w:style w:type="character" w:styleId="IntenseReference">
    <w:name w:val="Intense Reference"/>
    <w:basedOn w:val="DefaultParagraphFont"/>
    <w:uiPriority w:val="32"/>
    <w:qFormat/>
    <w:rsid w:val="009C1DD8"/>
    <w:rPr>
      <w:b/>
      <w:bCs/>
      <w:smallCaps/>
      <w:color w:val="2F5496" w:themeColor="accent1" w:themeShade="BF"/>
      <w:spacing w:val="5"/>
    </w:rPr>
  </w:style>
  <w:style w:type="character" w:styleId="Hyperlink">
    <w:name w:val="Hyperlink"/>
    <w:basedOn w:val="DefaultParagraphFont"/>
    <w:uiPriority w:val="99"/>
    <w:unhideWhenUsed/>
    <w:rsid w:val="00D86B92"/>
    <w:rPr>
      <w:color w:val="0563C1" w:themeColor="hyperlink"/>
      <w:u w:val="single"/>
    </w:rPr>
  </w:style>
  <w:style w:type="character" w:styleId="UnresolvedMention">
    <w:name w:val="Unresolved Mention"/>
    <w:basedOn w:val="DefaultParagraphFont"/>
    <w:uiPriority w:val="99"/>
    <w:semiHidden/>
    <w:unhideWhenUsed/>
    <w:rsid w:val="00D86B92"/>
    <w:rPr>
      <w:color w:val="605E5C"/>
      <w:shd w:val="clear" w:color="auto" w:fill="E1DFDD"/>
    </w:rPr>
  </w:style>
  <w:style w:type="character" w:styleId="FollowedHyperlink">
    <w:name w:val="FollowedHyperlink"/>
    <w:basedOn w:val="DefaultParagraphFont"/>
    <w:uiPriority w:val="99"/>
    <w:semiHidden/>
    <w:unhideWhenUsed/>
    <w:rsid w:val="00644CE9"/>
    <w:rPr>
      <w:color w:val="954F72" w:themeColor="followedHyperlink"/>
      <w:u w:val="single"/>
    </w:rPr>
  </w:style>
  <w:style w:type="paragraph" w:styleId="NormalWeb">
    <w:name w:val="Normal (Web)"/>
    <w:basedOn w:val="Normal"/>
    <w:uiPriority w:val="99"/>
    <w:semiHidden/>
    <w:unhideWhenUsed/>
    <w:rsid w:val="0024312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4312C"/>
    <w:rPr>
      <w:b/>
      <w:bCs/>
    </w:rPr>
  </w:style>
  <w:style w:type="character" w:customStyle="1" w:styleId="apple-converted-space">
    <w:name w:val="apple-converted-space"/>
    <w:basedOn w:val="DefaultParagraphFont"/>
    <w:rsid w:val="0024312C"/>
  </w:style>
  <w:style w:type="character" w:styleId="Emphasis">
    <w:name w:val="Emphasis"/>
    <w:basedOn w:val="DefaultParagraphFont"/>
    <w:uiPriority w:val="20"/>
    <w:qFormat/>
    <w:rsid w:val="002431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7815">
      <w:bodyDiv w:val="1"/>
      <w:marLeft w:val="0"/>
      <w:marRight w:val="0"/>
      <w:marTop w:val="0"/>
      <w:marBottom w:val="0"/>
      <w:divBdr>
        <w:top w:val="none" w:sz="0" w:space="0" w:color="auto"/>
        <w:left w:val="none" w:sz="0" w:space="0" w:color="auto"/>
        <w:bottom w:val="none" w:sz="0" w:space="0" w:color="auto"/>
        <w:right w:val="none" w:sz="0" w:space="0" w:color="auto"/>
      </w:divBdr>
    </w:div>
    <w:div w:id="69893738">
      <w:bodyDiv w:val="1"/>
      <w:marLeft w:val="0"/>
      <w:marRight w:val="0"/>
      <w:marTop w:val="0"/>
      <w:marBottom w:val="0"/>
      <w:divBdr>
        <w:top w:val="none" w:sz="0" w:space="0" w:color="auto"/>
        <w:left w:val="none" w:sz="0" w:space="0" w:color="auto"/>
        <w:bottom w:val="none" w:sz="0" w:space="0" w:color="auto"/>
        <w:right w:val="none" w:sz="0" w:space="0" w:color="auto"/>
      </w:divBdr>
    </w:div>
    <w:div w:id="76947245">
      <w:bodyDiv w:val="1"/>
      <w:marLeft w:val="0"/>
      <w:marRight w:val="0"/>
      <w:marTop w:val="0"/>
      <w:marBottom w:val="0"/>
      <w:divBdr>
        <w:top w:val="none" w:sz="0" w:space="0" w:color="auto"/>
        <w:left w:val="none" w:sz="0" w:space="0" w:color="auto"/>
        <w:bottom w:val="none" w:sz="0" w:space="0" w:color="auto"/>
        <w:right w:val="none" w:sz="0" w:space="0" w:color="auto"/>
      </w:divBdr>
    </w:div>
    <w:div w:id="278686578">
      <w:bodyDiv w:val="1"/>
      <w:marLeft w:val="0"/>
      <w:marRight w:val="0"/>
      <w:marTop w:val="0"/>
      <w:marBottom w:val="0"/>
      <w:divBdr>
        <w:top w:val="none" w:sz="0" w:space="0" w:color="auto"/>
        <w:left w:val="none" w:sz="0" w:space="0" w:color="auto"/>
        <w:bottom w:val="none" w:sz="0" w:space="0" w:color="auto"/>
        <w:right w:val="none" w:sz="0" w:space="0" w:color="auto"/>
      </w:divBdr>
    </w:div>
    <w:div w:id="456026568">
      <w:bodyDiv w:val="1"/>
      <w:marLeft w:val="0"/>
      <w:marRight w:val="0"/>
      <w:marTop w:val="0"/>
      <w:marBottom w:val="0"/>
      <w:divBdr>
        <w:top w:val="none" w:sz="0" w:space="0" w:color="auto"/>
        <w:left w:val="none" w:sz="0" w:space="0" w:color="auto"/>
        <w:bottom w:val="none" w:sz="0" w:space="0" w:color="auto"/>
        <w:right w:val="none" w:sz="0" w:space="0" w:color="auto"/>
      </w:divBdr>
    </w:div>
    <w:div w:id="468978932">
      <w:bodyDiv w:val="1"/>
      <w:marLeft w:val="0"/>
      <w:marRight w:val="0"/>
      <w:marTop w:val="0"/>
      <w:marBottom w:val="0"/>
      <w:divBdr>
        <w:top w:val="none" w:sz="0" w:space="0" w:color="auto"/>
        <w:left w:val="none" w:sz="0" w:space="0" w:color="auto"/>
        <w:bottom w:val="none" w:sz="0" w:space="0" w:color="auto"/>
        <w:right w:val="none" w:sz="0" w:space="0" w:color="auto"/>
      </w:divBdr>
      <w:divsChild>
        <w:div w:id="2044472927">
          <w:marLeft w:val="0"/>
          <w:marRight w:val="0"/>
          <w:marTop w:val="0"/>
          <w:marBottom w:val="0"/>
          <w:divBdr>
            <w:top w:val="none" w:sz="0" w:space="0" w:color="auto"/>
            <w:left w:val="none" w:sz="0" w:space="0" w:color="auto"/>
            <w:bottom w:val="none" w:sz="0" w:space="0" w:color="auto"/>
            <w:right w:val="none" w:sz="0" w:space="0" w:color="auto"/>
          </w:divBdr>
        </w:div>
        <w:div w:id="33702488">
          <w:marLeft w:val="0"/>
          <w:marRight w:val="0"/>
          <w:marTop w:val="0"/>
          <w:marBottom w:val="0"/>
          <w:divBdr>
            <w:top w:val="none" w:sz="0" w:space="0" w:color="auto"/>
            <w:left w:val="none" w:sz="0" w:space="0" w:color="auto"/>
            <w:bottom w:val="none" w:sz="0" w:space="0" w:color="auto"/>
            <w:right w:val="none" w:sz="0" w:space="0" w:color="auto"/>
          </w:divBdr>
        </w:div>
        <w:div w:id="1410074070">
          <w:marLeft w:val="0"/>
          <w:marRight w:val="0"/>
          <w:marTop w:val="0"/>
          <w:marBottom w:val="0"/>
          <w:divBdr>
            <w:top w:val="none" w:sz="0" w:space="0" w:color="auto"/>
            <w:left w:val="none" w:sz="0" w:space="0" w:color="auto"/>
            <w:bottom w:val="none" w:sz="0" w:space="0" w:color="auto"/>
            <w:right w:val="none" w:sz="0" w:space="0" w:color="auto"/>
          </w:divBdr>
        </w:div>
        <w:div w:id="1537548057">
          <w:marLeft w:val="0"/>
          <w:marRight w:val="0"/>
          <w:marTop w:val="0"/>
          <w:marBottom w:val="0"/>
          <w:divBdr>
            <w:top w:val="none" w:sz="0" w:space="0" w:color="auto"/>
            <w:left w:val="none" w:sz="0" w:space="0" w:color="auto"/>
            <w:bottom w:val="none" w:sz="0" w:space="0" w:color="auto"/>
            <w:right w:val="none" w:sz="0" w:space="0" w:color="auto"/>
          </w:divBdr>
        </w:div>
        <w:div w:id="475688559">
          <w:marLeft w:val="0"/>
          <w:marRight w:val="0"/>
          <w:marTop w:val="0"/>
          <w:marBottom w:val="0"/>
          <w:divBdr>
            <w:top w:val="none" w:sz="0" w:space="0" w:color="auto"/>
            <w:left w:val="none" w:sz="0" w:space="0" w:color="auto"/>
            <w:bottom w:val="none" w:sz="0" w:space="0" w:color="auto"/>
            <w:right w:val="none" w:sz="0" w:space="0" w:color="auto"/>
          </w:divBdr>
        </w:div>
        <w:div w:id="872426359">
          <w:marLeft w:val="0"/>
          <w:marRight w:val="0"/>
          <w:marTop w:val="0"/>
          <w:marBottom w:val="0"/>
          <w:divBdr>
            <w:top w:val="none" w:sz="0" w:space="0" w:color="auto"/>
            <w:left w:val="none" w:sz="0" w:space="0" w:color="auto"/>
            <w:bottom w:val="none" w:sz="0" w:space="0" w:color="auto"/>
            <w:right w:val="none" w:sz="0" w:space="0" w:color="auto"/>
          </w:divBdr>
        </w:div>
      </w:divsChild>
    </w:div>
    <w:div w:id="489173493">
      <w:bodyDiv w:val="1"/>
      <w:marLeft w:val="0"/>
      <w:marRight w:val="0"/>
      <w:marTop w:val="0"/>
      <w:marBottom w:val="0"/>
      <w:divBdr>
        <w:top w:val="none" w:sz="0" w:space="0" w:color="auto"/>
        <w:left w:val="none" w:sz="0" w:space="0" w:color="auto"/>
        <w:bottom w:val="none" w:sz="0" w:space="0" w:color="auto"/>
        <w:right w:val="none" w:sz="0" w:space="0" w:color="auto"/>
      </w:divBdr>
    </w:div>
    <w:div w:id="502479208">
      <w:bodyDiv w:val="1"/>
      <w:marLeft w:val="0"/>
      <w:marRight w:val="0"/>
      <w:marTop w:val="0"/>
      <w:marBottom w:val="0"/>
      <w:divBdr>
        <w:top w:val="none" w:sz="0" w:space="0" w:color="auto"/>
        <w:left w:val="none" w:sz="0" w:space="0" w:color="auto"/>
        <w:bottom w:val="none" w:sz="0" w:space="0" w:color="auto"/>
        <w:right w:val="none" w:sz="0" w:space="0" w:color="auto"/>
      </w:divBdr>
    </w:div>
    <w:div w:id="516236863">
      <w:bodyDiv w:val="1"/>
      <w:marLeft w:val="0"/>
      <w:marRight w:val="0"/>
      <w:marTop w:val="0"/>
      <w:marBottom w:val="0"/>
      <w:divBdr>
        <w:top w:val="none" w:sz="0" w:space="0" w:color="auto"/>
        <w:left w:val="none" w:sz="0" w:space="0" w:color="auto"/>
        <w:bottom w:val="none" w:sz="0" w:space="0" w:color="auto"/>
        <w:right w:val="none" w:sz="0" w:space="0" w:color="auto"/>
      </w:divBdr>
    </w:div>
    <w:div w:id="575283049">
      <w:bodyDiv w:val="1"/>
      <w:marLeft w:val="0"/>
      <w:marRight w:val="0"/>
      <w:marTop w:val="0"/>
      <w:marBottom w:val="0"/>
      <w:divBdr>
        <w:top w:val="none" w:sz="0" w:space="0" w:color="auto"/>
        <w:left w:val="none" w:sz="0" w:space="0" w:color="auto"/>
        <w:bottom w:val="none" w:sz="0" w:space="0" w:color="auto"/>
        <w:right w:val="none" w:sz="0" w:space="0" w:color="auto"/>
      </w:divBdr>
    </w:div>
    <w:div w:id="575438694">
      <w:bodyDiv w:val="1"/>
      <w:marLeft w:val="0"/>
      <w:marRight w:val="0"/>
      <w:marTop w:val="0"/>
      <w:marBottom w:val="0"/>
      <w:divBdr>
        <w:top w:val="none" w:sz="0" w:space="0" w:color="auto"/>
        <w:left w:val="none" w:sz="0" w:space="0" w:color="auto"/>
        <w:bottom w:val="none" w:sz="0" w:space="0" w:color="auto"/>
        <w:right w:val="none" w:sz="0" w:space="0" w:color="auto"/>
      </w:divBdr>
    </w:div>
    <w:div w:id="640696932">
      <w:bodyDiv w:val="1"/>
      <w:marLeft w:val="0"/>
      <w:marRight w:val="0"/>
      <w:marTop w:val="0"/>
      <w:marBottom w:val="0"/>
      <w:divBdr>
        <w:top w:val="none" w:sz="0" w:space="0" w:color="auto"/>
        <w:left w:val="none" w:sz="0" w:space="0" w:color="auto"/>
        <w:bottom w:val="none" w:sz="0" w:space="0" w:color="auto"/>
        <w:right w:val="none" w:sz="0" w:space="0" w:color="auto"/>
      </w:divBdr>
    </w:div>
    <w:div w:id="660424691">
      <w:bodyDiv w:val="1"/>
      <w:marLeft w:val="0"/>
      <w:marRight w:val="0"/>
      <w:marTop w:val="0"/>
      <w:marBottom w:val="0"/>
      <w:divBdr>
        <w:top w:val="none" w:sz="0" w:space="0" w:color="auto"/>
        <w:left w:val="none" w:sz="0" w:space="0" w:color="auto"/>
        <w:bottom w:val="none" w:sz="0" w:space="0" w:color="auto"/>
        <w:right w:val="none" w:sz="0" w:space="0" w:color="auto"/>
      </w:divBdr>
    </w:div>
    <w:div w:id="661003754">
      <w:bodyDiv w:val="1"/>
      <w:marLeft w:val="0"/>
      <w:marRight w:val="0"/>
      <w:marTop w:val="0"/>
      <w:marBottom w:val="0"/>
      <w:divBdr>
        <w:top w:val="none" w:sz="0" w:space="0" w:color="auto"/>
        <w:left w:val="none" w:sz="0" w:space="0" w:color="auto"/>
        <w:bottom w:val="none" w:sz="0" w:space="0" w:color="auto"/>
        <w:right w:val="none" w:sz="0" w:space="0" w:color="auto"/>
      </w:divBdr>
    </w:div>
    <w:div w:id="707948013">
      <w:bodyDiv w:val="1"/>
      <w:marLeft w:val="0"/>
      <w:marRight w:val="0"/>
      <w:marTop w:val="0"/>
      <w:marBottom w:val="0"/>
      <w:divBdr>
        <w:top w:val="none" w:sz="0" w:space="0" w:color="auto"/>
        <w:left w:val="none" w:sz="0" w:space="0" w:color="auto"/>
        <w:bottom w:val="none" w:sz="0" w:space="0" w:color="auto"/>
        <w:right w:val="none" w:sz="0" w:space="0" w:color="auto"/>
      </w:divBdr>
    </w:div>
    <w:div w:id="731348610">
      <w:bodyDiv w:val="1"/>
      <w:marLeft w:val="0"/>
      <w:marRight w:val="0"/>
      <w:marTop w:val="0"/>
      <w:marBottom w:val="0"/>
      <w:divBdr>
        <w:top w:val="none" w:sz="0" w:space="0" w:color="auto"/>
        <w:left w:val="none" w:sz="0" w:space="0" w:color="auto"/>
        <w:bottom w:val="none" w:sz="0" w:space="0" w:color="auto"/>
        <w:right w:val="none" w:sz="0" w:space="0" w:color="auto"/>
      </w:divBdr>
    </w:div>
    <w:div w:id="746002038">
      <w:bodyDiv w:val="1"/>
      <w:marLeft w:val="0"/>
      <w:marRight w:val="0"/>
      <w:marTop w:val="0"/>
      <w:marBottom w:val="0"/>
      <w:divBdr>
        <w:top w:val="none" w:sz="0" w:space="0" w:color="auto"/>
        <w:left w:val="none" w:sz="0" w:space="0" w:color="auto"/>
        <w:bottom w:val="none" w:sz="0" w:space="0" w:color="auto"/>
        <w:right w:val="none" w:sz="0" w:space="0" w:color="auto"/>
      </w:divBdr>
    </w:div>
    <w:div w:id="791826562">
      <w:bodyDiv w:val="1"/>
      <w:marLeft w:val="0"/>
      <w:marRight w:val="0"/>
      <w:marTop w:val="0"/>
      <w:marBottom w:val="0"/>
      <w:divBdr>
        <w:top w:val="none" w:sz="0" w:space="0" w:color="auto"/>
        <w:left w:val="none" w:sz="0" w:space="0" w:color="auto"/>
        <w:bottom w:val="none" w:sz="0" w:space="0" w:color="auto"/>
        <w:right w:val="none" w:sz="0" w:space="0" w:color="auto"/>
      </w:divBdr>
    </w:div>
    <w:div w:id="861867894">
      <w:bodyDiv w:val="1"/>
      <w:marLeft w:val="0"/>
      <w:marRight w:val="0"/>
      <w:marTop w:val="0"/>
      <w:marBottom w:val="0"/>
      <w:divBdr>
        <w:top w:val="none" w:sz="0" w:space="0" w:color="auto"/>
        <w:left w:val="none" w:sz="0" w:space="0" w:color="auto"/>
        <w:bottom w:val="none" w:sz="0" w:space="0" w:color="auto"/>
        <w:right w:val="none" w:sz="0" w:space="0" w:color="auto"/>
      </w:divBdr>
    </w:div>
    <w:div w:id="969364225">
      <w:bodyDiv w:val="1"/>
      <w:marLeft w:val="0"/>
      <w:marRight w:val="0"/>
      <w:marTop w:val="0"/>
      <w:marBottom w:val="0"/>
      <w:divBdr>
        <w:top w:val="none" w:sz="0" w:space="0" w:color="auto"/>
        <w:left w:val="none" w:sz="0" w:space="0" w:color="auto"/>
        <w:bottom w:val="none" w:sz="0" w:space="0" w:color="auto"/>
        <w:right w:val="none" w:sz="0" w:space="0" w:color="auto"/>
      </w:divBdr>
    </w:div>
    <w:div w:id="969939161">
      <w:bodyDiv w:val="1"/>
      <w:marLeft w:val="0"/>
      <w:marRight w:val="0"/>
      <w:marTop w:val="0"/>
      <w:marBottom w:val="0"/>
      <w:divBdr>
        <w:top w:val="none" w:sz="0" w:space="0" w:color="auto"/>
        <w:left w:val="none" w:sz="0" w:space="0" w:color="auto"/>
        <w:bottom w:val="none" w:sz="0" w:space="0" w:color="auto"/>
        <w:right w:val="none" w:sz="0" w:space="0" w:color="auto"/>
      </w:divBdr>
      <w:divsChild>
        <w:div w:id="1837570493">
          <w:marLeft w:val="0"/>
          <w:marRight w:val="0"/>
          <w:marTop w:val="0"/>
          <w:marBottom w:val="0"/>
          <w:divBdr>
            <w:top w:val="none" w:sz="0" w:space="0" w:color="auto"/>
            <w:left w:val="none" w:sz="0" w:space="0" w:color="auto"/>
            <w:bottom w:val="none" w:sz="0" w:space="0" w:color="auto"/>
            <w:right w:val="none" w:sz="0" w:space="0" w:color="auto"/>
          </w:divBdr>
          <w:divsChild>
            <w:div w:id="183983844">
              <w:marLeft w:val="0"/>
              <w:marRight w:val="0"/>
              <w:marTop w:val="0"/>
              <w:marBottom w:val="0"/>
              <w:divBdr>
                <w:top w:val="none" w:sz="0" w:space="0" w:color="auto"/>
                <w:left w:val="none" w:sz="0" w:space="0" w:color="auto"/>
                <w:bottom w:val="none" w:sz="0" w:space="0" w:color="auto"/>
                <w:right w:val="none" w:sz="0" w:space="0" w:color="auto"/>
              </w:divBdr>
              <w:divsChild>
                <w:div w:id="202178707">
                  <w:marLeft w:val="0"/>
                  <w:marRight w:val="0"/>
                  <w:marTop w:val="0"/>
                  <w:marBottom w:val="0"/>
                  <w:divBdr>
                    <w:top w:val="none" w:sz="0" w:space="0" w:color="auto"/>
                    <w:left w:val="none" w:sz="0" w:space="0" w:color="auto"/>
                    <w:bottom w:val="none" w:sz="0" w:space="0" w:color="auto"/>
                    <w:right w:val="none" w:sz="0" w:space="0" w:color="auto"/>
                  </w:divBdr>
                  <w:divsChild>
                    <w:div w:id="1114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548025">
          <w:marLeft w:val="0"/>
          <w:marRight w:val="0"/>
          <w:marTop w:val="0"/>
          <w:marBottom w:val="0"/>
          <w:divBdr>
            <w:top w:val="none" w:sz="0" w:space="0" w:color="auto"/>
            <w:left w:val="none" w:sz="0" w:space="0" w:color="auto"/>
            <w:bottom w:val="none" w:sz="0" w:space="0" w:color="auto"/>
            <w:right w:val="none" w:sz="0" w:space="0" w:color="auto"/>
          </w:divBdr>
          <w:divsChild>
            <w:div w:id="1349017961">
              <w:marLeft w:val="0"/>
              <w:marRight w:val="0"/>
              <w:marTop w:val="0"/>
              <w:marBottom w:val="0"/>
              <w:divBdr>
                <w:top w:val="none" w:sz="0" w:space="0" w:color="auto"/>
                <w:left w:val="none" w:sz="0" w:space="0" w:color="auto"/>
                <w:bottom w:val="none" w:sz="0" w:space="0" w:color="auto"/>
                <w:right w:val="none" w:sz="0" w:space="0" w:color="auto"/>
              </w:divBdr>
              <w:divsChild>
                <w:div w:id="142158860">
                  <w:marLeft w:val="0"/>
                  <w:marRight w:val="0"/>
                  <w:marTop w:val="0"/>
                  <w:marBottom w:val="0"/>
                  <w:divBdr>
                    <w:top w:val="none" w:sz="0" w:space="0" w:color="auto"/>
                    <w:left w:val="none" w:sz="0" w:space="0" w:color="auto"/>
                    <w:bottom w:val="none" w:sz="0" w:space="0" w:color="auto"/>
                    <w:right w:val="none" w:sz="0" w:space="0" w:color="auto"/>
                  </w:divBdr>
                  <w:divsChild>
                    <w:div w:id="20396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87105">
      <w:bodyDiv w:val="1"/>
      <w:marLeft w:val="0"/>
      <w:marRight w:val="0"/>
      <w:marTop w:val="0"/>
      <w:marBottom w:val="0"/>
      <w:divBdr>
        <w:top w:val="none" w:sz="0" w:space="0" w:color="auto"/>
        <w:left w:val="none" w:sz="0" w:space="0" w:color="auto"/>
        <w:bottom w:val="none" w:sz="0" w:space="0" w:color="auto"/>
        <w:right w:val="none" w:sz="0" w:space="0" w:color="auto"/>
      </w:divBdr>
    </w:div>
    <w:div w:id="1090659452">
      <w:bodyDiv w:val="1"/>
      <w:marLeft w:val="0"/>
      <w:marRight w:val="0"/>
      <w:marTop w:val="0"/>
      <w:marBottom w:val="0"/>
      <w:divBdr>
        <w:top w:val="none" w:sz="0" w:space="0" w:color="auto"/>
        <w:left w:val="none" w:sz="0" w:space="0" w:color="auto"/>
        <w:bottom w:val="none" w:sz="0" w:space="0" w:color="auto"/>
        <w:right w:val="none" w:sz="0" w:space="0" w:color="auto"/>
      </w:divBdr>
      <w:divsChild>
        <w:div w:id="1002782417">
          <w:marLeft w:val="0"/>
          <w:marRight w:val="0"/>
          <w:marTop w:val="0"/>
          <w:marBottom w:val="0"/>
          <w:divBdr>
            <w:top w:val="none" w:sz="0" w:space="0" w:color="auto"/>
            <w:left w:val="none" w:sz="0" w:space="0" w:color="auto"/>
            <w:bottom w:val="none" w:sz="0" w:space="0" w:color="auto"/>
            <w:right w:val="none" w:sz="0" w:space="0" w:color="auto"/>
          </w:divBdr>
          <w:divsChild>
            <w:div w:id="1262185358">
              <w:marLeft w:val="0"/>
              <w:marRight w:val="0"/>
              <w:marTop w:val="0"/>
              <w:marBottom w:val="0"/>
              <w:divBdr>
                <w:top w:val="none" w:sz="0" w:space="0" w:color="auto"/>
                <w:left w:val="none" w:sz="0" w:space="0" w:color="auto"/>
                <w:bottom w:val="none" w:sz="0" w:space="0" w:color="auto"/>
                <w:right w:val="none" w:sz="0" w:space="0" w:color="auto"/>
              </w:divBdr>
              <w:divsChild>
                <w:div w:id="407535393">
                  <w:marLeft w:val="0"/>
                  <w:marRight w:val="0"/>
                  <w:marTop w:val="0"/>
                  <w:marBottom w:val="0"/>
                  <w:divBdr>
                    <w:top w:val="none" w:sz="0" w:space="0" w:color="auto"/>
                    <w:left w:val="none" w:sz="0" w:space="0" w:color="auto"/>
                    <w:bottom w:val="none" w:sz="0" w:space="0" w:color="auto"/>
                    <w:right w:val="none" w:sz="0" w:space="0" w:color="auto"/>
                  </w:divBdr>
                  <w:divsChild>
                    <w:div w:id="40993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32588">
          <w:marLeft w:val="0"/>
          <w:marRight w:val="0"/>
          <w:marTop w:val="0"/>
          <w:marBottom w:val="0"/>
          <w:divBdr>
            <w:top w:val="none" w:sz="0" w:space="0" w:color="auto"/>
            <w:left w:val="none" w:sz="0" w:space="0" w:color="auto"/>
            <w:bottom w:val="none" w:sz="0" w:space="0" w:color="auto"/>
            <w:right w:val="none" w:sz="0" w:space="0" w:color="auto"/>
          </w:divBdr>
          <w:divsChild>
            <w:div w:id="708842878">
              <w:marLeft w:val="0"/>
              <w:marRight w:val="0"/>
              <w:marTop w:val="0"/>
              <w:marBottom w:val="0"/>
              <w:divBdr>
                <w:top w:val="none" w:sz="0" w:space="0" w:color="auto"/>
                <w:left w:val="none" w:sz="0" w:space="0" w:color="auto"/>
                <w:bottom w:val="none" w:sz="0" w:space="0" w:color="auto"/>
                <w:right w:val="none" w:sz="0" w:space="0" w:color="auto"/>
              </w:divBdr>
              <w:divsChild>
                <w:div w:id="124197010">
                  <w:marLeft w:val="0"/>
                  <w:marRight w:val="0"/>
                  <w:marTop w:val="0"/>
                  <w:marBottom w:val="0"/>
                  <w:divBdr>
                    <w:top w:val="none" w:sz="0" w:space="0" w:color="auto"/>
                    <w:left w:val="none" w:sz="0" w:space="0" w:color="auto"/>
                    <w:bottom w:val="none" w:sz="0" w:space="0" w:color="auto"/>
                    <w:right w:val="none" w:sz="0" w:space="0" w:color="auto"/>
                  </w:divBdr>
                  <w:divsChild>
                    <w:div w:id="164534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672931">
      <w:bodyDiv w:val="1"/>
      <w:marLeft w:val="0"/>
      <w:marRight w:val="0"/>
      <w:marTop w:val="0"/>
      <w:marBottom w:val="0"/>
      <w:divBdr>
        <w:top w:val="none" w:sz="0" w:space="0" w:color="auto"/>
        <w:left w:val="none" w:sz="0" w:space="0" w:color="auto"/>
        <w:bottom w:val="none" w:sz="0" w:space="0" w:color="auto"/>
        <w:right w:val="none" w:sz="0" w:space="0" w:color="auto"/>
      </w:divBdr>
    </w:div>
    <w:div w:id="1174615364">
      <w:bodyDiv w:val="1"/>
      <w:marLeft w:val="0"/>
      <w:marRight w:val="0"/>
      <w:marTop w:val="0"/>
      <w:marBottom w:val="0"/>
      <w:divBdr>
        <w:top w:val="none" w:sz="0" w:space="0" w:color="auto"/>
        <w:left w:val="none" w:sz="0" w:space="0" w:color="auto"/>
        <w:bottom w:val="none" w:sz="0" w:space="0" w:color="auto"/>
        <w:right w:val="none" w:sz="0" w:space="0" w:color="auto"/>
      </w:divBdr>
    </w:div>
    <w:div w:id="1230963254">
      <w:bodyDiv w:val="1"/>
      <w:marLeft w:val="0"/>
      <w:marRight w:val="0"/>
      <w:marTop w:val="0"/>
      <w:marBottom w:val="0"/>
      <w:divBdr>
        <w:top w:val="none" w:sz="0" w:space="0" w:color="auto"/>
        <w:left w:val="none" w:sz="0" w:space="0" w:color="auto"/>
        <w:bottom w:val="none" w:sz="0" w:space="0" w:color="auto"/>
        <w:right w:val="none" w:sz="0" w:space="0" w:color="auto"/>
      </w:divBdr>
    </w:div>
    <w:div w:id="1271208589">
      <w:bodyDiv w:val="1"/>
      <w:marLeft w:val="0"/>
      <w:marRight w:val="0"/>
      <w:marTop w:val="0"/>
      <w:marBottom w:val="0"/>
      <w:divBdr>
        <w:top w:val="none" w:sz="0" w:space="0" w:color="auto"/>
        <w:left w:val="none" w:sz="0" w:space="0" w:color="auto"/>
        <w:bottom w:val="none" w:sz="0" w:space="0" w:color="auto"/>
        <w:right w:val="none" w:sz="0" w:space="0" w:color="auto"/>
      </w:divBdr>
    </w:div>
    <w:div w:id="1274678761">
      <w:bodyDiv w:val="1"/>
      <w:marLeft w:val="0"/>
      <w:marRight w:val="0"/>
      <w:marTop w:val="0"/>
      <w:marBottom w:val="0"/>
      <w:divBdr>
        <w:top w:val="none" w:sz="0" w:space="0" w:color="auto"/>
        <w:left w:val="none" w:sz="0" w:space="0" w:color="auto"/>
        <w:bottom w:val="none" w:sz="0" w:space="0" w:color="auto"/>
        <w:right w:val="none" w:sz="0" w:space="0" w:color="auto"/>
      </w:divBdr>
    </w:div>
    <w:div w:id="1279727177">
      <w:bodyDiv w:val="1"/>
      <w:marLeft w:val="0"/>
      <w:marRight w:val="0"/>
      <w:marTop w:val="0"/>
      <w:marBottom w:val="0"/>
      <w:divBdr>
        <w:top w:val="none" w:sz="0" w:space="0" w:color="auto"/>
        <w:left w:val="none" w:sz="0" w:space="0" w:color="auto"/>
        <w:bottom w:val="none" w:sz="0" w:space="0" w:color="auto"/>
        <w:right w:val="none" w:sz="0" w:space="0" w:color="auto"/>
      </w:divBdr>
    </w:div>
    <w:div w:id="1285649024">
      <w:bodyDiv w:val="1"/>
      <w:marLeft w:val="0"/>
      <w:marRight w:val="0"/>
      <w:marTop w:val="0"/>
      <w:marBottom w:val="0"/>
      <w:divBdr>
        <w:top w:val="none" w:sz="0" w:space="0" w:color="auto"/>
        <w:left w:val="none" w:sz="0" w:space="0" w:color="auto"/>
        <w:bottom w:val="none" w:sz="0" w:space="0" w:color="auto"/>
        <w:right w:val="none" w:sz="0" w:space="0" w:color="auto"/>
      </w:divBdr>
    </w:div>
    <w:div w:id="1392000589">
      <w:bodyDiv w:val="1"/>
      <w:marLeft w:val="0"/>
      <w:marRight w:val="0"/>
      <w:marTop w:val="0"/>
      <w:marBottom w:val="0"/>
      <w:divBdr>
        <w:top w:val="none" w:sz="0" w:space="0" w:color="auto"/>
        <w:left w:val="none" w:sz="0" w:space="0" w:color="auto"/>
        <w:bottom w:val="none" w:sz="0" w:space="0" w:color="auto"/>
        <w:right w:val="none" w:sz="0" w:space="0" w:color="auto"/>
      </w:divBdr>
    </w:div>
    <w:div w:id="1394547414">
      <w:bodyDiv w:val="1"/>
      <w:marLeft w:val="0"/>
      <w:marRight w:val="0"/>
      <w:marTop w:val="0"/>
      <w:marBottom w:val="0"/>
      <w:divBdr>
        <w:top w:val="none" w:sz="0" w:space="0" w:color="auto"/>
        <w:left w:val="none" w:sz="0" w:space="0" w:color="auto"/>
        <w:bottom w:val="none" w:sz="0" w:space="0" w:color="auto"/>
        <w:right w:val="none" w:sz="0" w:space="0" w:color="auto"/>
      </w:divBdr>
    </w:div>
    <w:div w:id="1434277748">
      <w:bodyDiv w:val="1"/>
      <w:marLeft w:val="0"/>
      <w:marRight w:val="0"/>
      <w:marTop w:val="0"/>
      <w:marBottom w:val="0"/>
      <w:divBdr>
        <w:top w:val="none" w:sz="0" w:space="0" w:color="auto"/>
        <w:left w:val="none" w:sz="0" w:space="0" w:color="auto"/>
        <w:bottom w:val="none" w:sz="0" w:space="0" w:color="auto"/>
        <w:right w:val="none" w:sz="0" w:space="0" w:color="auto"/>
      </w:divBdr>
    </w:div>
    <w:div w:id="1445883232">
      <w:bodyDiv w:val="1"/>
      <w:marLeft w:val="0"/>
      <w:marRight w:val="0"/>
      <w:marTop w:val="0"/>
      <w:marBottom w:val="0"/>
      <w:divBdr>
        <w:top w:val="none" w:sz="0" w:space="0" w:color="auto"/>
        <w:left w:val="none" w:sz="0" w:space="0" w:color="auto"/>
        <w:bottom w:val="none" w:sz="0" w:space="0" w:color="auto"/>
        <w:right w:val="none" w:sz="0" w:space="0" w:color="auto"/>
      </w:divBdr>
    </w:div>
    <w:div w:id="1459489709">
      <w:bodyDiv w:val="1"/>
      <w:marLeft w:val="0"/>
      <w:marRight w:val="0"/>
      <w:marTop w:val="0"/>
      <w:marBottom w:val="0"/>
      <w:divBdr>
        <w:top w:val="none" w:sz="0" w:space="0" w:color="auto"/>
        <w:left w:val="none" w:sz="0" w:space="0" w:color="auto"/>
        <w:bottom w:val="none" w:sz="0" w:space="0" w:color="auto"/>
        <w:right w:val="none" w:sz="0" w:space="0" w:color="auto"/>
      </w:divBdr>
    </w:div>
    <w:div w:id="1471628497">
      <w:bodyDiv w:val="1"/>
      <w:marLeft w:val="0"/>
      <w:marRight w:val="0"/>
      <w:marTop w:val="0"/>
      <w:marBottom w:val="0"/>
      <w:divBdr>
        <w:top w:val="none" w:sz="0" w:space="0" w:color="auto"/>
        <w:left w:val="none" w:sz="0" w:space="0" w:color="auto"/>
        <w:bottom w:val="none" w:sz="0" w:space="0" w:color="auto"/>
        <w:right w:val="none" w:sz="0" w:space="0" w:color="auto"/>
      </w:divBdr>
    </w:div>
    <w:div w:id="1533763569">
      <w:bodyDiv w:val="1"/>
      <w:marLeft w:val="0"/>
      <w:marRight w:val="0"/>
      <w:marTop w:val="0"/>
      <w:marBottom w:val="0"/>
      <w:divBdr>
        <w:top w:val="none" w:sz="0" w:space="0" w:color="auto"/>
        <w:left w:val="none" w:sz="0" w:space="0" w:color="auto"/>
        <w:bottom w:val="none" w:sz="0" w:space="0" w:color="auto"/>
        <w:right w:val="none" w:sz="0" w:space="0" w:color="auto"/>
      </w:divBdr>
    </w:div>
    <w:div w:id="1546596472">
      <w:bodyDiv w:val="1"/>
      <w:marLeft w:val="0"/>
      <w:marRight w:val="0"/>
      <w:marTop w:val="0"/>
      <w:marBottom w:val="0"/>
      <w:divBdr>
        <w:top w:val="none" w:sz="0" w:space="0" w:color="auto"/>
        <w:left w:val="none" w:sz="0" w:space="0" w:color="auto"/>
        <w:bottom w:val="none" w:sz="0" w:space="0" w:color="auto"/>
        <w:right w:val="none" w:sz="0" w:space="0" w:color="auto"/>
      </w:divBdr>
    </w:div>
    <w:div w:id="1567957631">
      <w:bodyDiv w:val="1"/>
      <w:marLeft w:val="0"/>
      <w:marRight w:val="0"/>
      <w:marTop w:val="0"/>
      <w:marBottom w:val="0"/>
      <w:divBdr>
        <w:top w:val="none" w:sz="0" w:space="0" w:color="auto"/>
        <w:left w:val="none" w:sz="0" w:space="0" w:color="auto"/>
        <w:bottom w:val="none" w:sz="0" w:space="0" w:color="auto"/>
        <w:right w:val="none" w:sz="0" w:space="0" w:color="auto"/>
      </w:divBdr>
    </w:div>
    <w:div w:id="1587374460">
      <w:bodyDiv w:val="1"/>
      <w:marLeft w:val="0"/>
      <w:marRight w:val="0"/>
      <w:marTop w:val="0"/>
      <w:marBottom w:val="0"/>
      <w:divBdr>
        <w:top w:val="none" w:sz="0" w:space="0" w:color="auto"/>
        <w:left w:val="none" w:sz="0" w:space="0" w:color="auto"/>
        <w:bottom w:val="none" w:sz="0" w:space="0" w:color="auto"/>
        <w:right w:val="none" w:sz="0" w:space="0" w:color="auto"/>
      </w:divBdr>
    </w:div>
    <w:div w:id="1637756292">
      <w:bodyDiv w:val="1"/>
      <w:marLeft w:val="0"/>
      <w:marRight w:val="0"/>
      <w:marTop w:val="0"/>
      <w:marBottom w:val="0"/>
      <w:divBdr>
        <w:top w:val="none" w:sz="0" w:space="0" w:color="auto"/>
        <w:left w:val="none" w:sz="0" w:space="0" w:color="auto"/>
        <w:bottom w:val="none" w:sz="0" w:space="0" w:color="auto"/>
        <w:right w:val="none" w:sz="0" w:space="0" w:color="auto"/>
      </w:divBdr>
    </w:div>
    <w:div w:id="1644046270">
      <w:bodyDiv w:val="1"/>
      <w:marLeft w:val="0"/>
      <w:marRight w:val="0"/>
      <w:marTop w:val="0"/>
      <w:marBottom w:val="0"/>
      <w:divBdr>
        <w:top w:val="none" w:sz="0" w:space="0" w:color="auto"/>
        <w:left w:val="none" w:sz="0" w:space="0" w:color="auto"/>
        <w:bottom w:val="none" w:sz="0" w:space="0" w:color="auto"/>
        <w:right w:val="none" w:sz="0" w:space="0" w:color="auto"/>
      </w:divBdr>
    </w:div>
    <w:div w:id="1668508954">
      <w:bodyDiv w:val="1"/>
      <w:marLeft w:val="0"/>
      <w:marRight w:val="0"/>
      <w:marTop w:val="0"/>
      <w:marBottom w:val="0"/>
      <w:divBdr>
        <w:top w:val="none" w:sz="0" w:space="0" w:color="auto"/>
        <w:left w:val="none" w:sz="0" w:space="0" w:color="auto"/>
        <w:bottom w:val="none" w:sz="0" w:space="0" w:color="auto"/>
        <w:right w:val="none" w:sz="0" w:space="0" w:color="auto"/>
      </w:divBdr>
    </w:div>
    <w:div w:id="1765345463">
      <w:bodyDiv w:val="1"/>
      <w:marLeft w:val="0"/>
      <w:marRight w:val="0"/>
      <w:marTop w:val="0"/>
      <w:marBottom w:val="0"/>
      <w:divBdr>
        <w:top w:val="none" w:sz="0" w:space="0" w:color="auto"/>
        <w:left w:val="none" w:sz="0" w:space="0" w:color="auto"/>
        <w:bottom w:val="none" w:sz="0" w:space="0" w:color="auto"/>
        <w:right w:val="none" w:sz="0" w:space="0" w:color="auto"/>
      </w:divBdr>
    </w:div>
    <w:div w:id="1767506091">
      <w:bodyDiv w:val="1"/>
      <w:marLeft w:val="0"/>
      <w:marRight w:val="0"/>
      <w:marTop w:val="0"/>
      <w:marBottom w:val="0"/>
      <w:divBdr>
        <w:top w:val="none" w:sz="0" w:space="0" w:color="auto"/>
        <w:left w:val="none" w:sz="0" w:space="0" w:color="auto"/>
        <w:bottom w:val="none" w:sz="0" w:space="0" w:color="auto"/>
        <w:right w:val="none" w:sz="0" w:space="0" w:color="auto"/>
      </w:divBdr>
      <w:divsChild>
        <w:div w:id="1468814160">
          <w:marLeft w:val="0"/>
          <w:marRight w:val="0"/>
          <w:marTop w:val="0"/>
          <w:marBottom w:val="0"/>
          <w:divBdr>
            <w:top w:val="none" w:sz="0" w:space="0" w:color="auto"/>
            <w:left w:val="none" w:sz="0" w:space="0" w:color="auto"/>
            <w:bottom w:val="none" w:sz="0" w:space="0" w:color="auto"/>
            <w:right w:val="none" w:sz="0" w:space="0" w:color="auto"/>
          </w:divBdr>
        </w:div>
        <w:div w:id="1147819113">
          <w:marLeft w:val="0"/>
          <w:marRight w:val="0"/>
          <w:marTop w:val="0"/>
          <w:marBottom w:val="0"/>
          <w:divBdr>
            <w:top w:val="none" w:sz="0" w:space="0" w:color="auto"/>
            <w:left w:val="none" w:sz="0" w:space="0" w:color="auto"/>
            <w:bottom w:val="none" w:sz="0" w:space="0" w:color="auto"/>
            <w:right w:val="none" w:sz="0" w:space="0" w:color="auto"/>
          </w:divBdr>
        </w:div>
      </w:divsChild>
    </w:div>
    <w:div w:id="1777286687">
      <w:bodyDiv w:val="1"/>
      <w:marLeft w:val="0"/>
      <w:marRight w:val="0"/>
      <w:marTop w:val="0"/>
      <w:marBottom w:val="0"/>
      <w:divBdr>
        <w:top w:val="none" w:sz="0" w:space="0" w:color="auto"/>
        <w:left w:val="none" w:sz="0" w:space="0" w:color="auto"/>
        <w:bottom w:val="none" w:sz="0" w:space="0" w:color="auto"/>
        <w:right w:val="none" w:sz="0" w:space="0" w:color="auto"/>
      </w:divBdr>
    </w:div>
    <w:div w:id="1778283931">
      <w:bodyDiv w:val="1"/>
      <w:marLeft w:val="0"/>
      <w:marRight w:val="0"/>
      <w:marTop w:val="0"/>
      <w:marBottom w:val="0"/>
      <w:divBdr>
        <w:top w:val="none" w:sz="0" w:space="0" w:color="auto"/>
        <w:left w:val="none" w:sz="0" w:space="0" w:color="auto"/>
        <w:bottom w:val="none" w:sz="0" w:space="0" w:color="auto"/>
        <w:right w:val="none" w:sz="0" w:space="0" w:color="auto"/>
      </w:divBdr>
    </w:div>
    <w:div w:id="1829589583">
      <w:bodyDiv w:val="1"/>
      <w:marLeft w:val="0"/>
      <w:marRight w:val="0"/>
      <w:marTop w:val="0"/>
      <w:marBottom w:val="0"/>
      <w:divBdr>
        <w:top w:val="none" w:sz="0" w:space="0" w:color="auto"/>
        <w:left w:val="none" w:sz="0" w:space="0" w:color="auto"/>
        <w:bottom w:val="none" w:sz="0" w:space="0" w:color="auto"/>
        <w:right w:val="none" w:sz="0" w:space="0" w:color="auto"/>
      </w:divBdr>
    </w:div>
    <w:div w:id="1852866228">
      <w:bodyDiv w:val="1"/>
      <w:marLeft w:val="0"/>
      <w:marRight w:val="0"/>
      <w:marTop w:val="0"/>
      <w:marBottom w:val="0"/>
      <w:divBdr>
        <w:top w:val="none" w:sz="0" w:space="0" w:color="auto"/>
        <w:left w:val="none" w:sz="0" w:space="0" w:color="auto"/>
        <w:bottom w:val="none" w:sz="0" w:space="0" w:color="auto"/>
        <w:right w:val="none" w:sz="0" w:space="0" w:color="auto"/>
      </w:divBdr>
    </w:div>
    <w:div w:id="1858930865">
      <w:bodyDiv w:val="1"/>
      <w:marLeft w:val="0"/>
      <w:marRight w:val="0"/>
      <w:marTop w:val="0"/>
      <w:marBottom w:val="0"/>
      <w:divBdr>
        <w:top w:val="none" w:sz="0" w:space="0" w:color="auto"/>
        <w:left w:val="none" w:sz="0" w:space="0" w:color="auto"/>
        <w:bottom w:val="none" w:sz="0" w:space="0" w:color="auto"/>
        <w:right w:val="none" w:sz="0" w:space="0" w:color="auto"/>
      </w:divBdr>
      <w:divsChild>
        <w:div w:id="1670713628">
          <w:marLeft w:val="0"/>
          <w:marRight w:val="0"/>
          <w:marTop w:val="0"/>
          <w:marBottom w:val="0"/>
          <w:divBdr>
            <w:top w:val="none" w:sz="0" w:space="0" w:color="auto"/>
            <w:left w:val="none" w:sz="0" w:space="0" w:color="auto"/>
            <w:bottom w:val="none" w:sz="0" w:space="0" w:color="auto"/>
            <w:right w:val="none" w:sz="0" w:space="0" w:color="auto"/>
          </w:divBdr>
        </w:div>
        <w:div w:id="1752461142">
          <w:marLeft w:val="0"/>
          <w:marRight w:val="0"/>
          <w:marTop w:val="0"/>
          <w:marBottom w:val="0"/>
          <w:divBdr>
            <w:top w:val="none" w:sz="0" w:space="0" w:color="auto"/>
            <w:left w:val="none" w:sz="0" w:space="0" w:color="auto"/>
            <w:bottom w:val="none" w:sz="0" w:space="0" w:color="auto"/>
            <w:right w:val="none" w:sz="0" w:space="0" w:color="auto"/>
          </w:divBdr>
        </w:div>
      </w:divsChild>
    </w:div>
    <w:div w:id="1982340688">
      <w:bodyDiv w:val="1"/>
      <w:marLeft w:val="0"/>
      <w:marRight w:val="0"/>
      <w:marTop w:val="0"/>
      <w:marBottom w:val="0"/>
      <w:divBdr>
        <w:top w:val="none" w:sz="0" w:space="0" w:color="auto"/>
        <w:left w:val="none" w:sz="0" w:space="0" w:color="auto"/>
        <w:bottom w:val="none" w:sz="0" w:space="0" w:color="auto"/>
        <w:right w:val="none" w:sz="0" w:space="0" w:color="auto"/>
      </w:divBdr>
    </w:div>
    <w:div w:id="1993560567">
      <w:bodyDiv w:val="1"/>
      <w:marLeft w:val="0"/>
      <w:marRight w:val="0"/>
      <w:marTop w:val="0"/>
      <w:marBottom w:val="0"/>
      <w:divBdr>
        <w:top w:val="none" w:sz="0" w:space="0" w:color="auto"/>
        <w:left w:val="none" w:sz="0" w:space="0" w:color="auto"/>
        <w:bottom w:val="none" w:sz="0" w:space="0" w:color="auto"/>
        <w:right w:val="none" w:sz="0" w:space="0" w:color="auto"/>
      </w:divBdr>
      <w:divsChild>
        <w:div w:id="1989089533">
          <w:marLeft w:val="0"/>
          <w:marRight w:val="0"/>
          <w:marTop w:val="0"/>
          <w:marBottom w:val="0"/>
          <w:divBdr>
            <w:top w:val="none" w:sz="0" w:space="0" w:color="auto"/>
            <w:left w:val="none" w:sz="0" w:space="0" w:color="auto"/>
            <w:bottom w:val="none" w:sz="0" w:space="0" w:color="auto"/>
            <w:right w:val="none" w:sz="0" w:space="0" w:color="auto"/>
          </w:divBdr>
        </w:div>
        <w:div w:id="850946951">
          <w:marLeft w:val="0"/>
          <w:marRight w:val="0"/>
          <w:marTop w:val="0"/>
          <w:marBottom w:val="0"/>
          <w:divBdr>
            <w:top w:val="none" w:sz="0" w:space="0" w:color="auto"/>
            <w:left w:val="none" w:sz="0" w:space="0" w:color="auto"/>
            <w:bottom w:val="none" w:sz="0" w:space="0" w:color="auto"/>
            <w:right w:val="none" w:sz="0" w:space="0" w:color="auto"/>
          </w:divBdr>
        </w:div>
        <w:div w:id="1398631494">
          <w:marLeft w:val="0"/>
          <w:marRight w:val="0"/>
          <w:marTop w:val="0"/>
          <w:marBottom w:val="0"/>
          <w:divBdr>
            <w:top w:val="none" w:sz="0" w:space="0" w:color="auto"/>
            <w:left w:val="none" w:sz="0" w:space="0" w:color="auto"/>
            <w:bottom w:val="none" w:sz="0" w:space="0" w:color="auto"/>
            <w:right w:val="none" w:sz="0" w:space="0" w:color="auto"/>
          </w:divBdr>
        </w:div>
        <w:div w:id="1736664487">
          <w:marLeft w:val="0"/>
          <w:marRight w:val="0"/>
          <w:marTop w:val="0"/>
          <w:marBottom w:val="0"/>
          <w:divBdr>
            <w:top w:val="none" w:sz="0" w:space="0" w:color="auto"/>
            <w:left w:val="none" w:sz="0" w:space="0" w:color="auto"/>
            <w:bottom w:val="none" w:sz="0" w:space="0" w:color="auto"/>
            <w:right w:val="none" w:sz="0" w:space="0" w:color="auto"/>
          </w:divBdr>
        </w:div>
        <w:div w:id="1483431012">
          <w:marLeft w:val="0"/>
          <w:marRight w:val="0"/>
          <w:marTop w:val="0"/>
          <w:marBottom w:val="0"/>
          <w:divBdr>
            <w:top w:val="none" w:sz="0" w:space="0" w:color="auto"/>
            <w:left w:val="none" w:sz="0" w:space="0" w:color="auto"/>
            <w:bottom w:val="none" w:sz="0" w:space="0" w:color="auto"/>
            <w:right w:val="none" w:sz="0" w:space="0" w:color="auto"/>
          </w:divBdr>
        </w:div>
        <w:div w:id="449325933">
          <w:marLeft w:val="0"/>
          <w:marRight w:val="0"/>
          <w:marTop w:val="0"/>
          <w:marBottom w:val="0"/>
          <w:divBdr>
            <w:top w:val="none" w:sz="0" w:space="0" w:color="auto"/>
            <w:left w:val="none" w:sz="0" w:space="0" w:color="auto"/>
            <w:bottom w:val="none" w:sz="0" w:space="0" w:color="auto"/>
            <w:right w:val="none" w:sz="0" w:space="0" w:color="auto"/>
          </w:divBdr>
        </w:div>
      </w:divsChild>
    </w:div>
    <w:div w:id="2024473103">
      <w:bodyDiv w:val="1"/>
      <w:marLeft w:val="0"/>
      <w:marRight w:val="0"/>
      <w:marTop w:val="0"/>
      <w:marBottom w:val="0"/>
      <w:divBdr>
        <w:top w:val="none" w:sz="0" w:space="0" w:color="auto"/>
        <w:left w:val="none" w:sz="0" w:space="0" w:color="auto"/>
        <w:bottom w:val="none" w:sz="0" w:space="0" w:color="auto"/>
        <w:right w:val="none" w:sz="0" w:space="0" w:color="auto"/>
      </w:divBdr>
    </w:div>
    <w:div w:id="2077511563">
      <w:bodyDiv w:val="1"/>
      <w:marLeft w:val="0"/>
      <w:marRight w:val="0"/>
      <w:marTop w:val="0"/>
      <w:marBottom w:val="0"/>
      <w:divBdr>
        <w:top w:val="none" w:sz="0" w:space="0" w:color="auto"/>
        <w:left w:val="none" w:sz="0" w:space="0" w:color="auto"/>
        <w:bottom w:val="none" w:sz="0" w:space="0" w:color="auto"/>
        <w:right w:val="none" w:sz="0" w:space="0" w:color="auto"/>
      </w:divBdr>
    </w:div>
    <w:div w:id="2105681133">
      <w:bodyDiv w:val="1"/>
      <w:marLeft w:val="0"/>
      <w:marRight w:val="0"/>
      <w:marTop w:val="0"/>
      <w:marBottom w:val="0"/>
      <w:divBdr>
        <w:top w:val="none" w:sz="0" w:space="0" w:color="auto"/>
        <w:left w:val="none" w:sz="0" w:space="0" w:color="auto"/>
        <w:bottom w:val="none" w:sz="0" w:space="0" w:color="auto"/>
        <w:right w:val="none" w:sz="0" w:space="0" w:color="auto"/>
      </w:divBdr>
    </w:div>
    <w:div w:id="213401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hyperlink" Target="https://www.forbes.com/" TargetMode="External"/><Relationship Id="rId18" Type="http://schemas.openxmlformats.org/officeDocument/2006/relationships/hyperlink" Target="https://www.peoplemanagement.co.uk/article/1905498/half-hr-leaders-experience-anxiety-least-once-week-study-reveal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cipd.co.uk/knowledge/fundamentals/emp-law" TargetMode="External"/><Relationship Id="rId12" Type="http://schemas.openxmlformats.org/officeDocument/2006/relationships/hyperlink" Target="https://www.youtube.com/watch?v=CZoOdv1Z4Q0" TargetMode="External"/><Relationship Id="rId17" Type="http://schemas.openxmlformats.org/officeDocument/2006/relationships/hyperlink" Target="https://www.hrdconnect.com/2025/01/21/organisational-culture-survey-shows-widespread-mismatch-between-behaviour-and-policies/" TargetMode="External"/><Relationship Id="rId2" Type="http://schemas.openxmlformats.org/officeDocument/2006/relationships/numbering" Target="numbering.xml"/><Relationship Id="rId16" Type="http://schemas.openxmlformats.org/officeDocument/2006/relationships/hyperlink" Target="https://www.hse.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4dayweek.com/research" TargetMode="External"/><Relationship Id="rId11" Type="http://schemas.openxmlformats.org/officeDocument/2006/relationships/hyperlink" Target="https://www.cipd.co.uk/" TargetMode="External"/><Relationship Id="rId5" Type="http://schemas.openxmlformats.org/officeDocument/2006/relationships/webSettings" Target="webSettings.xml"/><Relationship Id="rId15" Type="http://schemas.openxmlformats.org/officeDocument/2006/relationships/hyperlink" Target="https://hbr.org/" TargetMode="External"/><Relationship Id="rId10" Type="http://schemas.openxmlformats.org/officeDocument/2006/relationships/hyperlink" Target="https://www.cipd.co.uk/" TargetMode="External"/><Relationship Id="rId19" Type="http://schemas.openxmlformats.org/officeDocument/2006/relationships/hyperlink" Target="https://www.thehrconsultants.co.uk/"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hyperlink" Target="https://www.forb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Isa25</b:Tag>
    <b:SourceType>ArticleInAPeriodical</b:SourceType>
    <b:Guid>{5F6EA69D-9F58-ED47-B317-459D8769F2A0}</b:Guid>
    <b:Title>Half of HR leaders experience anxiety</b:Title>
    <b:Year>2025</b:Year>
    <b:Author>
      <b:Author>
        <b:NameList>
          <b:Person>
            <b:Last>Jackson</b:Last>
            <b:First>Isabel</b:First>
          </b:Person>
        </b:NameList>
      </b:Author>
    </b:Author>
    <b:PeriodicalTitle>People Management</b:PeriodicalTitle>
    <b:Month>February</b:Month>
    <b:Day>7</b:Day>
    <b:RefOrder>1</b:RefOrder>
  </b:Source>
</b:Sources>
</file>

<file path=customXml/itemProps1.xml><?xml version="1.0" encoding="utf-8"?>
<ds:datastoreItem xmlns:ds="http://schemas.openxmlformats.org/officeDocument/2006/customXml" ds:itemID="{3C7ABF20-B378-424C-8FB5-65841DB31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5935</Words>
  <Characters>33832</Characters>
  <Application>Microsoft Office Word</Application>
  <DocSecurity>0</DocSecurity>
  <Lines>281</Lines>
  <Paragraphs>79</Paragraphs>
  <ScaleCrop>false</ScaleCrop>
  <Company/>
  <LinksUpToDate>false</LinksUpToDate>
  <CharactersWithSpaces>39688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thewarnes42@gmail.com</dc:creator>
  <cp:keywords/>
  <dc:description/>
  <cp:lastModifiedBy>Melanie Warne</cp:lastModifiedBy>
  <cp:revision>4</cp:revision>
  <dcterms:created xsi:type="dcterms:W3CDTF">2025-02-09T12:27:00Z</dcterms:created>
  <dcterms:modified xsi:type="dcterms:W3CDTF">2025-02-09T12:28:00Z</dcterms:modified>
</cp:coreProperties>
</file>