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4F1598" w14:textId="0C48EB88" w:rsidR="00EC43E2" w:rsidRDefault="007753C5" w:rsidP="00CD4DA3">
      <w:pPr>
        <w:jc w:val="center"/>
      </w:pPr>
      <w:r>
        <w:rPr>
          <w:noProof/>
        </w:rPr>
        <w:drawing>
          <wp:inline distT="0" distB="0" distL="0" distR="0" wp14:anchorId="096B45F1" wp14:editId="378F3E95">
            <wp:extent cx="1905751" cy="2787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6124" cy="2802823"/>
                    </a:xfrm>
                    <a:prstGeom prst="rect">
                      <a:avLst/>
                    </a:prstGeom>
                    <a:noFill/>
                  </pic:spPr>
                </pic:pic>
              </a:graphicData>
            </a:graphic>
          </wp:inline>
        </w:drawing>
      </w:r>
    </w:p>
    <w:p w14:paraId="5CFC0F08" w14:textId="2ECD6D4B" w:rsidR="00EC43E2" w:rsidRDefault="00EC43E2" w:rsidP="00EC43E2">
      <w:r>
        <w:t>This analysis will evaluate and describe the late bronze age artefact termed ‘the figure of the seated goddess’ arguing that the object was likely used as a temple offering, a domestic protection statue or a burial guide (psychopomp). This analysis will argue that this object can reveal the multiple uses for divine figures (such as forms of guidance and protection) or even as a possible status symbol for the owner of the statue (due to its ornamentation). As well as the Canaanite trade network which can be extrapolated from the key features of the statue’s ornamentation.</w:t>
      </w:r>
    </w:p>
    <w:p w14:paraId="4CD98331" w14:textId="7C4EE2B6" w:rsidR="00EC43E2" w:rsidRDefault="00EC43E2" w:rsidP="00EC43E2">
      <w:r>
        <w:t>This artefact is likely to represent a seated female divinity, crafted from copper alloy or arsenic bronze measuring 27.6 cm tall. It was most likely crafted between the mid to late 14th and 13th centuries, in the Levant or Syria</w:t>
      </w:r>
      <w:r w:rsidR="00EE7591">
        <w:t xml:space="preserve"> during the proto-Syrian age</w:t>
      </w:r>
      <w:r>
        <w:t>.</w:t>
      </w:r>
      <w:r w:rsidR="00A066FC">
        <w:t xml:space="preserve"> I</w:t>
      </w:r>
      <w:r>
        <w:t xml:space="preserve">t </w:t>
      </w:r>
      <w:r w:rsidR="00A066FC">
        <w:t xml:space="preserve">is believed </w:t>
      </w:r>
      <w:r>
        <w:t>to be a product of the Canaanite civilisation. The figure itself has a conical headdress surrounded by a crown of horns. Indentations in the eye sockets of the statue suggest that there were inlaid eyes. We can extrapolate that coloured stones were used, given that neighbouring civilisations, like that of the Minoans and Mesopotamians used coloured stones to decorate statues of divine figures. Grooves along the surface of the figure suggest it is likely to have been shaped, using a process of heating and filing tools.</w:t>
      </w:r>
    </w:p>
    <w:p w14:paraId="4F8ACE1C" w14:textId="55CDE7ED" w:rsidR="00EC43E2" w:rsidRDefault="00EC43E2" w:rsidP="00EC43E2">
      <w:r>
        <w:t>The goddess’s face is clearly feminine. It has no beard, slanted eyes, the fact her hair is tied high with the headdress and an angled chin. These exaggerated characteristics demonstrate the statue is of a woman, conform</w:t>
      </w:r>
      <w:r w:rsidR="00F13DCF">
        <w:t>ing</w:t>
      </w:r>
      <w:r>
        <w:t xml:space="preserve"> to the fashions and ideals of beauty for women in this era. The dress is long and patterned, coming to above the ankles. The dress is not accentuated in detail like other effigies of the time, which exaggerate the bodily shape of the figure and feature accessories such as braids, ankle and wrist jewellery. There is evidence of jewellery inlaid into the neckline of the dress with markings most likely representing beads. In the Bronze Age, this type of garment was often found on bronze statuettes in the Levant, particularly those from Ugarit. It can also be seen on Syrian cylinder seals made in the Middle Bronze Age</w:t>
      </w:r>
      <w:r w:rsidR="001D452A">
        <w:t xml:space="preserve">. </w:t>
      </w:r>
      <w:r>
        <w:t>The feet are carefully chiselled and fitted with two studs</w:t>
      </w:r>
      <w:r w:rsidR="00F13DCF">
        <w:t xml:space="preserve"> li</w:t>
      </w:r>
      <w:r w:rsidR="001D452A">
        <w:t>kely to fit</w:t>
      </w:r>
      <w:r>
        <w:t xml:space="preserve"> into a wooden or stone base</w:t>
      </w:r>
      <w:r w:rsidR="001D452A">
        <w:t xml:space="preserve"> or</w:t>
      </w:r>
      <w:r>
        <w:t xml:space="preserve"> altars.</w:t>
      </w:r>
    </w:p>
    <w:p w14:paraId="1B11E3D0" w14:textId="77777777" w:rsidR="00EC43E2" w:rsidRDefault="00EC43E2" w:rsidP="00EC43E2"/>
    <w:p w14:paraId="0E674349" w14:textId="77777777" w:rsidR="00D13F72" w:rsidRDefault="00D13F72" w:rsidP="00EC43E2"/>
    <w:p w14:paraId="11B98287" w14:textId="57A51551" w:rsidR="00EC43E2" w:rsidRDefault="00EC43E2" w:rsidP="00EC43E2">
      <w:r>
        <w:t xml:space="preserve">The near east, like many cultures of the Bronze age, produced </w:t>
      </w:r>
      <w:r w:rsidR="009E48A1">
        <w:t xml:space="preserve">a large variety of </w:t>
      </w:r>
      <w:r>
        <w:t>sculptures of divine figures and figures in positions of power.</w:t>
      </w:r>
      <w:r w:rsidR="009E48A1">
        <w:t xml:space="preserve"> There are many examples of this seen in the archaeological record and it can be extrapolated that these can indicate aspects about the culture they are from</w:t>
      </w:r>
      <w:r w:rsidR="00FC68E8">
        <w:t xml:space="preserve"> including the</w:t>
      </w:r>
      <w:r w:rsidR="00687E32" w:rsidRPr="00687E32">
        <w:t xml:space="preserve"> social structur</w:t>
      </w:r>
      <w:r w:rsidR="00687E32">
        <w:t>e,</w:t>
      </w:r>
      <w:r w:rsidR="00687E32" w:rsidRPr="00687E32">
        <w:t xml:space="preserve"> forms of worship</w:t>
      </w:r>
      <w:r w:rsidR="00687E32">
        <w:t xml:space="preserve"> and religion of the time. </w:t>
      </w:r>
    </w:p>
    <w:p w14:paraId="7973E4E1" w14:textId="512C055D" w:rsidR="00EE7591" w:rsidRDefault="00687E32" w:rsidP="00EC43E2">
      <w:r>
        <w:t>As the form of a god</w:t>
      </w:r>
      <w:r w:rsidR="0093342D">
        <w:t>,</w:t>
      </w:r>
      <w:r>
        <w:t xml:space="preserve"> this statue has</w:t>
      </w:r>
      <w:r w:rsidR="0093342D">
        <w:t xml:space="preserve"> </w:t>
      </w:r>
      <w:r>
        <w:t xml:space="preserve">archaeological significance, firstly the conical headdress surrounded by </w:t>
      </w:r>
      <w:r w:rsidR="00EE7591">
        <w:t xml:space="preserve">a crown of </w:t>
      </w:r>
      <w:r w:rsidR="0093342D">
        <w:t>t</w:t>
      </w:r>
      <w:r w:rsidR="00EE7591">
        <w:t xml:space="preserve">horns is a representation of royalty and godhood, this can be found from other similar finds from the </w:t>
      </w:r>
      <w:r w:rsidR="004120AE">
        <w:t>L</w:t>
      </w:r>
      <w:r w:rsidR="00EE7591">
        <w:t xml:space="preserve">evant. Examples </w:t>
      </w:r>
      <w:r w:rsidR="00EC43E2">
        <w:t xml:space="preserve">like </w:t>
      </w:r>
      <w:r w:rsidR="00EE7591">
        <w:t>“</w:t>
      </w:r>
      <w:r w:rsidR="00EC43E2">
        <w:t xml:space="preserve">the Basalt god found in Jabbul in Aleppo </w:t>
      </w:r>
      <w:r w:rsidR="00EE7591">
        <w:t xml:space="preserve">which </w:t>
      </w:r>
      <w:r w:rsidR="00EC43E2">
        <w:t>demonstra</w:t>
      </w:r>
      <w:r w:rsidR="00EE7591">
        <w:t>tes</w:t>
      </w:r>
      <w:r w:rsidR="00EC43E2">
        <w:t xml:space="preserve"> </w:t>
      </w:r>
      <w:r w:rsidR="00EE7591">
        <w:t xml:space="preserve">these forms of statue and head dress </w:t>
      </w:r>
      <w:r w:rsidR="00EC43E2">
        <w:t>a</w:t>
      </w:r>
      <w:r w:rsidR="00EE7591">
        <w:t>s</w:t>
      </w:r>
      <w:r w:rsidR="00EC43E2">
        <w:t xml:space="preserve"> piece</w:t>
      </w:r>
      <w:r w:rsidR="00EE7591">
        <w:t>s</w:t>
      </w:r>
      <w:r w:rsidR="00EC43E2">
        <w:t xml:space="preserve"> of iconography </w:t>
      </w:r>
      <w:r w:rsidR="00EE7591">
        <w:t>with close links to</w:t>
      </w:r>
      <w:r w:rsidR="00EC43E2">
        <w:t xml:space="preserve"> royalty or godhood for the </w:t>
      </w:r>
      <w:r w:rsidR="004120AE">
        <w:t>L</w:t>
      </w:r>
      <w:r w:rsidR="00EC43E2">
        <w:t>evant</w:t>
      </w:r>
      <w:r w:rsidR="00EE7591">
        <w:t>”</w:t>
      </w:r>
      <w:r w:rsidR="001D452A">
        <w:t>(</w:t>
      </w:r>
      <w:r w:rsidR="001D452A" w:rsidRPr="001D452A">
        <w:t>Negbi Ora, 1976</w:t>
      </w:r>
      <w:r w:rsidR="001D452A">
        <w:t>)</w:t>
      </w:r>
      <w:r w:rsidR="00EE7591">
        <w:t xml:space="preserve"> thus indicating that</w:t>
      </w:r>
      <w:r w:rsidR="00EC43E2">
        <w:t xml:space="preserve"> </w:t>
      </w:r>
      <w:r w:rsidR="00EE7591">
        <w:t xml:space="preserve">as a common feature </w:t>
      </w:r>
      <w:r w:rsidR="00EC43E2">
        <w:t>in the bronze age Levant</w:t>
      </w:r>
      <w:r w:rsidR="00EE7591">
        <w:t xml:space="preserve"> </w:t>
      </w:r>
      <w:r w:rsidR="005D48C5">
        <w:t xml:space="preserve">in </w:t>
      </w:r>
      <w:r w:rsidR="00EE7591">
        <w:t xml:space="preserve">2000 BC due to the </w:t>
      </w:r>
      <w:r w:rsidR="00707D7C">
        <w:t>similarities</w:t>
      </w:r>
      <w:r w:rsidR="00EE7591">
        <w:t xml:space="preserve"> in culture and fashion seen on the statue</w:t>
      </w:r>
      <w:r w:rsidR="005D48C5">
        <w:t xml:space="preserve"> due to the dominating culture of the Amorite who ruled the main cities of the levant of Ashkelon, Byblos, Ullaza and Irqatum. </w:t>
      </w:r>
      <w:r w:rsidR="00984FC4">
        <w:t>This</w:t>
      </w:r>
      <w:r w:rsidR="005D48C5">
        <w:t xml:space="preserve"> </w:t>
      </w:r>
      <w:r w:rsidR="00550B01">
        <w:t>influences</w:t>
      </w:r>
      <w:r w:rsidR="005D48C5">
        <w:t xml:space="preserve"> are</w:t>
      </w:r>
      <w:r w:rsidR="00A67578">
        <w:t xml:space="preserve"> further</w:t>
      </w:r>
      <w:r w:rsidR="00984FC4">
        <w:t xml:space="preserve"> indicated by the appearance of the closed right hand likely missing a form of a staff or royal sceptre to be held to represent her divinity, or as a demonstration </w:t>
      </w:r>
      <w:r w:rsidR="005D48C5">
        <w:t xml:space="preserve">of </w:t>
      </w:r>
      <w:r w:rsidR="00A67578">
        <w:t xml:space="preserve">resilience or </w:t>
      </w:r>
      <w:r w:rsidR="005D48C5">
        <w:t xml:space="preserve">military power of the time as the Amorite people was that of military domination and later the defence </w:t>
      </w:r>
      <w:r w:rsidR="00550B01">
        <w:t>against</w:t>
      </w:r>
      <w:r w:rsidR="005D48C5">
        <w:t xml:space="preserve"> the</w:t>
      </w:r>
      <w:r w:rsidR="00550B01">
        <w:t xml:space="preserve"> increasing powers of Egyptian empire and Assyria thus what seemed to be a goddess of peace may likely be a seated goddess statue of peace and protection </w:t>
      </w:r>
      <w:r w:rsidR="00A67578">
        <w:t>of</w:t>
      </w:r>
      <w:r w:rsidR="00550B01">
        <w:t xml:space="preserve"> the state. </w:t>
      </w:r>
    </w:p>
    <w:p w14:paraId="22A533C5" w14:textId="77777777" w:rsidR="00C416B9" w:rsidRDefault="00B206EC" w:rsidP="00EC43E2">
      <w:r>
        <w:t xml:space="preserve">A key point of this argument for the significance is thar symbolic representation seen in the statue. What can be seen is that while the </w:t>
      </w:r>
      <w:r w:rsidRPr="00B206EC">
        <w:t xml:space="preserve">idea of a seated god is </w:t>
      </w:r>
      <w:r>
        <w:t xml:space="preserve">a </w:t>
      </w:r>
      <w:r w:rsidRPr="00B206EC">
        <w:t xml:space="preserve">common </w:t>
      </w:r>
      <w:r>
        <w:t>one like that of the</w:t>
      </w:r>
      <w:r w:rsidRPr="00B206EC">
        <w:t xml:space="preserve"> buddha in the modern era</w:t>
      </w:r>
      <w:r>
        <w:t>, similarly this figure demonstrates</w:t>
      </w:r>
      <w:r w:rsidRPr="00B206EC">
        <w:t xml:space="preserve"> the idea of peace </w:t>
      </w:r>
      <w:r>
        <w:t xml:space="preserve">which would normally </w:t>
      </w:r>
      <w:r w:rsidR="00E675D3">
        <w:t>future</w:t>
      </w:r>
      <w:r>
        <w:t xml:space="preserve"> </w:t>
      </w:r>
      <w:r w:rsidR="00E675D3">
        <w:t>one</w:t>
      </w:r>
      <w:r w:rsidRPr="00B206EC">
        <w:t xml:space="preserve"> hand open </w:t>
      </w:r>
      <w:r w:rsidR="00E675D3">
        <w:t>to</w:t>
      </w:r>
      <w:r w:rsidRPr="00B206EC">
        <w:t xml:space="preserve"> indicates an image of protection</w:t>
      </w:r>
      <w:r>
        <w:t xml:space="preserve"> </w:t>
      </w:r>
      <w:r w:rsidR="00E675D3">
        <w:t>or</w:t>
      </w:r>
      <w:r>
        <w:t xml:space="preserve"> in-action</w:t>
      </w:r>
      <w:r w:rsidRPr="00B206EC">
        <w:t>, while only one</w:t>
      </w:r>
      <w:r w:rsidR="00E675D3">
        <w:t xml:space="preserve"> aspect</w:t>
      </w:r>
      <w:r w:rsidRPr="00B206EC">
        <w:t xml:space="preserve"> can be seen the image of a seated goddess it is representing a goddess with peaceful or protective connotations “Some statuettes depict gods or goddesses draped in long robes, standing or sitting on a seat with a footrest, with one hand stretched out in a gesture interpreted as a blessing” (Raphael Greenberg, 2019 pp 272-353) thus is in all likely hood to be used as a piece of domestic protection within the home.</w:t>
      </w:r>
      <w:r>
        <w:t xml:space="preserve"> </w:t>
      </w:r>
    </w:p>
    <w:p w14:paraId="5A831DBE" w14:textId="510634F5" w:rsidR="00550B01" w:rsidRDefault="00E675D3" w:rsidP="00EC43E2">
      <w:r>
        <w:t>This stated a</w:t>
      </w:r>
      <w:r w:rsidR="00B206EC" w:rsidRPr="00B206EC">
        <w:t xml:space="preserve">nother point for argument is the missing left hand, as there is no evidence of a breakage or loss through erosion as such likely a conscious decision to end this hand in a stump. </w:t>
      </w:r>
      <w:r w:rsidR="00A67578">
        <w:t xml:space="preserve">While the audio description of the piece dictates this was for the two hands to clasp there is no markings on the right to suggest this but in my opinion there it two much space and there is to much meaning dedicated to the positions of hands even in this day and age that there must be other possible </w:t>
      </w:r>
      <w:r w:rsidR="00B206EC" w:rsidRPr="00B206EC">
        <w:t>symbolism</w:t>
      </w:r>
      <w:r>
        <w:t xml:space="preserve"> </w:t>
      </w:r>
      <w:r w:rsidR="00A67578">
        <w:t xml:space="preserve">for the left hand but with minimal </w:t>
      </w:r>
      <w:r w:rsidR="00C416B9">
        <w:t>evidence</w:t>
      </w:r>
      <w:r w:rsidR="00A67578">
        <w:t xml:space="preserve"> </w:t>
      </w:r>
      <w:r w:rsidR="00C416B9">
        <w:t>there are no conclusions to draw apart to confirm a position of the goddess statue as that of a protection and peace.</w:t>
      </w:r>
      <w:bookmarkStart w:id="0" w:name="_GoBack"/>
      <w:bookmarkEnd w:id="0"/>
    </w:p>
    <w:p w14:paraId="1D1EDACF" w14:textId="6EE51FAC" w:rsidR="00EC43E2" w:rsidRDefault="00550B01" w:rsidP="00EC43E2">
      <w:r>
        <w:t>S</w:t>
      </w:r>
      <w:r w:rsidR="00EC43E2">
        <w:t xml:space="preserve">imilar </w:t>
      </w:r>
      <w:r w:rsidR="00C02444">
        <w:t>b</w:t>
      </w:r>
      <w:r w:rsidR="00EC43E2">
        <w:t xml:space="preserve">ronze statuettes have been found </w:t>
      </w:r>
      <w:r>
        <w:t xml:space="preserve">in </w:t>
      </w:r>
      <w:r w:rsidR="00BE5740">
        <w:t>many</w:t>
      </w:r>
      <w:r w:rsidR="00EC43E2">
        <w:t xml:space="preserve"> urban sites</w:t>
      </w:r>
      <w:r>
        <w:t xml:space="preserve"> in the levant</w:t>
      </w:r>
      <w:r w:rsidR="00EC43E2">
        <w:t xml:space="preserve">. </w:t>
      </w:r>
      <w:r w:rsidR="002A76D2">
        <w:t>Many of</w:t>
      </w:r>
      <w:r w:rsidR="00BE5740">
        <w:t xml:space="preserve"> these finds have been dated </w:t>
      </w:r>
      <w:r w:rsidR="00EC43E2">
        <w:t xml:space="preserve">towards the end of the </w:t>
      </w:r>
      <w:r>
        <w:t>18</w:t>
      </w:r>
      <w:r w:rsidRPr="00550B01">
        <w:rPr>
          <w:vertAlign w:val="superscript"/>
        </w:rPr>
        <w:t>th</w:t>
      </w:r>
      <w:r>
        <w:t xml:space="preserve"> century</w:t>
      </w:r>
      <w:r w:rsidR="00EC43E2">
        <w:t xml:space="preserve"> BC and </w:t>
      </w:r>
      <w:r w:rsidR="00BE5740">
        <w:t xml:space="preserve">to the end of the </w:t>
      </w:r>
      <w:r w:rsidR="006217E0">
        <w:t>thirteenth century BCE</w:t>
      </w:r>
      <w:r w:rsidR="00BE5740">
        <w:t>.</w:t>
      </w:r>
      <w:r w:rsidR="00EC43E2">
        <w:t xml:space="preserve"> These figurines were</w:t>
      </w:r>
      <w:r>
        <w:t xml:space="preserve"> likely</w:t>
      </w:r>
      <w:r w:rsidR="00EC43E2">
        <w:t xml:space="preserve"> placed in temples and </w:t>
      </w:r>
      <w:r w:rsidR="0093342D">
        <w:t xml:space="preserve">were </w:t>
      </w:r>
      <w:r w:rsidR="00EC43E2">
        <w:t>no doubt dedicated to the gods</w:t>
      </w:r>
      <w:r>
        <w:t xml:space="preserve"> of there pantheon</w:t>
      </w:r>
      <w:r w:rsidR="00EC43E2">
        <w:t xml:space="preserve">. </w:t>
      </w:r>
      <w:r>
        <w:t>As s</w:t>
      </w:r>
      <w:r w:rsidR="00EC43E2">
        <w:t>ome were completely or partly covered with a thin leaf of gold or silver inserted in grooves made on the figure</w:t>
      </w:r>
      <w:r w:rsidR="006217E0">
        <w:t xml:space="preserve"> as to demonstrate wealth</w:t>
      </w:r>
      <w:r w:rsidR="0093342D">
        <w:t>.</w:t>
      </w:r>
      <w:r>
        <w:t xml:space="preserve"> This is likely as the levant was considered a </w:t>
      </w:r>
      <w:r>
        <w:lastRenderedPageBreak/>
        <w:t>key trade through the near east</w:t>
      </w:r>
      <w:r w:rsidR="0093342D">
        <w:t xml:space="preserve"> </w:t>
      </w:r>
      <w:r>
        <w:t>as such would gain wealth quickly and with the increasing dedication towards the military there would have been an increase in the offerings for goddess of peace and protection that was suggested earlier.</w:t>
      </w:r>
      <w:r w:rsidR="00B206EC">
        <w:t xml:space="preserve"> </w:t>
      </w:r>
      <w:r w:rsidR="00A67578">
        <w:t>Thus,</w:t>
      </w:r>
      <w:r w:rsidR="00B206EC">
        <w:t xml:space="preserve"> this piece has clear archaeological significance as evidence for the increasing turmoil of the </w:t>
      </w:r>
      <w:r w:rsidR="00A67578">
        <w:t>era and the increasing traid and welth of the bronze age levant.</w:t>
      </w:r>
    </w:p>
    <w:p w14:paraId="4407A38D" w14:textId="4FE3B649" w:rsidR="00EC43E2" w:rsidRDefault="00A07DC8" w:rsidP="00EC43E2">
      <w:r>
        <w:t xml:space="preserve">There are many forms of use for a divine statue such as this </w:t>
      </w:r>
      <w:r w:rsidR="00675774">
        <w:t>such as</w:t>
      </w:r>
      <w:r>
        <w:t xml:space="preserve"> an offering, </w:t>
      </w:r>
      <w:r w:rsidR="00EC43E2">
        <w:t xml:space="preserve">a </w:t>
      </w:r>
      <w:r>
        <w:t xml:space="preserve">domestic </w:t>
      </w:r>
      <w:r w:rsidR="00EC43E2">
        <w:t>protector</w:t>
      </w:r>
      <w:r>
        <w:t xml:space="preserve"> or a form of divine guidance for the dead</w:t>
      </w:r>
      <w:r w:rsidR="00EC43E2">
        <w:t xml:space="preserve">. This </w:t>
      </w:r>
      <w:r>
        <w:t xml:space="preserve">statue </w:t>
      </w:r>
      <w:r w:rsidR="00EC43E2">
        <w:t xml:space="preserve">is termed as a ‘seating goddess in an attitude of blessing’ </w:t>
      </w:r>
      <w:r>
        <w:t>a goddess with leanings towards nurture</w:t>
      </w:r>
      <w:r w:rsidR="00550B01">
        <w:t xml:space="preserve">, </w:t>
      </w:r>
      <w:r w:rsidR="009E48A1">
        <w:t>positivity</w:t>
      </w:r>
      <w:r w:rsidR="00550B01">
        <w:t xml:space="preserve"> and protection</w:t>
      </w:r>
      <w:r w:rsidR="00984FC4">
        <w:t>,</w:t>
      </w:r>
      <w:r>
        <w:t xml:space="preserve"> </w:t>
      </w:r>
      <w:r w:rsidR="00984FC4">
        <w:t xml:space="preserve">thus it is a </w:t>
      </w:r>
      <w:r w:rsidR="009E48A1">
        <w:t xml:space="preserve">possibility this statue </w:t>
      </w:r>
      <w:r w:rsidR="00984FC4">
        <w:t>was to be an</w:t>
      </w:r>
      <w:r w:rsidR="009E48A1">
        <w:t xml:space="preserve"> offering to show support to the goddess </w:t>
      </w:r>
      <w:r w:rsidR="00984FC4">
        <w:t xml:space="preserve">to </w:t>
      </w:r>
      <w:r w:rsidR="009E48A1">
        <w:t>likely gain good fortune in return</w:t>
      </w:r>
      <w:r w:rsidR="00675774">
        <w:t>. T</w:t>
      </w:r>
      <w:r w:rsidR="009E48A1">
        <w:t>his is furthered by the fact that</w:t>
      </w:r>
      <w:r>
        <w:t xml:space="preserve"> “many</w:t>
      </w:r>
      <w:r w:rsidR="00EC43E2">
        <w:t xml:space="preserve"> of the workshops in the levant produced metal statues to decorate and protect the home and to be offered at temples to appease the gods together as a culture”(Helga Seeden, 1982 pg. 108)</w:t>
      </w:r>
      <w:r w:rsidR="009E48A1">
        <w:t xml:space="preserve"> which would indicate either that it was a common object to have in the household or it was a commonly bought item more than once for a regular tribute to the goddess, thus it has a good chance of being a form of offering.</w:t>
      </w:r>
    </w:p>
    <w:p w14:paraId="1211D460" w14:textId="6B34A21B" w:rsidR="002A76D2" w:rsidRDefault="002A76D2" w:rsidP="00EC43E2">
      <w:r>
        <w:t>Thus,</w:t>
      </w:r>
      <w:r w:rsidR="001A18EE">
        <w:t xml:space="preserve"> </w:t>
      </w:r>
      <w:r w:rsidR="00BE5740">
        <w:t>it can be determined that this statue</w:t>
      </w:r>
      <w:r w:rsidR="00CA3F39">
        <w:t xml:space="preserve"> has </w:t>
      </w:r>
      <w:r w:rsidR="00BE5740">
        <w:t xml:space="preserve">evidence within its design and setting in the period, </w:t>
      </w:r>
      <w:r>
        <w:t>that these</w:t>
      </w:r>
      <w:r w:rsidR="00BE5740">
        <w:t xml:space="preserve"> image</w:t>
      </w:r>
      <w:r>
        <w:t>s</w:t>
      </w:r>
      <w:r w:rsidR="00BE5740">
        <w:t xml:space="preserve"> of the divine</w:t>
      </w:r>
      <w:r>
        <w:t xml:space="preserve"> likely hold many possible uses in the Canaanite culture from</w:t>
      </w:r>
      <w:r w:rsidR="00BE5740" w:rsidRPr="00BE5740">
        <w:t xml:space="preserve"> a temple offering, </w:t>
      </w:r>
      <w:r>
        <w:t xml:space="preserve">permanent </w:t>
      </w:r>
      <w:r w:rsidR="00BE5740" w:rsidRPr="00BE5740">
        <w:t>domestic protection</w:t>
      </w:r>
      <w:r>
        <w:t xml:space="preserve"> in the home</w:t>
      </w:r>
      <w:r w:rsidR="00BE5740" w:rsidRPr="00BE5740">
        <w:t xml:space="preserve"> statue or a</w:t>
      </w:r>
      <w:r>
        <w:t>s</w:t>
      </w:r>
      <w:r w:rsidR="00BE5740" w:rsidRPr="00BE5740">
        <w:t xml:space="preserve"> burial guide </w:t>
      </w:r>
      <w:r>
        <w:t xml:space="preserve">or </w:t>
      </w:r>
      <w:r w:rsidR="00BE5740" w:rsidRPr="00BE5740">
        <w:t>psychopomp</w:t>
      </w:r>
      <w:r>
        <w:t xml:space="preserve"> even as a possible </w:t>
      </w:r>
      <w:r w:rsidR="00BE5740" w:rsidRPr="00BE5740">
        <w:t>status symbol for the owner</w:t>
      </w:r>
      <w:r w:rsidR="00DC54D3">
        <w:t>.</w:t>
      </w:r>
    </w:p>
    <w:p w14:paraId="5DC8B4B3" w14:textId="77777777" w:rsidR="002728FD" w:rsidRDefault="002728FD" w:rsidP="00EC43E2"/>
    <w:p w14:paraId="41FBA5BD" w14:textId="7B0B5E9D" w:rsidR="00EC43E2" w:rsidRPr="002728FD" w:rsidRDefault="002728FD" w:rsidP="00EC43E2">
      <w:pPr>
        <w:rPr>
          <w:b/>
          <w:bCs/>
        </w:rPr>
      </w:pPr>
      <w:r w:rsidRPr="002728FD">
        <w:rPr>
          <w:b/>
          <w:bCs/>
        </w:rPr>
        <w:t>B</w:t>
      </w:r>
      <w:r w:rsidR="00EC43E2" w:rsidRPr="002728FD">
        <w:rPr>
          <w:b/>
          <w:bCs/>
        </w:rPr>
        <w:t>ibliography</w:t>
      </w:r>
    </w:p>
    <w:p w14:paraId="6E121F5F" w14:textId="5AF8AFEA" w:rsidR="00EC43E2" w:rsidRDefault="00EC43E2" w:rsidP="00EC43E2">
      <w:r>
        <w:t>Man, in the Ancient World: An Exhibition of the Pre-Christian Objects from the Regions of the Near East, Egypt, and the Mediterranean. Flushing, New York: The Queens College Art Collection, p. 14, no. 15.</w:t>
      </w:r>
    </w:p>
    <w:p w14:paraId="484A65F0" w14:textId="77777777" w:rsidR="00EC43E2" w:rsidRDefault="00EC43E2" w:rsidP="00EC43E2">
      <w:r>
        <w:t>Negbi, Ora, 1976. Canaanite Gods in Metal: An Archaeological Study of Ancient Syro-Palestinian Figurines. Tel Aviv: Tel Aviv University, no. 1645.</w:t>
      </w:r>
    </w:p>
    <w:p w14:paraId="69358DB7" w14:textId="77777777" w:rsidR="00EC43E2" w:rsidRDefault="00EC43E2" w:rsidP="00EC43E2">
      <w:r>
        <w:t>Evans, Jean. 2004. "Seated Goddess." The Metropolitan Museum of Art Bulletin 62 (2), Recent Acquisitions: A Selection: 2003-2004 (Fall, 2004), p. 6.</w:t>
      </w:r>
    </w:p>
    <w:p w14:paraId="468A840A" w14:textId="77777777" w:rsidR="00EC43E2" w:rsidRDefault="00EC43E2" w:rsidP="00EC43E2">
      <w:r>
        <w:t>Helga Seeden Peace Figurines from the Levant, sem-linkHelga Seeden MOM Éditions Année 1982 pp. 107-121</w:t>
      </w:r>
    </w:p>
    <w:p w14:paraId="44021AD7" w14:textId="1DC4179D" w:rsidR="00EC43E2" w:rsidRDefault="00EC43E2" w:rsidP="00EC43E2">
      <w:r>
        <w:t>Raphael Greenberg, The Archaeology of the Bronze Age Levant From Urban Origins to the Demise of City-States, 3700–1000 BCE, Tel-Aviv University, Publisher: Cambridge University Press, pp 272-353, 2019</w:t>
      </w:r>
    </w:p>
    <w:sectPr w:rsidR="00EC43E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982174" w14:textId="77777777" w:rsidR="00257176" w:rsidRDefault="00257176" w:rsidP="002B2644">
      <w:pPr>
        <w:spacing w:after="0" w:line="240" w:lineRule="auto"/>
      </w:pPr>
      <w:r>
        <w:separator/>
      </w:r>
    </w:p>
  </w:endnote>
  <w:endnote w:type="continuationSeparator" w:id="0">
    <w:p w14:paraId="29AE612F" w14:textId="77777777" w:rsidR="00257176" w:rsidRDefault="00257176" w:rsidP="002B2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B801B" w14:textId="7C9152D6" w:rsidR="00DA39A1" w:rsidRDefault="00DA39A1" w:rsidP="00DA39A1">
    <w:pPr>
      <w:pStyle w:val="Footer"/>
    </w:pPr>
    <w:r>
      <w:t>March 2020</w:t>
    </w:r>
    <w:r>
      <w:ptab w:relativeTo="margin" w:alignment="center" w:leader="none"/>
    </w:r>
    <w:r>
      <w:t>Pharaohs, Phoenicians and Peoples of the Sea</w:t>
    </w:r>
    <w:r>
      <w:ptab w:relativeTo="margin" w:alignment="right" w:leader="none"/>
    </w:r>
    <w:r>
      <w:t>Jack Glascott</w:t>
    </w:r>
  </w:p>
  <w:p w14:paraId="3E4F7ADD" w14:textId="2C480152" w:rsidR="002B2644" w:rsidRDefault="00DA39A1" w:rsidP="00DA39A1">
    <w:pPr>
      <w:pStyle w:val="Footer"/>
    </w:pPr>
    <w:r>
      <w:tab/>
    </w:r>
    <w:r w:rsidR="006129A3">
      <w:t xml:space="preserve">Page </w:t>
    </w:r>
    <w:r w:rsidR="006129A3">
      <w:fldChar w:fldCharType="begin"/>
    </w:r>
    <w:r w:rsidR="006129A3">
      <w:instrText xml:space="preserve"> PAGE   \* MERGEFORMAT </w:instrText>
    </w:r>
    <w:r w:rsidR="006129A3">
      <w:fldChar w:fldCharType="separate"/>
    </w:r>
    <w:r w:rsidR="006129A3">
      <w:rPr>
        <w:noProof/>
      </w:rPr>
      <w:t>1</w:t>
    </w:r>
    <w:r w:rsidR="006129A3">
      <w:rPr>
        <w:noProof/>
      </w:rPr>
      <w:fldChar w:fldCharType="end"/>
    </w:r>
    <w:r w:rsidR="006129A3">
      <w:rPr>
        <w:noProof/>
      </w:rPr>
      <w:t xml:space="preserve"> </w:t>
    </w:r>
    <w:r w:rsidR="006129A3">
      <w:t xml:space="preserve">of </w:t>
    </w:r>
    <w:r w:rsidR="00D13F72">
      <w:t>3</w:t>
    </w:r>
    <w:r w:rsidR="006129A3">
      <w:tab/>
    </w:r>
    <w:r>
      <w:t>1901783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59F13B" w14:textId="77777777" w:rsidR="00257176" w:rsidRDefault="00257176" w:rsidP="002B2644">
      <w:pPr>
        <w:spacing w:after="0" w:line="240" w:lineRule="auto"/>
      </w:pPr>
      <w:r>
        <w:separator/>
      </w:r>
    </w:p>
  </w:footnote>
  <w:footnote w:type="continuationSeparator" w:id="0">
    <w:p w14:paraId="208B9D03" w14:textId="77777777" w:rsidR="00257176" w:rsidRDefault="00257176" w:rsidP="002B26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5EE86" w14:textId="77777777" w:rsidR="002B2644" w:rsidRDefault="002B2644">
    <w:pPr>
      <w:pStyle w:val="Header"/>
      <w:rPr>
        <w:sz w:val="23"/>
        <w:szCs w:val="23"/>
      </w:rPr>
    </w:pPr>
    <w:r>
      <w:rPr>
        <w:sz w:val="23"/>
        <w:szCs w:val="23"/>
      </w:rPr>
      <w:t xml:space="preserve">Choose one of the following objects from the Metropolitan Museum of Art (NY). Write an analysis of this object: this should include a short description in your own words, a discussion of its possible use and a consideration of its archaeological significance. This should be academically grounded (i.e.) supported by the academic literature. </w:t>
    </w:r>
  </w:p>
  <w:p w14:paraId="218FCEA0" w14:textId="77A4B5F8" w:rsidR="002B2644" w:rsidRDefault="002B2644">
    <w:pPr>
      <w:pStyle w:val="Header"/>
    </w:pPr>
    <w:r>
      <w:rPr>
        <w:sz w:val="23"/>
        <w:szCs w:val="23"/>
      </w:rPr>
      <w:t>(1000 words, due Wed 1</w:t>
    </w:r>
    <w:r w:rsidRPr="002B2644">
      <w:rPr>
        <w:sz w:val="23"/>
        <w:szCs w:val="23"/>
        <w:vertAlign w:val="superscript"/>
      </w:rPr>
      <w:t>st</w:t>
    </w:r>
    <w:r>
      <w:rPr>
        <w:sz w:val="23"/>
        <w:szCs w:val="23"/>
      </w:rPr>
      <w:t xml:space="preserve"> April)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65BBA"/>
    <w:rsid w:val="00041004"/>
    <w:rsid w:val="001001CC"/>
    <w:rsid w:val="001138E7"/>
    <w:rsid w:val="001752D5"/>
    <w:rsid w:val="001A18EE"/>
    <w:rsid w:val="001B1AC1"/>
    <w:rsid w:val="001D452A"/>
    <w:rsid w:val="00257176"/>
    <w:rsid w:val="002728FD"/>
    <w:rsid w:val="002A1286"/>
    <w:rsid w:val="002A76D2"/>
    <w:rsid w:val="002B2644"/>
    <w:rsid w:val="0038665E"/>
    <w:rsid w:val="003A03B2"/>
    <w:rsid w:val="003B50EB"/>
    <w:rsid w:val="004120AE"/>
    <w:rsid w:val="00450088"/>
    <w:rsid w:val="00550B01"/>
    <w:rsid w:val="005B5C1B"/>
    <w:rsid w:val="005D48C5"/>
    <w:rsid w:val="006129A3"/>
    <w:rsid w:val="006217E0"/>
    <w:rsid w:val="00665BBA"/>
    <w:rsid w:val="00675774"/>
    <w:rsid w:val="00687E32"/>
    <w:rsid w:val="006C0EE8"/>
    <w:rsid w:val="00707D7C"/>
    <w:rsid w:val="00721576"/>
    <w:rsid w:val="00725251"/>
    <w:rsid w:val="007631B5"/>
    <w:rsid w:val="007753C5"/>
    <w:rsid w:val="007C4652"/>
    <w:rsid w:val="007D5C21"/>
    <w:rsid w:val="007E2E39"/>
    <w:rsid w:val="00881069"/>
    <w:rsid w:val="008B3F47"/>
    <w:rsid w:val="0093342D"/>
    <w:rsid w:val="00976E96"/>
    <w:rsid w:val="00984FC4"/>
    <w:rsid w:val="009E48A1"/>
    <w:rsid w:val="00A066FC"/>
    <w:rsid w:val="00A07DC8"/>
    <w:rsid w:val="00A67578"/>
    <w:rsid w:val="00AC1341"/>
    <w:rsid w:val="00B206EC"/>
    <w:rsid w:val="00B2654C"/>
    <w:rsid w:val="00B817B3"/>
    <w:rsid w:val="00BA16F1"/>
    <w:rsid w:val="00BB5ED0"/>
    <w:rsid w:val="00BC699B"/>
    <w:rsid w:val="00BE5740"/>
    <w:rsid w:val="00C02444"/>
    <w:rsid w:val="00C2356E"/>
    <w:rsid w:val="00C30194"/>
    <w:rsid w:val="00C416B9"/>
    <w:rsid w:val="00CA0997"/>
    <w:rsid w:val="00CA3F39"/>
    <w:rsid w:val="00CD4DA3"/>
    <w:rsid w:val="00D13F72"/>
    <w:rsid w:val="00DA39A1"/>
    <w:rsid w:val="00DC54D3"/>
    <w:rsid w:val="00DF3144"/>
    <w:rsid w:val="00E675D3"/>
    <w:rsid w:val="00E94FA2"/>
    <w:rsid w:val="00EC43E2"/>
    <w:rsid w:val="00ED7904"/>
    <w:rsid w:val="00EE7591"/>
    <w:rsid w:val="00F13DCF"/>
    <w:rsid w:val="00F35C12"/>
    <w:rsid w:val="00FC6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20F3AB"/>
  <w15:chartTrackingRefBased/>
  <w15:docId w15:val="{09500FDD-3254-4C91-9D8F-188203C6F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1069"/>
    <w:rPr>
      <w:color w:val="0000FF" w:themeColor="hyperlink"/>
      <w:u w:val="single"/>
    </w:rPr>
  </w:style>
  <w:style w:type="character" w:styleId="UnresolvedMention">
    <w:name w:val="Unresolved Mention"/>
    <w:basedOn w:val="DefaultParagraphFont"/>
    <w:uiPriority w:val="99"/>
    <w:semiHidden/>
    <w:unhideWhenUsed/>
    <w:rsid w:val="00881069"/>
    <w:rPr>
      <w:color w:val="605E5C"/>
      <w:shd w:val="clear" w:color="auto" w:fill="E1DFDD"/>
    </w:rPr>
  </w:style>
  <w:style w:type="character" w:styleId="CommentReference">
    <w:name w:val="annotation reference"/>
    <w:basedOn w:val="DefaultParagraphFont"/>
    <w:uiPriority w:val="99"/>
    <w:semiHidden/>
    <w:unhideWhenUsed/>
    <w:rsid w:val="00EC43E2"/>
    <w:rPr>
      <w:sz w:val="16"/>
      <w:szCs w:val="16"/>
    </w:rPr>
  </w:style>
  <w:style w:type="paragraph" w:styleId="CommentText">
    <w:name w:val="annotation text"/>
    <w:basedOn w:val="Normal"/>
    <w:link w:val="CommentTextChar"/>
    <w:uiPriority w:val="99"/>
    <w:semiHidden/>
    <w:unhideWhenUsed/>
    <w:rsid w:val="00EC43E2"/>
    <w:pPr>
      <w:spacing w:line="240" w:lineRule="auto"/>
    </w:pPr>
    <w:rPr>
      <w:sz w:val="20"/>
      <w:szCs w:val="20"/>
    </w:rPr>
  </w:style>
  <w:style w:type="character" w:customStyle="1" w:styleId="CommentTextChar">
    <w:name w:val="Comment Text Char"/>
    <w:basedOn w:val="DefaultParagraphFont"/>
    <w:link w:val="CommentText"/>
    <w:uiPriority w:val="99"/>
    <w:semiHidden/>
    <w:rsid w:val="00EC43E2"/>
    <w:rPr>
      <w:sz w:val="20"/>
      <w:szCs w:val="20"/>
    </w:rPr>
  </w:style>
  <w:style w:type="paragraph" w:styleId="CommentSubject">
    <w:name w:val="annotation subject"/>
    <w:basedOn w:val="CommentText"/>
    <w:next w:val="CommentText"/>
    <w:link w:val="CommentSubjectChar"/>
    <w:uiPriority w:val="99"/>
    <w:semiHidden/>
    <w:unhideWhenUsed/>
    <w:rsid w:val="00EC43E2"/>
    <w:rPr>
      <w:b/>
      <w:bCs/>
    </w:rPr>
  </w:style>
  <w:style w:type="character" w:customStyle="1" w:styleId="CommentSubjectChar">
    <w:name w:val="Comment Subject Char"/>
    <w:basedOn w:val="CommentTextChar"/>
    <w:link w:val="CommentSubject"/>
    <w:uiPriority w:val="99"/>
    <w:semiHidden/>
    <w:rsid w:val="00EC43E2"/>
    <w:rPr>
      <w:b/>
      <w:bCs/>
      <w:sz w:val="20"/>
      <w:szCs w:val="20"/>
    </w:rPr>
  </w:style>
  <w:style w:type="paragraph" w:styleId="BalloonText">
    <w:name w:val="Balloon Text"/>
    <w:basedOn w:val="Normal"/>
    <w:link w:val="BalloonTextChar"/>
    <w:uiPriority w:val="99"/>
    <w:semiHidden/>
    <w:unhideWhenUsed/>
    <w:rsid w:val="00EC43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43E2"/>
    <w:rPr>
      <w:rFonts w:ascii="Segoe UI" w:hAnsi="Segoe UI" w:cs="Segoe UI"/>
      <w:sz w:val="18"/>
      <w:szCs w:val="18"/>
    </w:rPr>
  </w:style>
  <w:style w:type="paragraph" w:styleId="Header">
    <w:name w:val="header"/>
    <w:basedOn w:val="Normal"/>
    <w:link w:val="HeaderChar"/>
    <w:uiPriority w:val="99"/>
    <w:unhideWhenUsed/>
    <w:rsid w:val="002B26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2644"/>
  </w:style>
  <w:style w:type="paragraph" w:styleId="Footer">
    <w:name w:val="footer"/>
    <w:basedOn w:val="Normal"/>
    <w:link w:val="FooterChar"/>
    <w:uiPriority w:val="99"/>
    <w:unhideWhenUsed/>
    <w:rsid w:val="002B26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26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C1961-D18B-42BD-8C42-271783CCB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3</Pages>
  <Words>1240</Words>
  <Characters>7069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Glascott</dc:creator>
  <cp:keywords/>
  <dc:description/>
  <cp:lastModifiedBy>Jack Glascott</cp:lastModifiedBy>
  <cp:revision>17</cp:revision>
  <dcterms:created xsi:type="dcterms:W3CDTF">2020-03-30T11:14:00Z</dcterms:created>
  <dcterms:modified xsi:type="dcterms:W3CDTF">2020-03-31T22:22:00Z</dcterms:modified>
</cp:coreProperties>
</file>