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86871DC" w14:textId="77777777" w:rsidR="00BA5E36" w:rsidRPr="00BA5E36" w:rsidRDefault="00BA5E36" w:rsidP="00BA5E36">
      <w:pPr>
        <w:jc w:val="center"/>
        <w:rPr>
          <w:rFonts w:ascii="Arial Nova" w:eastAsia="Arial Nova" w:hAnsi="Arial Nova" w:cs="Arial Nova"/>
          <w:sz w:val="44"/>
          <w:szCs w:val="44"/>
        </w:rPr>
      </w:pPr>
      <w:r w:rsidRPr="00BA5E36">
        <w:rPr>
          <w:rFonts w:ascii="Arial Nova" w:eastAsia="Arial Nova" w:hAnsi="Arial Nova" w:cs="Arial Nova"/>
          <w:sz w:val="44"/>
          <w:szCs w:val="44"/>
        </w:rPr>
        <w:t>University of Wales Trinity Saint David</w:t>
      </w:r>
    </w:p>
    <w:p w14:paraId="69E4E3A1" w14:textId="77777777" w:rsidR="00BA5E36" w:rsidRPr="00BA5E36" w:rsidRDefault="00BA5E36" w:rsidP="00BA5E36">
      <w:pPr>
        <w:jc w:val="center"/>
        <w:rPr>
          <w:rFonts w:ascii="Arial Nova" w:eastAsia="Arial Nova" w:hAnsi="Arial Nova" w:cs="Arial Nova"/>
          <w:sz w:val="44"/>
          <w:szCs w:val="44"/>
        </w:rPr>
      </w:pPr>
      <w:r w:rsidRPr="00BA5E36">
        <w:rPr>
          <w:rFonts w:ascii="Arial Nova" w:eastAsia="Arial Nova" w:hAnsi="Arial Nova" w:cs="Arial Nova"/>
          <w:sz w:val="44"/>
          <w:szCs w:val="44"/>
        </w:rPr>
        <w:t>BMHP5015 – Changemakers: Building your Personal Brand for Sustainable Employment</w:t>
      </w:r>
    </w:p>
    <w:p w14:paraId="0CFD881C" w14:textId="77777777" w:rsidR="00BA5E36" w:rsidRPr="00BA5E36" w:rsidRDefault="00BA5E36" w:rsidP="00BA5E36">
      <w:pPr>
        <w:jc w:val="center"/>
        <w:rPr>
          <w:rFonts w:ascii="Arial Nova" w:eastAsia="Arial Nova" w:hAnsi="Arial Nova" w:cs="Arial Nova"/>
          <w:sz w:val="44"/>
          <w:szCs w:val="44"/>
        </w:rPr>
      </w:pPr>
      <w:r w:rsidRPr="00BA5E36">
        <w:rPr>
          <w:rFonts w:ascii="Arial Nova" w:eastAsia="Arial Nova" w:hAnsi="Arial Nova" w:cs="Arial Nova"/>
          <w:sz w:val="44"/>
          <w:szCs w:val="44"/>
        </w:rPr>
        <w:t>Assessment 1 – Portfolio (Component 1)</w:t>
      </w:r>
    </w:p>
    <w:p w14:paraId="755B4DDF" w14:textId="77777777" w:rsidR="00BA5E36" w:rsidRPr="00BA5E36" w:rsidRDefault="00BA5E36" w:rsidP="00BA5E36">
      <w:pPr>
        <w:jc w:val="center"/>
        <w:rPr>
          <w:rFonts w:ascii="Arial Nova" w:eastAsia="Arial Nova" w:hAnsi="Arial Nova" w:cs="Arial Nova"/>
          <w:sz w:val="44"/>
          <w:szCs w:val="44"/>
        </w:rPr>
      </w:pPr>
      <w:r w:rsidRPr="00BA5E36">
        <w:rPr>
          <w:rFonts w:ascii="Arial Nova" w:eastAsia="Arial Nova" w:hAnsi="Arial Nova" w:cs="Arial Nova"/>
          <w:sz w:val="44"/>
          <w:szCs w:val="44"/>
        </w:rPr>
        <w:t>Student Name: Mevish Noor</w:t>
      </w:r>
    </w:p>
    <w:p w14:paraId="4AC74A97" w14:textId="77777777" w:rsidR="00BA5E36" w:rsidRPr="00BA5E36" w:rsidRDefault="00BA5E36" w:rsidP="00BA5E36">
      <w:pPr>
        <w:jc w:val="center"/>
        <w:rPr>
          <w:rFonts w:ascii="Arial Nova" w:eastAsia="Arial Nova" w:hAnsi="Arial Nova" w:cs="Arial Nova"/>
          <w:sz w:val="44"/>
          <w:szCs w:val="44"/>
        </w:rPr>
      </w:pPr>
      <w:r w:rsidRPr="00BA5E36">
        <w:rPr>
          <w:rFonts w:ascii="Arial Nova" w:eastAsia="Arial Nova" w:hAnsi="Arial Nova" w:cs="Arial Nova"/>
          <w:sz w:val="44"/>
          <w:szCs w:val="44"/>
        </w:rPr>
        <w:t>Student Number: 2407526</w:t>
      </w:r>
    </w:p>
    <w:p w14:paraId="47594052" w14:textId="77777777" w:rsidR="00BA5E36" w:rsidRPr="00BA5E36" w:rsidRDefault="00BA5E36" w:rsidP="00BA5E36">
      <w:pPr>
        <w:jc w:val="center"/>
        <w:rPr>
          <w:rFonts w:ascii="Arial Nova" w:eastAsia="Arial Nova" w:hAnsi="Arial Nova" w:cs="Arial Nova"/>
          <w:sz w:val="44"/>
          <w:szCs w:val="44"/>
        </w:rPr>
      </w:pPr>
      <w:proofErr w:type="spellStart"/>
      <w:r w:rsidRPr="00BA5E36">
        <w:rPr>
          <w:rFonts w:ascii="Arial Nova" w:eastAsia="Arial Nova" w:hAnsi="Arial Nova" w:cs="Arial Nova"/>
          <w:sz w:val="44"/>
          <w:szCs w:val="44"/>
        </w:rPr>
        <w:t>Programme</w:t>
      </w:r>
      <w:proofErr w:type="spellEnd"/>
      <w:r w:rsidRPr="00BA5E36">
        <w:rPr>
          <w:rFonts w:ascii="Arial Nova" w:eastAsia="Arial Nova" w:hAnsi="Arial Nova" w:cs="Arial Nova"/>
          <w:sz w:val="44"/>
          <w:szCs w:val="44"/>
        </w:rPr>
        <w:t>: BSc Health and Social Care</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2F689D47" w14:textId="77777777" w:rsidR="002E2E28" w:rsidRPr="002E2E28" w:rsidRDefault="002E2E28" w:rsidP="002E2E28">
      <w:pPr>
        <w:spacing w:line="360" w:lineRule="auto"/>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 xml:space="preserve">A personal brand is the way an individual deliberately presents and communicates their professional identity, values and strengths to a target audience </w:t>
      </w:r>
      <w:proofErr w:type="gramStart"/>
      <w:r w:rsidRPr="002E2E28">
        <w:rPr>
          <w:rFonts w:ascii="Arial" w:eastAsia="Arial Nova" w:hAnsi="Arial" w:cs="Arial"/>
          <w:color w:val="000000" w:themeColor="text1"/>
          <w:sz w:val="22"/>
          <w:szCs w:val="22"/>
        </w:rPr>
        <w:t>in order to</w:t>
      </w:r>
      <w:proofErr w:type="gramEnd"/>
      <w:r w:rsidRPr="002E2E28">
        <w:rPr>
          <w:rFonts w:ascii="Arial" w:eastAsia="Arial Nova" w:hAnsi="Arial" w:cs="Arial"/>
          <w:color w:val="000000" w:themeColor="text1"/>
          <w:sz w:val="22"/>
          <w:szCs w:val="22"/>
        </w:rPr>
        <w:t xml:space="preserve"> stand out and advance their career (Gorbatov, </w:t>
      </w:r>
      <w:proofErr w:type="spellStart"/>
      <w:r w:rsidRPr="002E2E28">
        <w:rPr>
          <w:rFonts w:ascii="Arial" w:eastAsia="Arial Nova" w:hAnsi="Arial" w:cs="Arial"/>
          <w:color w:val="000000" w:themeColor="text1"/>
          <w:sz w:val="22"/>
          <w:szCs w:val="22"/>
        </w:rPr>
        <w:t>Khapova</w:t>
      </w:r>
      <w:proofErr w:type="spellEnd"/>
      <w:r w:rsidRPr="002E2E28">
        <w:rPr>
          <w:rFonts w:ascii="Arial" w:eastAsia="Arial Nova" w:hAnsi="Arial" w:cs="Arial"/>
          <w:color w:val="000000" w:themeColor="text1"/>
          <w:sz w:val="22"/>
          <w:szCs w:val="22"/>
        </w:rPr>
        <w:t xml:space="preserve"> and </w:t>
      </w:r>
      <w:proofErr w:type="spellStart"/>
      <w:r w:rsidRPr="002E2E28">
        <w:rPr>
          <w:rFonts w:ascii="Arial" w:eastAsia="Arial Nova" w:hAnsi="Arial" w:cs="Arial"/>
          <w:color w:val="000000" w:themeColor="text1"/>
          <w:sz w:val="22"/>
          <w:szCs w:val="22"/>
        </w:rPr>
        <w:t>Lysova</w:t>
      </w:r>
      <w:proofErr w:type="spellEnd"/>
      <w:r w:rsidRPr="002E2E28">
        <w:rPr>
          <w:rFonts w:ascii="Arial" w:eastAsia="Arial Nova" w:hAnsi="Arial" w:cs="Arial"/>
          <w:color w:val="000000" w:themeColor="text1"/>
          <w:sz w:val="22"/>
          <w:szCs w:val="22"/>
        </w:rPr>
        <w:t xml:space="preserve">, 2018). In health and social care, a clear personal brand matters because employers recruit not only for competence but for the values and </w:t>
      </w:r>
      <w:proofErr w:type="spellStart"/>
      <w:r w:rsidRPr="002E2E28">
        <w:rPr>
          <w:rFonts w:ascii="Arial" w:eastAsia="Arial Nova" w:hAnsi="Arial" w:cs="Arial"/>
          <w:color w:val="000000" w:themeColor="text1"/>
          <w:sz w:val="22"/>
          <w:szCs w:val="22"/>
        </w:rPr>
        <w:t>behaviours</w:t>
      </w:r>
      <w:proofErr w:type="spellEnd"/>
      <w:r w:rsidRPr="002E2E28">
        <w:rPr>
          <w:rFonts w:ascii="Arial" w:eastAsia="Arial Nova" w:hAnsi="Arial" w:cs="Arial"/>
          <w:color w:val="000000" w:themeColor="text1"/>
          <w:sz w:val="22"/>
          <w:szCs w:val="22"/>
        </w:rPr>
        <w:t xml:space="preserve"> a person will bring to patient care.</w:t>
      </w:r>
    </w:p>
    <w:p w14:paraId="5B667912" w14:textId="77777777" w:rsidR="002E2E28" w:rsidRPr="002E2E28" w:rsidRDefault="002E2E28" w:rsidP="002E2E28">
      <w:pPr>
        <w:spacing w:line="360" w:lineRule="auto"/>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My personal brand is built around patience, compassion and reliability, developed through my current role as a healthcare assistant. Working directly with patients has taught me the value of remaining calm and attentive, particularly when supporting people who are anxious, in discomfort or unable to communicate easily. These qualities align closely with the NHS 6Cs — care, compassion, competence, communication, courage and commitment — which define the values expected of nursing staff (Department of Health, 2012). My goal is to progress from healthcare assistant to registered nurse, so my brand needs to reflect both hands-on caring experience and the professionalism the role demands.</w:t>
      </w:r>
    </w:p>
    <w:p w14:paraId="783924C5" w14:textId="053F7DEF" w:rsidR="021F216E" w:rsidRPr="002E2E28" w:rsidRDefault="002E2E28" w:rsidP="002E2E28">
      <w:pPr>
        <w:spacing w:line="360" w:lineRule="auto"/>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To develop my brand, I intend to complete a nursing qualification and gain NMC registration, undertake continuing professional development, and build a professional online presence through LinkedIn. I will also use reflective practice and seek mentorship from qualified nurses to strengthen my clinical knowledge and demonstrate a genuine commitment to growth within the profession.</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6C4813AA" w14:textId="77777777" w:rsidR="002E2E28" w:rsidRDefault="002E2E28" w:rsidP="021F216E">
      <w:pPr>
        <w:rPr>
          <w:rFonts w:ascii="Arial Nova" w:eastAsia="Arial Nova" w:hAnsi="Arial Nova" w:cs="Arial Nova"/>
          <w:color w:val="000000" w:themeColor="text1"/>
          <w:sz w:val="44"/>
          <w:szCs w:val="44"/>
        </w:rPr>
      </w:pPr>
    </w:p>
    <w:p w14:paraId="78587690" w14:textId="04708918"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0FE39BA5" w14:textId="73265D23" w:rsidR="021F216E" w:rsidRPr="002E2E28" w:rsidRDefault="002E2E28" w:rsidP="002E2E28">
      <w:pPr>
        <w:spacing w:line="360" w:lineRule="auto"/>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584AFF63" wp14:editId="0DE99A1C">
            <wp:extent cx="5943600" cy="3670126"/>
            <wp:effectExtent l="0" t="0" r="0" b="6985"/>
            <wp:docPr id="10309075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07517" name="Picture 10309075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670126"/>
                    </a:xfrm>
                    <a:prstGeom prst="rect">
                      <a:avLst/>
                    </a:prstGeom>
                  </pic:spPr>
                </pic:pic>
              </a:graphicData>
            </a:graphic>
          </wp:inline>
        </w:drawing>
      </w:r>
    </w:p>
    <w:p w14:paraId="3DD71BCD" w14:textId="77777777" w:rsidR="002E2E28" w:rsidRPr="002E2E28" w:rsidRDefault="002E2E28" w:rsidP="002E2E28">
      <w:pPr>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My network map illustrates the connections that currently support my personal and professional development across four dimensions: career, support, social and community. Reflecting on this, I would describe my network as a hybrid network. It combines a closed core of family and close colleagues with a more selective set of professional and community contacts I have built through my role as a healthcare assistant and my nursing studies (</w:t>
      </w:r>
      <w:proofErr w:type="spellStart"/>
      <w:r w:rsidRPr="002E2E28">
        <w:rPr>
          <w:rFonts w:ascii="Arial" w:eastAsia="Arial Nova" w:hAnsi="Arial" w:cs="Arial"/>
          <w:color w:val="000000" w:themeColor="text1"/>
          <w:sz w:val="22"/>
          <w:szCs w:val="22"/>
        </w:rPr>
        <w:t>Granovetter</w:t>
      </w:r>
      <w:proofErr w:type="spellEnd"/>
      <w:r w:rsidRPr="002E2E28">
        <w:rPr>
          <w:rFonts w:ascii="Arial" w:eastAsia="Arial Nova" w:hAnsi="Arial" w:cs="Arial"/>
          <w:color w:val="000000" w:themeColor="text1"/>
          <w:sz w:val="22"/>
          <w:szCs w:val="22"/>
        </w:rPr>
        <w:t>, 1973).</w:t>
      </w:r>
    </w:p>
    <w:p w14:paraId="00525939" w14:textId="77777777" w:rsidR="002E2E28" w:rsidRPr="002E2E28" w:rsidRDefault="002E2E28" w:rsidP="002E2E28">
      <w:pPr>
        <w:rPr>
          <w:rFonts w:ascii="Arial" w:eastAsia="Arial Nova" w:hAnsi="Arial" w:cs="Arial"/>
          <w:color w:val="000000" w:themeColor="text1"/>
          <w:sz w:val="22"/>
          <w:szCs w:val="22"/>
        </w:rPr>
      </w:pPr>
      <w:proofErr w:type="spellStart"/>
      <w:r w:rsidRPr="002E2E28">
        <w:rPr>
          <w:rFonts w:ascii="Arial" w:eastAsia="Arial Nova" w:hAnsi="Arial" w:cs="Arial"/>
          <w:color w:val="000000" w:themeColor="text1"/>
          <w:sz w:val="22"/>
          <w:szCs w:val="22"/>
        </w:rPr>
        <w:t>Analysing</w:t>
      </w:r>
      <w:proofErr w:type="spellEnd"/>
      <w:r w:rsidRPr="002E2E28">
        <w:rPr>
          <w:rFonts w:ascii="Arial" w:eastAsia="Arial Nova" w:hAnsi="Arial" w:cs="Arial"/>
          <w:color w:val="000000" w:themeColor="text1"/>
          <w:sz w:val="22"/>
          <w:szCs w:val="22"/>
        </w:rPr>
        <w:t xml:space="preserve"> my network through the lens of social capital, its clear strength is bonding capital — the close, trusting relationships I have with family, friends and colleagues who are </w:t>
      </w:r>
      <w:proofErr w:type="gramStart"/>
      <w:r w:rsidRPr="002E2E28">
        <w:rPr>
          <w:rFonts w:ascii="Arial" w:eastAsia="Arial Nova" w:hAnsi="Arial" w:cs="Arial"/>
          <w:color w:val="000000" w:themeColor="text1"/>
          <w:sz w:val="22"/>
          <w:szCs w:val="22"/>
        </w:rPr>
        <w:t>similar to</w:t>
      </w:r>
      <w:proofErr w:type="gramEnd"/>
      <w:r w:rsidRPr="002E2E28">
        <w:rPr>
          <w:rFonts w:ascii="Arial" w:eastAsia="Arial Nova" w:hAnsi="Arial" w:cs="Arial"/>
          <w:color w:val="000000" w:themeColor="text1"/>
          <w:sz w:val="22"/>
          <w:szCs w:val="22"/>
        </w:rPr>
        <w:t xml:space="preserve"> me and who provide emotional and practical support (Putnam, 2000). These ties keep me motivated but tend to connect me to people who share my existing situation and outlook.</w:t>
      </w:r>
    </w:p>
    <w:p w14:paraId="723599B3" w14:textId="33349CCF" w:rsidR="002E2E28" w:rsidRPr="002E2E28" w:rsidRDefault="002E2E28" w:rsidP="002E2E28">
      <w:pPr>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 xml:space="preserve">The main weaknesses lie in my bridging and linking capital. I have relatively few connections outside my immediate circle, which limits my exposure to different perspectives and opportunities within the wider profession. My linking </w:t>
      </w:r>
      <w:proofErr w:type="gramStart"/>
      <w:r w:rsidRPr="002E2E28">
        <w:rPr>
          <w:rFonts w:ascii="Arial" w:eastAsia="Arial Nova" w:hAnsi="Arial" w:cs="Arial"/>
          <w:color w:val="000000" w:themeColor="text1"/>
          <w:sz w:val="22"/>
          <w:szCs w:val="22"/>
        </w:rPr>
        <w:t>capital  relationships</w:t>
      </w:r>
      <w:proofErr w:type="gramEnd"/>
      <w:r w:rsidRPr="002E2E28">
        <w:rPr>
          <w:rFonts w:ascii="Arial" w:eastAsia="Arial Nova" w:hAnsi="Arial" w:cs="Arial"/>
          <w:color w:val="000000" w:themeColor="text1"/>
          <w:sz w:val="22"/>
          <w:szCs w:val="22"/>
        </w:rPr>
        <w:t xml:space="preserve"> with senior nurses, managers and professional </w:t>
      </w:r>
      <w:proofErr w:type="spellStart"/>
      <w:r w:rsidRPr="002E2E28">
        <w:rPr>
          <w:rFonts w:ascii="Arial" w:eastAsia="Arial Nova" w:hAnsi="Arial" w:cs="Arial"/>
          <w:color w:val="000000" w:themeColor="text1"/>
          <w:sz w:val="22"/>
          <w:szCs w:val="22"/>
        </w:rPr>
        <w:t>organisations</w:t>
      </w:r>
      <w:proofErr w:type="spellEnd"/>
      <w:r w:rsidRPr="002E2E28">
        <w:rPr>
          <w:rFonts w:ascii="Arial" w:eastAsia="Arial Nova" w:hAnsi="Arial" w:cs="Arial"/>
          <w:color w:val="000000" w:themeColor="text1"/>
          <w:sz w:val="22"/>
          <w:szCs w:val="22"/>
        </w:rPr>
        <w:t xml:space="preserve"> who hold influence is especially underdeveloped, yet these are the contacts most likely to support my progression from healthcare assistant to registered nurse.</w:t>
      </w:r>
    </w:p>
    <w:p w14:paraId="1DB8AEA2" w14:textId="34D01BC5" w:rsidR="00B7418E" w:rsidRPr="002E2E28" w:rsidRDefault="002E2E28" w:rsidP="021F216E">
      <w:pPr>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rPr>
        <w:t>To improve, I intend to join the Royal College of Nursing, actively use LinkedIn, and seek mentorship from qualified nurses to strengthen my bridging and linking connections.</w:t>
      </w: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5A5EBF9"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Who Cares? Why Britain's Social Care Crisis Is Everyone's Problem</w:t>
      </w:r>
    </w:p>
    <w:p w14:paraId="295AAF70" w14:textId="6BE366BF"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For anyone who has an ageing parent, a disabled relative  or simply plans to grow old themselves.</w:t>
      </w:r>
    </w:p>
    <w:p w14:paraId="17091875"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We all like to think that if we, or someone we love, ever needed care, it would be there. The uncomfortable truth is that adult social care in England is in serious trouble, and most people don't realise it until they're forced to.</w:t>
      </w:r>
    </w:p>
    <w:p w14:paraId="52FBFFE4"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Here's the first surprise: unlike the NHS, social care isn't free at the point of use. There's no national budget for it. Instead, it's run by 153 local councils and it's means-tested — meaning your income and savings are assessed, and many people end up paying for their own care, sometimes losing their homes to do so (Health Foundation, 2026).</w:t>
      </w:r>
    </w:p>
    <w:p w14:paraId="2894C14B"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And the money isn't stretching. In 2024/25, councils in England spent around £28.7 billion on adult social care, yet the sector is still described as being in crisis (Health Foundation, 2026). Care homes are closing, staff are underpaid and leaving in droves, and independent analysis suggests the system needs roughly £3.4 billion more each year just to stand still (Community Care, 2025).</w:t>
      </w:r>
    </w:p>
    <w:p w14:paraId="6DC83090"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Why should this matter to you if you're fit and healthy right now? Because almost all of us will either need care or care for someone else at some point in our lives. When social care fails, the pressure lands on families — often women giving up work to look after relatives — and on the NHS, where people get stuck in hospital beds because there's no care package to send them home to.</w:t>
      </w:r>
    </w:p>
    <w:p w14:paraId="33FBE7BE" w14:textId="77777777" w:rsidR="002E2E28" w:rsidRPr="002E2E28" w:rsidRDefault="002E2E28" w:rsidP="002E2E28">
      <w:pPr>
        <w:rPr>
          <w:rFonts w:ascii="Arial" w:eastAsia="Arial Nova" w:hAnsi="Arial" w:cs="Arial"/>
          <w:color w:val="000000" w:themeColor="text1"/>
          <w:sz w:val="22"/>
          <w:szCs w:val="22"/>
          <w:lang w:val="en-GB"/>
        </w:rPr>
      </w:pPr>
      <w:r w:rsidRPr="002E2E28">
        <w:rPr>
          <w:rFonts w:ascii="Arial" w:eastAsia="Arial Nova" w:hAnsi="Arial" w:cs="Arial"/>
          <w:color w:val="000000" w:themeColor="text1"/>
          <w:sz w:val="22"/>
          <w:szCs w:val="22"/>
          <w:lang w:val="en-GB"/>
        </w:rPr>
        <w:t>There is some hope. The government has set up the Casey Commission, led by Baroness Louise Casey, to design a long-term plan for a "national care service", with reforms meant to be phased in over the next decade (Community Care, 2025). Extra funding has also been promised for the coming years. But we've heard promises of reform before, and they've come and gone.</w:t>
      </w:r>
    </w:p>
    <w:p w14:paraId="1422809C" w14:textId="61F63F5C" w:rsidR="021F216E" w:rsidRPr="002E2E28" w:rsidRDefault="002E2E28" w:rsidP="002E2E28">
      <w:pPr>
        <w:rPr>
          <w:rFonts w:ascii="Arial" w:eastAsia="Arial Nova" w:hAnsi="Arial" w:cs="Arial"/>
          <w:color w:val="000000" w:themeColor="text1"/>
          <w:sz w:val="22"/>
          <w:szCs w:val="22"/>
        </w:rPr>
      </w:pPr>
      <w:r w:rsidRPr="002E2E28">
        <w:rPr>
          <w:rFonts w:ascii="Arial" w:eastAsia="Arial Nova" w:hAnsi="Arial" w:cs="Arial"/>
          <w:color w:val="000000" w:themeColor="text1"/>
          <w:sz w:val="22"/>
          <w:szCs w:val="22"/>
          <w:lang w:val="en-GB"/>
        </w:rPr>
        <w:t>The message is simple: social care shouldn't be an afterthought we only notice when it's too late. It's a service that underpins the dignity of the most vulnerable people in our society — and one day, that could be any of us. It's worth caring about now.</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44AD744E" w14:textId="77777777" w:rsidR="00FF3D60" w:rsidRDefault="79E626CA" w:rsidP="00FF3D60">
      <w:pPr>
        <w:rPr>
          <w:rFonts w:ascii="Arial Nova" w:eastAsia="Arial Nova" w:hAnsi="Arial Nova" w:cs="Arial Nova"/>
          <w:color w:val="000000" w:themeColor="text1"/>
          <w:sz w:val="32"/>
          <w:szCs w:val="32"/>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116879A" w14:textId="59559E79" w:rsidR="00FF3D60" w:rsidRPr="00FF3D60" w:rsidRDefault="00FF3D60" w:rsidP="00FF3D60">
      <w:pPr>
        <w:rPr>
          <w:rFonts w:ascii="Arial Nova" w:eastAsia="Arial Nova" w:hAnsi="Arial Nova" w:cs="Arial Nova"/>
          <w:color w:val="000000" w:themeColor="text1"/>
          <w:sz w:val="44"/>
          <w:szCs w:val="44"/>
        </w:rPr>
      </w:pPr>
      <w:r w:rsidRPr="00FF3D60">
        <w:rPr>
          <w:rStyle w:val="Strong"/>
          <w:rFonts w:ascii="Arial" w:hAnsi="Arial" w:cs="Arial"/>
          <w:sz w:val="22"/>
          <w:szCs w:val="22"/>
        </w:rPr>
        <w:t>1. Primary goal of the plan?</w:t>
      </w:r>
      <w:r w:rsidRPr="00FF3D60">
        <w:rPr>
          <w:rFonts w:ascii="Arial" w:hAnsi="Arial" w:cs="Arial"/>
          <w:sz w:val="22"/>
          <w:szCs w:val="22"/>
        </w:rPr>
        <w:br/>
        <w:t>Its main aim is to improve equality, diversity and inclusion across the NHS and to enhance the sense of belonging for NHS staff to improve their experience, which in turn supports staff retention and better patient care.</w:t>
      </w:r>
    </w:p>
    <w:p w14:paraId="085D1E54" w14:textId="21AAB768"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2. How does it tackle the gender pay gap?</w:t>
      </w:r>
      <w:r w:rsidRPr="00FF3D60">
        <w:rPr>
          <w:rFonts w:ascii="Arial" w:hAnsi="Arial" w:cs="Arial"/>
          <w:sz w:val="22"/>
          <w:szCs w:val="22"/>
        </w:rPr>
        <w:br/>
        <w:t>Through High Impact Action 3, which requires organisations to develop and implement an improvement plan to eliminate pay gaps in relation to gender (alongside race and disability) and to evidence measurable progress.</w:t>
      </w:r>
    </w:p>
    <w:p w14:paraId="776127E5" w14:textId="28ACF141"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3. What is meant by 'intersectionality'?</w:t>
      </w:r>
      <w:r w:rsidRPr="00FF3D60">
        <w:rPr>
          <w:rFonts w:ascii="Arial" w:hAnsi="Arial" w:cs="Arial"/>
          <w:sz w:val="22"/>
          <w:szCs w:val="22"/>
        </w:rPr>
        <w:br/>
        <w:t xml:space="preserve">It recognises that people have complex and multiple identities, and that multiple forms of inequality or disadvantage sometimes combine to create obstacles that cannot be addressed by focusing on a single protected characteristic in isolation. </w:t>
      </w:r>
    </w:p>
    <w:p w14:paraId="654482E9" w14:textId="77777777"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4. Why is a psychologically safe environment important?</w:t>
      </w:r>
      <w:r w:rsidRPr="00FF3D60">
        <w:rPr>
          <w:rFonts w:ascii="Arial" w:hAnsi="Arial" w:cs="Arial"/>
          <w:sz w:val="22"/>
          <w:szCs w:val="22"/>
        </w:rPr>
        <w:br/>
        <w:t>Because inclusive environments create psychological safety and release the benefits of diversity, allowing staff to speak up and contribute fully, which supports safer and more productive patient care.</w:t>
      </w:r>
    </w:p>
    <w:p w14:paraId="105F1544" w14:textId="2F5345E3"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5. How does it improve the experience of internationally recruited staff?</w:t>
      </w:r>
      <w:r w:rsidRPr="00FF3D60">
        <w:rPr>
          <w:rFonts w:ascii="Arial" w:hAnsi="Arial" w:cs="Arial"/>
          <w:sz w:val="22"/>
          <w:szCs w:val="22"/>
        </w:rPr>
        <w:br/>
        <w:t xml:space="preserve">Through High Impact Action 5, which asks organisations to give clear pre-arrival guidance on employment and immigration conditions and to create comprehensive onboarding programmes for international recruits, with line managers maintaining cultural awareness. </w:t>
      </w:r>
    </w:p>
    <w:p w14:paraId="2ABF8568" w14:textId="752BE092"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6. What role does leadership play?</w:t>
      </w:r>
      <w:r w:rsidRPr="00FF3D60">
        <w:rPr>
          <w:rFonts w:ascii="Arial" w:hAnsi="Arial" w:cs="Arial"/>
          <w:sz w:val="22"/>
          <w:szCs w:val="22"/>
        </w:rPr>
        <w:br/>
        <w:t>Leadership is central: chief executives, chairs and board members must have specific and measurable EDI objectives to which they will be individually and collectively accountable, setting the culture on the principle that EDI is everyone's business.</w:t>
      </w:r>
      <w:r w:rsidRPr="00FF3D60">
        <w:rPr>
          <w:rFonts w:ascii="Arial" w:hAnsi="Arial" w:cs="Arial"/>
          <w:sz w:val="22"/>
          <w:szCs w:val="22"/>
        </w:rPr>
        <w:t xml:space="preserve"> </w:t>
      </w:r>
    </w:p>
    <w:p w14:paraId="106DA6FF" w14:textId="77777777"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7. One way it reduces health inequalities within the workforce?</w:t>
      </w:r>
      <w:r w:rsidRPr="00FF3D60">
        <w:rPr>
          <w:rFonts w:ascii="Arial" w:hAnsi="Arial" w:cs="Arial"/>
          <w:sz w:val="22"/>
          <w:szCs w:val="22"/>
        </w:rPr>
        <w:br/>
        <w:t>High Impact Action 4 requires organisations to address health inequalities within their own workforce, for example by acting on staff health and wellbeing concerns raised through the NHS Staff Survey.</w:t>
      </w:r>
    </w:p>
    <w:p w14:paraId="59AC51A9" w14:textId="23007CD5"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8. Why emphasise collecting and analysing data on protected characteristics?</w:t>
      </w:r>
      <w:r w:rsidRPr="00FF3D60">
        <w:rPr>
          <w:rFonts w:ascii="Arial" w:hAnsi="Arial" w:cs="Arial"/>
          <w:sz w:val="22"/>
          <w:szCs w:val="22"/>
        </w:rPr>
        <w:br/>
        <w:t xml:space="preserve">Because reviewing workforce data alongside lived experience allows boards to review relevant data to establish EDI areas of concern and prioritise actions, with progress tracked through the Board Assurance Framework. </w:t>
      </w:r>
    </w:p>
    <w:p w14:paraId="42C5B61B" w14:textId="77777777"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t>9. How can flexible working contribute to equality and inclusion?</w:t>
      </w:r>
      <w:r w:rsidRPr="00FF3D60">
        <w:rPr>
          <w:rFonts w:ascii="Arial" w:hAnsi="Arial" w:cs="Arial"/>
          <w:sz w:val="22"/>
          <w:szCs w:val="22"/>
        </w:rPr>
        <w:br/>
        <w:t>Flexible working helps staff balance work with caring responsibilities, disability or other needs, making the NHS more accessible and inclusive and supporting the retention of a diverse workforce.</w:t>
      </w:r>
    </w:p>
    <w:p w14:paraId="35E8115C" w14:textId="291880FC" w:rsidR="00FF3D60" w:rsidRPr="00FF3D60" w:rsidRDefault="00FF3D60" w:rsidP="00FF3D60">
      <w:pPr>
        <w:pStyle w:val="font-claude-response-body"/>
        <w:rPr>
          <w:rFonts w:ascii="Arial" w:hAnsi="Arial" w:cs="Arial"/>
          <w:sz w:val="22"/>
          <w:szCs w:val="22"/>
        </w:rPr>
      </w:pPr>
      <w:r w:rsidRPr="00FF3D60">
        <w:rPr>
          <w:rStyle w:val="Strong"/>
          <w:rFonts w:ascii="Arial" w:hAnsi="Arial" w:cs="Arial"/>
          <w:sz w:val="22"/>
          <w:szCs w:val="22"/>
        </w:rPr>
        <w:lastRenderedPageBreak/>
        <w:t>10. One strategy to combat bullying and harassment?</w:t>
      </w:r>
      <w:r w:rsidRPr="00FF3D60">
        <w:rPr>
          <w:rFonts w:ascii="Arial" w:hAnsi="Arial" w:cs="Arial"/>
          <w:sz w:val="22"/>
          <w:szCs w:val="22"/>
        </w:rPr>
        <w:br/>
        <w:t xml:space="preserve">High Impact Action 6 commits organisations to eliminate conditions and environment in which bullying, harassment and physical violence </w:t>
      </w:r>
      <w:r w:rsidRPr="00FF3D60">
        <w:rPr>
          <w:rFonts w:ascii="Arial" w:hAnsi="Arial" w:cs="Arial"/>
          <w:sz w:val="22"/>
          <w:szCs w:val="22"/>
        </w:rPr>
        <w:t>occur</w:t>
      </w:r>
      <w:r w:rsidRPr="00FF3D60">
        <w:rPr>
          <w:rFonts w:ascii="Arial" w:hAnsi="Arial" w:cs="Arial"/>
          <w:sz w:val="22"/>
          <w:szCs w:val="22"/>
        </w:rPr>
        <w:t xml:space="preserve">, building safer and more compassionate workplace cultures. </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67C0916F" w14:textId="77777777" w:rsidR="00FF3D60" w:rsidRDefault="00FF3D60" w:rsidP="021F216E">
      <w:pPr>
        <w:rPr>
          <w:rFonts w:ascii="Arial Nova" w:eastAsia="Arial Nova" w:hAnsi="Arial Nova" w:cs="Arial Nova"/>
          <w:i/>
          <w:iCs/>
          <w:color w:val="000000" w:themeColor="text1"/>
        </w:rPr>
      </w:pPr>
    </w:p>
    <w:p w14:paraId="26BD72EE" w14:textId="77777777" w:rsidR="00FF3D60" w:rsidRDefault="00FF3D60" w:rsidP="021F216E">
      <w:pPr>
        <w:rPr>
          <w:rFonts w:ascii="Arial Nova" w:eastAsia="Arial Nova" w:hAnsi="Arial Nova" w:cs="Arial Nova"/>
          <w:i/>
          <w:iCs/>
          <w:color w:val="000000" w:themeColor="text1"/>
        </w:rPr>
      </w:pPr>
    </w:p>
    <w:p w14:paraId="028130F2" w14:textId="77777777" w:rsidR="00FF3D60" w:rsidRDefault="00FF3D60" w:rsidP="021F216E">
      <w:pPr>
        <w:rPr>
          <w:rFonts w:ascii="Arial Nova" w:eastAsia="Arial Nova" w:hAnsi="Arial Nova" w:cs="Arial Nova"/>
          <w:i/>
          <w:iCs/>
          <w:color w:val="000000" w:themeColor="text1"/>
        </w:rPr>
      </w:pPr>
    </w:p>
    <w:p w14:paraId="68573A09" w14:textId="77777777" w:rsidR="00FF3D60" w:rsidRDefault="00FF3D60" w:rsidP="021F216E">
      <w:pPr>
        <w:rPr>
          <w:rFonts w:ascii="Arial Nova" w:eastAsia="Arial Nova" w:hAnsi="Arial Nova" w:cs="Arial Nova"/>
          <w:i/>
          <w:iCs/>
          <w:color w:val="000000" w:themeColor="text1"/>
        </w:rPr>
      </w:pPr>
    </w:p>
    <w:p w14:paraId="25AC573B" w14:textId="77777777" w:rsidR="00FF3D60" w:rsidRDefault="00FF3D60" w:rsidP="021F216E">
      <w:pPr>
        <w:rPr>
          <w:rFonts w:ascii="Arial Nova" w:eastAsia="Arial Nova" w:hAnsi="Arial Nova" w:cs="Arial Nova"/>
          <w:i/>
          <w:iCs/>
          <w:color w:val="000000" w:themeColor="text1"/>
        </w:rPr>
      </w:pPr>
    </w:p>
    <w:p w14:paraId="60491373" w14:textId="77777777" w:rsidR="00FF3D60" w:rsidRDefault="00FF3D60" w:rsidP="021F216E">
      <w:pPr>
        <w:rPr>
          <w:rFonts w:ascii="Arial Nova" w:eastAsia="Arial Nova" w:hAnsi="Arial Nova" w:cs="Arial Nova"/>
          <w:i/>
          <w:iCs/>
          <w:color w:val="000000" w:themeColor="text1"/>
        </w:rPr>
      </w:pPr>
    </w:p>
    <w:p w14:paraId="287CA9B5" w14:textId="77777777" w:rsidR="00FF3D60" w:rsidRDefault="00FF3D60" w:rsidP="021F216E">
      <w:pPr>
        <w:rPr>
          <w:rFonts w:ascii="Arial Nova" w:eastAsia="Arial Nova" w:hAnsi="Arial Nova" w:cs="Arial Nova"/>
          <w:i/>
          <w:iCs/>
          <w:color w:val="000000" w:themeColor="text1"/>
        </w:rPr>
      </w:pPr>
    </w:p>
    <w:p w14:paraId="4D176F00" w14:textId="77777777" w:rsidR="00FF3D60" w:rsidRDefault="00FF3D60" w:rsidP="021F216E">
      <w:pPr>
        <w:rPr>
          <w:rFonts w:ascii="Arial Nova" w:eastAsia="Arial Nova" w:hAnsi="Arial Nova" w:cs="Arial Nova"/>
          <w:i/>
          <w:iCs/>
          <w:color w:val="000000" w:themeColor="text1"/>
        </w:rPr>
      </w:pPr>
    </w:p>
    <w:p w14:paraId="7C1C4923" w14:textId="77777777" w:rsidR="00FF3D60" w:rsidRDefault="00FF3D60" w:rsidP="021F216E">
      <w:pPr>
        <w:rPr>
          <w:rFonts w:ascii="Arial Nova" w:eastAsia="Arial Nova" w:hAnsi="Arial Nova" w:cs="Arial Nova"/>
          <w:i/>
          <w:iCs/>
          <w:color w:val="000000" w:themeColor="text1"/>
        </w:rPr>
      </w:pPr>
    </w:p>
    <w:p w14:paraId="6FDCEE9A" w14:textId="77777777" w:rsidR="00FF3D60" w:rsidRDefault="00FF3D60" w:rsidP="021F216E">
      <w:pPr>
        <w:rPr>
          <w:rFonts w:ascii="Arial Nova" w:eastAsia="Arial Nova" w:hAnsi="Arial Nova" w:cs="Arial Nova"/>
          <w:i/>
          <w:iCs/>
          <w:color w:val="000000" w:themeColor="text1"/>
        </w:rPr>
      </w:pPr>
    </w:p>
    <w:p w14:paraId="1C4E1D0B" w14:textId="77777777" w:rsidR="00FF3D60" w:rsidRDefault="00FF3D60" w:rsidP="021F216E">
      <w:pPr>
        <w:rPr>
          <w:rFonts w:ascii="Arial Nova" w:eastAsia="Arial Nova" w:hAnsi="Arial Nova" w:cs="Arial Nova"/>
          <w:i/>
          <w:iCs/>
          <w:color w:val="000000" w:themeColor="text1"/>
        </w:rPr>
      </w:pPr>
    </w:p>
    <w:p w14:paraId="18EA0664" w14:textId="77777777" w:rsidR="00FF3D60" w:rsidRDefault="00FF3D60" w:rsidP="021F216E">
      <w:pPr>
        <w:rPr>
          <w:rFonts w:ascii="Arial Nova" w:eastAsia="Arial Nova" w:hAnsi="Arial Nova" w:cs="Arial Nova"/>
          <w:i/>
          <w:iCs/>
          <w:color w:val="000000" w:themeColor="text1"/>
        </w:rPr>
      </w:pPr>
    </w:p>
    <w:p w14:paraId="603E7B0F" w14:textId="77777777" w:rsidR="00FF3D60" w:rsidRDefault="00FF3D60" w:rsidP="021F216E">
      <w:pPr>
        <w:rPr>
          <w:rFonts w:ascii="Arial Nova" w:eastAsia="Arial Nova" w:hAnsi="Arial Nova" w:cs="Arial Nova"/>
          <w:i/>
          <w:iCs/>
          <w:color w:val="000000" w:themeColor="text1"/>
        </w:rPr>
      </w:pPr>
    </w:p>
    <w:p w14:paraId="4FBAFA85" w14:textId="77777777" w:rsidR="00FF3D60" w:rsidRDefault="00FF3D60" w:rsidP="021F216E">
      <w:pPr>
        <w:rPr>
          <w:rFonts w:ascii="Arial Nova" w:eastAsia="Arial Nova" w:hAnsi="Arial Nova" w:cs="Arial Nova"/>
          <w:i/>
          <w:iCs/>
          <w:color w:val="000000" w:themeColor="text1"/>
        </w:rPr>
      </w:pPr>
    </w:p>
    <w:p w14:paraId="7FB24F30" w14:textId="77777777" w:rsidR="00FF3D60" w:rsidRDefault="00FF3D60" w:rsidP="021F216E">
      <w:pPr>
        <w:rPr>
          <w:rFonts w:ascii="Arial Nova" w:eastAsia="Arial Nova" w:hAnsi="Arial Nova" w:cs="Arial Nova"/>
          <w:i/>
          <w:iCs/>
          <w:color w:val="000000" w:themeColor="text1"/>
        </w:rPr>
      </w:pPr>
    </w:p>
    <w:p w14:paraId="4A368C30" w14:textId="77777777" w:rsidR="00FF3D60" w:rsidRDefault="00FF3D60"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6BE8E113" w14:textId="77777777" w:rsidR="001866E1"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Dear younger me,</w:t>
      </w:r>
    </w:p>
    <w:p w14:paraId="600F8FA9" w14:textId="26AA1CF9" w:rsidR="001866E1"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 xml:space="preserve">I know how hard these first months in care feel. You're exhausted after long shifts, terrified of getting something wrong, and quietly convinced that everyone around you knows what they're doing except you. You lie awake replaying small mistakes and wondering whether you're really cut out for this. I want you to know that you </w:t>
      </w:r>
      <w:r w:rsidRPr="001866E1">
        <w:rPr>
          <w:rFonts w:ascii="Arial" w:eastAsia="Arial Nova" w:hAnsi="Arial" w:cs="Arial"/>
          <w:color w:val="000000" w:themeColor="text1"/>
          <w:sz w:val="22"/>
          <w:szCs w:val="22"/>
        </w:rPr>
        <w:t>are but</w:t>
      </w:r>
      <w:r w:rsidRPr="001866E1">
        <w:rPr>
          <w:rFonts w:ascii="Arial" w:eastAsia="Arial Nova" w:hAnsi="Arial" w:cs="Arial"/>
          <w:color w:val="000000" w:themeColor="text1"/>
          <w:sz w:val="22"/>
          <w:szCs w:val="22"/>
        </w:rPr>
        <w:t xml:space="preserve"> there are two things that </w:t>
      </w:r>
      <w:r w:rsidRPr="001866E1">
        <w:rPr>
          <w:rFonts w:ascii="Arial" w:eastAsia="Arial Nova" w:hAnsi="Arial" w:cs="Arial"/>
          <w:color w:val="000000" w:themeColor="text1"/>
          <w:sz w:val="22"/>
          <w:szCs w:val="22"/>
        </w:rPr>
        <w:t>have</w:t>
      </w:r>
      <w:r w:rsidRPr="001866E1">
        <w:rPr>
          <w:rFonts w:ascii="Arial" w:eastAsia="Arial Nova" w:hAnsi="Arial" w:cs="Arial"/>
          <w:color w:val="000000" w:themeColor="text1"/>
          <w:sz w:val="22"/>
          <w:szCs w:val="22"/>
        </w:rPr>
        <w:t xml:space="preserve"> carried you through it far more gently.</w:t>
      </w:r>
    </w:p>
    <w:p w14:paraId="500726AD" w14:textId="60E16589" w:rsidR="001866E1"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 xml:space="preserve">The first is emotional intelligence, which mattered enormously in those early </w:t>
      </w:r>
      <w:r w:rsidRPr="001866E1">
        <w:rPr>
          <w:rFonts w:ascii="Arial" w:eastAsia="Arial Nova" w:hAnsi="Arial" w:cs="Arial"/>
          <w:color w:val="000000" w:themeColor="text1"/>
          <w:sz w:val="22"/>
          <w:szCs w:val="22"/>
        </w:rPr>
        <w:t>shifts, it</w:t>
      </w:r>
      <w:r w:rsidRPr="001866E1">
        <w:rPr>
          <w:rFonts w:ascii="Arial" w:eastAsia="Arial Nova" w:hAnsi="Arial" w:cs="Arial"/>
          <w:color w:val="000000" w:themeColor="text1"/>
          <w:sz w:val="22"/>
          <w:szCs w:val="22"/>
        </w:rPr>
        <w:t xml:space="preserve"> was the difference between coping and crumbling. Back then you didn't </w:t>
      </w:r>
      <w:r w:rsidRPr="001866E1">
        <w:rPr>
          <w:rFonts w:ascii="Arial" w:eastAsia="Arial Nova" w:hAnsi="Arial" w:cs="Arial"/>
          <w:color w:val="000000" w:themeColor="text1"/>
          <w:sz w:val="22"/>
          <w:szCs w:val="22"/>
        </w:rPr>
        <w:t>recognize</w:t>
      </w:r>
      <w:r w:rsidRPr="001866E1">
        <w:rPr>
          <w:rFonts w:ascii="Arial" w:eastAsia="Arial Nova" w:hAnsi="Arial" w:cs="Arial"/>
          <w:color w:val="000000" w:themeColor="text1"/>
          <w:sz w:val="22"/>
          <w:szCs w:val="22"/>
        </w:rPr>
        <w:t xml:space="preserve"> your own feelings until they overwhelmed you. If you'd developed more self-awareness one of the core parts of emotional intelligence (Goleman, 1996</w:t>
      </w:r>
      <w:r w:rsidRPr="001866E1">
        <w:rPr>
          <w:rFonts w:ascii="Arial" w:eastAsia="Arial Nova" w:hAnsi="Arial" w:cs="Arial"/>
          <w:color w:val="000000" w:themeColor="text1"/>
          <w:sz w:val="22"/>
          <w:szCs w:val="22"/>
        </w:rPr>
        <w:t>) you</w:t>
      </w:r>
      <w:r w:rsidRPr="001866E1">
        <w:rPr>
          <w:rFonts w:ascii="Arial" w:eastAsia="Arial Nova" w:hAnsi="Arial" w:cs="Arial"/>
          <w:color w:val="000000" w:themeColor="text1"/>
          <w:sz w:val="22"/>
          <w:szCs w:val="22"/>
        </w:rPr>
        <w:t xml:space="preserve"> would have spotted the stress building instead of pushing it down until it spilled over. And with better self-regulation, you could have paused and </w:t>
      </w:r>
      <w:r w:rsidRPr="001866E1">
        <w:rPr>
          <w:rFonts w:ascii="Arial" w:eastAsia="Arial Nova" w:hAnsi="Arial" w:cs="Arial"/>
          <w:color w:val="000000" w:themeColor="text1"/>
          <w:sz w:val="22"/>
          <w:szCs w:val="22"/>
        </w:rPr>
        <w:t>steadied</w:t>
      </w:r>
      <w:r w:rsidRPr="001866E1">
        <w:rPr>
          <w:rFonts w:ascii="Arial" w:eastAsia="Arial Nova" w:hAnsi="Arial" w:cs="Arial"/>
          <w:color w:val="000000" w:themeColor="text1"/>
          <w:sz w:val="22"/>
          <w:szCs w:val="22"/>
        </w:rPr>
        <w:t xml:space="preserve"> before a hard shift rather than letting the panic take over. That same awareness would also have helped you read the patients and colleagues around you with more empathy, which is the heart of good care.</w:t>
      </w:r>
    </w:p>
    <w:p w14:paraId="3D63A459" w14:textId="02A319DB" w:rsidR="001866E1"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 xml:space="preserve">The second is resilience, which was just as vital </w:t>
      </w:r>
      <w:r w:rsidRPr="001866E1">
        <w:rPr>
          <w:rFonts w:ascii="Arial" w:eastAsia="Arial Nova" w:hAnsi="Arial" w:cs="Arial"/>
          <w:color w:val="000000" w:themeColor="text1"/>
          <w:sz w:val="22"/>
          <w:szCs w:val="22"/>
        </w:rPr>
        <w:t>then it</w:t>
      </w:r>
      <w:r w:rsidRPr="001866E1">
        <w:rPr>
          <w:rFonts w:ascii="Arial" w:eastAsia="Arial Nova" w:hAnsi="Arial" w:cs="Arial"/>
          <w:color w:val="000000" w:themeColor="text1"/>
          <w:sz w:val="22"/>
          <w:szCs w:val="22"/>
        </w:rPr>
        <w:t xml:space="preserve"> was what kept you turning up each day even when you </w:t>
      </w:r>
      <w:r w:rsidRPr="001866E1">
        <w:rPr>
          <w:rFonts w:ascii="Arial" w:eastAsia="Arial Nova" w:hAnsi="Arial" w:cs="Arial"/>
          <w:color w:val="000000" w:themeColor="text1"/>
          <w:sz w:val="22"/>
          <w:szCs w:val="22"/>
        </w:rPr>
        <w:t>doubt</w:t>
      </w:r>
      <w:r w:rsidRPr="001866E1">
        <w:rPr>
          <w:rFonts w:ascii="Arial" w:eastAsia="Arial Nova" w:hAnsi="Arial" w:cs="Arial"/>
          <w:color w:val="000000" w:themeColor="text1"/>
          <w:sz w:val="22"/>
          <w:szCs w:val="22"/>
        </w:rPr>
        <w:t xml:space="preserve"> yourself. Resilience is the ability to adapt and recover from setbacks, and back then you treated every mistake as proof you were failing, when </w:t>
      </w:r>
      <w:r w:rsidRPr="001866E1">
        <w:rPr>
          <w:rFonts w:ascii="Arial" w:eastAsia="Arial Nova" w:hAnsi="Arial" w:cs="Arial"/>
          <w:color w:val="000000" w:themeColor="text1"/>
          <w:sz w:val="22"/>
          <w:szCs w:val="22"/>
        </w:rPr>
        <w:t>really,</w:t>
      </w:r>
      <w:r w:rsidRPr="001866E1">
        <w:rPr>
          <w:rFonts w:ascii="Arial" w:eastAsia="Arial Nova" w:hAnsi="Arial" w:cs="Arial"/>
          <w:color w:val="000000" w:themeColor="text1"/>
          <w:sz w:val="22"/>
          <w:szCs w:val="22"/>
        </w:rPr>
        <w:t xml:space="preserve"> they were just how you learned. If you'd understood that resilience is something you build, not something you're born with, you'd have been kinder to yourself and asked for support </w:t>
      </w:r>
      <w:r w:rsidRPr="001866E1">
        <w:rPr>
          <w:rFonts w:ascii="Arial" w:eastAsia="Arial Nova" w:hAnsi="Arial" w:cs="Arial"/>
          <w:color w:val="000000" w:themeColor="text1"/>
          <w:sz w:val="22"/>
          <w:szCs w:val="22"/>
        </w:rPr>
        <w:t>for</w:t>
      </w:r>
      <w:r w:rsidRPr="001866E1">
        <w:rPr>
          <w:rFonts w:ascii="Arial" w:eastAsia="Arial Nova" w:hAnsi="Arial" w:cs="Arial"/>
          <w:color w:val="000000" w:themeColor="text1"/>
          <w:sz w:val="22"/>
          <w:szCs w:val="22"/>
        </w:rPr>
        <w:t xml:space="preserve"> sooner instead of struggling alone.</w:t>
      </w:r>
    </w:p>
    <w:p w14:paraId="32A4BA95" w14:textId="4B095F95" w:rsidR="001866E1"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 xml:space="preserve">So please: notice your emotions, rest without guilt, and lean on the people around you. These aren't weaknesses. They're the very skills that make you a good carer </w:t>
      </w:r>
      <w:r w:rsidRPr="001866E1">
        <w:rPr>
          <w:rFonts w:ascii="Arial" w:eastAsia="Arial Nova" w:hAnsi="Arial" w:cs="Arial"/>
          <w:color w:val="000000" w:themeColor="text1"/>
          <w:sz w:val="22"/>
          <w:szCs w:val="22"/>
        </w:rPr>
        <w:t>today and</w:t>
      </w:r>
      <w:r w:rsidRPr="001866E1">
        <w:rPr>
          <w:rFonts w:ascii="Arial" w:eastAsia="Arial Nova" w:hAnsi="Arial" w:cs="Arial"/>
          <w:color w:val="000000" w:themeColor="text1"/>
          <w:sz w:val="22"/>
          <w:szCs w:val="22"/>
        </w:rPr>
        <w:t xml:space="preserve"> a good nurse tomorrow.</w:t>
      </w:r>
    </w:p>
    <w:p w14:paraId="7496AE35" w14:textId="77777777" w:rsid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You're stronger than you feel right now. Keep going.</w:t>
      </w:r>
    </w:p>
    <w:p w14:paraId="1F55E3B4" w14:textId="77777777" w:rsidR="001866E1" w:rsidRPr="001866E1" w:rsidRDefault="001866E1" w:rsidP="001866E1">
      <w:pPr>
        <w:spacing w:after="0" w:line="360" w:lineRule="auto"/>
        <w:rPr>
          <w:rFonts w:ascii="Arial" w:eastAsia="Arial Nova" w:hAnsi="Arial" w:cs="Arial"/>
          <w:color w:val="000000" w:themeColor="text1"/>
          <w:sz w:val="22"/>
          <w:szCs w:val="22"/>
        </w:rPr>
      </w:pPr>
    </w:p>
    <w:p w14:paraId="53A61D6A" w14:textId="77777777" w:rsid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With love,</w:t>
      </w:r>
    </w:p>
    <w:p w14:paraId="796F8B10" w14:textId="77777777" w:rsidR="001866E1" w:rsidRPr="001866E1" w:rsidRDefault="001866E1" w:rsidP="001866E1">
      <w:pPr>
        <w:spacing w:after="0" w:line="360" w:lineRule="auto"/>
        <w:rPr>
          <w:rFonts w:ascii="Arial" w:eastAsia="Arial Nova" w:hAnsi="Arial" w:cs="Arial"/>
          <w:color w:val="000000" w:themeColor="text1"/>
          <w:sz w:val="22"/>
          <w:szCs w:val="22"/>
        </w:rPr>
      </w:pPr>
    </w:p>
    <w:p w14:paraId="23417326" w14:textId="26C35695" w:rsidR="0074551A" w:rsidRPr="001866E1" w:rsidRDefault="001866E1" w:rsidP="001866E1">
      <w:pPr>
        <w:spacing w:after="0" w:line="360" w:lineRule="auto"/>
        <w:rPr>
          <w:rFonts w:ascii="Arial" w:eastAsia="Arial Nova" w:hAnsi="Arial" w:cs="Arial"/>
          <w:color w:val="000000" w:themeColor="text1"/>
          <w:sz w:val="22"/>
          <w:szCs w:val="22"/>
        </w:rPr>
      </w:pPr>
      <w:r w:rsidRPr="001866E1">
        <w:rPr>
          <w:rFonts w:ascii="Arial" w:eastAsia="Arial Nova" w:hAnsi="Arial" w:cs="Arial"/>
          <w:color w:val="000000" w:themeColor="text1"/>
          <w:sz w:val="22"/>
          <w:szCs w:val="22"/>
        </w:rPr>
        <w:t>Your future self</w:t>
      </w: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0D0443BA" w14:textId="26871975" w:rsidR="021F216E" w:rsidRDefault="000D15F2" w:rsidP="021F216E">
      <w:pPr>
        <w:rPr>
          <w:rFonts w:ascii="Arial Nova" w:eastAsia="Arial Nova" w:hAnsi="Arial Nova" w:cs="Arial Nova"/>
          <w:i/>
          <w:iCs/>
        </w:rPr>
      </w:pPr>
      <w:r>
        <w:rPr>
          <w:rFonts w:ascii="Arial Nova" w:eastAsia="Arial Nova" w:hAnsi="Arial Nova" w:cs="Arial Nova"/>
          <w:i/>
          <w:iCs/>
          <w:noProof/>
          <w:color w:val="000000" w:themeColor="text1"/>
        </w:rPr>
        <w:drawing>
          <wp:inline distT="0" distB="0" distL="0" distR="0" wp14:anchorId="27E85E65" wp14:editId="500209C7">
            <wp:extent cx="5943600" cy="2680335"/>
            <wp:effectExtent l="0" t="0" r="0" b="5715"/>
            <wp:docPr id="8877293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29329" name="Picture 887729329"/>
                    <pic:cNvPicPr/>
                  </pic:nvPicPr>
                  <pic:blipFill>
                    <a:blip r:embed="rId9">
                      <a:extLst>
                        <a:ext uri="{28A0092B-C50C-407E-A947-70E740481C1C}">
                          <a14:useLocalDpi xmlns:a14="http://schemas.microsoft.com/office/drawing/2010/main" val="0"/>
                        </a:ext>
                      </a:extLst>
                    </a:blip>
                    <a:stretch>
                      <a:fillRect/>
                    </a:stretch>
                  </pic:blipFill>
                  <pic:spPr>
                    <a:xfrm>
                      <a:off x="0" y="0"/>
                      <a:ext cx="5943600" cy="2680335"/>
                    </a:xfrm>
                    <a:prstGeom prst="rect">
                      <a:avLst/>
                    </a:prstGeom>
                  </pic:spPr>
                </pic:pic>
              </a:graphicData>
            </a:graphic>
          </wp:inline>
        </w:drawing>
      </w:r>
    </w:p>
    <w:p w14:paraId="2EEC71A9" w14:textId="4DD4C22F" w:rsidR="021F216E" w:rsidRDefault="021F216E" w:rsidP="021F216E">
      <w:pPr>
        <w:rPr>
          <w:rFonts w:ascii="Arial Nova" w:eastAsia="Arial Nova" w:hAnsi="Arial Nova" w:cs="Arial Nova"/>
          <w:i/>
          <w:iCs/>
        </w:rPr>
      </w:pPr>
    </w:p>
    <w:p w14:paraId="7FDC6D34" w14:textId="77777777" w:rsidR="000D15F2" w:rsidRDefault="000D15F2" w:rsidP="000D15F2">
      <w:pPr>
        <w:rPr>
          <w:rFonts w:ascii="Arial Nova" w:eastAsia="Arial Nova" w:hAnsi="Arial Nova" w:cs="Arial Nova"/>
          <w:i/>
          <w:iCs/>
          <w:color w:val="000000" w:themeColor="text1"/>
        </w:rPr>
      </w:pPr>
      <w:r>
        <w:t>This Gantt chart maps the key tasks required to progress from my current healthcare assistant’s role toward becoming a registered nurse over a nine-month period. It shows how ongoing commitments such as coursework and work experience run alongside the staged application process researching routes, preparing and submitting applications, and interviewing culminating in the milestone of starting a pre-registration nursing program.</w:t>
      </w: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6450125B" w14:textId="77777777" w:rsidR="000D15F2" w:rsidRPr="000D15F2" w:rsidRDefault="000D15F2" w:rsidP="000D15F2">
      <w:pPr>
        <w:pStyle w:val="font-claude-response-body"/>
        <w:rPr>
          <w:rFonts w:ascii="Arial" w:hAnsi="Arial" w:cs="Arial"/>
          <w:sz w:val="22"/>
          <w:szCs w:val="22"/>
        </w:rPr>
      </w:pPr>
      <w:r w:rsidRPr="000D15F2">
        <w:rPr>
          <w:rStyle w:val="Strong"/>
          <w:rFonts w:ascii="Arial" w:hAnsi="Arial" w:cs="Arial"/>
          <w:sz w:val="22"/>
          <w:szCs w:val="22"/>
        </w:rPr>
        <w:t>Introduction</w:t>
      </w:r>
    </w:p>
    <w:p w14:paraId="6EDD20D2" w14:textId="77777777" w:rsidR="000D15F2" w:rsidRPr="000D15F2" w:rsidRDefault="000D15F2" w:rsidP="000D15F2">
      <w:pPr>
        <w:pStyle w:val="font-claude-response-body"/>
        <w:rPr>
          <w:rFonts w:ascii="Arial" w:hAnsi="Arial" w:cs="Arial"/>
          <w:sz w:val="22"/>
          <w:szCs w:val="22"/>
        </w:rPr>
      </w:pPr>
      <w:r w:rsidRPr="000D15F2">
        <w:rPr>
          <w:rFonts w:ascii="Arial" w:hAnsi="Arial" w:cs="Arial"/>
          <w:sz w:val="22"/>
          <w:szCs w:val="22"/>
        </w:rPr>
        <w:t>As the manager of a residential care home, I plan to introduce digital care planning to replace our existing paper-based records. This change aims to improve the accuracy, accessibility and safety of residents' care information and to reduce the administrative burden on staff.</w:t>
      </w:r>
    </w:p>
    <w:p w14:paraId="34410A7B" w14:textId="77777777" w:rsidR="000D15F2" w:rsidRPr="000D15F2" w:rsidRDefault="000D15F2" w:rsidP="000D15F2">
      <w:pPr>
        <w:pStyle w:val="font-claude-response-body"/>
        <w:rPr>
          <w:rFonts w:ascii="Arial" w:hAnsi="Arial" w:cs="Arial"/>
          <w:sz w:val="22"/>
          <w:szCs w:val="22"/>
        </w:rPr>
      </w:pPr>
      <w:r w:rsidRPr="000D15F2">
        <w:rPr>
          <w:rStyle w:val="Strong"/>
          <w:rFonts w:ascii="Arial" w:hAnsi="Arial" w:cs="Arial"/>
          <w:sz w:val="22"/>
          <w:szCs w:val="22"/>
        </w:rPr>
        <w:t>Planning the Change</w:t>
      </w:r>
    </w:p>
    <w:p w14:paraId="3E3BE3A1" w14:textId="77777777" w:rsidR="000D15F2" w:rsidRPr="000D15F2" w:rsidRDefault="000D15F2" w:rsidP="000D15F2">
      <w:pPr>
        <w:pStyle w:val="font-claude-response-body"/>
        <w:rPr>
          <w:rFonts w:ascii="Arial" w:hAnsi="Arial" w:cs="Arial"/>
          <w:sz w:val="22"/>
          <w:szCs w:val="22"/>
        </w:rPr>
      </w:pPr>
      <w:r w:rsidRPr="000D15F2">
        <w:rPr>
          <w:rFonts w:ascii="Arial" w:hAnsi="Arial" w:cs="Arial"/>
          <w:sz w:val="22"/>
          <w:szCs w:val="22"/>
        </w:rPr>
        <w:t xml:space="preserve">The change involves replacing handwritten care plans with an electronic system accessed on tablets at the point of care. It is needed because paper records are time-consuming, prone to error and difficult to share between staff and visiting professionals. To guide implementation, I will use Lewin's (1951) three-stage change model. In the </w:t>
      </w:r>
      <w:r w:rsidRPr="000D15F2">
        <w:rPr>
          <w:rStyle w:val="Emphasis"/>
          <w:rFonts w:ascii="Arial" w:hAnsi="Arial" w:cs="Arial"/>
          <w:sz w:val="22"/>
          <w:szCs w:val="22"/>
        </w:rPr>
        <w:t>unfreeze</w:t>
      </w:r>
      <w:r w:rsidRPr="000D15F2">
        <w:rPr>
          <w:rFonts w:ascii="Arial" w:hAnsi="Arial" w:cs="Arial"/>
          <w:sz w:val="22"/>
          <w:szCs w:val="22"/>
        </w:rPr>
        <w:t xml:space="preserve"> stage, I will explain the reasons for change and involve staff early to build support. During the </w:t>
      </w:r>
      <w:r w:rsidRPr="000D15F2">
        <w:rPr>
          <w:rStyle w:val="Emphasis"/>
          <w:rFonts w:ascii="Arial" w:hAnsi="Arial" w:cs="Arial"/>
          <w:sz w:val="22"/>
          <w:szCs w:val="22"/>
        </w:rPr>
        <w:t>change</w:t>
      </w:r>
      <w:r w:rsidRPr="000D15F2">
        <w:rPr>
          <w:rFonts w:ascii="Arial" w:hAnsi="Arial" w:cs="Arial"/>
          <w:sz w:val="22"/>
          <w:szCs w:val="22"/>
        </w:rPr>
        <w:t xml:space="preserve"> stage, I will provide training, introduce the system gradually and offer hands-on support. In the </w:t>
      </w:r>
      <w:r w:rsidRPr="000D15F2">
        <w:rPr>
          <w:rStyle w:val="Emphasis"/>
          <w:rFonts w:ascii="Arial" w:hAnsi="Arial" w:cs="Arial"/>
          <w:sz w:val="22"/>
          <w:szCs w:val="22"/>
        </w:rPr>
        <w:t>refreeze</w:t>
      </w:r>
      <w:r w:rsidRPr="000D15F2">
        <w:rPr>
          <w:rFonts w:ascii="Arial" w:hAnsi="Arial" w:cs="Arial"/>
          <w:sz w:val="22"/>
          <w:szCs w:val="22"/>
        </w:rPr>
        <w:t xml:space="preserve"> stage, I will embed the system as routine practice, monitor its use and celebrate early successes to make it permanent.</w:t>
      </w:r>
    </w:p>
    <w:p w14:paraId="1A987441" w14:textId="77777777" w:rsidR="000D15F2" w:rsidRPr="000D15F2" w:rsidRDefault="000D15F2" w:rsidP="000D15F2">
      <w:pPr>
        <w:pStyle w:val="font-claude-response-body"/>
        <w:rPr>
          <w:rFonts w:ascii="Arial" w:hAnsi="Arial" w:cs="Arial"/>
          <w:sz w:val="22"/>
          <w:szCs w:val="22"/>
        </w:rPr>
      </w:pPr>
      <w:r w:rsidRPr="000D15F2">
        <w:rPr>
          <w:rStyle w:val="Strong"/>
          <w:rFonts w:ascii="Arial" w:hAnsi="Arial" w:cs="Arial"/>
          <w:sz w:val="22"/>
          <w:szCs w:val="22"/>
        </w:rPr>
        <w:t>Skills Required</w:t>
      </w:r>
    </w:p>
    <w:p w14:paraId="65B09024" w14:textId="77777777" w:rsidR="000D15F2" w:rsidRPr="000D15F2" w:rsidRDefault="000D15F2" w:rsidP="000D15F2">
      <w:pPr>
        <w:pStyle w:val="font-claude-response-body"/>
        <w:rPr>
          <w:rFonts w:ascii="Arial" w:hAnsi="Arial" w:cs="Arial"/>
          <w:sz w:val="22"/>
          <w:szCs w:val="22"/>
        </w:rPr>
      </w:pPr>
      <w:r w:rsidRPr="000D15F2">
        <w:rPr>
          <w:rFonts w:ascii="Arial" w:hAnsi="Arial" w:cs="Arial"/>
          <w:sz w:val="22"/>
          <w:szCs w:val="22"/>
        </w:rPr>
        <w:t>Leading this change effectively requires strong communication to explain the benefits clearly, leadership to motivate and reassure staff, and time management to plan training around shifts. I will also draw on emotional intelligence and conflict-resolution skills to address staff anxieties, and digital competence to support less confident colleagues.</w:t>
      </w:r>
    </w:p>
    <w:p w14:paraId="4196AD90" w14:textId="77777777" w:rsidR="000D15F2" w:rsidRPr="000D15F2" w:rsidRDefault="000D15F2" w:rsidP="000D15F2">
      <w:pPr>
        <w:pStyle w:val="font-claude-response-body"/>
        <w:rPr>
          <w:rFonts w:ascii="Arial" w:hAnsi="Arial" w:cs="Arial"/>
          <w:sz w:val="22"/>
          <w:szCs w:val="22"/>
        </w:rPr>
      </w:pPr>
      <w:r w:rsidRPr="000D15F2">
        <w:rPr>
          <w:rStyle w:val="Strong"/>
          <w:rFonts w:ascii="Arial" w:hAnsi="Arial" w:cs="Arial"/>
          <w:sz w:val="22"/>
          <w:szCs w:val="22"/>
        </w:rPr>
        <w:t>Barriers and Solutions</w:t>
      </w:r>
    </w:p>
    <w:p w14:paraId="4C8D4A26" w14:textId="77777777" w:rsidR="000D15F2" w:rsidRPr="000D15F2" w:rsidRDefault="000D15F2" w:rsidP="000D15F2">
      <w:pPr>
        <w:pStyle w:val="font-claude-response-body"/>
        <w:rPr>
          <w:rFonts w:ascii="Arial" w:hAnsi="Arial" w:cs="Arial"/>
          <w:sz w:val="22"/>
          <w:szCs w:val="22"/>
        </w:rPr>
      </w:pPr>
      <w:r w:rsidRPr="000D15F2">
        <w:rPr>
          <w:rFonts w:ascii="Arial" w:hAnsi="Arial" w:cs="Arial"/>
          <w:sz w:val="22"/>
          <w:szCs w:val="22"/>
        </w:rPr>
        <w:t>The main barrier is likely to be staff resistance, particularly from those less confident with technology. This can be reduced by involving staff in decision-making and providing patient, hands-on training (Kotter, 2012). A second barrier is limited time during busy shifts, which I will address through short, protected training sessions and by appointing "digital champions" to support colleagues. Cost and reliable Wi-Fi may also present challenges, so I will phase the rollout and secure management investment in infrastructure beforehand (Department of Health and Social Care, 2021).</w:t>
      </w:r>
    </w:p>
    <w:p w14:paraId="63626FAA" w14:textId="77777777" w:rsidR="000D15F2" w:rsidRPr="000D15F2" w:rsidRDefault="000D15F2" w:rsidP="000D15F2">
      <w:pPr>
        <w:pStyle w:val="font-claude-response-body"/>
        <w:rPr>
          <w:rFonts w:ascii="Arial" w:hAnsi="Arial" w:cs="Arial"/>
          <w:sz w:val="22"/>
          <w:szCs w:val="22"/>
        </w:rPr>
      </w:pPr>
      <w:r w:rsidRPr="000D15F2">
        <w:rPr>
          <w:rStyle w:val="Strong"/>
          <w:rFonts w:ascii="Arial" w:hAnsi="Arial" w:cs="Arial"/>
          <w:sz w:val="22"/>
          <w:szCs w:val="22"/>
        </w:rPr>
        <w:t>Conclusion</w:t>
      </w:r>
    </w:p>
    <w:p w14:paraId="5262C11F" w14:textId="77777777" w:rsidR="000D15F2" w:rsidRPr="000D15F2" w:rsidRDefault="000D15F2" w:rsidP="000D15F2">
      <w:pPr>
        <w:pStyle w:val="font-claude-response-body"/>
        <w:rPr>
          <w:rFonts w:ascii="Arial" w:hAnsi="Arial" w:cs="Arial"/>
          <w:sz w:val="22"/>
          <w:szCs w:val="22"/>
        </w:rPr>
      </w:pPr>
      <w:r w:rsidRPr="000D15F2">
        <w:rPr>
          <w:rFonts w:ascii="Arial" w:hAnsi="Arial" w:cs="Arial"/>
          <w:sz w:val="22"/>
          <w:szCs w:val="22"/>
        </w:rPr>
        <w:t>Introducing digital care planning will improve efficiency, accuracy and the quality of resident care. With clear communication, staff involvement and a structured, model-led approach, the change can be delivered successfully and sustainably.</w:t>
      </w:r>
    </w:p>
    <w:p w14:paraId="06C8C088" w14:textId="15118F2D" w:rsidR="021F216E" w:rsidRPr="000D15F2" w:rsidRDefault="021F216E" w:rsidP="021F216E">
      <w:pPr>
        <w:rPr>
          <w:rFonts w:ascii="Arial Nova" w:eastAsia="Arial Nova" w:hAnsi="Arial Nova" w:cs="Arial Nova"/>
          <w:b/>
          <w:bCs/>
          <w:i/>
          <w:iCs/>
          <w:color w:val="000000" w:themeColor="text1"/>
        </w:rPr>
      </w:pPr>
    </w:p>
    <w:p w14:paraId="6BA3D84F" w14:textId="77777777" w:rsidR="000D15F2" w:rsidRDefault="000D15F2"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5DDDB5C2" w14:textId="600FD41D" w:rsidR="00080282" w:rsidRPr="00080282" w:rsidRDefault="00080282" w:rsidP="00080282">
      <w:pPr>
        <w:rPr>
          <w:rFonts w:ascii="Arial" w:hAnsi="Arial" w:cs="Arial"/>
        </w:rPr>
      </w:pPr>
      <w:r w:rsidRPr="00080282">
        <w:rPr>
          <w:rFonts w:ascii="Arial" w:hAnsi="Arial" w:cs="Arial"/>
        </w:rPr>
        <w:t xml:space="preserve">Community Care (2025) Adult social care needs £3.4bn annual funding boost by 2028-29 to stand still, says report. Available at: </w:t>
      </w:r>
      <w:hyperlink r:id="rId10" w:history="1">
        <w:r w:rsidRPr="00080282">
          <w:rPr>
            <w:rStyle w:val="Hyperlink"/>
            <w:rFonts w:ascii="Arial" w:hAnsi="Arial" w:cs="Arial"/>
          </w:rPr>
          <w:t>https://www.communitycare.co.uk</w:t>
        </w:r>
      </w:hyperlink>
      <w:r w:rsidRPr="00080282">
        <w:rPr>
          <w:rFonts w:ascii="Arial" w:hAnsi="Arial" w:cs="Arial"/>
        </w:rPr>
        <w:t xml:space="preserve"> </w:t>
      </w:r>
    </w:p>
    <w:p w14:paraId="1D92CCA3" w14:textId="77777777" w:rsidR="00080282" w:rsidRPr="00080282" w:rsidRDefault="00080282" w:rsidP="00080282">
      <w:pPr>
        <w:rPr>
          <w:rFonts w:ascii="Arial" w:hAnsi="Arial" w:cs="Arial"/>
        </w:rPr>
      </w:pPr>
      <w:r w:rsidRPr="00080282">
        <w:rPr>
          <w:rFonts w:ascii="Arial" w:hAnsi="Arial" w:cs="Arial"/>
        </w:rPr>
        <w:t>Department of Health (2012) Compassion in Practice: Nursing, Midwifery and Care Staff – Our Vision and Strategy. London: Department of Health.</w:t>
      </w:r>
    </w:p>
    <w:p w14:paraId="23C1580B" w14:textId="77777777" w:rsidR="00080282" w:rsidRPr="00080282" w:rsidRDefault="00080282" w:rsidP="00080282">
      <w:pPr>
        <w:rPr>
          <w:rFonts w:ascii="Arial" w:hAnsi="Arial" w:cs="Arial"/>
        </w:rPr>
      </w:pPr>
      <w:r w:rsidRPr="00080282">
        <w:rPr>
          <w:rFonts w:ascii="Arial" w:hAnsi="Arial" w:cs="Arial"/>
        </w:rPr>
        <w:t>Department of Health and Social Care (2021) People at the Heart of Care: Adult Social Care Reform White Paper. London: HMSO.</w:t>
      </w:r>
    </w:p>
    <w:p w14:paraId="4B5B54C5" w14:textId="77777777" w:rsidR="00080282" w:rsidRPr="00080282" w:rsidRDefault="00080282" w:rsidP="00080282">
      <w:pPr>
        <w:rPr>
          <w:rFonts w:ascii="Arial" w:hAnsi="Arial" w:cs="Arial"/>
        </w:rPr>
      </w:pPr>
      <w:r w:rsidRPr="00080282">
        <w:rPr>
          <w:rFonts w:ascii="Arial" w:hAnsi="Arial" w:cs="Arial"/>
        </w:rPr>
        <w:t>Goleman, D. (1996) Emotional Intelligence: Why It Can Matter More Than IQ. London: Bloomsbury.</w:t>
      </w:r>
    </w:p>
    <w:p w14:paraId="09CFDAF1" w14:textId="77777777" w:rsidR="00080282" w:rsidRPr="00080282" w:rsidRDefault="00080282" w:rsidP="00080282">
      <w:pPr>
        <w:rPr>
          <w:rFonts w:ascii="Arial" w:hAnsi="Arial" w:cs="Arial"/>
        </w:rPr>
      </w:pPr>
      <w:r w:rsidRPr="00080282">
        <w:rPr>
          <w:rFonts w:ascii="Arial" w:hAnsi="Arial" w:cs="Arial"/>
        </w:rPr>
        <w:t xml:space="preserve">Gorbatov, S., </w:t>
      </w:r>
      <w:proofErr w:type="spellStart"/>
      <w:r w:rsidRPr="00080282">
        <w:rPr>
          <w:rFonts w:ascii="Arial" w:hAnsi="Arial" w:cs="Arial"/>
        </w:rPr>
        <w:t>Khapova</w:t>
      </w:r>
      <w:proofErr w:type="spellEnd"/>
      <w:r w:rsidRPr="00080282">
        <w:rPr>
          <w:rFonts w:ascii="Arial" w:hAnsi="Arial" w:cs="Arial"/>
        </w:rPr>
        <w:t xml:space="preserve">, S.N. and </w:t>
      </w:r>
      <w:proofErr w:type="spellStart"/>
      <w:r w:rsidRPr="00080282">
        <w:rPr>
          <w:rFonts w:ascii="Arial" w:hAnsi="Arial" w:cs="Arial"/>
        </w:rPr>
        <w:t>Lysova</w:t>
      </w:r>
      <w:proofErr w:type="spellEnd"/>
      <w:r w:rsidRPr="00080282">
        <w:rPr>
          <w:rFonts w:ascii="Arial" w:hAnsi="Arial" w:cs="Arial"/>
        </w:rPr>
        <w:t>, E.I. (2018) 'Personal branding: Interdisciplinary systematic review and research agenda', Frontiers in Psychology, 9, article 2238.</w:t>
      </w:r>
    </w:p>
    <w:p w14:paraId="060F0D12" w14:textId="77777777" w:rsidR="00080282" w:rsidRPr="00080282" w:rsidRDefault="00080282" w:rsidP="00080282">
      <w:pPr>
        <w:rPr>
          <w:rFonts w:ascii="Arial" w:hAnsi="Arial" w:cs="Arial"/>
        </w:rPr>
      </w:pPr>
      <w:proofErr w:type="spellStart"/>
      <w:r w:rsidRPr="00080282">
        <w:rPr>
          <w:rFonts w:ascii="Arial" w:hAnsi="Arial" w:cs="Arial"/>
        </w:rPr>
        <w:t>Granovetter</w:t>
      </w:r>
      <w:proofErr w:type="spellEnd"/>
      <w:r w:rsidRPr="00080282">
        <w:rPr>
          <w:rFonts w:ascii="Arial" w:hAnsi="Arial" w:cs="Arial"/>
        </w:rPr>
        <w:t>, M.S. (1973) 'The strength of weak ties', American Journal of Sociology, 78(6), pp. 1360–1380.</w:t>
      </w:r>
    </w:p>
    <w:p w14:paraId="0A7523E4" w14:textId="77777777" w:rsidR="00080282" w:rsidRPr="00080282" w:rsidRDefault="00080282" w:rsidP="00080282">
      <w:pPr>
        <w:rPr>
          <w:rFonts w:ascii="Arial" w:hAnsi="Arial" w:cs="Arial"/>
        </w:rPr>
      </w:pPr>
      <w:r w:rsidRPr="00080282">
        <w:rPr>
          <w:rFonts w:ascii="Arial" w:hAnsi="Arial" w:cs="Arial"/>
        </w:rPr>
        <w:t>Kotter, J.P. (2012) Leading Change. Boston: Harvard Business Review Press.</w:t>
      </w:r>
    </w:p>
    <w:p w14:paraId="4AEE85B8" w14:textId="77777777" w:rsidR="00080282" w:rsidRPr="00080282" w:rsidRDefault="00080282" w:rsidP="00080282">
      <w:pPr>
        <w:rPr>
          <w:rFonts w:ascii="Arial" w:hAnsi="Arial" w:cs="Arial"/>
        </w:rPr>
      </w:pPr>
      <w:r w:rsidRPr="00080282">
        <w:rPr>
          <w:rFonts w:ascii="Arial" w:hAnsi="Arial" w:cs="Arial"/>
        </w:rPr>
        <w:t>Lewin, K. (1951) Field Theory in Social Science. New York: Harper &amp; Row.</w:t>
      </w:r>
    </w:p>
    <w:p w14:paraId="3B8CBDE8" w14:textId="7440E0EB" w:rsidR="00080282" w:rsidRPr="00080282" w:rsidRDefault="00080282" w:rsidP="00080282">
      <w:pPr>
        <w:rPr>
          <w:rFonts w:ascii="Arial" w:hAnsi="Arial" w:cs="Arial"/>
        </w:rPr>
      </w:pPr>
      <w:r w:rsidRPr="00080282">
        <w:rPr>
          <w:rFonts w:ascii="Arial" w:hAnsi="Arial" w:cs="Arial"/>
        </w:rPr>
        <w:t xml:space="preserve">NHS England (2023) NHS equality, diversity, and inclusion improvement plan. Available at: </w:t>
      </w:r>
      <w:hyperlink r:id="rId11" w:history="1">
        <w:r w:rsidRPr="00080282">
          <w:rPr>
            <w:rStyle w:val="Hyperlink"/>
            <w:rFonts w:ascii="Arial" w:hAnsi="Arial" w:cs="Arial"/>
          </w:rPr>
          <w:t>https://www.england.nhs.uk/long-read/nhs-equality-diversity-and-inclusion-improvement-plan/</w:t>
        </w:r>
      </w:hyperlink>
      <w:r w:rsidRPr="00080282">
        <w:rPr>
          <w:rFonts w:ascii="Arial" w:hAnsi="Arial" w:cs="Arial"/>
        </w:rPr>
        <w:t xml:space="preserve"> </w:t>
      </w:r>
    </w:p>
    <w:p w14:paraId="215E53DC" w14:textId="77777777" w:rsidR="00080282" w:rsidRPr="00080282" w:rsidRDefault="00080282" w:rsidP="00080282">
      <w:pPr>
        <w:rPr>
          <w:rFonts w:ascii="Arial" w:hAnsi="Arial" w:cs="Arial"/>
        </w:rPr>
      </w:pPr>
      <w:r w:rsidRPr="00080282">
        <w:rPr>
          <w:rFonts w:ascii="Arial" w:hAnsi="Arial" w:cs="Arial"/>
        </w:rPr>
        <w:t>Putnam, R.D. (2000) Bowling Alone: The Collapse and Revival of American Community. New York: Simon &amp; Schuster.</w:t>
      </w:r>
    </w:p>
    <w:p w14:paraId="6D72AE3F" w14:textId="6B4DFF6E" w:rsidR="021F216E" w:rsidRPr="00080282" w:rsidRDefault="00080282" w:rsidP="00080282">
      <w:pPr>
        <w:rPr>
          <w:rFonts w:ascii="Aptos" w:eastAsia="Aptos" w:hAnsi="Aptos" w:cs="Aptos"/>
          <w:color w:val="000000" w:themeColor="text1"/>
          <w:sz w:val="44"/>
          <w:szCs w:val="44"/>
        </w:rPr>
      </w:pPr>
      <w:r w:rsidRPr="00080282">
        <w:rPr>
          <w:rFonts w:ascii="Arial" w:hAnsi="Arial" w:cs="Arial"/>
        </w:rPr>
        <w:t xml:space="preserve">The Health Foundation (2026) Social care funding. Available at: </w:t>
      </w:r>
      <w:hyperlink r:id="rId12" w:history="1">
        <w:r w:rsidRPr="00080282">
          <w:rPr>
            <w:rStyle w:val="Hyperlink"/>
            <w:rFonts w:ascii="Arial" w:hAnsi="Arial" w:cs="Arial"/>
          </w:rPr>
          <w:t>https://www.health.org.uk/reports-and-analysis/analysis/social-care-funding</w:t>
        </w:r>
      </w:hyperlink>
      <w:r w:rsidRPr="00080282">
        <w:rPr>
          <w:rFonts w:ascii="Arial" w:hAnsi="Arial" w:cs="Arial"/>
        </w:rPr>
        <w:t xml:space="preserve"> </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6FB9AA9B" w14:textId="7E6A8AEF" w:rsidR="021F216E" w:rsidRDefault="021F216E" w:rsidP="021F216E">
      <w:pPr>
        <w:rPr>
          <w:sz w:val="44"/>
          <w:szCs w:val="44"/>
        </w:rPr>
      </w:pPr>
    </w:p>
    <w:sectPr w:rsidR="021F216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24BFD" w14:textId="77777777" w:rsidR="000F7A87" w:rsidRDefault="000F7A87">
      <w:pPr>
        <w:spacing w:after="0" w:line="240" w:lineRule="auto"/>
      </w:pPr>
    </w:p>
  </w:endnote>
  <w:endnote w:type="continuationSeparator" w:id="0">
    <w:p w14:paraId="5D3F2F47" w14:textId="77777777" w:rsidR="000F7A87" w:rsidRDefault="000F7A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34DDD" w14:textId="77777777" w:rsidR="000F7A87" w:rsidRDefault="000F7A87">
      <w:pPr>
        <w:spacing w:after="0" w:line="240" w:lineRule="auto"/>
      </w:pPr>
    </w:p>
  </w:footnote>
  <w:footnote w:type="continuationSeparator" w:id="0">
    <w:p w14:paraId="1240993B" w14:textId="77777777" w:rsidR="000F7A87" w:rsidRDefault="000F7A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26D8"/>
    <w:multiLevelType w:val="hybridMultilevel"/>
    <w:tmpl w:val="C5642088"/>
    <w:lvl w:ilvl="0" w:tplc="149294D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1E9D3433"/>
    <w:multiLevelType w:val="hybridMultilevel"/>
    <w:tmpl w:val="880CB6AC"/>
    <w:lvl w:ilvl="0" w:tplc="149294D0">
      <w:numFmt w:val="bullet"/>
      <w:lvlText w:val=""/>
      <w:lvlJc w:val="left"/>
      <w:pPr>
        <w:ind w:left="720" w:hanging="360"/>
      </w:pPr>
      <w:rPr>
        <w:rFonts w:ascii="Arial" w:eastAsiaTheme="minorEastAsia"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78086D"/>
    <w:multiLevelType w:val="hybridMultilevel"/>
    <w:tmpl w:val="F976E224"/>
    <w:lvl w:ilvl="0" w:tplc="149294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71E1B"/>
    <w:multiLevelType w:val="hybridMultilevel"/>
    <w:tmpl w:val="47084A96"/>
    <w:lvl w:ilvl="0" w:tplc="149294D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943D17"/>
    <w:multiLevelType w:val="hybridMultilevel"/>
    <w:tmpl w:val="C0BC7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4A254C7"/>
    <w:multiLevelType w:val="hybridMultilevel"/>
    <w:tmpl w:val="3E5801DC"/>
    <w:lvl w:ilvl="0" w:tplc="149294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D369E1"/>
    <w:multiLevelType w:val="hybridMultilevel"/>
    <w:tmpl w:val="3860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7D694D"/>
    <w:multiLevelType w:val="hybridMultilevel"/>
    <w:tmpl w:val="8330484E"/>
    <w:lvl w:ilvl="0" w:tplc="149294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7"/>
  </w:num>
  <w:num w:numId="3" w16cid:durableId="1418599781">
    <w:abstractNumId w:val="5"/>
  </w:num>
  <w:num w:numId="4" w16cid:durableId="391736296">
    <w:abstractNumId w:val="9"/>
  </w:num>
  <w:num w:numId="5" w16cid:durableId="1277247899">
    <w:abstractNumId w:val="10"/>
  </w:num>
  <w:num w:numId="6" w16cid:durableId="1269000478">
    <w:abstractNumId w:val="0"/>
  </w:num>
  <w:num w:numId="7" w16cid:durableId="1405496340">
    <w:abstractNumId w:val="4"/>
  </w:num>
  <w:num w:numId="8" w16cid:durableId="151987650">
    <w:abstractNumId w:val="3"/>
  </w:num>
  <w:num w:numId="9" w16cid:durableId="1385639176">
    <w:abstractNumId w:val="6"/>
  </w:num>
  <w:num w:numId="10" w16cid:durableId="1342050593">
    <w:abstractNumId w:val="2"/>
  </w:num>
  <w:num w:numId="11" w16cid:durableId="2778390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80282"/>
    <w:rsid w:val="000D15F2"/>
    <w:rsid w:val="000F7A87"/>
    <w:rsid w:val="001866E1"/>
    <w:rsid w:val="001E6F1E"/>
    <w:rsid w:val="00243C52"/>
    <w:rsid w:val="002C7C3A"/>
    <w:rsid w:val="002E2E28"/>
    <w:rsid w:val="00304206"/>
    <w:rsid w:val="003A7840"/>
    <w:rsid w:val="003D2038"/>
    <w:rsid w:val="003F2AA6"/>
    <w:rsid w:val="00553897"/>
    <w:rsid w:val="00577423"/>
    <w:rsid w:val="00632F8B"/>
    <w:rsid w:val="006E6679"/>
    <w:rsid w:val="0074551A"/>
    <w:rsid w:val="007D3AD0"/>
    <w:rsid w:val="00835193"/>
    <w:rsid w:val="00903517"/>
    <w:rsid w:val="00B7418E"/>
    <w:rsid w:val="00BA5E36"/>
    <w:rsid w:val="00C838DF"/>
    <w:rsid w:val="00C96CFC"/>
    <w:rsid w:val="00D17D41"/>
    <w:rsid w:val="00D618AB"/>
    <w:rsid w:val="00FF3D6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font-claude-response-body">
    <w:name w:val="font-claude-response-body"/>
    <w:basedOn w:val="Normal"/>
    <w:rsid w:val="00FF3D60"/>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FF3D60"/>
    <w:rPr>
      <w:b/>
      <w:bCs/>
    </w:rPr>
  </w:style>
  <w:style w:type="character" w:customStyle="1" w:styleId="inline-flex">
    <w:name w:val="inline-flex"/>
    <w:basedOn w:val="DefaultParagraphFont"/>
    <w:rsid w:val="00FF3D60"/>
  </w:style>
  <w:style w:type="character" w:customStyle="1" w:styleId="text-nowrap">
    <w:name w:val="text-nowrap"/>
    <w:basedOn w:val="DefaultParagraphFont"/>
    <w:rsid w:val="00FF3D60"/>
  </w:style>
  <w:style w:type="character" w:styleId="Emphasis">
    <w:name w:val="Emphasis"/>
    <w:basedOn w:val="DefaultParagraphFont"/>
    <w:uiPriority w:val="20"/>
    <w:qFormat/>
    <w:rsid w:val="000D15F2"/>
    <w:rPr>
      <w:i/>
      <w:iCs/>
    </w:rPr>
  </w:style>
  <w:style w:type="character" w:styleId="UnresolvedMention">
    <w:name w:val="Unresolved Mention"/>
    <w:basedOn w:val="DefaultParagraphFont"/>
    <w:uiPriority w:val="99"/>
    <w:semiHidden/>
    <w:unhideWhenUsed/>
    <w:rsid w:val="00080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org.uk/reports-and-analysis/analysis/social-care-fun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nhs-equality-diversity-and-inclusion-improvement-pla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ommunitycare.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10</Pages>
  <Words>2180</Words>
  <Characters>12427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Burhan Tahir Muhammad</cp:lastModifiedBy>
  <cp:revision>11</cp:revision>
  <dcterms:created xsi:type="dcterms:W3CDTF">2026-05-13T15:55:00Z</dcterms:created>
  <dcterms:modified xsi:type="dcterms:W3CDTF">2026-07-04T23:36:00Z</dcterms:modified>
</cp:coreProperties>
</file>