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98A35D" w14:textId="77777777" w:rsidR="00213021" w:rsidRPr="00213021" w:rsidRDefault="00213021" w:rsidP="00213021">
      <w:pPr>
        <w:jc w:val="both"/>
        <w:rPr>
          <w:rFonts w:ascii="Arial" w:hAnsi="Arial" w:cs="Arial"/>
          <w:kern w:val="24"/>
          <w:sz w:val="24"/>
          <w:szCs w:val="24"/>
        </w:rPr>
      </w:pPr>
      <w:r w:rsidRPr="00213021">
        <w:rPr>
          <w:rFonts w:ascii="Arial" w:hAnsi="Arial" w:cs="Arial"/>
          <w:kern w:val="24"/>
          <w:sz w:val="24"/>
          <w:szCs w:val="24"/>
        </w:rPr>
        <w:t xml:space="preserve">The purpose of this poster is to illustrate the hidden curriculum in schools.  It will identify what is meant by the curriculum before exploring opposing sociological perspectives of educational institutions and their role in society.  Sociological perspectives view society as having institutions and cultures with set patterns of rules and behaviours (Meighan and Sirij-Blachford, 2003). This poster will focus on two perspectives, functionalist and conflict theory.  </w:t>
      </w:r>
    </w:p>
    <w:p w14:paraId="3FBFDC36" w14:textId="77777777" w:rsidR="00213021" w:rsidRPr="00213021" w:rsidRDefault="00213021" w:rsidP="00213021">
      <w:pPr>
        <w:jc w:val="both"/>
        <w:rPr>
          <w:rFonts w:ascii="Arial" w:hAnsi="Arial" w:cs="Arial"/>
          <w:kern w:val="24"/>
          <w:sz w:val="24"/>
          <w:szCs w:val="24"/>
        </w:rPr>
      </w:pPr>
      <w:r w:rsidRPr="00213021">
        <w:rPr>
          <w:rFonts w:ascii="Arial" w:hAnsi="Arial" w:cs="Arial"/>
          <w:kern w:val="24"/>
          <w:sz w:val="24"/>
          <w:szCs w:val="24"/>
        </w:rPr>
        <w:t>For most children, schools are the first institutional setting they experience.  There are three primary purposes: to provide the skills, knowledge and understanding children and young people need to develop social skills: develop relationships; and prepare young people to enter the workforce and engagement in the community (</w:t>
      </w:r>
      <w:proofErr w:type="spellStart"/>
      <w:r w:rsidRPr="00213021">
        <w:rPr>
          <w:rFonts w:ascii="Arial" w:hAnsi="Arial" w:cs="Arial"/>
          <w:kern w:val="24"/>
          <w:sz w:val="24"/>
          <w:szCs w:val="24"/>
        </w:rPr>
        <w:t>Menter</w:t>
      </w:r>
      <w:proofErr w:type="spellEnd"/>
      <w:r w:rsidRPr="00213021">
        <w:rPr>
          <w:rFonts w:ascii="Arial" w:hAnsi="Arial" w:cs="Arial"/>
          <w:kern w:val="24"/>
          <w:sz w:val="24"/>
          <w:szCs w:val="24"/>
        </w:rPr>
        <w:t xml:space="preserve"> and Walker, 2016).  The Welsh Government are in the process of establishing a new curriculum which moves away from the subject-based current curriculum to one based on areas of learning. </w:t>
      </w:r>
    </w:p>
    <w:p w14:paraId="3E6FCAA6" w14:textId="77777777" w:rsidR="00213021" w:rsidRPr="00213021" w:rsidRDefault="00213021" w:rsidP="00213021">
      <w:pPr>
        <w:jc w:val="both"/>
        <w:rPr>
          <w:rFonts w:ascii="Arial" w:hAnsi="Arial" w:cs="Arial"/>
          <w:kern w:val="24"/>
          <w:sz w:val="24"/>
          <w:szCs w:val="24"/>
        </w:rPr>
      </w:pPr>
      <w:r w:rsidRPr="00213021">
        <w:rPr>
          <w:rFonts w:ascii="Arial" w:hAnsi="Arial" w:cs="Arial"/>
          <w:kern w:val="24"/>
          <w:sz w:val="24"/>
          <w:szCs w:val="24"/>
        </w:rPr>
        <w:t xml:space="preserve">Functionalism sees social structure or the organisation of society as more important than the individual. Individuals are born into society and become the product of all the social influences around them. For Lev Vygotsky (1896-1934) this is through the sharing of customs, beliefs, skills and values through social interactions.   Talcott Parsons viewed learning as a process of social interaction through several institutions, church, family and education (Meighan and Siraj-Blachford, 2003). </w:t>
      </w:r>
    </w:p>
    <w:p w14:paraId="61BE23A3" w14:textId="77777777" w:rsidR="00213021" w:rsidRPr="00213021" w:rsidRDefault="00213021" w:rsidP="00213021">
      <w:pPr>
        <w:jc w:val="both"/>
        <w:rPr>
          <w:rFonts w:ascii="Arial" w:hAnsi="Arial" w:cs="Arial"/>
          <w:kern w:val="24"/>
          <w:sz w:val="24"/>
          <w:szCs w:val="24"/>
        </w:rPr>
      </w:pPr>
      <w:r w:rsidRPr="00213021">
        <w:rPr>
          <w:rFonts w:ascii="Arial" w:hAnsi="Arial" w:cs="Arial"/>
          <w:kern w:val="24"/>
          <w:sz w:val="24"/>
          <w:szCs w:val="24"/>
        </w:rPr>
        <w:t xml:space="preserve">The sociocultural theory posits social interaction is how children learn acceptable behaviour for the society they live in (First Discoverers, 2019).  For Parsons, society is a system with four functional prerequisites: adaptation, goal attainment, integration and pattern maintenance (Truman, 2015). Adaption has similarities with Maslow's (1943) hierarchy of needs, in that basic needs such as food and shelter, need to be provided to meet the need of society.  Goal attainment, integration and pattern maintenance are established and reinforced through the norms and values of the hidden curriculum, and can also be linked to Maslow's hierarchy through the need to meet needs about safety, love belonging and esteem (McLeod, 2018a). </w:t>
      </w:r>
    </w:p>
    <w:p w14:paraId="5669FC2E" w14:textId="77777777" w:rsidR="00213021" w:rsidRPr="00213021" w:rsidRDefault="00213021" w:rsidP="00213021">
      <w:pPr>
        <w:jc w:val="both"/>
        <w:rPr>
          <w:rFonts w:ascii="Arial" w:hAnsi="Arial" w:cs="Arial"/>
          <w:kern w:val="24"/>
          <w:sz w:val="24"/>
          <w:szCs w:val="24"/>
        </w:rPr>
      </w:pPr>
      <w:r w:rsidRPr="00213021">
        <w:rPr>
          <w:rFonts w:ascii="Arial" w:hAnsi="Arial" w:cs="Arial"/>
          <w:kern w:val="24"/>
          <w:sz w:val="24"/>
          <w:szCs w:val="24"/>
        </w:rPr>
        <w:t xml:space="preserve">School prepares children for their role in the society in which they live through formalised standard norms and procedures; children learn routines and how to follow orders (Gracey, 1975).  Research suggests positive interactions between teachers and children help decrease behavioural problems among children. In school, policies dictate how adults promote positive behaviour through the use of praise, housepoints, certificates and rewards.   There are links to Skinner's (1948) operant conditioning to this approach to behaviour management, as pupils make an association between a particular behaviour and a consequence.  housepoints, certificates and rewards reinforce the desired behaviour; however, using these tokens to modify behaviour comes with criticism.  Children become over-reliant on being rewarded, and staff can distribute them inconsistently with the effect of devaluing them (McLeod, 2018b).   </w:t>
      </w:r>
    </w:p>
    <w:p w14:paraId="3AFC53FE" w14:textId="77777777" w:rsidR="00213021" w:rsidRPr="00213021" w:rsidRDefault="00213021" w:rsidP="00213021">
      <w:pPr>
        <w:jc w:val="both"/>
        <w:rPr>
          <w:rFonts w:ascii="Arial" w:hAnsi="Arial" w:cs="Arial"/>
          <w:kern w:val="24"/>
          <w:sz w:val="24"/>
          <w:szCs w:val="24"/>
        </w:rPr>
      </w:pPr>
      <w:r w:rsidRPr="00213021">
        <w:rPr>
          <w:rFonts w:ascii="Arial" w:hAnsi="Arial" w:cs="Arial"/>
          <w:kern w:val="24"/>
          <w:sz w:val="24"/>
          <w:szCs w:val="24"/>
        </w:rPr>
        <w:t xml:space="preserve">Further criticisms come from uniforms.  While there are advantages: they prepare children for work; give students an identity; discourages emphasis placed on looks; and there are positive effects on pupil behaviour, there are criticisms.  According to a survey carried out by The Children's Society's in 2015, the average cost of school uniform for primary age children is £255 per year for each child and £340 for secondary </w:t>
      </w:r>
      <w:r w:rsidRPr="00213021">
        <w:rPr>
          <w:rFonts w:ascii="Arial" w:hAnsi="Arial" w:cs="Arial"/>
          <w:kern w:val="24"/>
          <w:sz w:val="24"/>
          <w:szCs w:val="24"/>
        </w:rPr>
        <w:lastRenderedPageBreak/>
        <w:t>school (The Children's Society, 2018), further to this, studies in America showed there to be no correlation between wearing a uniform and achieving better grades (IE, 2019)</w:t>
      </w:r>
    </w:p>
    <w:p w14:paraId="7D2F0499" w14:textId="77777777" w:rsidR="00213021" w:rsidRPr="00213021" w:rsidRDefault="00213021" w:rsidP="00213021">
      <w:pPr>
        <w:jc w:val="both"/>
        <w:rPr>
          <w:rFonts w:ascii="Arial" w:hAnsi="Arial" w:cs="Arial"/>
          <w:kern w:val="24"/>
          <w:sz w:val="24"/>
          <w:szCs w:val="24"/>
        </w:rPr>
      </w:pPr>
      <w:r w:rsidRPr="00213021">
        <w:rPr>
          <w:rFonts w:ascii="Arial" w:hAnsi="Arial" w:cs="Arial"/>
          <w:kern w:val="24"/>
          <w:sz w:val="24"/>
          <w:szCs w:val="24"/>
        </w:rPr>
        <w:t xml:space="preserve">Karl Marx argues that people with wealth and power try to hold onto their position by suppressing the poor and powerless.  Current versions of conflict theory look at other dimensions of conflict among capitalist factions and between various social, religious, and other types of groups (Chappelow, 2019).  While it would have been fascinating research how gender, religion and ethnicity are influenced society and explore how this leads to oppression within these social groups, there is not the space to do so effectively within this poster.  This poster will, therefore, focus on the perspectives of different social groups.   </w:t>
      </w:r>
    </w:p>
    <w:p w14:paraId="0FD04CCF" w14:textId="77777777" w:rsidR="00213021" w:rsidRPr="00213021" w:rsidRDefault="00213021" w:rsidP="00213021">
      <w:pPr>
        <w:jc w:val="both"/>
        <w:rPr>
          <w:rFonts w:ascii="Arial" w:hAnsi="Arial" w:cs="Arial"/>
          <w:kern w:val="24"/>
          <w:sz w:val="24"/>
          <w:szCs w:val="24"/>
        </w:rPr>
      </w:pPr>
      <w:r w:rsidRPr="00213021">
        <w:rPr>
          <w:rFonts w:ascii="Arial" w:hAnsi="Arial" w:cs="Arial"/>
          <w:kern w:val="24"/>
          <w:sz w:val="24"/>
          <w:szCs w:val="24"/>
        </w:rPr>
        <w:t>For Max Webber, there are several classes in society: owners, managers, workers, professionals, manual workers and unemployed (</w:t>
      </w:r>
      <w:proofErr w:type="spellStart"/>
      <w:r w:rsidRPr="00213021">
        <w:rPr>
          <w:rFonts w:ascii="Arial" w:hAnsi="Arial" w:cs="Arial"/>
          <w:kern w:val="24"/>
          <w:sz w:val="24"/>
          <w:szCs w:val="24"/>
        </w:rPr>
        <w:t>Spicker</w:t>
      </w:r>
      <w:proofErr w:type="spellEnd"/>
      <w:r w:rsidRPr="00213021">
        <w:rPr>
          <w:rFonts w:ascii="Arial" w:hAnsi="Arial" w:cs="Arial"/>
          <w:kern w:val="24"/>
          <w:sz w:val="24"/>
          <w:szCs w:val="24"/>
        </w:rPr>
        <w:t xml:space="preserve">, 2010).  It would be interesting to explore the differences and similarities between the views of Marx and Webber; however, this poster is going to focus on the disadvantaged children who are living in poverty face when compared to their peers from more affluent family backgrounds.  </w:t>
      </w:r>
    </w:p>
    <w:p w14:paraId="451F51FA" w14:textId="77777777" w:rsidR="00213021" w:rsidRPr="00213021" w:rsidRDefault="00213021" w:rsidP="00213021">
      <w:pPr>
        <w:jc w:val="both"/>
        <w:rPr>
          <w:rFonts w:ascii="Arial" w:hAnsi="Arial" w:cs="Arial"/>
          <w:kern w:val="24"/>
          <w:sz w:val="24"/>
          <w:szCs w:val="24"/>
        </w:rPr>
      </w:pPr>
      <w:r w:rsidRPr="00213021">
        <w:rPr>
          <w:rFonts w:ascii="Arial" w:hAnsi="Arial" w:cs="Arial"/>
          <w:kern w:val="24"/>
          <w:sz w:val="24"/>
          <w:szCs w:val="24"/>
        </w:rPr>
        <w:t xml:space="preserve">Private schools are expensive; pupils are predominantly from more affluent backgrounds (Green, 2019).  School league tables illustrate how the schools at the top of the league have children predominantly from middle class more affluent family backgrounds.  To illustrate this, Eaton College has historically been a leading independent boy's boarding school in the UK.  It has links to royalty, founded in 1440 by King Henry VI (Eaton College, 2019) and more recently, Princes William and Harry attended.  Both former Prime Minister David Cameron and the current Prime Minister Boris Johnson also went to Eaton (Hancock, 2016).  Despite the majority of pupils attending private schools being from more affluent family backgrounds, some financial assistance is available for pupils from disadvantaged backgrounds. However, pupils are selected based on their academic ability from a shortlist of pupils from mainstream </w:t>
      </w:r>
      <w:proofErr w:type="gramStart"/>
      <w:r w:rsidRPr="00213021">
        <w:rPr>
          <w:rFonts w:ascii="Arial" w:hAnsi="Arial" w:cs="Arial"/>
          <w:kern w:val="24"/>
          <w:sz w:val="24"/>
          <w:szCs w:val="24"/>
        </w:rPr>
        <w:t>schools  (</w:t>
      </w:r>
      <w:proofErr w:type="gramEnd"/>
      <w:r w:rsidRPr="00213021">
        <w:rPr>
          <w:rFonts w:ascii="Arial" w:hAnsi="Arial" w:cs="Arial"/>
          <w:kern w:val="24"/>
          <w:sz w:val="24"/>
          <w:szCs w:val="24"/>
        </w:rPr>
        <w:t>Claridge, 2019).</w:t>
      </w:r>
    </w:p>
    <w:p w14:paraId="5D98C72C" w14:textId="77777777" w:rsidR="00213021" w:rsidRPr="00213021" w:rsidRDefault="00213021" w:rsidP="00213021">
      <w:pPr>
        <w:jc w:val="both"/>
        <w:rPr>
          <w:rFonts w:ascii="Arial" w:hAnsi="Arial" w:cs="Arial"/>
          <w:kern w:val="24"/>
          <w:sz w:val="24"/>
          <w:szCs w:val="24"/>
        </w:rPr>
      </w:pPr>
      <w:r w:rsidRPr="00213021">
        <w:rPr>
          <w:rFonts w:ascii="Arial" w:hAnsi="Arial" w:cs="Arial"/>
          <w:kern w:val="24"/>
          <w:sz w:val="24"/>
          <w:szCs w:val="24"/>
        </w:rPr>
        <w:t xml:space="preserve">Further strategies embedded within the school alongside the statutory curriculum tackle poverty and help to close the gap in attainment. This poster provides a brief overview of their </w:t>
      </w:r>
      <w:proofErr w:type="spellStart"/>
      <w:r w:rsidRPr="00213021">
        <w:rPr>
          <w:rFonts w:ascii="Arial" w:hAnsi="Arial" w:cs="Arial"/>
          <w:kern w:val="24"/>
          <w:sz w:val="24"/>
          <w:szCs w:val="24"/>
        </w:rPr>
        <w:t>pro's</w:t>
      </w:r>
      <w:proofErr w:type="spellEnd"/>
      <w:r w:rsidRPr="00213021">
        <w:rPr>
          <w:rFonts w:ascii="Arial" w:hAnsi="Arial" w:cs="Arial"/>
          <w:kern w:val="24"/>
          <w:sz w:val="24"/>
          <w:szCs w:val="24"/>
        </w:rPr>
        <w:t xml:space="preserve"> and cons. Establishing their overall effectiveness would require further research to consider the overall educational outcomes of individual pupils throughout their academic life. Free school meals help to determine grant funding streams, such as the Welsh Government's Pupil Development Grant, the Education Improvement Grant for schools, and the Local Government Settlement funding formula. According to the BBC, not all parents accept free school meals, suggesting stigma and cultural reasons for not wanting to accept welfare (Coughlan, 2017).</w:t>
      </w:r>
    </w:p>
    <w:p w14:paraId="63C05D8E" w14:textId="491DDDA4" w:rsidR="00D5508D" w:rsidRPr="00D5508D" w:rsidRDefault="00213021" w:rsidP="00213021">
      <w:pPr>
        <w:jc w:val="both"/>
        <w:rPr>
          <w:rFonts w:ascii="Arial" w:hAnsi="Arial" w:cs="Arial"/>
          <w:kern w:val="24"/>
          <w:sz w:val="24"/>
          <w:szCs w:val="24"/>
        </w:rPr>
      </w:pPr>
      <w:r w:rsidRPr="00213021">
        <w:rPr>
          <w:rFonts w:ascii="Arial" w:hAnsi="Arial" w:cs="Arial"/>
          <w:kern w:val="24"/>
          <w:sz w:val="24"/>
          <w:szCs w:val="24"/>
        </w:rPr>
        <w:t xml:space="preserve">How can schools help? Schools establish good working relationships with parents, and this enables them to tailor support to meet the needs of the families that make up the school population. Some of the suggestions have links to the new curriculum, whereas others work with the parents to establish achievable solutions to reduce the effects of poverty.   </w:t>
      </w:r>
      <w:r w:rsidR="00487600">
        <w:rPr>
          <w:rFonts w:ascii="Arial" w:hAnsi="Arial" w:cs="Arial"/>
          <w:kern w:val="24"/>
          <w:sz w:val="24"/>
          <w:szCs w:val="24"/>
        </w:rPr>
        <w:t xml:space="preserve">   </w:t>
      </w:r>
    </w:p>
    <w:p w14:paraId="65D208B2" w14:textId="77777777" w:rsidR="00D5508D" w:rsidRPr="00D5508D" w:rsidRDefault="00D5508D" w:rsidP="00D5508D">
      <w:pPr>
        <w:jc w:val="both"/>
        <w:rPr>
          <w:rFonts w:ascii="Arial" w:hAnsi="Arial" w:cs="Arial"/>
          <w:kern w:val="24"/>
          <w:sz w:val="24"/>
          <w:szCs w:val="24"/>
        </w:rPr>
      </w:pPr>
      <w:bookmarkStart w:id="0" w:name="_GoBack"/>
      <w:bookmarkEnd w:id="0"/>
    </w:p>
    <w:p w14:paraId="45A47506"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lastRenderedPageBreak/>
        <w:t xml:space="preserve">Ballantine, J (ed). And Spade, J (ed). (2015). Schools and Society. A Sociological Approach. 5th </w:t>
      </w:r>
      <w:proofErr w:type="spellStart"/>
      <w:r w:rsidRPr="00D5508D">
        <w:rPr>
          <w:rFonts w:ascii="Arial" w:hAnsi="Arial" w:cs="Arial"/>
          <w:kern w:val="24"/>
          <w:sz w:val="24"/>
          <w:szCs w:val="24"/>
        </w:rPr>
        <w:t>edn</w:t>
      </w:r>
      <w:proofErr w:type="spellEnd"/>
      <w:r w:rsidRPr="00D5508D">
        <w:rPr>
          <w:rFonts w:ascii="Arial" w:hAnsi="Arial" w:cs="Arial"/>
          <w:kern w:val="24"/>
          <w:sz w:val="24"/>
          <w:szCs w:val="24"/>
        </w:rPr>
        <w:t xml:space="preserve">. London: Sage Publications Ltd. </w:t>
      </w:r>
    </w:p>
    <w:p w14:paraId="512A3148"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t>Bevan Foundation. (2019). Poverty in Wales – a failure of devolution? Available at: https://www.bevanfoundation.org/commentary/poverty-in-wales-a-failure-of-devolution/(Accessed: 30 December 2019)</w:t>
      </w:r>
    </w:p>
    <w:p w14:paraId="5AB189A5" w14:textId="2F3A83CC" w:rsidR="00D5508D" w:rsidRDefault="00D5508D" w:rsidP="00D5508D">
      <w:pPr>
        <w:jc w:val="both"/>
        <w:rPr>
          <w:rFonts w:ascii="Arial" w:hAnsi="Arial" w:cs="Arial"/>
          <w:kern w:val="24"/>
          <w:sz w:val="24"/>
          <w:szCs w:val="24"/>
        </w:rPr>
      </w:pPr>
      <w:r w:rsidRPr="00D5508D">
        <w:rPr>
          <w:rFonts w:ascii="Arial" w:hAnsi="Arial" w:cs="Arial"/>
          <w:kern w:val="24"/>
          <w:sz w:val="24"/>
          <w:szCs w:val="24"/>
        </w:rPr>
        <w:t>Chappelow, J. (2019). Conflict Theory. Available at: https://www.investopedia.com/terms/c/conflict-theory.asp/(Accessed: 2 January 2020).</w:t>
      </w:r>
    </w:p>
    <w:p w14:paraId="72DEFDC7" w14:textId="06DDE612" w:rsidR="003B094E" w:rsidRPr="003B094E" w:rsidRDefault="003B094E" w:rsidP="00D5508D">
      <w:pPr>
        <w:jc w:val="both"/>
        <w:rPr>
          <w:rFonts w:ascii="Arial" w:hAnsi="Arial" w:cs="Arial"/>
          <w:kern w:val="24"/>
          <w:sz w:val="24"/>
          <w:szCs w:val="24"/>
        </w:rPr>
      </w:pPr>
      <w:r w:rsidRPr="003B094E">
        <w:rPr>
          <w:rFonts w:ascii="Arial" w:hAnsi="Arial" w:cs="Arial"/>
          <w:sz w:val="24"/>
          <w:szCs w:val="24"/>
        </w:rPr>
        <w:t xml:space="preserve">Claridge, J. (2019). Scholarships for Private Independent Schools. Available at: </w:t>
      </w:r>
      <w:hyperlink r:id="rId5" w:history="1">
        <w:r w:rsidRPr="003B094E">
          <w:rPr>
            <w:rStyle w:val="Hyperlink"/>
            <w:rFonts w:ascii="Arial" w:hAnsi="Arial" w:cs="Arial"/>
            <w:color w:val="auto"/>
            <w:sz w:val="24"/>
            <w:szCs w:val="24"/>
            <w:u w:val="none"/>
          </w:rPr>
          <w:t>http://www.gettherightschool.co.uk/scholarshipsforprivateindependentschools.html/(Accessed</w:t>
        </w:r>
      </w:hyperlink>
      <w:r w:rsidRPr="003B094E">
        <w:rPr>
          <w:rFonts w:ascii="Arial" w:hAnsi="Arial" w:cs="Arial"/>
          <w:sz w:val="24"/>
          <w:szCs w:val="24"/>
        </w:rPr>
        <w:t>: 5 January 2020)</w:t>
      </w:r>
    </w:p>
    <w:p w14:paraId="67FA6DC2"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t>Coughlan, S. (BBC Education Correspondent). (2017) 'Free school meals is 'unreliable poverty measure' available at: https://www.bbc.co.uk/news/education-39479028/(Accessed: 4 January, 2020)</w:t>
      </w:r>
    </w:p>
    <w:p w14:paraId="0D519E1F" w14:textId="27650819" w:rsidR="00D5508D" w:rsidRPr="00D5508D" w:rsidRDefault="00D5508D" w:rsidP="00D5508D">
      <w:pPr>
        <w:jc w:val="both"/>
        <w:rPr>
          <w:rFonts w:ascii="Arial" w:hAnsi="Arial" w:cs="Arial"/>
          <w:kern w:val="24"/>
          <w:sz w:val="24"/>
          <w:szCs w:val="24"/>
        </w:rPr>
      </w:pPr>
      <w:proofErr w:type="spellStart"/>
      <w:r w:rsidRPr="00D5508D">
        <w:rPr>
          <w:rFonts w:ascii="Arial" w:hAnsi="Arial" w:cs="Arial"/>
          <w:kern w:val="24"/>
          <w:sz w:val="24"/>
          <w:szCs w:val="24"/>
        </w:rPr>
        <w:t>Dillabough</w:t>
      </w:r>
      <w:proofErr w:type="spellEnd"/>
      <w:r w:rsidRPr="00D5508D">
        <w:rPr>
          <w:rFonts w:ascii="Arial" w:hAnsi="Arial" w:cs="Arial"/>
          <w:kern w:val="24"/>
          <w:sz w:val="24"/>
          <w:szCs w:val="24"/>
        </w:rPr>
        <w:t xml:space="preserve">, J. and Arnot, M. (2001). Feminist Sociology of Education: Dynamics, Debates and directions in </w:t>
      </w:r>
      <w:proofErr w:type="spellStart"/>
      <w:r w:rsidRPr="00D5508D">
        <w:rPr>
          <w:rFonts w:ascii="Arial" w:hAnsi="Arial" w:cs="Arial"/>
          <w:kern w:val="24"/>
          <w:sz w:val="24"/>
          <w:szCs w:val="24"/>
        </w:rPr>
        <w:t>Demaine</w:t>
      </w:r>
      <w:proofErr w:type="spellEnd"/>
      <w:r w:rsidRPr="00D5508D">
        <w:rPr>
          <w:rFonts w:ascii="Arial" w:hAnsi="Arial" w:cs="Arial"/>
          <w:kern w:val="24"/>
          <w:sz w:val="24"/>
          <w:szCs w:val="24"/>
        </w:rPr>
        <w:t xml:space="preserve">, J (ed). </w:t>
      </w:r>
      <w:r w:rsidR="006E454D" w:rsidRPr="00D5508D">
        <w:rPr>
          <w:rFonts w:ascii="Arial" w:hAnsi="Arial" w:cs="Arial"/>
          <w:kern w:val="24"/>
          <w:sz w:val="24"/>
          <w:szCs w:val="24"/>
        </w:rPr>
        <w:t>Sociology</w:t>
      </w:r>
      <w:r w:rsidRPr="00D5508D">
        <w:rPr>
          <w:rFonts w:ascii="Arial" w:hAnsi="Arial" w:cs="Arial"/>
          <w:kern w:val="24"/>
          <w:sz w:val="24"/>
          <w:szCs w:val="24"/>
        </w:rPr>
        <w:t xml:space="preserve"> of Education Today. (2001). Hampshire: Palgrave. </w:t>
      </w:r>
    </w:p>
    <w:p w14:paraId="0F2BBB4B"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t>First Discoverer. (2019). Child Development Theories: Lev Vygotsky. Available at: https://www.firstdiscoverers.co.uk/lev-vygotsky-child-development-theories/(Accessed 2 January 2020)</w:t>
      </w:r>
    </w:p>
    <w:p w14:paraId="1BBCF049"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t xml:space="preserve">Gracey, H. (1975). Learning the Student Role. Kindergarten as an Academic Boot Camp in Ballantine, J (ed). And Spade, J (ed). (2015). Schools and Society. A Sociological Approach. 5th </w:t>
      </w:r>
      <w:proofErr w:type="spellStart"/>
      <w:r w:rsidRPr="00D5508D">
        <w:rPr>
          <w:rFonts w:ascii="Arial" w:hAnsi="Arial" w:cs="Arial"/>
          <w:kern w:val="24"/>
          <w:sz w:val="24"/>
          <w:szCs w:val="24"/>
        </w:rPr>
        <w:t>edn</w:t>
      </w:r>
      <w:proofErr w:type="spellEnd"/>
      <w:r w:rsidRPr="00D5508D">
        <w:rPr>
          <w:rFonts w:ascii="Arial" w:hAnsi="Arial" w:cs="Arial"/>
          <w:kern w:val="24"/>
          <w:sz w:val="24"/>
          <w:szCs w:val="24"/>
        </w:rPr>
        <w:t>. London: Sage Publications Ltd. Pp. 147-152.</w:t>
      </w:r>
    </w:p>
    <w:p w14:paraId="3A5AD14C"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t>Hancock, E. (2016). 13 of the most successful men who attended Eton, the school that educated 19 British prime ministers. Available at: https://www.businessinsider.com/etons-most-surprising-and-successful-alumni-2016-11?r=US&amp;IR=T/(Accessed: 30 December 2019)</w:t>
      </w:r>
    </w:p>
    <w:p w14:paraId="491C33F7"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t>IE. (2019). Pros and cons of school uniforms. Available at: https://ie-today.co.uk/Article/pros-and-cons-of-school-uniforms/(Accessed: 4 January 2020)</w:t>
      </w:r>
    </w:p>
    <w:p w14:paraId="5A025F06"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t xml:space="preserve">Livingston, K. and DiNardo, P. (2016). Becoming a Teacher in Ballantine, J (ed). And Spade, J (ed). (2015). Schools and Society. A Sociological Approach. 5th </w:t>
      </w:r>
      <w:proofErr w:type="spellStart"/>
      <w:r w:rsidRPr="00D5508D">
        <w:rPr>
          <w:rFonts w:ascii="Arial" w:hAnsi="Arial" w:cs="Arial"/>
          <w:kern w:val="24"/>
          <w:sz w:val="24"/>
          <w:szCs w:val="24"/>
        </w:rPr>
        <w:t>edn</w:t>
      </w:r>
      <w:proofErr w:type="spellEnd"/>
      <w:r w:rsidRPr="00D5508D">
        <w:rPr>
          <w:rFonts w:ascii="Arial" w:hAnsi="Arial" w:cs="Arial"/>
          <w:kern w:val="24"/>
          <w:sz w:val="24"/>
          <w:szCs w:val="24"/>
        </w:rPr>
        <w:t>. London: Sage Publications Ltd. Pp. 2-25.</w:t>
      </w:r>
    </w:p>
    <w:p w14:paraId="28045048"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t>McLeod, S. (2018a). Maslow's Hierarchy of Needs. Available at: https://www.simplypsychology.org/maslow.html/(Accessed: 2 January 2020)</w:t>
      </w:r>
    </w:p>
    <w:p w14:paraId="4888B199"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t>McLeod, S. (2018b). Skinner - Operant Conditioning. Available at: https://www.simplypsychology.org/operant-conditioning.html/(Accessed: 2 January 2020)</w:t>
      </w:r>
    </w:p>
    <w:p w14:paraId="3F121373"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t xml:space="preserve">Meighan, R. and Siraj-Blachford, I. (2005). A Sociology of Educating. 4th </w:t>
      </w:r>
      <w:proofErr w:type="spellStart"/>
      <w:r w:rsidRPr="00D5508D">
        <w:rPr>
          <w:rFonts w:ascii="Arial" w:hAnsi="Arial" w:cs="Arial"/>
          <w:kern w:val="24"/>
          <w:sz w:val="24"/>
          <w:szCs w:val="24"/>
        </w:rPr>
        <w:t>Edn</w:t>
      </w:r>
      <w:proofErr w:type="spellEnd"/>
      <w:r w:rsidRPr="00D5508D">
        <w:rPr>
          <w:rFonts w:ascii="Arial" w:hAnsi="Arial" w:cs="Arial"/>
          <w:kern w:val="24"/>
          <w:sz w:val="24"/>
          <w:szCs w:val="24"/>
        </w:rPr>
        <w:t>. London: Continuum.</w:t>
      </w:r>
    </w:p>
    <w:p w14:paraId="3380E697" w14:textId="77777777" w:rsidR="00D5508D" w:rsidRPr="00D5508D" w:rsidRDefault="00D5508D" w:rsidP="00D5508D">
      <w:pPr>
        <w:jc w:val="both"/>
        <w:rPr>
          <w:rFonts w:ascii="Arial" w:hAnsi="Arial" w:cs="Arial"/>
          <w:kern w:val="24"/>
          <w:sz w:val="24"/>
          <w:szCs w:val="24"/>
        </w:rPr>
      </w:pPr>
      <w:proofErr w:type="spellStart"/>
      <w:r w:rsidRPr="00D5508D">
        <w:rPr>
          <w:rFonts w:ascii="Arial" w:hAnsi="Arial" w:cs="Arial"/>
          <w:kern w:val="24"/>
          <w:sz w:val="24"/>
          <w:szCs w:val="24"/>
        </w:rPr>
        <w:lastRenderedPageBreak/>
        <w:t>Menter</w:t>
      </w:r>
      <w:proofErr w:type="spellEnd"/>
      <w:r w:rsidRPr="00D5508D">
        <w:rPr>
          <w:rFonts w:ascii="Arial" w:hAnsi="Arial" w:cs="Arial"/>
          <w:kern w:val="24"/>
          <w:sz w:val="24"/>
          <w:szCs w:val="24"/>
        </w:rPr>
        <w:t>, I. and Walker, M. (2016). School and Society in Wyse, D.(ed) and Rogers, S.(ed) (2016). A Guide to Early Years and Primary Teaching. London: Sage Publications.  Pp. 28-43.</w:t>
      </w:r>
    </w:p>
    <w:p w14:paraId="731AF117"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t>Murray B. (2019). 30 Classroom Procedures to Head Off Behaviour Problems. Available at: https://www.scholastic.com/teachers/articles/teaching-content/30-classroom-procedures-head-behavior-problems/(Accessed: 9 November 2019).</w:t>
      </w:r>
    </w:p>
    <w:p w14:paraId="6B9FEF12" w14:textId="77777777" w:rsidR="00D5508D" w:rsidRPr="00D5508D" w:rsidRDefault="00D5508D" w:rsidP="00D5508D">
      <w:pPr>
        <w:jc w:val="both"/>
        <w:rPr>
          <w:rFonts w:ascii="Arial" w:hAnsi="Arial" w:cs="Arial"/>
          <w:kern w:val="24"/>
          <w:sz w:val="24"/>
          <w:szCs w:val="24"/>
        </w:rPr>
      </w:pPr>
      <w:r w:rsidRPr="00D5508D">
        <w:rPr>
          <w:rFonts w:ascii="Arial" w:hAnsi="Arial" w:cs="Arial"/>
          <w:kern w:val="24"/>
          <w:sz w:val="24"/>
          <w:szCs w:val="24"/>
        </w:rPr>
        <w:t>Smith, M. (2015). What is education? A definition and discussion. The encyclopaedia of informal education. Available at: http://infed.org/mobi/what-is-education-a-definition-and-discussion/(Accessed: 9 November 2019).</w:t>
      </w:r>
    </w:p>
    <w:p w14:paraId="71A37F25" w14:textId="77777777" w:rsidR="00D5508D" w:rsidRPr="00D5508D" w:rsidRDefault="00D5508D" w:rsidP="00D5508D">
      <w:pPr>
        <w:jc w:val="both"/>
        <w:rPr>
          <w:rFonts w:ascii="Arial" w:hAnsi="Arial" w:cs="Arial"/>
          <w:kern w:val="24"/>
          <w:sz w:val="24"/>
          <w:szCs w:val="24"/>
        </w:rPr>
      </w:pPr>
      <w:proofErr w:type="spellStart"/>
      <w:r w:rsidRPr="00D5508D">
        <w:rPr>
          <w:rFonts w:ascii="Arial" w:hAnsi="Arial" w:cs="Arial"/>
          <w:kern w:val="24"/>
          <w:sz w:val="24"/>
          <w:szCs w:val="24"/>
        </w:rPr>
        <w:t>Trueman</w:t>
      </w:r>
      <w:proofErr w:type="spellEnd"/>
      <w:r w:rsidRPr="00D5508D">
        <w:rPr>
          <w:rFonts w:ascii="Arial" w:hAnsi="Arial" w:cs="Arial"/>
          <w:kern w:val="24"/>
          <w:sz w:val="24"/>
          <w:szCs w:val="24"/>
        </w:rPr>
        <w:t>, C. (2015) "Functionalism" The History Learning Site. Available at: https://www.historylearningsite.co.uk/sociology/theories-in-sociology/functionalism/(Accessed: 2 January 2020)</w:t>
      </w:r>
    </w:p>
    <w:p w14:paraId="546AA200" w14:textId="2851A727" w:rsidR="00823857" w:rsidRDefault="00D5508D" w:rsidP="00D5508D">
      <w:pPr>
        <w:jc w:val="both"/>
        <w:rPr>
          <w:sz w:val="24"/>
          <w:szCs w:val="24"/>
        </w:rPr>
      </w:pPr>
      <w:r w:rsidRPr="00D5508D">
        <w:rPr>
          <w:rFonts w:ascii="Arial" w:hAnsi="Arial" w:cs="Arial"/>
          <w:kern w:val="24"/>
          <w:sz w:val="24"/>
          <w:szCs w:val="24"/>
        </w:rPr>
        <w:t>Waterhouse, J. and Miller, R. (2016). 'Your First Job' in Wyse, D (ed). And Rogers, S (ed). A Guide to Early Years and Primary Teaching. London: Sage. Pp. 282-289.</w:t>
      </w:r>
    </w:p>
    <w:sectPr w:rsidR="008238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F2E76"/>
    <w:multiLevelType w:val="hybridMultilevel"/>
    <w:tmpl w:val="34CCD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07E8C"/>
    <w:multiLevelType w:val="hybridMultilevel"/>
    <w:tmpl w:val="94642758"/>
    <w:lvl w:ilvl="0" w:tplc="AF4431F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A24369"/>
    <w:multiLevelType w:val="hybridMultilevel"/>
    <w:tmpl w:val="F1C49FC6"/>
    <w:lvl w:ilvl="0" w:tplc="AF4431F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A56D65"/>
    <w:multiLevelType w:val="hybridMultilevel"/>
    <w:tmpl w:val="0090E6AA"/>
    <w:lvl w:ilvl="0" w:tplc="C39A667C">
      <w:start w:val="1"/>
      <w:numFmt w:val="bullet"/>
      <w:lvlText w:val="•"/>
      <w:lvlJc w:val="left"/>
      <w:pPr>
        <w:tabs>
          <w:tab w:val="num" w:pos="720"/>
        </w:tabs>
        <w:ind w:left="720" w:hanging="360"/>
      </w:pPr>
      <w:rPr>
        <w:rFonts w:ascii="Arial" w:hAnsi="Arial" w:hint="default"/>
      </w:rPr>
    </w:lvl>
    <w:lvl w:ilvl="1" w:tplc="1F962412" w:tentative="1">
      <w:start w:val="1"/>
      <w:numFmt w:val="bullet"/>
      <w:lvlText w:val="•"/>
      <w:lvlJc w:val="left"/>
      <w:pPr>
        <w:tabs>
          <w:tab w:val="num" w:pos="1440"/>
        </w:tabs>
        <w:ind w:left="1440" w:hanging="360"/>
      </w:pPr>
      <w:rPr>
        <w:rFonts w:ascii="Arial" w:hAnsi="Arial" w:hint="default"/>
      </w:rPr>
    </w:lvl>
    <w:lvl w:ilvl="2" w:tplc="3BD23B5C" w:tentative="1">
      <w:start w:val="1"/>
      <w:numFmt w:val="bullet"/>
      <w:lvlText w:val="•"/>
      <w:lvlJc w:val="left"/>
      <w:pPr>
        <w:tabs>
          <w:tab w:val="num" w:pos="2160"/>
        </w:tabs>
        <w:ind w:left="2160" w:hanging="360"/>
      </w:pPr>
      <w:rPr>
        <w:rFonts w:ascii="Arial" w:hAnsi="Arial" w:hint="default"/>
      </w:rPr>
    </w:lvl>
    <w:lvl w:ilvl="3" w:tplc="903E0546" w:tentative="1">
      <w:start w:val="1"/>
      <w:numFmt w:val="bullet"/>
      <w:lvlText w:val="•"/>
      <w:lvlJc w:val="left"/>
      <w:pPr>
        <w:tabs>
          <w:tab w:val="num" w:pos="2880"/>
        </w:tabs>
        <w:ind w:left="2880" w:hanging="360"/>
      </w:pPr>
      <w:rPr>
        <w:rFonts w:ascii="Arial" w:hAnsi="Arial" w:hint="default"/>
      </w:rPr>
    </w:lvl>
    <w:lvl w:ilvl="4" w:tplc="A3CE930A" w:tentative="1">
      <w:start w:val="1"/>
      <w:numFmt w:val="bullet"/>
      <w:lvlText w:val="•"/>
      <w:lvlJc w:val="left"/>
      <w:pPr>
        <w:tabs>
          <w:tab w:val="num" w:pos="3600"/>
        </w:tabs>
        <w:ind w:left="3600" w:hanging="360"/>
      </w:pPr>
      <w:rPr>
        <w:rFonts w:ascii="Arial" w:hAnsi="Arial" w:hint="default"/>
      </w:rPr>
    </w:lvl>
    <w:lvl w:ilvl="5" w:tplc="67D84ABA" w:tentative="1">
      <w:start w:val="1"/>
      <w:numFmt w:val="bullet"/>
      <w:lvlText w:val="•"/>
      <w:lvlJc w:val="left"/>
      <w:pPr>
        <w:tabs>
          <w:tab w:val="num" w:pos="4320"/>
        </w:tabs>
        <w:ind w:left="4320" w:hanging="360"/>
      </w:pPr>
      <w:rPr>
        <w:rFonts w:ascii="Arial" w:hAnsi="Arial" w:hint="default"/>
      </w:rPr>
    </w:lvl>
    <w:lvl w:ilvl="6" w:tplc="2D9E5EF8" w:tentative="1">
      <w:start w:val="1"/>
      <w:numFmt w:val="bullet"/>
      <w:lvlText w:val="•"/>
      <w:lvlJc w:val="left"/>
      <w:pPr>
        <w:tabs>
          <w:tab w:val="num" w:pos="5040"/>
        </w:tabs>
        <w:ind w:left="5040" w:hanging="360"/>
      </w:pPr>
      <w:rPr>
        <w:rFonts w:ascii="Arial" w:hAnsi="Arial" w:hint="default"/>
      </w:rPr>
    </w:lvl>
    <w:lvl w:ilvl="7" w:tplc="D9CAC4C8" w:tentative="1">
      <w:start w:val="1"/>
      <w:numFmt w:val="bullet"/>
      <w:lvlText w:val="•"/>
      <w:lvlJc w:val="left"/>
      <w:pPr>
        <w:tabs>
          <w:tab w:val="num" w:pos="5760"/>
        </w:tabs>
        <w:ind w:left="5760" w:hanging="360"/>
      </w:pPr>
      <w:rPr>
        <w:rFonts w:ascii="Arial" w:hAnsi="Arial" w:hint="default"/>
      </w:rPr>
    </w:lvl>
    <w:lvl w:ilvl="8" w:tplc="A3B62EC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C6D"/>
    <w:rsid w:val="000071E7"/>
    <w:rsid w:val="000513B0"/>
    <w:rsid w:val="000600CE"/>
    <w:rsid w:val="00072035"/>
    <w:rsid w:val="00076058"/>
    <w:rsid w:val="00131BA8"/>
    <w:rsid w:val="00146226"/>
    <w:rsid w:val="00192061"/>
    <w:rsid w:val="001C3571"/>
    <w:rsid w:val="001D03C5"/>
    <w:rsid w:val="001F4246"/>
    <w:rsid w:val="00204D21"/>
    <w:rsid w:val="00213021"/>
    <w:rsid w:val="002133FF"/>
    <w:rsid w:val="00226A96"/>
    <w:rsid w:val="00235947"/>
    <w:rsid w:val="00256FC2"/>
    <w:rsid w:val="0026588C"/>
    <w:rsid w:val="002A69B7"/>
    <w:rsid w:val="00327E52"/>
    <w:rsid w:val="00333C45"/>
    <w:rsid w:val="003569B8"/>
    <w:rsid w:val="00381A12"/>
    <w:rsid w:val="003B094E"/>
    <w:rsid w:val="0041795F"/>
    <w:rsid w:val="00440856"/>
    <w:rsid w:val="0045203D"/>
    <w:rsid w:val="00456B11"/>
    <w:rsid w:val="00482C58"/>
    <w:rsid w:val="00487600"/>
    <w:rsid w:val="00527203"/>
    <w:rsid w:val="00543D5E"/>
    <w:rsid w:val="00551B3E"/>
    <w:rsid w:val="0056342F"/>
    <w:rsid w:val="005634ED"/>
    <w:rsid w:val="0057466D"/>
    <w:rsid w:val="00583AFF"/>
    <w:rsid w:val="005A7FF5"/>
    <w:rsid w:val="005D755D"/>
    <w:rsid w:val="006177A1"/>
    <w:rsid w:val="00633532"/>
    <w:rsid w:val="006519DA"/>
    <w:rsid w:val="00663105"/>
    <w:rsid w:val="0067050E"/>
    <w:rsid w:val="006C1A69"/>
    <w:rsid w:val="006E454D"/>
    <w:rsid w:val="006E69A3"/>
    <w:rsid w:val="006F7222"/>
    <w:rsid w:val="007334AB"/>
    <w:rsid w:val="0073558C"/>
    <w:rsid w:val="0078784B"/>
    <w:rsid w:val="007C3F2B"/>
    <w:rsid w:val="00823857"/>
    <w:rsid w:val="00883AFA"/>
    <w:rsid w:val="008A1016"/>
    <w:rsid w:val="008C45FD"/>
    <w:rsid w:val="00905125"/>
    <w:rsid w:val="00907D51"/>
    <w:rsid w:val="00966C2F"/>
    <w:rsid w:val="009749D2"/>
    <w:rsid w:val="009A7B75"/>
    <w:rsid w:val="009B694C"/>
    <w:rsid w:val="009E217A"/>
    <w:rsid w:val="00A43C95"/>
    <w:rsid w:val="00A71B8F"/>
    <w:rsid w:val="00A92CC4"/>
    <w:rsid w:val="00AB234C"/>
    <w:rsid w:val="00B76ADA"/>
    <w:rsid w:val="00BE4AB3"/>
    <w:rsid w:val="00C13EB6"/>
    <w:rsid w:val="00C33C6D"/>
    <w:rsid w:val="00C60D01"/>
    <w:rsid w:val="00C7134B"/>
    <w:rsid w:val="00C80ADB"/>
    <w:rsid w:val="00C904C1"/>
    <w:rsid w:val="00CB4F49"/>
    <w:rsid w:val="00CD3F81"/>
    <w:rsid w:val="00CF1028"/>
    <w:rsid w:val="00CF7400"/>
    <w:rsid w:val="00D02D79"/>
    <w:rsid w:val="00D13907"/>
    <w:rsid w:val="00D24C17"/>
    <w:rsid w:val="00D503CF"/>
    <w:rsid w:val="00D5508D"/>
    <w:rsid w:val="00D825F9"/>
    <w:rsid w:val="00DB4FE2"/>
    <w:rsid w:val="00DC6C8C"/>
    <w:rsid w:val="00DE4CE6"/>
    <w:rsid w:val="00DE50FF"/>
    <w:rsid w:val="00E226C0"/>
    <w:rsid w:val="00E65012"/>
    <w:rsid w:val="00E657B6"/>
    <w:rsid w:val="00E65E40"/>
    <w:rsid w:val="00EB2293"/>
    <w:rsid w:val="00EC3D86"/>
    <w:rsid w:val="00EC702F"/>
    <w:rsid w:val="00F01560"/>
    <w:rsid w:val="00F115E3"/>
    <w:rsid w:val="00F4219C"/>
    <w:rsid w:val="00F46975"/>
    <w:rsid w:val="00F6160B"/>
    <w:rsid w:val="00F71BDD"/>
    <w:rsid w:val="00F7767A"/>
    <w:rsid w:val="00F95E3B"/>
    <w:rsid w:val="00FB3F64"/>
    <w:rsid w:val="00FC0D39"/>
    <w:rsid w:val="00FE134C"/>
    <w:rsid w:val="00FE2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AD2A5"/>
  <w15:chartTrackingRefBased/>
  <w15:docId w15:val="{AB553470-8388-4DDD-AB66-2AA2B0444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C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02D79"/>
    <w:rPr>
      <w:i/>
      <w:iCs/>
    </w:rPr>
  </w:style>
  <w:style w:type="character" w:styleId="Hyperlink">
    <w:name w:val="Hyperlink"/>
    <w:basedOn w:val="DefaultParagraphFont"/>
    <w:uiPriority w:val="99"/>
    <w:unhideWhenUsed/>
    <w:rsid w:val="000513B0"/>
    <w:rPr>
      <w:color w:val="0000FF"/>
      <w:u w:val="single"/>
    </w:rPr>
  </w:style>
  <w:style w:type="paragraph" w:styleId="NormalWeb">
    <w:name w:val="Normal (Web)"/>
    <w:basedOn w:val="Normal"/>
    <w:uiPriority w:val="99"/>
    <w:semiHidden/>
    <w:unhideWhenUsed/>
    <w:rsid w:val="002658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26A96"/>
    <w:rPr>
      <w:color w:val="605E5C"/>
      <w:shd w:val="clear" w:color="auto" w:fill="E1DFDD"/>
    </w:rPr>
  </w:style>
  <w:style w:type="paragraph" w:styleId="ListParagraph">
    <w:name w:val="List Paragraph"/>
    <w:basedOn w:val="Normal"/>
    <w:uiPriority w:val="34"/>
    <w:qFormat/>
    <w:rsid w:val="00F015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34014">
      <w:bodyDiv w:val="1"/>
      <w:marLeft w:val="0"/>
      <w:marRight w:val="0"/>
      <w:marTop w:val="0"/>
      <w:marBottom w:val="0"/>
      <w:divBdr>
        <w:top w:val="none" w:sz="0" w:space="0" w:color="auto"/>
        <w:left w:val="none" w:sz="0" w:space="0" w:color="auto"/>
        <w:bottom w:val="none" w:sz="0" w:space="0" w:color="auto"/>
        <w:right w:val="none" w:sz="0" w:space="0" w:color="auto"/>
      </w:divBdr>
    </w:div>
    <w:div w:id="225535777">
      <w:bodyDiv w:val="1"/>
      <w:marLeft w:val="0"/>
      <w:marRight w:val="0"/>
      <w:marTop w:val="0"/>
      <w:marBottom w:val="0"/>
      <w:divBdr>
        <w:top w:val="none" w:sz="0" w:space="0" w:color="auto"/>
        <w:left w:val="none" w:sz="0" w:space="0" w:color="auto"/>
        <w:bottom w:val="none" w:sz="0" w:space="0" w:color="auto"/>
        <w:right w:val="none" w:sz="0" w:space="0" w:color="auto"/>
      </w:divBdr>
    </w:div>
    <w:div w:id="291058809">
      <w:bodyDiv w:val="1"/>
      <w:marLeft w:val="0"/>
      <w:marRight w:val="0"/>
      <w:marTop w:val="0"/>
      <w:marBottom w:val="0"/>
      <w:divBdr>
        <w:top w:val="none" w:sz="0" w:space="0" w:color="auto"/>
        <w:left w:val="none" w:sz="0" w:space="0" w:color="auto"/>
        <w:bottom w:val="none" w:sz="0" w:space="0" w:color="auto"/>
        <w:right w:val="none" w:sz="0" w:space="0" w:color="auto"/>
      </w:divBdr>
    </w:div>
    <w:div w:id="350225862">
      <w:bodyDiv w:val="1"/>
      <w:marLeft w:val="0"/>
      <w:marRight w:val="0"/>
      <w:marTop w:val="0"/>
      <w:marBottom w:val="0"/>
      <w:divBdr>
        <w:top w:val="none" w:sz="0" w:space="0" w:color="auto"/>
        <w:left w:val="none" w:sz="0" w:space="0" w:color="auto"/>
        <w:bottom w:val="none" w:sz="0" w:space="0" w:color="auto"/>
        <w:right w:val="none" w:sz="0" w:space="0" w:color="auto"/>
      </w:divBdr>
    </w:div>
    <w:div w:id="376784160">
      <w:bodyDiv w:val="1"/>
      <w:marLeft w:val="0"/>
      <w:marRight w:val="0"/>
      <w:marTop w:val="0"/>
      <w:marBottom w:val="0"/>
      <w:divBdr>
        <w:top w:val="none" w:sz="0" w:space="0" w:color="auto"/>
        <w:left w:val="none" w:sz="0" w:space="0" w:color="auto"/>
        <w:bottom w:val="none" w:sz="0" w:space="0" w:color="auto"/>
        <w:right w:val="none" w:sz="0" w:space="0" w:color="auto"/>
      </w:divBdr>
    </w:div>
    <w:div w:id="468980473">
      <w:bodyDiv w:val="1"/>
      <w:marLeft w:val="0"/>
      <w:marRight w:val="0"/>
      <w:marTop w:val="0"/>
      <w:marBottom w:val="0"/>
      <w:divBdr>
        <w:top w:val="none" w:sz="0" w:space="0" w:color="auto"/>
        <w:left w:val="none" w:sz="0" w:space="0" w:color="auto"/>
        <w:bottom w:val="none" w:sz="0" w:space="0" w:color="auto"/>
        <w:right w:val="none" w:sz="0" w:space="0" w:color="auto"/>
      </w:divBdr>
    </w:div>
    <w:div w:id="662658227">
      <w:bodyDiv w:val="1"/>
      <w:marLeft w:val="0"/>
      <w:marRight w:val="0"/>
      <w:marTop w:val="0"/>
      <w:marBottom w:val="0"/>
      <w:divBdr>
        <w:top w:val="none" w:sz="0" w:space="0" w:color="auto"/>
        <w:left w:val="none" w:sz="0" w:space="0" w:color="auto"/>
        <w:bottom w:val="none" w:sz="0" w:space="0" w:color="auto"/>
        <w:right w:val="none" w:sz="0" w:space="0" w:color="auto"/>
      </w:divBdr>
      <w:divsChild>
        <w:div w:id="1256785554">
          <w:marLeft w:val="792"/>
          <w:marRight w:val="0"/>
          <w:marTop w:val="441"/>
          <w:marBottom w:val="0"/>
          <w:divBdr>
            <w:top w:val="none" w:sz="0" w:space="0" w:color="auto"/>
            <w:left w:val="none" w:sz="0" w:space="0" w:color="auto"/>
            <w:bottom w:val="none" w:sz="0" w:space="0" w:color="auto"/>
            <w:right w:val="none" w:sz="0" w:space="0" w:color="auto"/>
          </w:divBdr>
        </w:div>
        <w:div w:id="610355001">
          <w:marLeft w:val="792"/>
          <w:marRight w:val="0"/>
          <w:marTop w:val="441"/>
          <w:marBottom w:val="0"/>
          <w:divBdr>
            <w:top w:val="none" w:sz="0" w:space="0" w:color="auto"/>
            <w:left w:val="none" w:sz="0" w:space="0" w:color="auto"/>
            <w:bottom w:val="none" w:sz="0" w:space="0" w:color="auto"/>
            <w:right w:val="none" w:sz="0" w:space="0" w:color="auto"/>
          </w:divBdr>
        </w:div>
        <w:div w:id="1034884634">
          <w:marLeft w:val="792"/>
          <w:marRight w:val="0"/>
          <w:marTop w:val="441"/>
          <w:marBottom w:val="0"/>
          <w:divBdr>
            <w:top w:val="none" w:sz="0" w:space="0" w:color="auto"/>
            <w:left w:val="none" w:sz="0" w:space="0" w:color="auto"/>
            <w:bottom w:val="none" w:sz="0" w:space="0" w:color="auto"/>
            <w:right w:val="none" w:sz="0" w:space="0" w:color="auto"/>
          </w:divBdr>
        </w:div>
        <w:div w:id="909776099">
          <w:marLeft w:val="792"/>
          <w:marRight w:val="0"/>
          <w:marTop w:val="441"/>
          <w:marBottom w:val="0"/>
          <w:divBdr>
            <w:top w:val="none" w:sz="0" w:space="0" w:color="auto"/>
            <w:left w:val="none" w:sz="0" w:space="0" w:color="auto"/>
            <w:bottom w:val="none" w:sz="0" w:space="0" w:color="auto"/>
            <w:right w:val="none" w:sz="0" w:space="0" w:color="auto"/>
          </w:divBdr>
        </w:div>
        <w:div w:id="2070225605">
          <w:marLeft w:val="792"/>
          <w:marRight w:val="0"/>
          <w:marTop w:val="441"/>
          <w:marBottom w:val="0"/>
          <w:divBdr>
            <w:top w:val="none" w:sz="0" w:space="0" w:color="auto"/>
            <w:left w:val="none" w:sz="0" w:space="0" w:color="auto"/>
            <w:bottom w:val="none" w:sz="0" w:space="0" w:color="auto"/>
            <w:right w:val="none" w:sz="0" w:space="0" w:color="auto"/>
          </w:divBdr>
        </w:div>
        <w:div w:id="1402874802">
          <w:marLeft w:val="792"/>
          <w:marRight w:val="0"/>
          <w:marTop w:val="441"/>
          <w:marBottom w:val="0"/>
          <w:divBdr>
            <w:top w:val="none" w:sz="0" w:space="0" w:color="auto"/>
            <w:left w:val="none" w:sz="0" w:space="0" w:color="auto"/>
            <w:bottom w:val="none" w:sz="0" w:space="0" w:color="auto"/>
            <w:right w:val="none" w:sz="0" w:space="0" w:color="auto"/>
          </w:divBdr>
        </w:div>
        <w:div w:id="1642538294">
          <w:marLeft w:val="792"/>
          <w:marRight w:val="0"/>
          <w:marTop w:val="441"/>
          <w:marBottom w:val="0"/>
          <w:divBdr>
            <w:top w:val="none" w:sz="0" w:space="0" w:color="auto"/>
            <w:left w:val="none" w:sz="0" w:space="0" w:color="auto"/>
            <w:bottom w:val="none" w:sz="0" w:space="0" w:color="auto"/>
            <w:right w:val="none" w:sz="0" w:space="0" w:color="auto"/>
          </w:divBdr>
        </w:div>
      </w:divsChild>
    </w:div>
    <w:div w:id="850795122">
      <w:bodyDiv w:val="1"/>
      <w:marLeft w:val="0"/>
      <w:marRight w:val="0"/>
      <w:marTop w:val="0"/>
      <w:marBottom w:val="0"/>
      <w:divBdr>
        <w:top w:val="none" w:sz="0" w:space="0" w:color="auto"/>
        <w:left w:val="none" w:sz="0" w:space="0" w:color="auto"/>
        <w:bottom w:val="none" w:sz="0" w:space="0" w:color="auto"/>
        <w:right w:val="none" w:sz="0" w:space="0" w:color="auto"/>
      </w:divBdr>
    </w:div>
    <w:div w:id="966281167">
      <w:bodyDiv w:val="1"/>
      <w:marLeft w:val="0"/>
      <w:marRight w:val="0"/>
      <w:marTop w:val="0"/>
      <w:marBottom w:val="0"/>
      <w:divBdr>
        <w:top w:val="none" w:sz="0" w:space="0" w:color="auto"/>
        <w:left w:val="none" w:sz="0" w:space="0" w:color="auto"/>
        <w:bottom w:val="none" w:sz="0" w:space="0" w:color="auto"/>
        <w:right w:val="none" w:sz="0" w:space="0" w:color="auto"/>
      </w:divBdr>
    </w:div>
    <w:div w:id="1079249048">
      <w:bodyDiv w:val="1"/>
      <w:marLeft w:val="0"/>
      <w:marRight w:val="0"/>
      <w:marTop w:val="0"/>
      <w:marBottom w:val="0"/>
      <w:divBdr>
        <w:top w:val="none" w:sz="0" w:space="0" w:color="auto"/>
        <w:left w:val="none" w:sz="0" w:space="0" w:color="auto"/>
        <w:bottom w:val="none" w:sz="0" w:space="0" w:color="auto"/>
        <w:right w:val="none" w:sz="0" w:space="0" w:color="auto"/>
      </w:divBdr>
    </w:div>
    <w:div w:id="1288587091">
      <w:bodyDiv w:val="1"/>
      <w:marLeft w:val="0"/>
      <w:marRight w:val="0"/>
      <w:marTop w:val="0"/>
      <w:marBottom w:val="0"/>
      <w:divBdr>
        <w:top w:val="none" w:sz="0" w:space="0" w:color="auto"/>
        <w:left w:val="none" w:sz="0" w:space="0" w:color="auto"/>
        <w:bottom w:val="none" w:sz="0" w:space="0" w:color="auto"/>
        <w:right w:val="none" w:sz="0" w:space="0" w:color="auto"/>
      </w:divBdr>
    </w:div>
    <w:div w:id="1344552601">
      <w:bodyDiv w:val="1"/>
      <w:marLeft w:val="0"/>
      <w:marRight w:val="0"/>
      <w:marTop w:val="0"/>
      <w:marBottom w:val="0"/>
      <w:divBdr>
        <w:top w:val="none" w:sz="0" w:space="0" w:color="auto"/>
        <w:left w:val="none" w:sz="0" w:space="0" w:color="auto"/>
        <w:bottom w:val="none" w:sz="0" w:space="0" w:color="auto"/>
        <w:right w:val="none" w:sz="0" w:space="0" w:color="auto"/>
      </w:divBdr>
    </w:div>
    <w:div w:id="1365977669">
      <w:bodyDiv w:val="1"/>
      <w:marLeft w:val="0"/>
      <w:marRight w:val="0"/>
      <w:marTop w:val="0"/>
      <w:marBottom w:val="0"/>
      <w:divBdr>
        <w:top w:val="none" w:sz="0" w:space="0" w:color="auto"/>
        <w:left w:val="none" w:sz="0" w:space="0" w:color="auto"/>
        <w:bottom w:val="none" w:sz="0" w:space="0" w:color="auto"/>
        <w:right w:val="none" w:sz="0" w:space="0" w:color="auto"/>
      </w:divBdr>
    </w:div>
    <w:div w:id="1370448037">
      <w:bodyDiv w:val="1"/>
      <w:marLeft w:val="0"/>
      <w:marRight w:val="0"/>
      <w:marTop w:val="0"/>
      <w:marBottom w:val="0"/>
      <w:divBdr>
        <w:top w:val="none" w:sz="0" w:space="0" w:color="auto"/>
        <w:left w:val="none" w:sz="0" w:space="0" w:color="auto"/>
        <w:bottom w:val="none" w:sz="0" w:space="0" w:color="auto"/>
        <w:right w:val="none" w:sz="0" w:space="0" w:color="auto"/>
      </w:divBdr>
    </w:div>
    <w:div w:id="1466774429">
      <w:bodyDiv w:val="1"/>
      <w:marLeft w:val="0"/>
      <w:marRight w:val="0"/>
      <w:marTop w:val="0"/>
      <w:marBottom w:val="0"/>
      <w:divBdr>
        <w:top w:val="none" w:sz="0" w:space="0" w:color="auto"/>
        <w:left w:val="none" w:sz="0" w:space="0" w:color="auto"/>
        <w:bottom w:val="none" w:sz="0" w:space="0" w:color="auto"/>
        <w:right w:val="none" w:sz="0" w:space="0" w:color="auto"/>
      </w:divBdr>
    </w:div>
    <w:div w:id="1530221986">
      <w:bodyDiv w:val="1"/>
      <w:marLeft w:val="0"/>
      <w:marRight w:val="0"/>
      <w:marTop w:val="0"/>
      <w:marBottom w:val="0"/>
      <w:divBdr>
        <w:top w:val="none" w:sz="0" w:space="0" w:color="auto"/>
        <w:left w:val="none" w:sz="0" w:space="0" w:color="auto"/>
        <w:bottom w:val="none" w:sz="0" w:space="0" w:color="auto"/>
        <w:right w:val="none" w:sz="0" w:space="0" w:color="auto"/>
      </w:divBdr>
    </w:div>
    <w:div w:id="1827083853">
      <w:bodyDiv w:val="1"/>
      <w:marLeft w:val="0"/>
      <w:marRight w:val="0"/>
      <w:marTop w:val="0"/>
      <w:marBottom w:val="0"/>
      <w:divBdr>
        <w:top w:val="none" w:sz="0" w:space="0" w:color="auto"/>
        <w:left w:val="none" w:sz="0" w:space="0" w:color="auto"/>
        <w:bottom w:val="none" w:sz="0" w:space="0" w:color="auto"/>
        <w:right w:val="none" w:sz="0" w:space="0" w:color="auto"/>
      </w:divBdr>
    </w:div>
    <w:div w:id="1828328417">
      <w:bodyDiv w:val="1"/>
      <w:marLeft w:val="0"/>
      <w:marRight w:val="0"/>
      <w:marTop w:val="0"/>
      <w:marBottom w:val="0"/>
      <w:divBdr>
        <w:top w:val="none" w:sz="0" w:space="0" w:color="auto"/>
        <w:left w:val="none" w:sz="0" w:space="0" w:color="auto"/>
        <w:bottom w:val="none" w:sz="0" w:space="0" w:color="auto"/>
        <w:right w:val="none" w:sz="0" w:space="0" w:color="auto"/>
      </w:divBdr>
    </w:div>
    <w:div w:id="1904370871">
      <w:bodyDiv w:val="1"/>
      <w:marLeft w:val="0"/>
      <w:marRight w:val="0"/>
      <w:marTop w:val="0"/>
      <w:marBottom w:val="0"/>
      <w:divBdr>
        <w:top w:val="none" w:sz="0" w:space="0" w:color="auto"/>
        <w:left w:val="none" w:sz="0" w:space="0" w:color="auto"/>
        <w:bottom w:val="none" w:sz="0" w:space="0" w:color="auto"/>
        <w:right w:val="none" w:sz="0" w:space="0" w:color="auto"/>
      </w:divBdr>
    </w:div>
    <w:div w:id="1940798736">
      <w:bodyDiv w:val="1"/>
      <w:marLeft w:val="0"/>
      <w:marRight w:val="0"/>
      <w:marTop w:val="0"/>
      <w:marBottom w:val="0"/>
      <w:divBdr>
        <w:top w:val="none" w:sz="0" w:space="0" w:color="auto"/>
        <w:left w:val="none" w:sz="0" w:space="0" w:color="auto"/>
        <w:bottom w:val="none" w:sz="0" w:space="0" w:color="auto"/>
        <w:right w:val="none" w:sz="0" w:space="0" w:color="auto"/>
      </w:divBdr>
    </w:div>
    <w:div w:id="213393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ettherightschool.co.uk/scholarshipsforprivateindependentschools.html/(Access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1220</TotalTime>
  <Pages>4</Pages>
  <Words>1546</Words>
  <Characters>8814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Colmer</dc:creator>
  <cp:keywords/>
  <dc:description/>
  <cp:lastModifiedBy>Tracy Colmer</cp:lastModifiedBy>
  <cp:revision>66</cp:revision>
  <dcterms:created xsi:type="dcterms:W3CDTF">2019-11-24T11:56:00Z</dcterms:created>
  <dcterms:modified xsi:type="dcterms:W3CDTF">2020-01-05T10:32:00Z</dcterms:modified>
</cp:coreProperties>
</file>