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AB06E" w14:textId="243609B3" w:rsidR="0096540E" w:rsidRDefault="00242957">
      <w:pPr>
        <w:rPr>
          <w:b/>
          <w:bCs/>
          <w:u w:val="single"/>
        </w:rPr>
      </w:pPr>
      <w:r w:rsidRPr="00242957">
        <w:rPr>
          <w:b/>
          <w:bCs/>
          <w:u w:val="single"/>
        </w:rPr>
        <w:t>Abstract</w:t>
      </w:r>
      <w:r>
        <w:rPr>
          <w:b/>
          <w:bCs/>
          <w:u w:val="single"/>
        </w:rPr>
        <w:t>:</w:t>
      </w:r>
    </w:p>
    <w:p w14:paraId="481EEC79" w14:textId="6562ACA1" w:rsidR="00242957" w:rsidRDefault="00242957">
      <w:pPr>
        <w:rPr>
          <w:b/>
          <w:bCs/>
          <w:u w:val="single"/>
        </w:rPr>
      </w:pPr>
    </w:p>
    <w:p w14:paraId="276A2D37" w14:textId="7E34176C" w:rsidR="00242957" w:rsidRPr="008A6EB3" w:rsidRDefault="008A6EB3" w:rsidP="008A6EB3">
      <w:pPr>
        <w:spacing w:line="360" w:lineRule="auto"/>
        <w:rPr>
          <w:rFonts w:ascii="Times New Roman" w:eastAsia="Times New Roman" w:hAnsi="Times New Roman" w:cs="Times New Roman"/>
          <w:color w:val="000000"/>
          <w:shd w:val="clear" w:color="auto" w:fill="FFFFFF"/>
          <w:lang w:eastAsia="en-GB"/>
        </w:rPr>
      </w:pPr>
      <w:r w:rsidRPr="008A6EB3">
        <w:rPr>
          <w:rFonts w:ascii="Times New Roman" w:hAnsi="Times New Roman" w:cs="Times New Roman"/>
          <w:b/>
          <w:bCs/>
        </w:rPr>
        <w:t xml:space="preserve">Introduction: </w:t>
      </w:r>
      <w:r w:rsidRPr="008A6EB3">
        <w:rPr>
          <w:rFonts w:ascii="Times New Roman" w:hAnsi="Times New Roman" w:cs="Times New Roman"/>
        </w:rPr>
        <w:t xml:space="preserve">To-date, there lacks retrospective studies on longitudinal injury rates to elucidate the effect pronation has on the wellbeing of female rugby players. Current research suggests that the main mechanism of acute knee injuries was excessive pronation of the foot. </w:t>
      </w:r>
      <w:r w:rsidRPr="008A6EB3">
        <w:rPr>
          <w:rFonts w:ascii="Times New Roman" w:eastAsia="Times New Roman" w:hAnsi="Times New Roman" w:cs="Times New Roman"/>
          <w:color w:val="000000"/>
          <w:shd w:val="clear" w:color="auto" w:fill="FFFFFF"/>
          <w:lang w:eastAsia="en-GB"/>
        </w:rPr>
        <w:t xml:space="preserve">On average female rugby players have a knee injury incidence of 48.3 per 1,000 match-hrs an injury rate 8x higher than their male counterparts, </w:t>
      </w:r>
      <w:proofErr w:type="gramStart"/>
      <w:r w:rsidRPr="008A6EB3">
        <w:rPr>
          <w:rFonts w:ascii="Times New Roman" w:eastAsia="Times New Roman" w:hAnsi="Times New Roman" w:cs="Times New Roman"/>
          <w:color w:val="000000"/>
          <w:shd w:val="clear" w:color="auto" w:fill="FFFFFF"/>
          <w:lang w:eastAsia="en-GB"/>
        </w:rPr>
        <w:t>it is clear that the</w:t>
      </w:r>
      <w:proofErr w:type="gramEnd"/>
      <w:r w:rsidRPr="008A6EB3">
        <w:rPr>
          <w:rFonts w:ascii="Times New Roman" w:eastAsia="Times New Roman" w:hAnsi="Times New Roman" w:cs="Times New Roman"/>
          <w:color w:val="000000"/>
          <w:shd w:val="clear" w:color="auto" w:fill="FFFFFF"/>
          <w:lang w:eastAsia="en-GB"/>
        </w:rPr>
        <w:t xml:space="preserve"> reporting of injury surveillance has not kept pace with the rapid rise in participation. </w:t>
      </w:r>
      <w:r w:rsidR="00242957" w:rsidRPr="008A6EB3">
        <w:rPr>
          <w:rFonts w:ascii="Times New Roman" w:hAnsi="Times New Roman" w:cs="Times New Roman"/>
          <w:b/>
          <w:bCs/>
        </w:rPr>
        <w:t>Methodology:</w:t>
      </w:r>
      <w:r w:rsidRPr="008A6EB3">
        <w:rPr>
          <w:rFonts w:ascii="Times New Roman" w:hAnsi="Times New Roman" w:cs="Times New Roman"/>
          <w:b/>
          <w:bCs/>
        </w:rPr>
        <w:t xml:space="preserve"> </w:t>
      </w:r>
      <w:r w:rsidR="00242957" w:rsidRPr="008A6EB3">
        <w:rPr>
          <w:rFonts w:ascii="Times New Roman" w:hAnsi="Times New Roman" w:cs="Times New Roman"/>
          <w:lang w:val="en-US"/>
        </w:rPr>
        <w:t xml:space="preserve">A cross-sectional </w:t>
      </w:r>
      <w:r w:rsidR="00C801DD">
        <w:rPr>
          <w:rFonts w:ascii="Times New Roman" w:hAnsi="Times New Roman" w:cs="Times New Roman"/>
          <w:lang w:val="en-US"/>
        </w:rPr>
        <w:t>study</w:t>
      </w:r>
      <w:r w:rsidR="00242957" w:rsidRPr="008A6EB3">
        <w:rPr>
          <w:rFonts w:ascii="Times New Roman" w:hAnsi="Times New Roman" w:cs="Times New Roman"/>
          <w:lang w:val="en-US"/>
        </w:rPr>
        <w:t>, including</w:t>
      </w:r>
      <w:r w:rsidR="00242957" w:rsidRPr="008A6EB3">
        <w:rPr>
          <w:rFonts w:ascii="Times New Roman" w:hAnsi="Times New Roman" w:cs="Times New Roman"/>
          <w:b/>
          <w:bCs/>
          <w:lang w:val="en-US"/>
        </w:rPr>
        <w:t xml:space="preserve"> </w:t>
      </w:r>
      <w:r w:rsidR="00242957" w:rsidRPr="008A6EB3">
        <w:rPr>
          <w:rFonts w:ascii="Times New Roman" w:hAnsi="Times New Roman" w:cs="Times New Roman"/>
          <w:lang w:val="en-US"/>
        </w:rPr>
        <w:t xml:space="preserve">N=40 FEMALE (18-48 years old) </w:t>
      </w:r>
      <w:r w:rsidR="00242957" w:rsidRPr="008A6EB3">
        <w:rPr>
          <w:rFonts w:ascii="Times New Roman" w:hAnsi="Times New Roman" w:cs="Times New Roman"/>
        </w:rPr>
        <w:t>participants from local women’s rugby clubs. The test group prior reported sustaining an acute knee injury within the last 12 months on a google form questionnaire whilst the control group reported not sustaining an acute knee injury within the last 12 months.</w:t>
      </w:r>
      <w:r w:rsidRPr="008A6EB3">
        <w:rPr>
          <w:rFonts w:ascii="Times New Roman" w:hAnsi="Times New Roman" w:cs="Times New Roman"/>
        </w:rPr>
        <w:t xml:space="preserve"> </w:t>
      </w:r>
      <w:r w:rsidR="00242957" w:rsidRPr="008A6EB3">
        <w:rPr>
          <w:rFonts w:ascii="Times New Roman" w:hAnsi="Times New Roman" w:cs="Times New Roman"/>
        </w:rPr>
        <w:t xml:space="preserve">The data was then </w:t>
      </w:r>
      <w:r w:rsidRPr="008A6EB3">
        <w:rPr>
          <w:rFonts w:ascii="Times New Roman" w:hAnsi="Times New Roman" w:cs="Times New Roman"/>
        </w:rPr>
        <w:t>c</w:t>
      </w:r>
      <w:r w:rsidR="00242957" w:rsidRPr="008A6EB3">
        <w:rPr>
          <w:rFonts w:ascii="Times New Roman" w:hAnsi="Times New Roman" w:cs="Times New Roman"/>
        </w:rPr>
        <w:t>ategorised into two groups: injured and non-injured</w:t>
      </w:r>
      <w:r w:rsidRPr="008A6EB3">
        <w:rPr>
          <w:rFonts w:ascii="Times New Roman" w:hAnsi="Times New Roman" w:cs="Times New Roman"/>
        </w:rPr>
        <w:t xml:space="preserve"> and the FPI-6 was conducted to measure foot posture. </w:t>
      </w:r>
      <w:r w:rsidR="00242957" w:rsidRPr="008A6EB3">
        <w:rPr>
          <w:rFonts w:ascii="Times New Roman" w:hAnsi="Times New Roman" w:cs="Times New Roman"/>
        </w:rPr>
        <w:t>For the statistical analysis SPSS and Excel was used</w:t>
      </w:r>
      <w:r w:rsidRPr="008A6EB3">
        <w:rPr>
          <w:rFonts w:ascii="Times New Roman" w:hAnsi="Times New Roman" w:cs="Times New Roman"/>
        </w:rPr>
        <w:t xml:space="preserve"> and the Wilcoxon rank-sum was utilised to test the null hypothesis. </w:t>
      </w:r>
      <w:r w:rsidR="00242957" w:rsidRPr="008A6EB3">
        <w:rPr>
          <w:rFonts w:ascii="Times New Roman" w:hAnsi="Times New Roman" w:cs="Times New Roman"/>
          <w:b/>
          <w:bCs/>
        </w:rPr>
        <w:t>Results:</w:t>
      </w:r>
      <w:r w:rsidR="00242957" w:rsidRPr="008A6EB3">
        <w:rPr>
          <w:rFonts w:ascii="Times New Roman" w:hAnsi="Times New Roman" w:cs="Times New Roman"/>
          <w:b/>
          <w:bCs/>
          <w:u w:val="single"/>
        </w:rPr>
        <w:t xml:space="preserve"> </w:t>
      </w:r>
      <w:r>
        <w:rPr>
          <w:rFonts w:ascii="Times New Roman" w:hAnsi="Times New Roman" w:cs="Times New Roman"/>
        </w:rPr>
        <w:t>T</w:t>
      </w:r>
      <w:r w:rsidR="00242957" w:rsidRPr="008A6EB3">
        <w:rPr>
          <w:rFonts w:ascii="Times New Roman" w:hAnsi="Times New Roman" w:cs="Times New Roman"/>
        </w:rPr>
        <w:t xml:space="preserve">he median FPI index score for the non-injured group was 0 (± 1.226), and +1 (± 1.6683) for the injured. the Wilcoxon rank-sum test had a p-value of p&lt;.020 for the non-injured group and a P value of P&lt;. oo1 for the injured group. Therefore, there is an observed statistically significant difference. Within the injured group 19.1% of participants were not pronated. 42.9 % (N=18) participants were pronated in total, 28.5% (N= 12) of these pronated were within the injured group, and 14.3% (N=6) in the non-injured group. Of those non-pronated, 19.1% were in the injured group (N=8) and 38.1% (N=24) were in the non-injured group. </w:t>
      </w:r>
      <w:r w:rsidRPr="008A6EB3">
        <w:rPr>
          <w:rFonts w:ascii="Times New Roman" w:hAnsi="Times New Roman" w:cs="Times New Roman"/>
          <w:b/>
          <w:bCs/>
        </w:rPr>
        <w:t>Conclusion</w:t>
      </w:r>
      <w:r w:rsidRPr="008A6EB3">
        <w:rPr>
          <w:rFonts w:ascii="Times New Roman" w:hAnsi="Times New Roman" w:cs="Times New Roman"/>
        </w:rPr>
        <w:t xml:space="preserve">: </w:t>
      </w:r>
      <w:r w:rsidRPr="00731A4C">
        <w:rPr>
          <w:rFonts w:ascii="Times New Roman" w:hAnsi="Times New Roman" w:cs="Times New Roman"/>
        </w:rPr>
        <w:t xml:space="preserve">These findings demonstrate that there </w:t>
      </w:r>
      <w:r>
        <w:rPr>
          <w:rFonts w:ascii="Times New Roman" w:hAnsi="Times New Roman" w:cs="Times New Roman"/>
        </w:rPr>
        <w:t>is</w:t>
      </w:r>
      <w:r w:rsidRPr="00731A4C">
        <w:rPr>
          <w:rFonts w:ascii="Times New Roman" w:hAnsi="Times New Roman" w:cs="Times New Roman"/>
        </w:rPr>
        <w:t xml:space="preserve"> an association between pronat</w:t>
      </w:r>
      <w:r>
        <w:rPr>
          <w:rFonts w:ascii="Times New Roman" w:hAnsi="Times New Roman" w:cs="Times New Roman"/>
        </w:rPr>
        <w:t>ion</w:t>
      </w:r>
      <w:r w:rsidRPr="00731A4C">
        <w:rPr>
          <w:rFonts w:ascii="Times New Roman" w:hAnsi="Times New Roman" w:cs="Times New Roman"/>
        </w:rPr>
        <w:t xml:space="preserve"> and acute knee injuries in female rugby players, therefore this could indicate a higher risk in injury compared to those with supinating or neutral foot postures.</w:t>
      </w:r>
    </w:p>
    <w:sectPr w:rsidR="00242957" w:rsidRPr="008A6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957"/>
    <w:rsid w:val="00242957"/>
    <w:rsid w:val="00746016"/>
    <w:rsid w:val="008A6EB3"/>
    <w:rsid w:val="0096540E"/>
    <w:rsid w:val="00A608EB"/>
    <w:rsid w:val="00C801DD"/>
    <w:rsid w:val="00E92520"/>
    <w:rsid w:val="00EE3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102806"/>
  <w15:chartTrackingRefBased/>
  <w15:docId w15:val="{BB7A65FE-BC63-9F48-AC9B-B07338C17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Pages>
  <Words>300</Words>
  <Characters>1714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Campbell</dc:creator>
  <cp:keywords/>
  <dc:description/>
  <cp:lastModifiedBy>Sophie Campbell</cp:lastModifiedBy>
  <cp:revision>2</cp:revision>
  <dcterms:created xsi:type="dcterms:W3CDTF">2022-05-17T23:19:00Z</dcterms:created>
  <dcterms:modified xsi:type="dcterms:W3CDTF">2022-05-18T09:31:00Z</dcterms:modified>
</cp:coreProperties>
</file>