
<file path=[Content_Types].xml><?xml version="1.0" encoding="utf-8"?>
<Types xmlns="http://schemas.openxmlformats.org/package/2006/content-types">
  <Default Extension="bin" ContentType="application/vnd.openxmlformats-officedocument.oleObject"/>
  <Default Extension="emf" ContentType="image/x-em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mc:Ignorable="w14 w15 w16se w16cid w16 w16cex w16sdtdh w16sdtfl w16du wp14">
  <w:body>
    <w:p w:rsidR="00564751" w:rsidP="17373D93" w:rsidRDefault="00564751" w14:paraId="17369EE7" w14:textId="5770D2DD">
      <w:pPr>
        <w:spacing w:before="0" w:beforeAutospacing="off" w:after="160" w:afterAutospacing="off" w:line="360" w:lineRule="auto"/>
        <w:jc w:val="center"/>
        <w:rPr>
          <w:rFonts w:ascii="Arial" w:hAnsi="Arial" w:eastAsia="Arial" w:cs="Arial"/>
          <w:b w:val="1"/>
          <w:bCs w:val="1"/>
          <w:noProof w:val="0"/>
          <w:sz w:val="22"/>
          <w:szCs w:val="22"/>
          <w:lang w:val="en-GB"/>
        </w:rPr>
      </w:pPr>
    </w:p>
    <w:p w:rsidR="00564751" w:rsidP="17373D93" w:rsidRDefault="00564751" w14:paraId="38E6828C" w14:textId="35A56700">
      <w:pPr>
        <w:spacing w:before="0" w:beforeAutospacing="off" w:after="160" w:afterAutospacing="off" w:line="360" w:lineRule="auto"/>
        <w:jc w:val="center"/>
        <w:rPr>
          <w:rFonts w:ascii="Arial" w:hAnsi="Arial" w:eastAsia="Arial" w:cs="Arial"/>
          <w:b w:val="1"/>
          <w:bCs w:val="1"/>
          <w:noProof w:val="0"/>
          <w:sz w:val="22"/>
          <w:szCs w:val="22"/>
          <w:lang w:val="en-GB"/>
        </w:rPr>
      </w:pPr>
    </w:p>
    <w:p w:rsidR="00564751" w:rsidP="17373D93" w:rsidRDefault="00564751" w14:paraId="0841A684" w14:textId="5A8BBE30">
      <w:pPr>
        <w:spacing w:before="0" w:beforeAutospacing="off" w:after="160" w:afterAutospacing="off" w:line="360" w:lineRule="auto"/>
        <w:jc w:val="center"/>
        <w:rPr>
          <w:rFonts w:ascii="Arial" w:hAnsi="Arial" w:eastAsia="Arial" w:cs="Arial"/>
          <w:b w:val="1"/>
          <w:bCs w:val="1"/>
          <w:noProof w:val="0"/>
          <w:sz w:val="22"/>
          <w:szCs w:val="22"/>
          <w:lang w:val="en-GB"/>
        </w:rPr>
      </w:pPr>
    </w:p>
    <w:p w:rsidR="00564751" w:rsidP="17373D93" w:rsidRDefault="00564751" w14:paraId="5B403967" w14:textId="16F24A54">
      <w:pPr>
        <w:spacing w:before="0" w:beforeAutospacing="off" w:after="160" w:afterAutospacing="off" w:line="360" w:lineRule="auto"/>
        <w:jc w:val="center"/>
        <w:rPr>
          <w:rFonts w:ascii="Arial" w:hAnsi="Arial" w:eastAsia="Arial" w:cs="Arial"/>
          <w:b w:val="1"/>
          <w:bCs w:val="1"/>
          <w:noProof w:val="0"/>
          <w:sz w:val="22"/>
          <w:szCs w:val="22"/>
          <w:lang w:val="en-GB"/>
        </w:rPr>
      </w:pPr>
    </w:p>
    <w:p w:rsidR="00564751" w:rsidP="17373D93" w:rsidRDefault="00564751" w14:paraId="0E11B53A" w14:textId="6995CD68">
      <w:pPr>
        <w:spacing w:before="0" w:beforeAutospacing="off" w:after="160" w:afterAutospacing="off" w:line="360" w:lineRule="auto"/>
        <w:jc w:val="center"/>
      </w:pPr>
      <w:r w:rsidRPr="17373D93" w:rsidR="0FAF7A8E">
        <w:rPr>
          <w:rFonts w:ascii="Arial" w:hAnsi="Arial" w:eastAsia="Arial" w:cs="Arial"/>
          <w:b w:val="1"/>
          <w:bCs w:val="1"/>
          <w:noProof w:val="0"/>
          <w:sz w:val="22"/>
          <w:szCs w:val="22"/>
          <w:lang w:val="en-GB"/>
        </w:rPr>
        <w:t xml:space="preserve">ANALYSIS OF PHARMACY SERVICES IN THE UK AND THE HISTORICAL BACKGROUND OF NHS </w:t>
      </w:r>
    </w:p>
    <w:p w:rsidR="00564751" w:rsidP="17373D93" w:rsidRDefault="00564751" w14:paraId="1EBE88F2" w14:textId="2AB5DEF3">
      <w:pPr>
        <w:spacing w:before="0" w:beforeAutospacing="off" w:after="160" w:afterAutospacing="off" w:line="360" w:lineRule="auto"/>
        <w:jc w:val="center"/>
      </w:pPr>
      <w:r w:rsidRPr="17373D93" w:rsidR="0FAF7A8E">
        <w:rPr>
          <w:rFonts w:ascii="Arial" w:hAnsi="Arial" w:eastAsia="Arial" w:cs="Arial"/>
          <w:b w:val="1"/>
          <w:bCs w:val="1"/>
          <w:noProof w:val="0"/>
          <w:sz w:val="22"/>
          <w:szCs w:val="22"/>
          <w:lang w:val="en-GB"/>
        </w:rPr>
        <w:t xml:space="preserve"> </w:t>
      </w:r>
    </w:p>
    <w:p w:rsidR="00564751" w:rsidP="17373D93" w:rsidRDefault="00564751" w14:paraId="480B7B85" w14:textId="705F45C0">
      <w:pPr>
        <w:spacing w:before="0" w:beforeAutospacing="off" w:after="160" w:afterAutospacing="off" w:line="360" w:lineRule="auto"/>
        <w:jc w:val="center"/>
      </w:pPr>
      <w:r w:rsidRPr="17373D93" w:rsidR="0FAF7A8E">
        <w:rPr>
          <w:rFonts w:ascii="Arial" w:hAnsi="Arial" w:eastAsia="Arial" w:cs="Arial"/>
          <w:b w:val="1"/>
          <w:bCs w:val="1"/>
          <w:noProof w:val="0"/>
          <w:sz w:val="22"/>
          <w:szCs w:val="22"/>
          <w:lang w:val="en-GB"/>
        </w:rPr>
        <w:t xml:space="preserve">STUDENT NAME: Salma Sultan  </w:t>
      </w:r>
    </w:p>
    <w:p w:rsidR="00564751" w:rsidP="17373D93" w:rsidRDefault="00564751" w14:paraId="1B273486" w14:textId="53BE8503">
      <w:pPr>
        <w:spacing w:before="0" w:beforeAutospacing="off" w:after="160" w:afterAutospacing="off" w:line="360" w:lineRule="auto"/>
        <w:jc w:val="center"/>
      </w:pPr>
      <w:r w:rsidRPr="17373D93" w:rsidR="0FAF7A8E">
        <w:rPr>
          <w:rFonts w:ascii="Arial" w:hAnsi="Arial" w:eastAsia="Arial" w:cs="Arial"/>
          <w:b w:val="1"/>
          <w:bCs w:val="1"/>
          <w:noProof w:val="0"/>
          <w:sz w:val="22"/>
          <w:szCs w:val="22"/>
          <w:lang w:val="en-GB"/>
        </w:rPr>
        <w:t xml:space="preserve">STUDENT ID: 2431994 </w:t>
      </w:r>
    </w:p>
    <w:p w:rsidR="00564751" w:rsidP="17373D93" w:rsidRDefault="00564751" w14:paraId="04349992" w14:textId="186CE2A0">
      <w:pPr>
        <w:spacing w:before="0" w:beforeAutospacing="off" w:after="160" w:afterAutospacing="off" w:line="360" w:lineRule="auto"/>
        <w:jc w:val="center"/>
      </w:pPr>
      <w:r w:rsidRPr="17373D93" w:rsidR="0FAF7A8E">
        <w:rPr>
          <w:rFonts w:ascii="Arial" w:hAnsi="Arial" w:eastAsia="Arial" w:cs="Arial"/>
          <w:b w:val="1"/>
          <w:bCs w:val="1"/>
          <w:noProof w:val="0"/>
          <w:sz w:val="22"/>
          <w:szCs w:val="22"/>
          <w:lang w:val="en-GB"/>
        </w:rPr>
        <w:t xml:space="preserve">ASSIGNMENT NAME: Portfolio – Two Tasks </w:t>
      </w:r>
    </w:p>
    <w:p w:rsidR="00564751" w:rsidP="17373D93" w:rsidRDefault="00564751" w14:paraId="15ADDD71" w14:textId="3FB64398">
      <w:pPr>
        <w:spacing w:before="0" w:beforeAutospacing="off" w:after="160" w:afterAutospacing="off" w:line="360" w:lineRule="auto"/>
        <w:jc w:val="center"/>
      </w:pPr>
      <w:r w:rsidRPr="17373D93" w:rsidR="0FAF7A8E">
        <w:rPr>
          <w:rFonts w:ascii="Arial" w:hAnsi="Arial" w:eastAsia="Arial" w:cs="Arial"/>
          <w:b w:val="1"/>
          <w:bCs w:val="1"/>
          <w:noProof w:val="0"/>
          <w:sz w:val="22"/>
          <w:szCs w:val="22"/>
          <w:lang w:val="en-GB"/>
        </w:rPr>
        <w:t xml:space="preserve">MODULE CODE: LCHS4003 </w:t>
      </w:r>
    </w:p>
    <w:p w:rsidR="00564751" w:rsidP="17373D93" w:rsidRDefault="00564751" w14:paraId="09C398B9" w14:textId="2D1FBA31">
      <w:pPr>
        <w:spacing w:before="0" w:beforeAutospacing="off" w:after="160" w:afterAutospacing="off" w:line="360" w:lineRule="auto"/>
        <w:jc w:val="center"/>
      </w:pPr>
      <w:r w:rsidRPr="17373D93" w:rsidR="0FAF7A8E">
        <w:rPr>
          <w:rFonts w:ascii="Arial" w:hAnsi="Arial" w:eastAsia="Arial" w:cs="Arial"/>
          <w:b w:val="1"/>
          <w:bCs w:val="1"/>
          <w:noProof w:val="0"/>
          <w:sz w:val="22"/>
          <w:szCs w:val="22"/>
          <w:lang w:val="en-GB"/>
        </w:rPr>
        <w:t>LECTURE NAME: Aisha Bakre</w:t>
      </w:r>
    </w:p>
    <w:p w:rsidR="00564751" w:rsidP="00571F68" w:rsidRDefault="00564751" w14:paraId="0C99A60C" w14:textId="7F6EC80E">
      <w:pPr>
        <w:spacing w:line="360" w:lineRule="auto"/>
        <w:jc w:val="both"/>
        <w:rPr>
          <w:rFonts w:ascii="Arial" w:hAnsi="Arial" w:cs="Arial"/>
          <w:b w:val="1"/>
          <w:bCs w:val="1"/>
        </w:rPr>
      </w:pPr>
    </w:p>
    <w:p w:rsidR="00564751" w:rsidP="00571F68" w:rsidRDefault="00564751" w14:paraId="43B8E535" w14:textId="77777777">
      <w:pPr>
        <w:spacing w:line="360" w:lineRule="auto"/>
        <w:jc w:val="both"/>
        <w:rPr>
          <w:rFonts w:ascii="Arial" w:hAnsi="Arial" w:cs="Arial"/>
          <w:b/>
          <w:bCs/>
        </w:rPr>
      </w:pPr>
    </w:p>
    <w:p w:rsidR="00C41E1E" w:rsidRDefault="00C41E1E" w14:paraId="610184F9" w14:textId="77777777">
      <w:pPr>
        <w:rPr>
          <w:rFonts w:ascii="Arial" w:hAnsi="Arial" w:cs="Arial"/>
          <w:b/>
          <w:bCs/>
        </w:rPr>
      </w:pPr>
      <w:r>
        <w:rPr>
          <w:rFonts w:ascii="Arial" w:hAnsi="Arial" w:cs="Arial"/>
          <w:b/>
          <w:bCs/>
        </w:rPr>
        <w:br w:type="page"/>
      </w:r>
    </w:p>
    <w:p w:rsidRPr="00571F68" w:rsidR="00666549" w:rsidP="00571F68" w:rsidRDefault="00AE55E4" w14:paraId="24E7E7DA" w14:textId="0B65F1FF">
      <w:pPr>
        <w:spacing w:line="360" w:lineRule="auto"/>
        <w:jc w:val="both"/>
        <w:rPr>
          <w:rFonts w:ascii="Arial" w:hAnsi="Arial" w:cs="Arial"/>
          <w:b/>
          <w:bCs/>
        </w:rPr>
      </w:pPr>
      <w:r w:rsidRPr="00571F68">
        <w:rPr>
          <w:rFonts w:ascii="Arial" w:hAnsi="Arial" w:cs="Arial"/>
          <w:b/>
          <w:bCs/>
        </w:rPr>
        <w:t>TASK 1: A POSTER</w:t>
      </w:r>
    </w:p>
    <w:p w:rsidRPr="00571F68" w:rsidR="00AE55E4" w:rsidP="00571F68" w:rsidRDefault="00AE55E4" w14:paraId="71EB2632" w14:textId="0D6A0A59">
      <w:pPr>
        <w:spacing w:line="360" w:lineRule="auto"/>
        <w:jc w:val="both"/>
        <w:rPr>
          <w:rFonts w:ascii="Arial" w:hAnsi="Arial" w:cs="Arial"/>
          <w:b/>
          <w:bCs/>
        </w:rPr>
      </w:pPr>
      <w:r w:rsidRPr="00571F68">
        <w:rPr>
          <w:rFonts w:ascii="Arial" w:hAnsi="Arial" w:cs="Arial"/>
          <w:b/>
          <w:bCs/>
          <w:noProof/>
        </w:rPr>
        <w:drawing>
          <wp:inline distT="0" distB="0" distL="0" distR="0" wp14:anchorId="2CE3C88C" wp14:editId="18A7E115">
            <wp:extent cx="6507480" cy="5242560"/>
            <wp:effectExtent l="0" t="0" r="762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
                    <a:stretch>
                      <a:fillRect/>
                    </a:stretch>
                  </pic:blipFill>
                  <pic:spPr>
                    <a:xfrm>
                      <a:off x="0" y="0"/>
                      <a:ext cx="6507480" cy="5242560"/>
                    </a:xfrm>
                    <a:prstGeom prst="rect">
                      <a:avLst/>
                    </a:prstGeom>
                  </pic:spPr>
                </pic:pic>
              </a:graphicData>
            </a:graphic>
          </wp:inline>
        </w:drawing>
      </w:r>
      <w:r w:rsidRPr="00571F68">
        <w:rPr>
          <w:rFonts w:ascii="Arial" w:hAnsi="Arial" w:cs="Arial"/>
          <w:b/>
          <w:bCs/>
        </w:rPr>
        <w:object w:dxaOrig="2472" w:dyaOrig="816" w14:anchorId="367A4062">
          <v:shapetype id="_x0000_t75" coordsize="21600,21600" filled="f" stroked="f" o:spt="75" o:preferrelative="t" path="m@4@5l@4@11@9@11@9@5xe">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gradientshapeok="t" o:connecttype="rect" o:extrusionok="f"/>
            <o:lock v:ext="edit" aspectratio="t"/>
          </v:shapetype>
          <v:shape id="_x0000_i1025" style="width:123.5pt;height:41pt" o:ole="" type="#_x0000_t75">
            <v:imagedata o:title="" r:id="rId8"/>
          </v:shape>
          <o:OLEObject Type="Embed" ProgID="Package" ShapeID="_x0000_i1025" DrawAspect="Content" ObjectID="_1822131418" r:id="rId9"/>
        </w:object>
      </w:r>
    </w:p>
    <w:p w:rsidRPr="00571F68" w:rsidR="00571F68" w:rsidP="00571F68" w:rsidRDefault="00571F68" w14:paraId="381B9FF8" w14:textId="16D4CA4F">
      <w:pPr>
        <w:spacing w:line="360" w:lineRule="auto"/>
        <w:jc w:val="both"/>
        <w:rPr>
          <w:rFonts w:ascii="Arial" w:hAnsi="Arial" w:cs="Arial"/>
          <w:b/>
          <w:bCs/>
        </w:rPr>
      </w:pPr>
    </w:p>
    <w:p w:rsidRPr="00571F68" w:rsidR="00571F68" w:rsidP="00571F68" w:rsidRDefault="00571F68" w14:paraId="1DA2790B" w14:textId="77777777">
      <w:pPr>
        <w:spacing w:line="360" w:lineRule="auto"/>
        <w:jc w:val="both"/>
        <w:rPr>
          <w:rFonts w:ascii="Arial" w:hAnsi="Arial" w:cs="Arial"/>
          <w:b/>
          <w:bCs/>
        </w:rPr>
      </w:pPr>
      <w:r w:rsidRPr="00571F68">
        <w:rPr>
          <w:rFonts w:ascii="Arial" w:hAnsi="Arial" w:cs="Arial"/>
          <w:b/>
          <w:bCs/>
        </w:rPr>
        <w:br w:type="page"/>
      </w:r>
    </w:p>
    <w:p w:rsidRPr="00571F68" w:rsidR="00571F68" w:rsidP="00571F68" w:rsidRDefault="00571F68" w14:paraId="7C61EAAC" w14:textId="6F68AC2F">
      <w:pPr>
        <w:spacing w:line="360" w:lineRule="auto"/>
        <w:jc w:val="both"/>
        <w:rPr>
          <w:rFonts w:ascii="Arial" w:hAnsi="Arial" w:cs="Arial"/>
          <w:b/>
          <w:bCs/>
        </w:rPr>
      </w:pPr>
      <w:r w:rsidRPr="00571F68">
        <w:rPr>
          <w:rFonts w:ascii="Arial" w:hAnsi="Arial" w:cs="Arial"/>
          <w:b/>
          <w:bCs/>
        </w:rPr>
        <w:t xml:space="preserve">TASK 2 ESSAY </w:t>
      </w:r>
    </w:p>
    <w:p w:rsidRPr="00571F68" w:rsidR="00571F68" w:rsidP="00571F68" w:rsidRDefault="00571F68" w14:paraId="6A10900F" w14:textId="3AF4AFFB">
      <w:pPr>
        <w:spacing w:line="360" w:lineRule="auto"/>
        <w:jc w:val="both"/>
        <w:rPr>
          <w:rFonts w:ascii="Arial" w:hAnsi="Arial" w:cs="Arial"/>
          <w:b/>
          <w:bCs/>
        </w:rPr>
      </w:pPr>
      <w:r w:rsidRPr="00571F68">
        <w:rPr>
          <w:rFonts w:ascii="Arial" w:hAnsi="Arial" w:cs="Arial"/>
          <w:b/>
          <w:bCs/>
        </w:rPr>
        <w:t>Introduction</w:t>
      </w:r>
    </w:p>
    <w:p w:rsidRPr="00571F68" w:rsidR="00571F68" w:rsidP="00571F68" w:rsidRDefault="00571F68" w14:paraId="1873732E" w14:textId="13A555FF">
      <w:pPr>
        <w:spacing w:line="360" w:lineRule="auto"/>
        <w:jc w:val="both"/>
        <w:rPr>
          <w:rFonts w:ascii="Arial" w:hAnsi="Arial" w:cs="Arial"/>
        </w:rPr>
      </w:pPr>
      <w:r w:rsidRPr="00571F68">
        <w:rPr>
          <w:rFonts w:ascii="Arial" w:hAnsi="Arial" w:cs="Arial"/>
        </w:rPr>
        <w:t>The National Health Service (NHS) was introduced in 1948 and is considered one of the most significant social changes in British history. It transformed healthcare from being a market product into a collective right</w:t>
      </w:r>
      <w:r w:rsidR="00F151B3">
        <w:rPr>
          <w:rFonts w:ascii="Arial" w:hAnsi="Arial" w:cs="Arial"/>
        </w:rPr>
        <w:t xml:space="preserve"> (</w:t>
      </w:r>
      <w:r w:rsidR="00F151B3">
        <w:rPr>
          <w:rFonts w:ascii="Arial" w:hAnsi="Arial" w:cs="Arial"/>
          <w:color w:val="222222"/>
          <w:sz w:val="20"/>
          <w:szCs w:val="20"/>
          <w:shd w:val="clear" w:color="auto" w:fill="FFFFFF"/>
        </w:rPr>
        <w:t>Gorsky, 2008; Snow and Whitecross, 2022)</w:t>
      </w:r>
      <w:r w:rsidRPr="00571F68">
        <w:rPr>
          <w:rFonts w:ascii="Arial" w:hAnsi="Arial" w:cs="Arial"/>
        </w:rPr>
        <w:t>. This essay will discuss how the NHS started and how it was founded, the political ideologies and social ideologies of the creation of the NHS, and</w:t>
      </w:r>
      <w:r>
        <w:rPr>
          <w:rFonts w:ascii="Arial" w:hAnsi="Arial" w:cs="Arial"/>
        </w:rPr>
        <w:t>,</w:t>
      </w:r>
      <w:r w:rsidRPr="00571F68">
        <w:rPr>
          <w:rFonts w:ascii="Arial" w:hAnsi="Arial" w:cs="Arial"/>
        </w:rPr>
        <w:t xml:space="preserve"> at the same time</w:t>
      </w:r>
      <w:r>
        <w:rPr>
          <w:rFonts w:ascii="Arial" w:hAnsi="Arial" w:cs="Arial"/>
        </w:rPr>
        <w:t>,</w:t>
      </w:r>
      <w:r w:rsidRPr="00571F68">
        <w:rPr>
          <w:rFonts w:ascii="Arial" w:hAnsi="Arial" w:cs="Arial"/>
        </w:rPr>
        <w:t xml:space="preserve"> critically analyse the changes in the structure and working of the NHS in the 21st century. Seen in this light, the NHS comes out as a dynamic institution subject to both longstanding ideals and political conflict.</w:t>
      </w:r>
    </w:p>
    <w:p w:rsidRPr="00571F68" w:rsidR="00571F68" w:rsidP="00571F68" w:rsidRDefault="00571F68" w14:paraId="6E0774CF" w14:textId="43C39EDF">
      <w:pPr>
        <w:spacing w:line="360" w:lineRule="auto"/>
        <w:jc w:val="both"/>
        <w:rPr>
          <w:rFonts w:ascii="Arial" w:hAnsi="Arial" w:cs="Arial"/>
          <w:b/>
          <w:bCs/>
        </w:rPr>
      </w:pPr>
      <w:r w:rsidRPr="00571F68">
        <w:rPr>
          <w:rFonts w:ascii="Arial" w:hAnsi="Arial" w:cs="Arial"/>
          <w:b/>
          <w:bCs/>
        </w:rPr>
        <w:t>Background and History</w:t>
      </w:r>
    </w:p>
    <w:p w:rsidRPr="00571F68" w:rsidR="00571F68" w:rsidP="00571F68" w:rsidRDefault="00571F68" w14:paraId="708D463C" w14:textId="3DD7F88B">
      <w:pPr>
        <w:spacing w:line="360" w:lineRule="auto"/>
        <w:jc w:val="both"/>
        <w:rPr>
          <w:rFonts w:ascii="Arial" w:hAnsi="Arial" w:cs="Arial"/>
        </w:rPr>
      </w:pPr>
      <w:r w:rsidRPr="00571F68">
        <w:rPr>
          <w:rFonts w:ascii="Arial" w:hAnsi="Arial" w:cs="Arial"/>
        </w:rPr>
        <w:t>Before 1948, healthcare in Britain was fragmented, unreliable and mostly dependent on income or charity. During the inter-war years, there were glaring disparities</w:t>
      </w:r>
      <w:r>
        <w:rPr>
          <w:rFonts w:ascii="Arial" w:hAnsi="Arial" w:cs="Arial"/>
        </w:rPr>
        <w:t>,</w:t>
      </w:r>
      <w:r w:rsidRPr="00571F68">
        <w:rPr>
          <w:rFonts w:ascii="Arial" w:hAnsi="Arial" w:cs="Arial"/>
        </w:rPr>
        <w:t xml:space="preserve"> with the poor often denied access to proper medical care (Webster, 2002). The Beveridge Report of 1942 provided a vision for how the common health problems (the 'five giant evils' - want, disease, ignorance, squalor and idleness) could be addressed and advocated the need for a unified approach to health care funded from universal taxation (Beveridge, </w:t>
      </w:r>
      <w:r w:rsidR="006C755E">
        <w:rPr>
          <w:rFonts w:ascii="Arial" w:hAnsi="Arial" w:cs="Arial"/>
        </w:rPr>
        <w:t>2000</w:t>
      </w:r>
      <w:r w:rsidRPr="00571F68">
        <w:rPr>
          <w:rFonts w:ascii="Arial" w:hAnsi="Arial" w:cs="Arial"/>
        </w:rPr>
        <w:t>).</w:t>
      </w:r>
    </w:p>
    <w:p w:rsidRPr="00571F68" w:rsidR="00571F68" w:rsidP="00571F68" w:rsidRDefault="00571F68" w14:paraId="1A413A5E" w14:textId="3020FCBA">
      <w:pPr>
        <w:spacing w:line="360" w:lineRule="auto"/>
        <w:jc w:val="both"/>
        <w:rPr>
          <w:rFonts w:ascii="Arial" w:hAnsi="Arial" w:cs="Arial"/>
        </w:rPr>
      </w:pPr>
      <w:r w:rsidRPr="00571F68">
        <w:rPr>
          <w:rFonts w:ascii="Arial" w:hAnsi="Arial" w:cs="Arial"/>
        </w:rPr>
        <w:t xml:space="preserve">This vision was achieved by Labour Minister of Health Aneurin Bevan with the National Health Service Act </w:t>
      </w:r>
      <w:r>
        <w:rPr>
          <w:rFonts w:ascii="Arial" w:hAnsi="Arial" w:cs="Arial"/>
        </w:rPr>
        <w:t xml:space="preserve">of </w:t>
      </w:r>
      <w:r w:rsidRPr="00571F68">
        <w:rPr>
          <w:rFonts w:ascii="Arial" w:hAnsi="Arial" w:cs="Arial"/>
        </w:rPr>
        <w:t xml:space="preserve">1946. Activated with socialist ideas of solidarity and equality, </w:t>
      </w:r>
      <w:r>
        <w:rPr>
          <w:rFonts w:ascii="Arial" w:hAnsi="Arial" w:cs="Arial"/>
        </w:rPr>
        <w:t>Bevan desired</w:t>
      </w:r>
      <w:r w:rsidRPr="00571F68">
        <w:rPr>
          <w:rFonts w:ascii="Arial" w:hAnsi="Arial" w:cs="Arial"/>
        </w:rPr>
        <w:t xml:space="preserve"> to establish a service that was universal, comprehensive and free at the point of delivery (</w:t>
      </w:r>
      <w:r w:rsidR="00701903">
        <w:t>Klein and Powell, 2025</w:t>
      </w:r>
      <w:r w:rsidRPr="00571F68">
        <w:rPr>
          <w:rFonts w:ascii="Arial" w:hAnsi="Arial" w:cs="Arial"/>
        </w:rPr>
        <w:t>). The NHS was launched on 5 July 1948</w:t>
      </w:r>
      <w:r>
        <w:rPr>
          <w:rFonts w:ascii="Arial" w:hAnsi="Arial" w:cs="Arial"/>
        </w:rPr>
        <w:t>,</w:t>
      </w:r>
      <w:r w:rsidRPr="00571F68">
        <w:rPr>
          <w:rFonts w:ascii="Arial" w:hAnsi="Arial" w:cs="Arial"/>
        </w:rPr>
        <w:t xml:space="preserve"> bringing together hospitals, general practitioners (GPs) and local authority services on an all-England basis. This was a great transition in the citizen and state relationship.</w:t>
      </w:r>
    </w:p>
    <w:p w:rsidRPr="00571F68" w:rsidR="00571F68" w:rsidP="00571F68" w:rsidRDefault="00571F68" w14:paraId="7D30A795" w14:textId="101FAE79">
      <w:pPr>
        <w:spacing w:line="360" w:lineRule="auto"/>
        <w:jc w:val="both"/>
        <w:rPr>
          <w:rFonts w:ascii="Arial" w:hAnsi="Arial" w:cs="Arial"/>
          <w:b/>
          <w:bCs/>
        </w:rPr>
      </w:pPr>
      <w:r w:rsidRPr="00571F68">
        <w:rPr>
          <w:rFonts w:ascii="Arial" w:hAnsi="Arial" w:cs="Arial"/>
          <w:b/>
          <w:bCs/>
        </w:rPr>
        <w:t>Founding Principles</w:t>
      </w:r>
    </w:p>
    <w:p w:rsidRPr="00571F68" w:rsidR="00571F68" w:rsidP="00571F68" w:rsidRDefault="00571F68" w14:paraId="01BA961A" w14:textId="29CE1448">
      <w:pPr>
        <w:spacing w:line="360" w:lineRule="auto"/>
        <w:jc w:val="both"/>
        <w:rPr>
          <w:rFonts w:ascii="Arial" w:hAnsi="Arial" w:cs="Arial"/>
        </w:rPr>
      </w:pPr>
      <w:r w:rsidRPr="00571F68">
        <w:rPr>
          <w:rFonts w:ascii="Arial" w:hAnsi="Arial" w:cs="Arial"/>
        </w:rPr>
        <w:t>The NHS was founded on three principles upon which it has based its mission ever since (NHS England, 202</w:t>
      </w:r>
      <w:r w:rsidR="00701903">
        <w:rPr>
          <w:rFonts w:ascii="Arial" w:hAnsi="Arial" w:cs="Arial"/>
        </w:rPr>
        <w:t>5</w:t>
      </w:r>
      <w:r w:rsidRPr="00571F68">
        <w:rPr>
          <w:rFonts w:ascii="Arial" w:hAnsi="Arial" w:cs="Arial"/>
        </w:rPr>
        <w:t>):</w:t>
      </w:r>
    </w:p>
    <w:p w:rsidRPr="00571F68" w:rsidR="00571F68" w:rsidP="00571F68" w:rsidRDefault="00571F68" w14:paraId="69EEB0F9" w14:textId="406CBA9E">
      <w:pPr>
        <w:pStyle w:val="ListParagraph"/>
        <w:numPr>
          <w:ilvl w:val="0"/>
          <w:numId w:val="1"/>
        </w:numPr>
        <w:spacing w:line="360" w:lineRule="auto"/>
        <w:jc w:val="both"/>
        <w:rPr>
          <w:rFonts w:ascii="Arial" w:hAnsi="Arial" w:cs="Arial"/>
        </w:rPr>
      </w:pPr>
      <w:r w:rsidRPr="00571F68">
        <w:rPr>
          <w:rFonts w:ascii="Arial" w:hAnsi="Arial" w:cs="Arial"/>
        </w:rPr>
        <w:t xml:space="preserve">Universality - all residents of </w:t>
      </w:r>
      <w:r>
        <w:rPr>
          <w:rFonts w:ascii="Arial" w:hAnsi="Arial" w:cs="Arial"/>
        </w:rPr>
        <w:t xml:space="preserve">the </w:t>
      </w:r>
      <w:r w:rsidRPr="00571F68">
        <w:rPr>
          <w:rFonts w:ascii="Arial" w:hAnsi="Arial" w:cs="Arial"/>
        </w:rPr>
        <w:t>UK to have access to healthcare;</w:t>
      </w:r>
    </w:p>
    <w:p w:rsidRPr="00571F68" w:rsidR="00571F68" w:rsidP="00571F68" w:rsidRDefault="00571F68" w14:paraId="23A35EBF" w14:textId="22C186DA">
      <w:pPr>
        <w:pStyle w:val="ListParagraph"/>
        <w:numPr>
          <w:ilvl w:val="0"/>
          <w:numId w:val="1"/>
        </w:numPr>
        <w:spacing w:line="360" w:lineRule="auto"/>
        <w:jc w:val="both"/>
        <w:rPr>
          <w:rFonts w:ascii="Arial" w:hAnsi="Arial" w:cs="Arial"/>
        </w:rPr>
      </w:pPr>
      <w:r w:rsidRPr="00571F68">
        <w:rPr>
          <w:rFonts w:ascii="Arial" w:hAnsi="Arial" w:cs="Arial"/>
        </w:rPr>
        <w:t>Equity - healthcare that is given according to clinical need, not financial ability;</w:t>
      </w:r>
    </w:p>
    <w:p w:rsidRPr="00571F68" w:rsidR="00571F68" w:rsidP="00571F68" w:rsidRDefault="00571F68" w14:paraId="5A31CC77" w14:textId="755F28B1">
      <w:pPr>
        <w:pStyle w:val="ListParagraph"/>
        <w:numPr>
          <w:ilvl w:val="0"/>
          <w:numId w:val="1"/>
        </w:numPr>
        <w:spacing w:line="360" w:lineRule="auto"/>
        <w:jc w:val="both"/>
        <w:rPr>
          <w:rFonts w:ascii="Arial" w:hAnsi="Arial" w:cs="Arial"/>
        </w:rPr>
      </w:pPr>
      <w:r w:rsidRPr="00571F68">
        <w:rPr>
          <w:rFonts w:ascii="Arial" w:hAnsi="Arial" w:cs="Arial"/>
        </w:rPr>
        <w:t>Comprehensiveness - services that include preventive, curative and rehabilitative care.</w:t>
      </w:r>
    </w:p>
    <w:p w:rsidRPr="00571F68" w:rsidR="00571F68" w:rsidP="00571F68" w:rsidRDefault="00571F68" w14:paraId="4F315D30" w14:textId="59749F7A">
      <w:pPr>
        <w:spacing w:line="360" w:lineRule="auto"/>
        <w:jc w:val="both"/>
        <w:rPr>
          <w:rFonts w:ascii="Arial" w:hAnsi="Arial" w:cs="Arial"/>
        </w:rPr>
      </w:pPr>
      <w:r w:rsidRPr="00571F68">
        <w:rPr>
          <w:rFonts w:ascii="Arial" w:hAnsi="Arial" w:cs="Arial"/>
        </w:rPr>
        <w:t>These premises were part of the post-war social democratic consensus that collective welfare would be required if national reconstruction was to be achieved</w:t>
      </w:r>
      <w:r w:rsidR="00701903">
        <w:rPr>
          <w:rFonts w:ascii="Arial" w:hAnsi="Arial" w:cs="Arial"/>
        </w:rPr>
        <w:t xml:space="preserve">. </w:t>
      </w:r>
      <w:r w:rsidRPr="00571F68">
        <w:rPr>
          <w:rFonts w:ascii="Arial" w:hAnsi="Arial" w:cs="Arial"/>
        </w:rPr>
        <w:t>The ethical core of the NHS was therefore based on the idea that health is a public good and not a privilege.</w:t>
      </w:r>
    </w:p>
    <w:p w:rsidRPr="00571F68" w:rsidR="00571F68" w:rsidP="00571F68" w:rsidRDefault="00571F68" w14:paraId="6FC25E90" w14:textId="0564AFD5">
      <w:pPr>
        <w:spacing w:line="360" w:lineRule="auto"/>
        <w:jc w:val="both"/>
        <w:rPr>
          <w:rFonts w:ascii="Arial" w:hAnsi="Arial" w:cs="Arial"/>
          <w:b/>
          <w:bCs/>
        </w:rPr>
      </w:pPr>
      <w:r w:rsidRPr="00571F68">
        <w:rPr>
          <w:rFonts w:ascii="Arial" w:hAnsi="Arial" w:cs="Arial"/>
          <w:b/>
          <w:bCs/>
        </w:rPr>
        <w:t>Recent Evolution and Existing Pattern.</w:t>
      </w:r>
    </w:p>
    <w:p w:rsidRPr="00571F68" w:rsidR="00571F68" w:rsidP="00571F68" w:rsidRDefault="00571F68" w14:paraId="779F033C" w14:textId="491C8BA7">
      <w:pPr>
        <w:spacing w:line="360" w:lineRule="auto"/>
        <w:jc w:val="both"/>
        <w:rPr>
          <w:rFonts w:ascii="Arial" w:hAnsi="Arial" w:cs="Arial"/>
        </w:rPr>
      </w:pPr>
      <w:r w:rsidRPr="00571F68">
        <w:rPr>
          <w:rFonts w:ascii="Arial" w:hAnsi="Arial" w:cs="Arial"/>
        </w:rPr>
        <w:t xml:space="preserve">The NHS has been transformed through constant reform in response to demographic, technological and fiscal challenges. The NHS and Community Care Act 1990 introduced the "internal market", where purchasers (health authorities and GP fund-holders) and providers (trusts) were made distinct to introduce efficiency (Ham, 2009). The Coalition Government's Health and Social Care Act 2012 massively increased competition in the market and made commissioning </w:t>
      </w:r>
      <w:r>
        <w:rPr>
          <w:rFonts w:ascii="Arial" w:hAnsi="Arial" w:cs="Arial"/>
        </w:rPr>
        <w:t>decisions</w:t>
      </w:r>
      <w:r w:rsidRPr="00571F68">
        <w:rPr>
          <w:rFonts w:ascii="Arial" w:hAnsi="Arial" w:cs="Arial"/>
        </w:rPr>
        <w:t xml:space="preserve"> by Clinical Commissioning Groups (CCGs). </w:t>
      </w:r>
    </w:p>
    <w:p w:rsidRPr="00571F68" w:rsidR="00571F68" w:rsidP="00571F68" w:rsidRDefault="00571F68" w14:paraId="4233652A" w14:textId="35B2783F">
      <w:pPr>
        <w:spacing w:line="360" w:lineRule="auto"/>
        <w:jc w:val="both"/>
        <w:rPr>
          <w:rFonts w:ascii="Arial" w:hAnsi="Arial" w:cs="Arial"/>
        </w:rPr>
      </w:pPr>
      <w:r w:rsidRPr="00571F68">
        <w:rPr>
          <w:rFonts w:ascii="Arial" w:hAnsi="Arial" w:cs="Arial"/>
        </w:rPr>
        <w:t xml:space="preserve">Contemporary reforms have looked to </w:t>
      </w:r>
      <w:r>
        <w:rPr>
          <w:rFonts w:ascii="Arial" w:hAnsi="Arial" w:cs="Arial"/>
        </w:rPr>
        <w:t>reverse</w:t>
      </w:r>
      <w:r w:rsidRPr="00571F68">
        <w:rPr>
          <w:rFonts w:ascii="Arial" w:hAnsi="Arial" w:cs="Arial"/>
        </w:rPr>
        <w:t xml:space="preserve"> fragmentation by way of Integrated Care Systems (ICSs), which </w:t>
      </w:r>
      <w:r>
        <w:rPr>
          <w:rFonts w:ascii="Arial" w:hAnsi="Arial" w:cs="Arial"/>
        </w:rPr>
        <w:t>were introduced</w:t>
      </w:r>
      <w:r w:rsidRPr="00571F68">
        <w:rPr>
          <w:rFonts w:ascii="Arial" w:hAnsi="Arial" w:cs="Arial"/>
        </w:rPr>
        <w:t xml:space="preserve"> in 2022, </w:t>
      </w:r>
      <w:r>
        <w:rPr>
          <w:rFonts w:ascii="Arial" w:hAnsi="Arial" w:cs="Arial"/>
        </w:rPr>
        <w:t>and</w:t>
      </w:r>
      <w:r w:rsidRPr="00571F68">
        <w:rPr>
          <w:rFonts w:ascii="Arial" w:hAnsi="Arial" w:cs="Arial"/>
        </w:rPr>
        <w:t xml:space="preserve"> suggest collaboration among the health, social care and voluntary sectors (King's Fund, 2023). In spite of that, the survival has been challenged by unrelenting financial limitations, staff shortages</w:t>
      </w:r>
      <w:r>
        <w:rPr>
          <w:rFonts w:ascii="Arial" w:hAnsi="Arial" w:cs="Arial"/>
        </w:rPr>
        <w:t>,</w:t>
      </w:r>
      <w:r w:rsidRPr="00571F68">
        <w:rPr>
          <w:rFonts w:ascii="Arial" w:hAnsi="Arial" w:cs="Arial"/>
        </w:rPr>
        <w:t xml:space="preserve"> as well </w:t>
      </w:r>
      <w:r>
        <w:rPr>
          <w:rFonts w:ascii="Arial" w:hAnsi="Arial" w:cs="Arial"/>
        </w:rPr>
        <w:t>as</w:t>
      </w:r>
      <w:r w:rsidRPr="00571F68">
        <w:rPr>
          <w:rFonts w:ascii="Arial" w:hAnsi="Arial" w:cs="Arial"/>
        </w:rPr>
        <w:t xml:space="preserve"> escalating demand. The current NHS England model is delivered by regional ICSs, NHS Trusts and primary care networks, where they are expected to deliver locally, but where there is a strong focus on national strategic priorities.</w:t>
      </w:r>
    </w:p>
    <w:p w:rsidRPr="00571F68" w:rsidR="00571F68" w:rsidP="00571F68" w:rsidRDefault="00571F68" w14:paraId="1170D79C" w14:textId="6AB3B68B">
      <w:pPr>
        <w:spacing w:line="360" w:lineRule="auto"/>
        <w:jc w:val="both"/>
        <w:rPr>
          <w:rFonts w:ascii="Arial" w:hAnsi="Arial" w:cs="Arial"/>
          <w:b/>
          <w:bCs/>
        </w:rPr>
      </w:pPr>
      <w:r w:rsidRPr="00571F68">
        <w:rPr>
          <w:rFonts w:ascii="Arial" w:hAnsi="Arial" w:cs="Arial"/>
          <w:b/>
          <w:bCs/>
        </w:rPr>
        <w:t>Critical Analysis</w:t>
      </w:r>
    </w:p>
    <w:p w:rsidRPr="0039063A" w:rsidR="0039063A" w:rsidP="0039063A" w:rsidRDefault="00564751" w14:paraId="7330C6C7" w14:textId="77777777">
      <w:pPr>
        <w:spacing w:line="360" w:lineRule="auto"/>
        <w:jc w:val="both"/>
        <w:rPr>
          <w:rFonts w:ascii="Arial" w:hAnsi="Arial" w:cs="Arial"/>
        </w:rPr>
      </w:pPr>
      <w:r>
        <w:rPr>
          <w:rFonts w:ascii="Arial" w:hAnsi="Arial" w:cs="Arial"/>
        </w:rPr>
        <w:t>T</w:t>
      </w:r>
      <w:r w:rsidRPr="00571F68" w:rsidR="00571F68">
        <w:rPr>
          <w:rFonts w:ascii="Arial" w:hAnsi="Arial" w:cs="Arial"/>
        </w:rPr>
        <w:t xml:space="preserve">he development of the NHS </w:t>
      </w:r>
      <w:r>
        <w:rPr>
          <w:rFonts w:ascii="Arial" w:hAnsi="Arial" w:cs="Arial"/>
        </w:rPr>
        <w:t>is b</w:t>
      </w:r>
      <w:r w:rsidRPr="00571F68" w:rsidR="00571F68">
        <w:rPr>
          <w:rFonts w:ascii="Arial" w:hAnsi="Arial" w:cs="Arial"/>
        </w:rPr>
        <w:t>a</w:t>
      </w:r>
      <w:r>
        <w:rPr>
          <w:rFonts w:ascii="Arial" w:hAnsi="Arial" w:cs="Arial"/>
        </w:rPr>
        <w:t>sed on</w:t>
      </w:r>
      <w:r w:rsidRPr="00571F68" w:rsidR="00571F68">
        <w:rPr>
          <w:rFonts w:ascii="Arial" w:hAnsi="Arial" w:cs="Arial"/>
        </w:rPr>
        <w:t xml:space="preserve"> </w:t>
      </w:r>
      <w:r>
        <w:rPr>
          <w:rFonts w:ascii="Arial" w:hAnsi="Arial" w:cs="Arial"/>
        </w:rPr>
        <w:t xml:space="preserve">a </w:t>
      </w:r>
      <w:r w:rsidRPr="00571F68" w:rsidR="00571F68">
        <w:rPr>
          <w:rFonts w:ascii="Arial" w:hAnsi="Arial" w:cs="Arial"/>
        </w:rPr>
        <w:t xml:space="preserve">broader ideological conflict between collectivist welfare and market-based reform in the NHS. The internal market is based on the assumption that competition is the key to efficiency, while others argue that competition undermines equity and cohesion (Greer, 2016). </w:t>
      </w:r>
      <w:r w:rsidR="00571F68">
        <w:rPr>
          <w:rFonts w:ascii="Arial" w:hAnsi="Arial" w:cs="Arial"/>
        </w:rPr>
        <w:t>The post-2012</w:t>
      </w:r>
      <w:r w:rsidRPr="00571F68" w:rsidR="00571F68">
        <w:rPr>
          <w:rFonts w:ascii="Arial" w:hAnsi="Arial" w:cs="Arial"/>
        </w:rPr>
        <w:t xml:space="preserve"> period has witnessed growing concern about inequalities of access, regional disparities</w:t>
      </w:r>
      <w:r w:rsidR="00571F68">
        <w:rPr>
          <w:rFonts w:ascii="Arial" w:hAnsi="Arial" w:cs="Arial"/>
        </w:rPr>
        <w:t>,</w:t>
      </w:r>
      <w:r w:rsidRPr="00571F68" w:rsidR="00571F68">
        <w:rPr>
          <w:rFonts w:ascii="Arial" w:hAnsi="Arial" w:cs="Arial"/>
        </w:rPr>
        <w:t xml:space="preserve"> as well as the increasing role of private providers. </w:t>
      </w:r>
      <w:r w:rsidRPr="0039063A" w:rsidR="0039063A">
        <w:rPr>
          <w:rFonts w:ascii="Arial" w:hAnsi="Arial" w:cs="Arial"/>
        </w:rPr>
        <w:t>Further, austerity policies following 2010 reduced real-terms funding increases and are currently leading to unprecedented waiting times and staff burnout.</w:t>
      </w:r>
      <w:r w:rsidR="0039063A">
        <w:rPr>
          <w:rFonts w:ascii="Arial" w:hAnsi="Arial" w:cs="Arial"/>
        </w:rPr>
        <w:t xml:space="preserve"> </w:t>
      </w:r>
      <w:r w:rsidRPr="0039063A" w:rsidR="0039063A">
        <w:rPr>
          <w:rFonts w:ascii="Arial" w:hAnsi="Arial" w:cs="Arial"/>
        </w:rPr>
        <w:t>Further, austerity policies following 2010 reduced real-terms funding increases and are currently leading to unprecedented waiting times and staff burnout.</w:t>
      </w:r>
    </w:p>
    <w:p w:rsidRPr="0039063A" w:rsidR="0039063A" w:rsidP="0039063A" w:rsidRDefault="0039063A" w14:paraId="3146A3F3" w14:textId="2398ACC3">
      <w:pPr>
        <w:spacing w:line="360" w:lineRule="auto"/>
        <w:jc w:val="both"/>
        <w:rPr>
          <w:rFonts w:ascii="Arial" w:hAnsi="Arial" w:cs="Arial"/>
        </w:rPr>
      </w:pPr>
      <w:r w:rsidRPr="0039063A">
        <w:rPr>
          <w:rFonts w:ascii="Arial" w:hAnsi="Arial" w:cs="Arial"/>
        </w:rPr>
        <w:t xml:space="preserve">However, the NHS is a symbol of national identity and solidarity. Its survival against such times as the pandemic of COVID-19 reaffirmed its roots of Universal care. Solutions will </w:t>
      </w:r>
      <w:r>
        <w:rPr>
          <w:rFonts w:ascii="Arial" w:hAnsi="Arial" w:cs="Arial"/>
        </w:rPr>
        <w:t xml:space="preserve">be </w:t>
      </w:r>
      <w:r w:rsidRPr="0039063A">
        <w:rPr>
          <w:rFonts w:ascii="Arial" w:hAnsi="Arial" w:cs="Arial"/>
        </w:rPr>
        <w:t>as numerous as the people who accept the aspirations and concepts of Bevan's moral ideal of collective welfare.</w:t>
      </w:r>
    </w:p>
    <w:p w:rsidRPr="0039063A" w:rsidR="0039063A" w:rsidP="0039063A" w:rsidRDefault="0039063A" w14:paraId="7E0C6B3A" w14:textId="77777777">
      <w:pPr>
        <w:spacing w:line="360" w:lineRule="auto"/>
        <w:jc w:val="both"/>
        <w:rPr>
          <w:rFonts w:ascii="Arial" w:hAnsi="Arial" w:cs="Arial"/>
          <w:b/>
          <w:bCs/>
        </w:rPr>
      </w:pPr>
      <w:r w:rsidRPr="0039063A">
        <w:rPr>
          <w:rFonts w:ascii="Arial" w:hAnsi="Arial" w:cs="Arial"/>
          <w:b/>
          <w:bCs/>
        </w:rPr>
        <w:t>Conclusion</w:t>
      </w:r>
    </w:p>
    <w:p w:rsidRPr="0039063A" w:rsidR="00564751" w:rsidP="0039063A" w:rsidRDefault="0039063A" w14:paraId="42C4318A" w14:textId="34B62589">
      <w:pPr>
        <w:spacing w:line="360" w:lineRule="auto"/>
        <w:jc w:val="both"/>
        <w:rPr>
          <w:rFonts w:ascii="Arial" w:hAnsi="Arial" w:cs="Arial"/>
        </w:rPr>
      </w:pPr>
      <w:r w:rsidRPr="0039063A">
        <w:rPr>
          <w:rFonts w:ascii="Arial" w:hAnsi="Arial" w:cs="Arial"/>
        </w:rPr>
        <w:t xml:space="preserve">The NHS is really a great example of post-war social justice. Having its origin in egalitarian ideas and having been created from a vision of collective ownership, it has transformed the health and well-being of millions. Yet its ability to survive into the 21st century will be dependent on the unification of these ideals of morality with the realities of economics. The question now is not how to work within budgets, but how to resurrect the original spirit of these founders, which is that health was a right and not a privilege </w:t>
      </w:r>
      <w:r>
        <w:rPr>
          <w:rFonts w:ascii="Arial" w:hAnsi="Arial" w:cs="Arial"/>
        </w:rPr>
        <w:t>for</w:t>
      </w:r>
      <w:r w:rsidRPr="0039063A">
        <w:rPr>
          <w:rFonts w:ascii="Arial" w:hAnsi="Arial" w:cs="Arial"/>
        </w:rPr>
        <w:t xml:space="preserve"> everyone.</w:t>
      </w:r>
      <w:r w:rsidR="00564751">
        <w:rPr>
          <w:rFonts w:ascii="Arial" w:hAnsi="Arial" w:cs="Arial"/>
          <w:b/>
          <w:bCs/>
        </w:rPr>
        <w:br w:type="page"/>
      </w:r>
    </w:p>
    <w:p w:rsidRPr="00564751" w:rsidR="00564751" w:rsidP="00564751" w:rsidRDefault="00564751" w14:paraId="3AA460DD" w14:textId="48315541">
      <w:pPr>
        <w:spacing w:line="360" w:lineRule="auto"/>
        <w:jc w:val="both"/>
        <w:rPr>
          <w:rFonts w:ascii="Arial" w:hAnsi="Arial" w:cs="Arial"/>
          <w:b/>
          <w:bCs/>
        </w:rPr>
      </w:pPr>
      <w:r w:rsidRPr="17373D93" w:rsidR="00564751">
        <w:rPr>
          <w:rFonts w:ascii="Arial" w:hAnsi="Arial" w:cs="Arial"/>
          <w:b w:val="1"/>
          <w:bCs w:val="1"/>
        </w:rPr>
        <w:t xml:space="preserve">List of references </w:t>
      </w:r>
    </w:p>
    <w:p w:rsidR="2BA528B4" w:rsidP="17373D93" w:rsidRDefault="2BA528B4" w14:paraId="3BC005FE" w14:textId="0329E1CB">
      <w:pPr>
        <w:spacing w:before="0" w:beforeAutospacing="off" w:after="160" w:afterAutospacing="off" w:line="257" w:lineRule="auto"/>
      </w:pPr>
      <w:r w:rsidRPr="17373D93" w:rsidR="2BA528B4">
        <w:rPr>
          <w:rFonts w:ascii="Segoe UI" w:hAnsi="Segoe UI" w:eastAsia="Segoe UI" w:cs="Segoe UI"/>
          <w:noProof w:val="0"/>
          <w:color w:val="212529"/>
          <w:sz w:val="22"/>
          <w:szCs w:val="22"/>
          <w:lang w:val="en-GB"/>
        </w:rPr>
        <w:t xml:space="preserve">Aziz, Y.H.A., Heydon, S.J., Dulllull, S.B. and Marra, C.A. (2021). What fre services do pharmacists offer? Investigating the provision of unfunded pharmacy services in community pharmacies. </w:t>
      </w:r>
      <w:r w:rsidRPr="17373D93" w:rsidR="2BA528B4">
        <w:rPr>
          <w:rFonts w:ascii="Segoe UI" w:hAnsi="Segoe UI" w:eastAsia="Segoe UI" w:cs="Segoe UI"/>
          <w:i w:val="1"/>
          <w:iCs w:val="1"/>
          <w:noProof w:val="0"/>
          <w:color w:val="212529"/>
          <w:sz w:val="22"/>
          <w:szCs w:val="22"/>
          <w:lang w:val="en-GB"/>
        </w:rPr>
        <w:t xml:space="preserve">Research in social and administrative pharmacy, 17(3), pp.588-594. </w:t>
      </w:r>
    </w:p>
    <w:p w:rsidR="2BA528B4" w:rsidP="17373D93" w:rsidRDefault="2BA528B4" w14:paraId="5FE0A643" w14:textId="1FF84BCC">
      <w:pPr>
        <w:spacing w:before="0" w:beforeAutospacing="off" w:after="160" w:afterAutospacing="off" w:line="257" w:lineRule="auto"/>
      </w:pPr>
      <w:r w:rsidRPr="17373D93" w:rsidR="2BA528B4">
        <w:rPr>
          <w:rFonts w:ascii="Segoe UI" w:hAnsi="Segoe UI" w:eastAsia="Segoe UI" w:cs="Segoe UI"/>
          <w:noProof w:val="0"/>
          <w:color w:val="212529"/>
          <w:sz w:val="22"/>
          <w:szCs w:val="22"/>
          <w:lang w:val="en-GB"/>
        </w:rPr>
        <w:t xml:space="preserve">Barghouth. D., Al-Abdallah, G.M. And Abdallah, A.B. (2021). Pharmacy services factors and pharmacy performance: the role of patient satisfaction in community pharmacies. </w:t>
      </w:r>
      <w:r w:rsidRPr="17373D93" w:rsidR="2BA528B4">
        <w:rPr>
          <w:rFonts w:ascii="Segoe UI" w:hAnsi="Segoe UI" w:eastAsia="Segoe UI" w:cs="Segoe UI"/>
          <w:i w:val="1"/>
          <w:iCs w:val="1"/>
          <w:noProof w:val="0"/>
          <w:color w:val="212529"/>
          <w:sz w:val="22"/>
          <w:szCs w:val="22"/>
          <w:lang w:val="en-GB"/>
        </w:rPr>
        <w:t>International Journal of Pharmaceutical and Healthcare Marketing, 15(3), pp.410-428.</w:t>
      </w:r>
    </w:p>
    <w:p w:rsidR="2BA528B4" w:rsidP="17373D93" w:rsidRDefault="2BA528B4" w14:paraId="777BB4D3" w14:textId="7132C21E">
      <w:pPr>
        <w:spacing w:before="0" w:beforeAutospacing="off" w:after="160" w:afterAutospacing="off" w:line="257" w:lineRule="auto"/>
      </w:pPr>
      <w:r w:rsidRPr="17373D93" w:rsidR="2BA528B4">
        <w:rPr>
          <w:rFonts w:ascii="Segoe UI" w:hAnsi="Segoe UI" w:eastAsia="Segoe UI" w:cs="Segoe UI"/>
          <w:noProof w:val="0"/>
          <w:color w:val="212529"/>
          <w:sz w:val="22"/>
          <w:szCs w:val="22"/>
          <w:lang w:val="en-GB"/>
        </w:rPr>
        <w:t xml:space="preserve">Benson,   </w:t>
      </w:r>
      <w:r w:rsidRPr="17373D93" w:rsidR="2BA528B4">
        <w:rPr>
          <w:rFonts w:ascii="Segoe UI" w:hAnsi="Segoe UI" w:eastAsia="Segoe UI" w:cs="Segoe UI"/>
          <w:noProof w:val="0"/>
          <w:color w:val="212529"/>
          <w:sz w:val="22"/>
          <w:szCs w:val="22"/>
          <w:lang w:val="en-GB"/>
        </w:rPr>
        <w:t>G.G.,   2022</w:t>
      </w:r>
      <w:r w:rsidRPr="17373D93" w:rsidR="2BA528B4">
        <w:rPr>
          <w:rFonts w:ascii="Segoe UI" w:hAnsi="Segoe UI" w:eastAsia="Segoe UI" w:cs="Segoe UI"/>
          <w:noProof w:val="0"/>
          <w:color w:val="212529"/>
          <w:sz w:val="22"/>
          <w:szCs w:val="22"/>
          <w:lang w:val="en-GB"/>
        </w:rPr>
        <w:t xml:space="preserve">.  </w:t>
      </w:r>
      <w:r w:rsidRPr="17373D93" w:rsidR="2BA528B4">
        <w:rPr>
          <w:rFonts w:ascii="Segoe UI" w:hAnsi="Segoe UI" w:eastAsia="Segoe UI" w:cs="Segoe UI"/>
          <w:noProof w:val="0"/>
          <w:color w:val="212529"/>
          <w:sz w:val="22"/>
          <w:szCs w:val="22"/>
          <w:lang w:val="en-GB"/>
        </w:rPr>
        <w:t xml:space="preserve"> Early pharmaceutical organisations in Manchester, 1826 to 1868. </w:t>
      </w:r>
      <w:r w:rsidRPr="17373D93" w:rsidR="2BA528B4">
        <w:rPr>
          <w:rFonts w:ascii="Segoe UI" w:hAnsi="Segoe UI" w:eastAsia="Segoe UI" w:cs="Segoe UI"/>
          <w:i w:val="1"/>
          <w:iCs w:val="1"/>
          <w:noProof w:val="0"/>
          <w:color w:val="212529"/>
          <w:sz w:val="22"/>
          <w:szCs w:val="22"/>
          <w:lang w:val="en-GB"/>
        </w:rPr>
        <w:t>Pharmaceutical Historian, 52(4), pp.108-114.</w:t>
      </w:r>
    </w:p>
    <w:p w:rsidR="00564751" w:rsidP="17373D93" w:rsidRDefault="00564751" w14:textId="77777777" w14:paraId="018E85BA" w14:noSpellErr="1">
      <w:pPr>
        <w:rPr>
          <w:rFonts w:ascii="Segoe UI" w:hAnsi="Segoe UI" w:cs="Segoe UI"/>
          <w:color w:val="008DC9"/>
        </w:rPr>
      </w:pPr>
      <w:r w:rsidR="00564751">
        <w:rPr>
          <w:rStyle w:val="dont-break-out"/>
          <w:rFonts w:ascii="Segoe UI" w:hAnsi="Segoe UI" w:cs="Segoe UI"/>
          <w:color w:val="212529"/>
          <w:shd w:val="clear" w:color="auto" w:fill="FFFFFF"/>
        </w:rPr>
        <w:t>Beveridge, W.</w:t>
      </w:r>
      <w:r w:rsidR="00564751">
        <w:rPr>
          <w:rStyle w:val="ng-star-inserted"/>
          <w:rFonts w:ascii="Segoe UI" w:hAnsi="Segoe UI" w:cs="Segoe UI"/>
          <w:color w:val="212529"/>
          <w:shd w:val="clear" w:color="auto" w:fill="FFFFFF"/>
        </w:rPr>
        <w:t> (2000). Social insurance and allied services. 1942.</w:t>
      </w:r>
      <w:r w:rsidR="00564751">
        <w:rPr>
          <w:rFonts w:ascii="Segoe UI" w:hAnsi="Segoe UI" w:cs="Segoe UI"/>
          <w:color w:val="212529"/>
          <w:shd w:val="clear" w:color="auto" w:fill="FFFFFF"/>
        </w:rPr>
        <w:t>. </w:t>
      </w:r>
      <w:r w:rsidR="00564751">
        <w:rPr>
          <w:rStyle w:val="Emphasis"/>
          <w:rFonts w:ascii="Segoe UI" w:hAnsi="Segoe UI" w:cs="Segoe UI"/>
          <w:color w:val="212529"/>
          <w:shd w:val="clear" w:color="auto" w:fill="FFFFFF"/>
        </w:rPr>
        <w:t>Bulletin of the World Health Organisation</w:t>
      </w:r>
      <w:r w:rsidR="00564751">
        <w:rPr>
          <w:rStyle w:val="ng-star-inserted"/>
          <w:rFonts w:ascii="Segoe UI" w:hAnsi="Segoe UI" w:cs="Segoe UI"/>
          <w:color w:val="212529"/>
          <w:shd w:val="clear" w:color="auto" w:fill="FFFFFF"/>
        </w:rPr>
        <w:t>, </w:t>
      </w:r>
      <w:r w:rsidR="00564751">
        <w:rPr>
          <w:rStyle w:val="Emphasis"/>
          <w:rFonts w:ascii="Segoe UI" w:hAnsi="Segoe UI" w:cs="Segoe UI"/>
          <w:color w:val="212529"/>
          <w:shd w:val="clear" w:color="auto" w:fill="FFFFFF"/>
        </w:rPr>
        <w:t>78</w:t>
      </w:r>
      <w:r w:rsidR="00564751">
        <w:rPr>
          <w:rStyle w:val="ng-star-inserted"/>
          <w:rFonts w:ascii="Segoe UI" w:hAnsi="Segoe UI" w:cs="Segoe UI"/>
          <w:color w:val="212529"/>
          <w:shd w:val="clear" w:color="auto" w:fill="FFFFFF"/>
        </w:rPr>
        <w:t xml:space="preserve">(6), 847 - 855. World Health </w:t>
      </w:r>
    </w:p>
    <w:p w:rsidR="00564751" w:rsidP="17373D93" w:rsidRDefault="00564751" w14:paraId="0A8317D9" w14:textId="1DF9065B">
      <w:pPr>
        <w:spacing w:before="0" w:beforeAutospacing="off" w:after="160" w:afterAutospacing="off" w:line="257" w:lineRule="auto"/>
      </w:pPr>
      <w:r w:rsidRPr="17373D93" w:rsidR="044437B2">
        <w:rPr>
          <w:rFonts w:ascii="Calibri" w:hAnsi="Calibri" w:eastAsia="Calibri" w:cs="Calibri"/>
          <w:noProof w:val="0"/>
          <w:sz w:val="22"/>
          <w:szCs w:val="22"/>
          <w:lang w:val="en-GB"/>
        </w:rPr>
        <w:t xml:space="preserve">Cox, N. (2021). The Drug Stores Association of Great Britain, 1902-1920. </w:t>
      </w:r>
      <w:r w:rsidRPr="17373D93" w:rsidR="044437B2">
        <w:rPr>
          <w:rFonts w:ascii="Calibri" w:hAnsi="Calibri" w:eastAsia="Calibri" w:cs="Calibri"/>
          <w:i w:val="1"/>
          <w:iCs w:val="1"/>
          <w:noProof w:val="0"/>
          <w:sz w:val="22"/>
          <w:szCs w:val="22"/>
          <w:lang w:val="en-GB"/>
        </w:rPr>
        <w:t>Pharmaceutical Historian, 52(1), pp.12-17.</w:t>
      </w:r>
    </w:p>
    <w:p w:rsidR="00564751" w:rsidP="17373D93" w:rsidRDefault="00564751" w14:paraId="20B6A743" w14:textId="0538BC08">
      <w:pPr>
        <w:spacing w:before="0" w:beforeAutospacing="off" w:after="160" w:afterAutospacing="off" w:line="257" w:lineRule="auto"/>
      </w:pPr>
      <w:r w:rsidRPr="17373D93" w:rsidR="044437B2">
        <w:rPr>
          <w:rFonts w:ascii="Calibri" w:hAnsi="Calibri" w:eastAsia="Calibri" w:cs="Calibri"/>
          <w:noProof w:val="0"/>
          <w:sz w:val="22"/>
          <w:szCs w:val="22"/>
          <w:lang w:val="en-GB"/>
        </w:rPr>
        <w:t xml:space="preserve">Dacre, J., Francis, R., Cave, E., Charlesworth, A., Pearson, D., Peckham, S., </w:t>
      </w:r>
      <w:r w:rsidRPr="17373D93" w:rsidR="044437B2">
        <w:rPr>
          <w:rFonts w:ascii="Calibri" w:hAnsi="Calibri" w:eastAsia="Calibri" w:cs="Calibri"/>
          <w:noProof w:val="0"/>
          <w:sz w:val="22"/>
          <w:szCs w:val="22"/>
          <w:lang w:val="en-GB"/>
        </w:rPr>
        <w:t>Ashmed</w:t>
      </w:r>
      <w:r w:rsidRPr="17373D93" w:rsidR="044437B2">
        <w:rPr>
          <w:rFonts w:ascii="Calibri" w:hAnsi="Calibri" w:eastAsia="Calibri" w:cs="Calibri"/>
          <w:noProof w:val="0"/>
          <w:sz w:val="22"/>
          <w:szCs w:val="22"/>
          <w:lang w:val="en-GB"/>
        </w:rPr>
        <w:t xml:space="preserve">, N.,  </w:t>
      </w:r>
      <w:r w:rsidRPr="17373D93" w:rsidR="044437B2">
        <w:rPr>
          <w:rFonts w:ascii="Calibri" w:hAnsi="Calibri" w:eastAsia="Calibri" w:cs="Calibri"/>
          <w:noProof w:val="0"/>
          <w:sz w:val="22"/>
          <w:szCs w:val="22"/>
          <w:lang w:val="en-GB"/>
        </w:rPr>
        <w:t>Lyonette</w:t>
      </w:r>
      <w:r w:rsidRPr="17373D93" w:rsidR="044437B2">
        <w:rPr>
          <w:rFonts w:ascii="Calibri" w:hAnsi="Calibri" w:eastAsia="Calibri" w:cs="Calibri"/>
          <w:noProof w:val="0"/>
          <w:sz w:val="22"/>
          <w:szCs w:val="22"/>
          <w:lang w:val="en-GB"/>
        </w:rPr>
        <w:t>,  M.</w:t>
      </w:r>
      <w:r w:rsidRPr="17373D93" w:rsidR="044437B2">
        <w:rPr>
          <w:rFonts w:ascii="Calibri" w:hAnsi="Calibri" w:eastAsia="Calibri" w:cs="Calibri"/>
          <w:noProof w:val="0"/>
          <w:sz w:val="22"/>
          <w:szCs w:val="22"/>
          <w:lang w:val="en-GB"/>
        </w:rPr>
        <w:t>,  Makarem</w:t>
      </w:r>
      <w:r w:rsidRPr="17373D93" w:rsidR="044437B2">
        <w:rPr>
          <w:rFonts w:ascii="Calibri" w:hAnsi="Calibri" w:eastAsia="Calibri" w:cs="Calibri"/>
          <w:noProof w:val="0"/>
          <w:sz w:val="22"/>
          <w:szCs w:val="22"/>
          <w:lang w:val="en-GB"/>
        </w:rPr>
        <w:t>,  R.</w:t>
      </w:r>
      <w:r w:rsidRPr="17373D93" w:rsidR="044437B2">
        <w:rPr>
          <w:rFonts w:ascii="Calibri" w:hAnsi="Calibri" w:eastAsia="Calibri" w:cs="Calibri"/>
          <w:noProof w:val="0"/>
          <w:sz w:val="22"/>
          <w:szCs w:val="22"/>
          <w:lang w:val="en-GB"/>
        </w:rPr>
        <w:t>,  Nazar</w:t>
      </w:r>
      <w:r w:rsidRPr="17373D93" w:rsidR="044437B2">
        <w:rPr>
          <w:rFonts w:ascii="Calibri" w:hAnsi="Calibri" w:eastAsia="Calibri" w:cs="Calibri"/>
          <w:noProof w:val="0"/>
          <w:sz w:val="22"/>
          <w:szCs w:val="22"/>
          <w:lang w:val="en-GB"/>
        </w:rPr>
        <w:t>,  H.</w:t>
      </w:r>
      <w:r w:rsidRPr="17373D93" w:rsidR="044437B2">
        <w:rPr>
          <w:rFonts w:ascii="Calibri" w:hAnsi="Calibri" w:eastAsia="Calibri" w:cs="Calibri"/>
          <w:noProof w:val="0"/>
          <w:sz w:val="22"/>
          <w:szCs w:val="22"/>
          <w:lang w:val="en-GB"/>
        </w:rPr>
        <w:t xml:space="preserve">  and </w:t>
      </w:r>
      <w:r w:rsidRPr="17373D93" w:rsidR="044437B2">
        <w:rPr>
          <w:rFonts w:ascii="Calibri" w:hAnsi="Calibri" w:eastAsia="Calibri" w:cs="Calibri"/>
          <w:noProof w:val="0"/>
          <w:sz w:val="22"/>
          <w:szCs w:val="22"/>
          <w:lang w:val="en-GB"/>
        </w:rPr>
        <w:t>Onatade</w:t>
      </w:r>
      <w:r w:rsidRPr="17373D93" w:rsidR="044437B2">
        <w:rPr>
          <w:rFonts w:ascii="Calibri" w:hAnsi="Calibri" w:eastAsia="Calibri" w:cs="Calibri"/>
          <w:noProof w:val="0"/>
          <w:sz w:val="22"/>
          <w:szCs w:val="22"/>
          <w:lang w:val="en-GB"/>
        </w:rPr>
        <w:t xml:space="preserve">, R., 2023. Expert Panel: evaluation of the Government’s commitments </w:t>
      </w:r>
      <w:r w:rsidRPr="17373D93" w:rsidR="044437B2">
        <w:rPr>
          <w:rFonts w:ascii="Calibri" w:hAnsi="Calibri" w:eastAsia="Calibri" w:cs="Calibri"/>
          <w:noProof w:val="0"/>
          <w:sz w:val="22"/>
          <w:szCs w:val="22"/>
          <w:lang w:val="en-GB"/>
        </w:rPr>
        <w:t>in the area of</w:t>
      </w:r>
      <w:r w:rsidRPr="17373D93" w:rsidR="044437B2">
        <w:rPr>
          <w:rFonts w:ascii="Calibri" w:hAnsi="Calibri" w:eastAsia="Calibri" w:cs="Calibri"/>
          <w:noProof w:val="0"/>
          <w:sz w:val="22"/>
          <w:szCs w:val="22"/>
          <w:lang w:val="en-GB"/>
        </w:rPr>
        <w:t xml:space="preserve"> pharmacy in England (Tenth Special Report of Session 2022-23).</w:t>
      </w:r>
    </w:p>
    <w:p w:rsidR="00564751" w:rsidP="17373D93" w:rsidRDefault="00564751" w14:paraId="52B23EBD" w14:noSpellErr="1" w14:textId="1AD89F57">
      <w:pPr>
        <w:rPr>
          <w:rFonts w:ascii="Arial" w:hAnsi="Arial" w:cs="Arial"/>
          <w:sz w:val="20"/>
          <w:szCs w:val="20"/>
          <w:shd w:val="clear" w:color="auto" w:fill="FFFFFF"/>
        </w:rPr>
      </w:pPr>
      <w:r w:rsidR="00564751">
        <w:rPr>
          <w:rFonts w:ascii="Arial" w:hAnsi="Arial" w:cs="Arial"/>
          <w:color w:val="222222"/>
          <w:sz w:val="20"/>
          <w:szCs w:val="20"/>
          <w:shd w:val="clear" w:color="auto" w:fill="FFFFFF"/>
        </w:rPr>
        <w:t>Gorsky, M., (2008). The British National Health Service 1948–2008: a review of the historiography. </w:t>
      </w:r>
      <w:r w:rsidRPr="17373D93" w:rsidR="00564751">
        <w:rPr>
          <w:rFonts w:ascii="Arial" w:hAnsi="Arial" w:cs="Arial"/>
          <w:i w:val="1"/>
          <w:iCs w:val="1"/>
          <w:color w:val="222222"/>
          <w:sz w:val="20"/>
          <w:szCs w:val="20"/>
          <w:shd w:val="clear" w:color="auto" w:fill="FFFFFF"/>
        </w:rPr>
        <w:t>Social History of Medicine</w:t>
      </w:r>
      <w:r w:rsidR="00564751">
        <w:rPr>
          <w:rFonts w:ascii="Arial" w:hAnsi="Arial" w:cs="Arial"/>
          <w:color w:val="222222"/>
          <w:sz w:val="20"/>
          <w:szCs w:val="20"/>
          <w:shd w:val="clear" w:color="auto" w:fill="FFFFFF"/>
        </w:rPr>
        <w:t>, </w:t>
      </w:r>
      <w:r w:rsidRPr="17373D93" w:rsidR="00564751">
        <w:rPr>
          <w:rFonts w:ascii="Arial" w:hAnsi="Arial" w:cs="Arial"/>
          <w:i w:val="1"/>
          <w:iCs w:val="1"/>
          <w:color w:val="222222"/>
          <w:sz w:val="20"/>
          <w:szCs w:val="20"/>
          <w:shd w:val="clear" w:color="auto" w:fill="FFFFFF"/>
        </w:rPr>
        <w:t>21</w:t>
      </w:r>
      <w:r w:rsidR="00564751">
        <w:rPr>
          <w:rFonts w:ascii="Arial" w:hAnsi="Arial" w:cs="Arial"/>
          <w:color w:val="222222"/>
          <w:sz w:val="20"/>
          <w:szCs w:val="20"/>
          <w:shd w:val="clear" w:color="auto" w:fill="FFFFFF"/>
        </w:rPr>
        <w:t xml:space="preserve">(3), pp.437-460</w:t>
      </w:r>
      <w:r w:rsidR="71BF9B2B">
        <w:rPr>
          <w:rFonts w:ascii="Arial" w:hAnsi="Arial" w:cs="Arial"/>
          <w:color w:val="222222"/>
          <w:sz w:val="20"/>
          <w:szCs w:val="20"/>
          <w:shd w:val="clear" w:color="auto" w:fill="FFFFFF"/>
        </w:rPr>
        <w:t xml:space="preserve">.</w:t>
      </w:r>
    </w:p>
    <w:p w:rsidR="00564751" w:rsidP="00564751" w:rsidRDefault="00564751" w14:paraId="1B1DABFC" w14:noSpellErr="1" w14:textId="175EAE57">
      <w:r w:rsidR="00564751">
        <w:rPr/>
        <w:t xml:space="preserve">Greer, S. L. (2016) ‘Devolution and health in the UK: policy and its lessons since 1998’, </w:t>
      </w:r>
      <w:r w:rsidRPr="17373D93" w:rsidR="00564751">
        <w:rPr>
          <w:rStyle w:val="Emphasis"/>
        </w:rPr>
        <w:t>British Medical Bulletin</w:t>
      </w:r>
      <w:r w:rsidR="00564751">
        <w:rPr/>
        <w:t>, 118(1), pp. 16–24.</w:t>
      </w:r>
    </w:p>
    <w:p w:rsidR="00564751" w:rsidP="00564751" w:rsidRDefault="00564751" w14:paraId="5C5B956C" w14:textId="27A0760E">
      <w:r w:rsidRPr="17373D93" w:rsidR="00564751">
        <w:rPr>
          <w:rStyle w:val="Strong"/>
          <w:b w:val="0"/>
          <w:bCs w:val="0"/>
        </w:rPr>
        <w:t>Ham, C. (2009)</w:t>
      </w:r>
      <w:r w:rsidRPr="17373D93" w:rsidR="00564751">
        <w:rPr>
          <w:rStyle w:val="Strong"/>
          <w:b w:val="0"/>
          <w:bCs w:val="0"/>
        </w:rPr>
        <w:t>.</w:t>
      </w:r>
      <w:r w:rsidRPr="17373D93" w:rsidR="00564751">
        <w:rPr>
          <w:rStyle w:val="Strong"/>
          <w:b w:val="0"/>
          <w:bCs w:val="0"/>
        </w:rPr>
        <w:t xml:space="preserve"> </w:t>
      </w:r>
      <w:r w:rsidRPr="17373D93" w:rsidR="00564751">
        <w:rPr>
          <w:rStyle w:val="Emphasis"/>
        </w:rPr>
        <w:t>Health Policy in Britain</w:t>
      </w:r>
      <w:r w:rsidRPr="17373D93" w:rsidR="00564751">
        <w:rPr>
          <w:rStyle w:val="Strong"/>
        </w:rPr>
        <w:t>.</w:t>
      </w:r>
      <w:r w:rsidRPr="17373D93" w:rsidR="00564751">
        <w:rPr>
          <w:rStyle w:val="Strong"/>
          <w:b w:val="0"/>
          <w:bCs w:val="0"/>
        </w:rPr>
        <w:t xml:space="preserve"> 6th </w:t>
      </w:r>
      <w:r w:rsidRPr="17373D93" w:rsidR="00564751">
        <w:rPr>
          <w:rStyle w:val="Strong"/>
          <w:b w:val="0"/>
          <w:bCs w:val="0"/>
        </w:rPr>
        <w:t>edn</w:t>
      </w:r>
      <w:r w:rsidRPr="17373D93" w:rsidR="00564751">
        <w:rPr>
          <w:rStyle w:val="Strong"/>
          <w:b w:val="0"/>
          <w:bCs w:val="0"/>
        </w:rPr>
        <w:t>. Basingstoke: Palgrave Macmillan.</w:t>
      </w:r>
      <w:r>
        <w:br/>
      </w:r>
      <w:r w:rsidR="00564751">
        <w:rPr/>
        <w:t xml:space="preserve">Available via Open Library: </w:t>
      </w:r>
      <w:r w:rsidRPr="17373D93" w:rsidR="00564751">
        <w:rPr>
          <w:rStyle w:val="Emphasis"/>
        </w:rPr>
        <w:t>Health Policy in Britain</w:t>
      </w:r>
      <w:r w:rsidR="00564751">
        <w:rPr/>
        <w:t xml:space="preserve"> (2009, 6th </w:t>
      </w:r>
      <w:r w:rsidR="00564751">
        <w:rPr/>
        <w:t>edn</w:t>
      </w:r>
      <w:r w:rsidR="00564751">
        <w:rPr/>
        <w:t xml:space="preserve">) </w:t>
      </w:r>
    </w:p>
    <w:p w:rsidR="74764FB8" w:rsidP="17373D93" w:rsidRDefault="74764FB8" w14:paraId="71C66283" w14:textId="283B1276">
      <w:pPr>
        <w:spacing w:before="0" w:beforeAutospacing="off" w:after="160" w:afterAutospacing="off" w:line="257" w:lineRule="auto"/>
      </w:pPr>
      <w:r w:rsidRPr="17373D93" w:rsidR="74764FB8">
        <w:rPr>
          <w:rFonts w:ascii="Calibri" w:hAnsi="Calibri" w:eastAsia="Calibri" w:cs="Calibri"/>
          <w:noProof w:val="0"/>
          <w:sz w:val="22"/>
          <w:szCs w:val="22"/>
          <w:lang w:val="en-GB"/>
        </w:rPr>
        <w:t xml:space="preserve">Kennedy, M. C. (2018). </w:t>
      </w:r>
      <w:r w:rsidRPr="17373D93" w:rsidR="74764FB8">
        <w:rPr>
          <w:rFonts w:ascii="Calibri" w:hAnsi="Calibri" w:eastAsia="Calibri" w:cs="Calibri"/>
          <w:i w:val="1"/>
          <w:iCs w:val="1"/>
          <w:noProof w:val="0"/>
          <w:sz w:val="22"/>
          <w:szCs w:val="22"/>
          <w:lang w:val="en-GB"/>
        </w:rPr>
        <w:t xml:space="preserve">Pharmacist prescribing in England: acting on history to address current challenges in pharmacy practice. </w:t>
      </w:r>
      <w:r w:rsidRPr="17373D93" w:rsidR="74764FB8">
        <w:rPr>
          <w:rFonts w:ascii="Calibri" w:hAnsi="Calibri" w:eastAsia="Calibri" w:cs="Calibri"/>
          <w:noProof w:val="0"/>
          <w:sz w:val="22"/>
          <w:szCs w:val="22"/>
          <w:lang w:val="en-GB"/>
        </w:rPr>
        <w:t>Journal of Pharmacy Practice and Research. 48(4)</w:t>
      </w:r>
      <w:r w:rsidRPr="17373D93" w:rsidR="74764FB8">
        <w:rPr>
          <w:rFonts w:ascii="Calibri" w:hAnsi="Calibri" w:eastAsia="Calibri" w:cs="Calibri"/>
          <w:noProof w:val="0"/>
          <w:sz w:val="22"/>
          <w:szCs w:val="22"/>
          <w:lang w:val="en-GB"/>
        </w:rPr>
        <w:t xml:space="preserve">.  </w:t>
      </w:r>
      <w:r w:rsidRPr="17373D93" w:rsidR="74764FB8">
        <w:rPr>
          <w:rFonts w:ascii="Calibri" w:hAnsi="Calibri" w:eastAsia="Calibri" w:cs="Calibri"/>
          <w:noProof w:val="0"/>
          <w:sz w:val="22"/>
          <w:szCs w:val="22"/>
          <w:lang w:val="en-GB"/>
        </w:rPr>
        <w:t xml:space="preserve">  372-376.</w:t>
      </w:r>
    </w:p>
    <w:p w:rsidR="00564751" w:rsidP="00564751" w:rsidRDefault="00564751" w14:paraId="408036E3" w14:noSpellErr="1" w14:textId="23BB3858">
      <w:r w:rsidR="00564751">
        <w:rPr/>
        <w:t xml:space="preserve">King’s Fund (2023) </w:t>
      </w:r>
      <w:r w:rsidRPr="17373D93" w:rsidR="00564751">
        <w:rPr>
          <w:rStyle w:val="Emphasis"/>
        </w:rPr>
        <w:t>Driving better health outcomes through integrated care systems</w:t>
      </w:r>
      <w:r w:rsidR="00564751">
        <w:rPr/>
        <w:t xml:space="preserve">. Available at: </w:t>
      </w:r>
    </w:p>
    <w:p w:rsidR="00564751" w:rsidP="00564751" w:rsidRDefault="00564751" w14:paraId="05BB5819" w14:noSpellErr="1" w14:textId="7A93D063">
      <w:r w:rsidR="00564751">
        <w:rPr/>
        <w:t xml:space="preserve">Klein, </w:t>
      </w:r>
      <w:r w:rsidR="00564751">
        <w:rPr/>
        <w:t>R.</w:t>
      </w:r>
      <w:r w:rsidR="00564751">
        <w:rPr/>
        <w:t xml:space="preserve"> and Powell, M. (2025). </w:t>
      </w:r>
      <w:r w:rsidRPr="17373D93" w:rsidR="00564751">
        <w:rPr>
          <w:rStyle w:val="Emphasis"/>
        </w:rPr>
        <w:t>The New Politics of the NHS: From Creation to Reinvention</w:t>
      </w:r>
      <w:r w:rsidR="00564751">
        <w:rPr/>
        <w:t xml:space="preserve">. 8th ed. </w:t>
      </w:r>
      <w:r w:rsidR="00564751">
        <w:rPr/>
        <w:t xml:space="preserve">NHS England (2025). </w:t>
      </w:r>
      <w:r w:rsidRPr="17373D93" w:rsidR="00564751">
        <w:rPr>
          <w:rStyle w:val="Emphasis"/>
        </w:rPr>
        <w:t>Annual assessment of integrated care boards 2023/24</w:t>
      </w:r>
      <w:r w:rsidR="00564751">
        <w:rPr/>
        <w:t xml:space="preserve">. London: NHS England. </w:t>
      </w:r>
    </w:p>
    <w:p w:rsidR="10FE0781" w:rsidP="17373D93" w:rsidRDefault="10FE0781" w14:paraId="2390DB43" w14:textId="540933A2">
      <w:pPr>
        <w:spacing w:before="0" w:beforeAutospacing="off" w:after="160" w:afterAutospacing="off" w:line="257" w:lineRule="auto"/>
      </w:pPr>
      <w:r w:rsidRPr="17373D93" w:rsidR="10FE0781">
        <w:rPr>
          <w:rFonts w:ascii="Calibri" w:hAnsi="Calibri" w:eastAsia="Calibri" w:cs="Calibri"/>
          <w:noProof w:val="0"/>
          <w:sz w:val="22"/>
          <w:szCs w:val="22"/>
          <w:lang w:val="en-GB"/>
        </w:rPr>
        <w:t xml:space="preserve">Moullin,  J.C.,  Sabater-Hernandez,  D., Fernandez-Llimos, F. and Benrimoj, S.I. (2013). Defining professional pharmacy services in community pharmacy. </w:t>
      </w:r>
      <w:r w:rsidRPr="17373D93" w:rsidR="10FE0781">
        <w:rPr>
          <w:rFonts w:ascii="Calibri" w:hAnsi="Calibri" w:eastAsia="Calibri" w:cs="Calibri"/>
          <w:i w:val="1"/>
          <w:iCs w:val="1"/>
          <w:noProof w:val="0"/>
          <w:sz w:val="22"/>
          <w:szCs w:val="22"/>
          <w:lang w:val="en-GB"/>
        </w:rPr>
        <w:t>Research in Social and Administrative Pharmacy,9(6),pp.989-995.</w:t>
      </w:r>
    </w:p>
    <w:p w:rsidR="10FE0781" w:rsidP="17373D93" w:rsidRDefault="10FE0781" w14:paraId="0D472C8C" w14:textId="3632FC1C">
      <w:pPr>
        <w:spacing w:before="0" w:beforeAutospacing="off" w:after="160" w:afterAutospacing="off" w:line="257" w:lineRule="auto"/>
      </w:pPr>
      <w:r w:rsidRPr="17373D93" w:rsidR="10FE0781">
        <w:rPr>
          <w:rFonts w:ascii="Calibri" w:hAnsi="Calibri" w:eastAsia="Calibri" w:cs="Calibri"/>
          <w:noProof w:val="0"/>
          <w:sz w:val="22"/>
          <w:szCs w:val="22"/>
          <w:lang w:val="en-GB"/>
        </w:rPr>
        <w:t xml:space="preserve">NHS England (2025). </w:t>
      </w:r>
      <w:r w:rsidRPr="17373D93" w:rsidR="10FE0781">
        <w:rPr>
          <w:rFonts w:ascii="Calibri" w:hAnsi="Calibri" w:eastAsia="Calibri" w:cs="Calibri"/>
          <w:i w:val="1"/>
          <w:iCs w:val="1"/>
          <w:noProof w:val="0"/>
          <w:sz w:val="22"/>
          <w:szCs w:val="22"/>
          <w:lang w:val="en-GB"/>
        </w:rPr>
        <w:t>Annual assessment of integrated care boards 2023/24</w:t>
      </w:r>
      <w:r w:rsidRPr="17373D93" w:rsidR="10FE0781">
        <w:rPr>
          <w:rFonts w:ascii="Calibri" w:hAnsi="Calibri" w:eastAsia="Calibri" w:cs="Calibri"/>
          <w:noProof w:val="0"/>
          <w:sz w:val="22"/>
          <w:szCs w:val="22"/>
          <w:lang w:val="en-GB"/>
        </w:rPr>
        <w:t xml:space="preserve">. London: NHS England. </w:t>
      </w:r>
    </w:p>
    <w:p w:rsidR="10FE0781" w:rsidP="17373D93" w:rsidRDefault="10FE0781" w14:paraId="54017A33" w14:textId="6EF0BD9E">
      <w:pPr>
        <w:spacing w:before="0" w:beforeAutospacing="off" w:after="160" w:afterAutospacing="off" w:line="257" w:lineRule="auto"/>
      </w:pPr>
      <w:r w:rsidRPr="17373D93" w:rsidR="10FE0781">
        <w:rPr>
          <w:rFonts w:ascii="Calibri" w:hAnsi="Calibri" w:eastAsia="Calibri" w:cs="Calibri"/>
          <w:noProof w:val="0"/>
          <w:sz w:val="22"/>
          <w:szCs w:val="22"/>
          <w:lang w:val="en-GB"/>
        </w:rPr>
        <w:t xml:space="preserve">Noyce, P.R (2007). Providing patient care through community pharmacies in the UK: policy,  practice,  and  research.  </w:t>
      </w:r>
      <w:r w:rsidRPr="17373D93" w:rsidR="10FE0781">
        <w:rPr>
          <w:rFonts w:ascii="Calibri" w:hAnsi="Calibri" w:eastAsia="Calibri" w:cs="Calibri"/>
          <w:i w:val="1"/>
          <w:iCs w:val="1"/>
          <w:noProof w:val="0"/>
          <w:sz w:val="22"/>
          <w:szCs w:val="22"/>
          <w:lang w:val="en-GB"/>
        </w:rPr>
        <w:t>Annals of pharmacotherapy,   41(5),   pp.861-868.</w:t>
      </w:r>
    </w:p>
    <w:p w:rsidR="10FE0781" w:rsidP="17373D93" w:rsidRDefault="10FE0781" w14:paraId="6EAF6889" w14:textId="595EF6EB">
      <w:pPr>
        <w:spacing w:before="0" w:beforeAutospacing="off" w:after="160" w:afterAutospacing="off" w:line="257" w:lineRule="auto"/>
      </w:pPr>
      <w:r w:rsidRPr="17373D93" w:rsidR="10FE0781">
        <w:rPr>
          <w:rFonts w:ascii="Calibri" w:hAnsi="Calibri" w:eastAsia="Calibri" w:cs="Calibri"/>
          <w:noProof w:val="0"/>
          <w:sz w:val="22"/>
          <w:szCs w:val="22"/>
          <w:lang w:val="en-GB"/>
        </w:rPr>
        <w:t xml:space="preserve">Paloumpi,  E., Ozieranski, P., Watson, MC. And Jones, M.D. (2023). Professionals and governmental policy on community pharmacy: A 10-year policy review and comparative analysis (2008-2017). </w:t>
      </w:r>
      <w:r w:rsidRPr="17373D93" w:rsidR="10FE0781">
        <w:rPr>
          <w:rFonts w:ascii="Calibri" w:hAnsi="Calibri" w:eastAsia="Calibri" w:cs="Calibri"/>
          <w:i w:val="1"/>
          <w:iCs w:val="1"/>
          <w:noProof w:val="0"/>
          <w:sz w:val="22"/>
          <w:szCs w:val="22"/>
          <w:lang w:val="en-GB"/>
        </w:rPr>
        <w:t>Exploratory Research in Clinical and Social Pharmacy, 11, p.100298</w:t>
      </w:r>
    </w:p>
    <w:p w:rsidR="17373D93" w:rsidRDefault="17373D93" w14:paraId="69F60873" w14:textId="766CAEAD"/>
    <w:p w:rsidR="00564751" w:rsidP="00564751" w:rsidRDefault="00564751" w14:textId="20A59D9A" w14:paraId="5B34294E" w14:noSpellErr="1">
      <w:pPr>
        <w:rPr>
          <w:rFonts w:ascii="Arial" w:hAnsi="Arial" w:cs="Arial"/>
          <w:color w:val="222222"/>
          <w:sz w:val="20"/>
          <w:szCs w:val="20"/>
          <w:shd w:val="clear" w:color="auto" w:fill="FFFFFF"/>
        </w:rPr>
      </w:pPr>
      <w:r w:rsidR="00564751">
        <w:rPr>
          <w:rFonts w:ascii="Arial" w:hAnsi="Arial" w:cs="Arial"/>
          <w:color w:val="222222"/>
          <w:sz w:val="20"/>
          <w:szCs w:val="20"/>
          <w:shd w:val="clear" w:color="auto" w:fill="FFFFFF"/>
        </w:rPr>
        <w:t>Snow, S.J. and Whitecross, A.F. (2022). Making history together: the UK’s National Health Service and the story of our lives since 1948. </w:t>
      </w:r>
      <w:r w:rsidRPr="17373D93" w:rsidR="00564751">
        <w:rPr>
          <w:rFonts w:ascii="Arial" w:hAnsi="Arial" w:cs="Arial"/>
          <w:i w:val="1"/>
          <w:iCs w:val="1"/>
          <w:color w:val="222222"/>
          <w:sz w:val="20"/>
          <w:szCs w:val="20"/>
          <w:shd w:val="clear" w:color="auto" w:fill="FFFFFF"/>
        </w:rPr>
        <w:t>Contemporary British History</w:t>
      </w:r>
      <w:r w:rsidR="00564751">
        <w:rPr>
          <w:rFonts w:ascii="Arial" w:hAnsi="Arial" w:cs="Arial"/>
          <w:color w:val="222222"/>
          <w:sz w:val="20"/>
          <w:szCs w:val="20"/>
          <w:shd w:val="clear" w:color="auto" w:fill="FFFFFF"/>
        </w:rPr>
        <w:t>, </w:t>
      </w:r>
      <w:r w:rsidRPr="17373D93" w:rsidR="00564751">
        <w:rPr>
          <w:rFonts w:ascii="Arial" w:hAnsi="Arial" w:cs="Arial"/>
          <w:i w:val="1"/>
          <w:iCs w:val="1"/>
          <w:color w:val="222222"/>
          <w:sz w:val="20"/>
          <w:szCs w:val="20"/>
          <w:shd w:val="clear" w:color="auto" w:fill="FFFFFF"/>
        </w:rPr>
        <w:t>36</w:t>
      </w:r>
      <w:r w:rsidR="00564751">
        <w:rPr>
          <w:rFonts w:ascii="Arial" w:hAnsi="Arial" w:cs="Arial"/>
          <w:color w:val="222222"/>
          <w:sz w:val="20"/>
          <w:szCs w:val="20"/>
          <w:shd w:val="clear" w:color="auto" w:fill="FFFFFF"/>
        </w:rPr>
        <w:t xml:space="preserve">(3), pp.403-429. </w:t>
      </w:r>
      <w:r w:rsidR="00564751">
        <w:rPr>
          <w:rFonts w:ascii="Arial" w:hAnsi="Arial" w:cs="Arial"/>
          <w:color w:val="222222"/>
          <w:sz w:val="20"/>
          <w:szCs w:val="20"/>
          <w:shd w:val="clear" w:color="auto" w:fill="FFFFFF"/>
        </w:rPr>
        <w:t>Webster, C. (2002). </w:t>
      </w:r>
      <w:r w:rsidRPr="17373D93" w:rsidR="00564751">
        <w:rPr>
          <w:rFonts w:ascii="Arial" w:hAnsi="Arial" w:cs="Arial"/>
          <w:i w:val="1"/>
          <w:iCs w:val="1"/>
          <w:color w:val="222222"/>
          <w:sz w:val="20"/>
          <w:szCs w:val="20"/>
          <w:shd w:val="clear" w:color="auto" w:fill="FFFFFF"/>
        </w:rPr>
        <w:t>The national health service: A political history</w:t>
      </w:r>
      <w:r w:rsidR="00564751">
        <w:rPr>
          <w:rFonts w:ascii="Arial" w:hAnsi="Arial" w:cs="Arial"/>
          <w:color w:val="222222"/>
          <w:sz w:val="20"/>
          <w:szCs w:val="20"/>
          <w:shd w:val="clear" w:color="auto" w:fill="FFFFFF"/>
        </w:rPr>
        <w:t>. Oxford University Press, USA.</w:t>
      </w:r>
    </w:p>
    <w:sectPr w:rsidR="00564751">
      <w:footerReference w:type="default" r:id="rId17"/>
      <w:pgSz w:w="11906" w:h="16838" w:orient="portrait"/>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rsidR="00C1324B" w:rsidP="00571F68" w:rsidRDefault="00C1324B" w14:paraId="62C6E398" w14:textId="77777777">
      <w:pPr>
        <w:spacing w:after="0" w:line="240" w:lineRule="auto"/>
      </w:pPr>
      <w:r>
        <w:separator/>
      </w:r>
    </w:p>
  </w:endnote>
  <w:endnote w:type="continuationSeparator" w:id="0">
    <w:p w:rsidR="00C1324B" w:rsidP="00571F68" w:rsidRDefault="00C1324B" w14:paraId="03D64FE8" w14:textId="7777777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365023512"/>
      <w:docPartObj>
        <w:docPartGallery w:val="Page Numbers (Bottom of Page)"/>
        <w:docPartUnique/>
      </w:docPartObj>
    </w:sdtPr>
    <w:sdtContent>
      <w:sdt>
        <w:sdtPr>
          <w:id w:val="-1705238520"/>
          <w:docPartObj>
            <w:docPartGallery w:val="Page Numbers (Top of Page)"/>
            <w:docPartUnique/>
          </w:docPartObj>
        </w:sdtPr>
        <w:sdtContent>
          <w:p w:rsidR="00571F68" w:rsidRDefault="00571F68" w14:paraId="0563EA20" w14:textId="37E42E4F">
            <w:pPr>
              <w:pStyle w:val="Footer"/>
            </w:pPr>
            <w:r>
              <w:t xml:space="preserve">Page </w:t>
            </w:r>
            <w:r>
              <w:rPr>
                <w:b/>
                <w:bCs/>
                <w:sz w:val="24"/>
                <w:szCs w:val="24"/>
              </w:rPr>
              <w:fldChar w:fldCharType="begin"/>
            </w:r>
            <w:r>
              <w:rPr>
                <w:b/>
                <w:bCs/>
              </w:rPr>
              <w:instrText xml:space="preserve"> PAGE </w:instrText>
            </w:r>
            <w:r>
              <w:rPr>
                <w:b/>
                <w:bCs/>
                <w:sz w:val="24"/>
                <w:szCs w:val="24"/>
              </w:rPr>
              <w:fldChar w:fldCharType="separate"/>
            </w:r>
            <w:r>
              <w:rPr>
                <w:b/>
                <w:bCs/>
                <w:noProof/>
              </w:rPr>
              <w:t>2</w:t>
            </w:r>
            <w:r>
              <w:rPr>
                <w:b/>
                <w:bCs/>
                <w:sz w:val="24"/>
                <w:szCs w:val="24"/>
              </w:rPr>
              <w:fldChar w:fldCharType="end"/>
            </w:r>
            <w:r>
              <w:t xml:space="preserve"> of </w:t>
            </w:r>
            <w:r>
              <w:rPr>
                <w:b/>
                <w:bCs/>
                <w:sz w:val="24"/>
                <w:szCs w:val="24"/>
              </w:rPr>
              <w:fldChar w:fldCharType="begin"/>
            </w:r>
            <w:r>
              <w:rPr>
                <w:b/>
                <w:bCs/>
              </w:rPr>
              <w:instrText xml:space="preserve"> NUMPAGES  </w:instrText>
            </w:r>
            <w:r>
              <w:rPr>
                <w:b/>
                <w:bCs/>
                <w:sz w:val="24"/>
                <w:szCs w:val="24"/>
              </w:rPr>
              <w:fldChar w:fldCharType="separate"/>
            </w:r>
            <w:r>
              <w:rPr>
                <w:b/>
                <w:bCs/>
                <w:noProof/>
              </w:rPr>
              <w:t>2</w:t>
            </w:r>
            <w:r>
              <w:rPr>
                <w:b/>
                <w:bCs/>
                <w:sz w:val="24"/>
                <w:szCs w:val="24"/>
              </w:rPr>
              <w:fldChar w:fldCharType="end"/>
            </w:r>
          </w:p>
        </w:sdtContent>
      </w:sdt>
    </w:sdtContent>
  </w:sdt>
  <w:p w:rsidR="00571F68" w:rsidRDefault="00571F68" w14:paraId="342C6C3A" w14:textId="7777777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rsidR="00C1324B" w:rsidP="00571F68" w:rsidRDefault="00C1324B" w14:paraId="2F9E2953" w14:textId="77777777">
      <w:pPr>
        <w:spacing w:after="0" w:line="240" w:lineRule="auto"/>
      </w:pPr>
      <w:r>
        <w:separator/>
      </w:r>
    </w:p>
  </w:footnote>
  <w:footnote w:type="continuationSeparator" w:id="0">
    <w:p w:rsidR="00C1324B" w:rsidP="00571F68" w:rsidRDefault="00C1324B" w14:paraId="6EF422C0" w14:textId="77777777">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362F6B80"/>
    <w:multiLevelType w:val="hybridMultilevel"/>
    <w:tmpl w:val="C3EAA426"/>
    <w:lvl w:ilvl="0" w:tplc="20000001">
      <w:start w:val="1"/>
      <w:numFmt w:val="bullet"/>
      <w:lvlText w:val=""/>
      <w:lvlJc w:val="left"/>
      <w:pPr>
        <w:ind w:left="720" w:hanging="360"/>
      </w:pPr>
      <w:rPr>
        <w:rFonts w:hint="default" w:ascii="Symbol" w:hAnsi="Symbol"/>
      </w:rPr>
    </w:lvl>
    <w:lvl w:ilvl="1" w:tplc="20000003" w:tentative="1">
      <w:start w:val="1"/>
      <w:numFmt w:val="bullet"/>
      <w:lvlText w:val="o"/>
      <w:lvlJc w:val="left"/>
      <w:pPr>
        <w:ind w:left="1440" w:hanging="360"/>
      </w:pPr>
      <w:rPr>
        <w:rFonts w:hint="default" w:ascii="Courier New" w:hAnsi="Courier New" w:cs="Courier New"/>
      </w:rPr>
    </w:lvl>
    <w:lvl w:ilvl="2" w:tplc="20000005" w:tentative="1">
      <w:start w:val="1"/>
      <w:numFmt w:val="bullet"/>
      <w:lvlText w:val=""/>
      <w:lvlJc w:val="left"/>
      <w:pPr>
        <w:ind w:left="2160" w:hanging="360"/>
      </w:pPr>
      <w:rPr>
        <w:rFonts w:hint="default" w:ascii="Wingdings" w:hAnsi="Wingdings"/>
      </w:rPr>
    </w:lvl>
    <w:lvl w:ilvl="3" w:tplc="20000001" w:tentative="1">
      <w:start w:val="1"/>
      <w:numFmt w:val="bullet"/>
      <w:lvlText w:val=""/>
      <w:lvlJc w:val="left"/>
      <w:pPr>
        <w:ind w:left="2880" w:hanging="360"/>
      </w:pPr>
      <w:rPr>
        <w:rFonts w:hint="default" w:ascii="Symbol" w:hAnsi="Symbol"/>
      </w:rPr>
    </w:lvl>
    <w:lvl w:ilvl="4" w:tplc="20000003" w:tentative="1">
      <w:start w:val="1"/>
      <w:numFmt w:val="bullet"/>
      <w:lvlText w:val="o"/>
      <w:lvlJc w:val="left"/>
      <w:pPr>
        <w:ind w:left="3600" w:hanging="360"/>
      </w:pPr>
      <w:rPr>
        <w:rFonts w:hint="default" w:ascii="Courier New" w:hAnsi="Courier New" w:cs="Courier New"/>
      </w:rPr>
    </w:lvl>
    <w:lvl w:ilvl="5" w:tplc="20000005" w:tentative="1">
      <w:start w:val="1"/>
      <w:numFmt w:val="bullet"/>
      <w:lvlText w:val=""/>
      <w:lvlJc w:val="left"/>
      <w:pPr>
        <w:ind w:left="4320" w:hanging="360"/>
      </w:pPr>
      <w:rPr>
        <w:rFonts w:hint="default" w:ascii="Wingdings" w:hAnsi="Wingdings"/>
      </w:rPr>
    </w:lvl>
    <w:lvl w:ilvl="6" w:tplc="20000001" w:tentative="1">
      <w:start w:val="1"/>
      <w:numFmt w:val="bullet"/>
      <w:lvlText w:val=""/>
      <w:lvlJc w:val="left"/>
      <w:pPr>
        <w:ind w:left="5040" w:hanging="360"/>
      </w:pPr>
      <w:rPr>
        <w:rFonts w:hint="default" w:ascii="Symbol" w:hAnsi="Symbol"/>
      </w:rPr>
    </w:lvl>
    <w:lvl w:ilvl="7" w:tplc="20000003" w:tentative="1">
      <w:start w:val="1"/>
      <w:numFmt w:val="bullet"/>
      <w:lvlText w:val="o"/>
      <w:lvlJc w:val="left"/>
      <w:pPr>
        <w:ind w:left="5760" w:hanging="360"/>
      </w:pPr>
      <w:rPr>
        <w:rFonts w:hint="default" w:ascii="Courier New" w:hAnsi="Courier New" w:cs="Courier New"/>
      </w:rPr>
    </w:lvl>
    <w:lvl w:ilvl="8" w:tplc="20000005" w:tentative="1">
      <w:start w:val="1"/>
      <w:numFmt w:val="bullet"/>
      <w:lvlText w:val=""/>
      <w:lvlJc w:val="left"/>
      <w:pPr>
        <w:ind w:left="6480" w:hanging="360"/>
      </w:pPr>
      <w:rPr>
        <w:rFonts w:hint="default" w:ascii="Wingdings" w:hAnsi="Wingdings"/>
      </w:rPr>
    </w:lvl>
  </w:abstractNum>
  <w:num w:numId="1" w16cid:durableId="1588073731">
    <w:abstractNumId w:val="0"/>
  </w:num>
</w:numbering>
</file>

<file path=word/settings.xml><?xml version="1.0" encoding="utf-8"?>
<w:settings xmlns:wp14="http://schemas.microsoft.com/office/word/2010/wordprocessingDrawing"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p14">
  <w:zoom w:percent="100"/>
  <w:proofState w:spelling="clean" w:grammar="dirty"/>
  <w:trackRevisions w:val="false"/>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E55E4"/>
    <w:rsid w:val="0039063A"/>
    <w:rsid w:val="00564751"/>
    <w:rsid w:val="00571F68"/>
    <w:rsid w:val="006446DB"/>
    <w:rsid w:val="00666549"/>
    <w:rsid w:val="006C755E"/>
    <w:rsid w:val="00701903"/>
    <w:rsid w:val="009A6873"/>
    <w:rsid w:val="00AE55E4"/>
    <w:rsid w:val="00C1324B"/>
    <w:rsid w:val="00C41E1E"/>
    <w:rsid w:val="00D73F20"/>
    <w:rsid w:val="00EA72D5"/>
    <w:rsid w:val="00F151B3"/>
    <w:rsid w:val="044437B2"/>
    <w:rsid w:val="0FAF7A8E"/>
    <w:rsid w:val="10FE0781"/>
    <w:rsid w:val="17373D93"/>
    <w:rsid w:val="1E20653D"/>
    <w:rsid w:val="2761725F"/>
    <w:rsid w:val="2BA528B4"/>
    <w:rsid w:val="36FD2CD9"/>
    <w:rsid w:val="483AB682"/>
    <w:rsid w:val="53F780CE"/>
    <w:rsid w:val="71BF9B2B"/>
    <w:rsid w:val="74764FB8"/>
  </w:rsids>
  <m:mathPr>
    <m:mathFont m:val="Cambria Math"/>
    <m:brkBin m:val="before"/>
    <m:brkBinSub m:val="--"/>
    <m:smallFrac m:val="0"/>
    <m:dispDef/>
    <m:lMargin m:val="0"/>
    <m:rMargin m:val="0"/>
    <m:defJc m:val="centerGroup"/>
    <m:wrapIndent m:val="1440"/>
    <m:intLim m:val="subSup"/>
    <m:naryLim m:val="undOvr"/>
  </m:mathPr>
  <w:themeFontLang/>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41574496"/>
  <w15:chartTrackingRefBased/>
  <w15:docId w15:val="{29AD3F64-6CBF-4851-A98A-A7F710756441}"/>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p14">
  <w:docDefaults>
    <w:rPrDefault>
      <w:rPr>
        <w:rFonts w:asciiTheme="minorHAnsi" w:hAnsiTheme="minorHAnsi" w:eastAsiaTheme="minorHAnsi" w:cstheme="minorBidi"/>
        <w:sz w:val="22"/>
        <w:szCs w:val="22"/>
        <w:lang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rPr>
      <w:lang w:val="en-GB"/>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ListParagraph">
    <w:name w:val="List Paragraph"/>
    <w:basedOn w:val="Normal"/>
    <w:uiPriority w:val="34"/>
    <w:qFormat/>
    <w:rsid w:val="00571F68"/>
    <w:pPr>
      <w:ind w:left="720"/>
      <w:contextualSpacing/>
    </w:pPr>
  </w:style>
  <w:style w:type="paragraph" w:styleId="Header">
    <w:name w:val="header"/>
    <w:basedOn w:val="Normal"/>
    <w:link w:val="HeaderChar"/>
    <w:uiPriority w:val="99"/>
    <w:unhideWhenUsed/>
    <w:rsid w:val="00571F68"/>
    <w:pPr>
      <w:tabs>
        <w:tab w:val="center" w:pos="4513"/>
        <w:tab w:val="right" w:pos="9026"/>
      </w:tabs>
      <w:spacing w:after="0" w:line="240" w:lineRule="auto"/>
    </w:pPr>
  </w:style>
  <w:style w:type="character" w:styleId="HeaderChar" w:customStyle="1">
    <w:name w:val="Header Char"/>
    <w:basedOn w:val="DefaultParagraphFont"/>
    <w:link w:val="Header"/>
    <w:uiPriority w:val="99"/>
    <w:rsid w:val="00571F68"/>
    <w:rPr>
      <w:lang w:val="en-GB"/>
    </w:rPr>
  </w:style>
  <w:style w:type="paragraph" w:styleId="Footer">
    <w:name w:val="footer"/>
    <w:basedOn w:val="Normal"/>
    <w:link w:val="FooterChar"/>
    <w:uiPriority w:val="99"/>
    <w:unhideWhenUsed/>
    <w:rsid w:val="00571F68"/>
    <w:pPr>
      <w:tabs>
        <w:tab w:val="center" w:pos="4513"/>
        <w:tab w:val="right" w:pos="9026"/>
      </w:tabs>
      <w:spacing w:after="0" w:line="240" w:lineRule="auto"/>
    </w:pPr>
  </w:style>
  <w:style w:type="character" w:styleId="FooterChar" w:customStyle="1">
    <w:name w:val="Footer Char"/>
    <w:basedOn w:val="DefaultParagraphFont"/>
    <w:link w:val="Footer"/>
    <w:uiPriority w:val="99"/>
    <w:rsid w:val="00571F68"/>
    <w:rPr>
      <w:lang w:val="en-GB"/>
    </w:rPr>
  </w:style>
  <w:style w:type="character" w:styleId="Hyperlink">
    <w:name w:val="Hyperlink"/>
    <w:basedOn w:val="DefaultParagraphFont"/>
    <w:uiPriority w:val="99"/>
    <w:unhideWhenUsed/>
    <w:rsid w:val="00564751"/>
    <w:rPr>
      <w:color w:val="0563C1" w:themeColor="hyperlink"/>
      <w:u w:val="single"/>
    </w:rPr>
  </w:style>
  <w:style w:type="character" w:styleId="dont-break-out" w:customStyle="1">
    <w:name w:val="dont-break-out"/>
    <w:basedOn w:val="DefaultParagraphFont"/>
    <w:rsid w:val="00564751"/>
  </w:style>
  <w:style w:type="character" w:styleId="ng-star-inserted" w:customStyle="1">
    <w:name w:val="ng-star-inserted"/>
    <w:basedOn w:val="DefaultParagraphFont"/>
    <w:rsid w:val="00564751"/>
  </w:style>
  <w:style w:type="character" w:styleId="Emphasis">
    <w:name w:val="Emphasis"/>
    <w:basedOn w:val="DefaultParagraphFont"/>
    <w:uiPriority w:val="20"/>
    <w:qFormat/>
    <w:rsid w:val="00564751"/>
    <w:rPr>
      <w:i/>
      <w:iCs/>
    </w:rPr>
  </w:style>
  <w:style w:type="character" w:styleId="Strong">
    <w:name w:val="Strong"/>
    <w:basedOn w:val="DefaultParagraphFont"/>
    <w:uiPriority w:val="22"/>
    <w:qFormat/>
    <w:rsid w:val="00564751"/>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&#65279;<?xml version="1.0" encoding="utf-8"?><Relationships xmlns="http://schemas.openxmlformats.org/package/2006/relationships"><Relationship Type="http://schemas.openxmlformats.org/officeDocument/2006/relationships/image" Target="media/image2.emf" Id="rId8" /><Relationship Type="http://schemas.openxmlformats.org/officeDocument/2006/relationships/fontTable" Target="fontTable.xml" Id="rId18" /><Relationship Type="http://schemas.openxmlformats.org/officeDocument/2006/relationships/settings" Target="settings.xml" Id="rId3" /><Relationship Type="http://schemas.openxmlformats.org/officeDocument/2006/relationships/image" Target="media/image1.png" Id="rId7" /><Relationship Type="http://schemas.openxmlformats.org/officeDocument/2006/relationships/footer" Target="footer1.xml" Id="rId17" /><Relationship Type="http://schemas.openxmlformats.org/officeDocument/2006/relationships/styles" Target="styles.xml" Id="rId2" /><Relationship Type="http://schemas.openxmlformats.org/officeDocument/2006/relationships/numbering" Target="numbering.xml" Id="rId1" /><Relationship Type="http://schemas.openxmlformats.org/officeDocument/2006/relationships/endnotes" Target="endnotes.xml" Id="rId6" /><Relationship Type="http://schemas.openxmlformats.org/officeDocument/2006/relationships/footnotes" Target="footnotes.xml" Id="rId5" /><Relationship Type="http://schemas.openxmlformats.org/officeDocument/2006/relationships/theme" Target="theme/theme1.xml" Id="rId19" /><Relationship Type="http://schemas.openxmlformats.org/officeDocument/2006/relationships/webSettings" Target="webSettings.xml" Id="rId4" /><Relationship Type="http://schemas.openxmlformats.org/officeDocument/2006/relationships/oleObject" Target="embeddings/oleObject1.bin" Id="rId9" /></Relationships>
</file>

<file path=word/theme/theme1.xml><?xml version="1.0" encoding="utf-8"?>
<a:theme xmlns:a="http://schemas.openxmlformats.org/drawingml/2006/main" xmlns:thm15="http://schemas.microsoft.com/office/thememl/2012/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Normal.dotm</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USER</dc:creator>
  <keywords/>
  <dc:description/>
  <lastModifiedBy>Salma Sultan (2431994)</lastModifiedBy>
  <revision>5</revision>
  <dcterms:created xsi:type="dcterms:W3CDTF">2025-10-14T14:34:00.0000000Z</dcterms:created>
  <dcterms:modified xsi:type="dcterms:W3CDTF">2025-10-19T16:31:42.0681338Z</dcterms:modified>
</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79a33f20-dcf1-4086-ad4e-3a82ae7a0882</vt:lpwstr>
  </property>
</Properties>
</file>