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98A755" w14:textId="61C5BDF2" w:rsidR="00703DE1" w:rsidRDefault="00703DE1" w:rsidP="00703DE1">
      <w:pPr>
        <w:pStyle w:val="Header"/>
        <w:tabs>
          <w:tab w:val="left" w:pos="720"/>
        </w:tabs>
        <w:jc w:val="right"/>
        <w:rPr>
          <w:rFonts w:ascii="Arial" w:hAnsi="Arial" w:cs="Arial"/>
          <w:b/>
          <w:sz w:val="28"/>
          <w:szCs w:val="28"/>
        </w:rPr>
      </w:pPr>
      <w:r>
        <w:rPr>
          <w:noProof/>
        </w:rPr>
        <w:drawing>
          <wp:anchor distT="0" distB="0" distL="114300" distR="114300" simplePos="0" relativeHeight="251662336" behindDoc="0" locked="0" layoutInCell="1" allowOverlap="1" wp14:anchorId="65039C86" wp14:editId="137099B7">
            <wp:simplePos x="0" y="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14:paraId="39583BE0" w14:textId="77777777" w:rsidR="00703DE1" w:rsidRDefault="00703DE1" w:rsidP="00703DE1">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703DE1" w14:paraId="0B78BAE0" w14:textId="77777777" w:rsidTr="00703DE1">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08FDCB9B" w14:textId="77777777" w:rsidR="00703DE1" w:rsidRDefault="00703DE1">
            <w:pPr>
              <w:pStyle w:val="Heading4"/>
              <w:rPr>
                <w:rFonts w:ascii="Arial" w:hAnsi="Arial" w:cs="Arial"/>
                <w:b/>
              </w:rPr>
            </w:pPr>
            <w:r>
              <w:rPr>
                <w:rFonts w:ascii="Arial" w:hAnsi="Arial" w:cs="Arial"/>
                <w:b/>
              </w:rPr>
              <w:t xml:space="preserve">LEVEL 7 ASSESSMENT SPECIFICATION </w:t>
            </w:r>
          </w:p>
        </w:tc>
      </w:tr>
    </w:tbl>
    <w:p w14:paraId="31A5D461" w14:textId="77777777" w:rsidR="00703DE1" w:rsidRDefault="00703DE1" w:rsidP="00703DE1">
      <w:pPr>
        <w:jc w:val="center"/>
        <w:rPr>
          <w:rFonts w:ascii="Arial" w:hAnsi="Arial" w:cs="Arial"/>
          <w:b/>
          <w:i/>
          <w:sz w:val="32"/>
          <w:szCs w:val="20"/>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703DE1" w14:paraId="2AA954EA" w14:textId="77777777" w:rsidTr="00703DE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1D15F23" w14:textId="77777777" w:rsidR="00703DE1" w:rsidRDefault="00703DE1">
            <w:pPr>
              <w:spacing w:before="120" w:after="120"/>
              <w:jc w:val="both"/>
              <w:rPr>
                <w:rFonts w:ascii="Arial" w:hAnsi="Arial" w:cs="Arial"/>
                <w:b/>
              </w:rPr>
            </w:pPr>
            <w:r>
              <w:rPr>
                <w:rFonts w:ascii="Arial"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183B89A6" w14:textId="77777777" w:rsidR="00703DE1" w:rsidRDefault="00703DE1">
            <w:pPr>
              <w:spacing w:before="120" w:after="120"/>
              <w:jc w:val="both"/>
              <w:rPr>
                <w:rFonts w:ascii="Arial" w:hAnsi="Arial" w:cs="Arial"/>
                <w:b/>
              </w:rPr>
            </w:pPr>
            <w:r>
              <w:rPr>
                <w:rFonts w:ascii="Arial" w:hAnsi="Arial" w:cs="Arial"/>
                <w:b/>
              </w:rPr>
              <w:t>Hannah Evans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3F1C672B" w14:textId="77777777" w:rsidR="00703DE1" w:rsidRDefault="00703DE1">
            <w:pPr>
              <w:spacing w:before="120" w:after="120"/>
              <w:jc w:val="both"/>
              <w:rPr>
                <w:rFonts w:ascii="Arial" w:hAnsi="Arial" w:cs="Arial"/>
                <w:b/>
              </w:rPr>
            </w:pPr>
            <w:r>
              <w:rPr>
                <w:rFonts w:ascii="Arial"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hideMark/>
          </w:tcPr>
          <w:p w14:paraId="3FAEA97F" w14:textId="77777777" w:rsidR="00703DE1" w:rsidRDefault="00703DE1">
            <w:pPr>
              <w:spacing w:before="120" w:after="120"/>
              <w:jc w:val="both"/>
              <w:rPr>
                <w:rFonts w:ascii="Arial" w:hAnsi="Arial" w:cs="Arial"/>
                <w:b/>
              </w:rPr>
            </w:pPr>
            <w:r>
              <w:rPr>
                <w:rFonts w:ascii="Arial" w:hAnsi="Arial" w:cs="Arial"/>
                <w:b/>
              </w:rPr>
              <w:t>1803779</w:t>
            </w:r>
          </w:p>
        </w:tc>
      </w:tr>
      <w:tr w:rsidR="00703DE1" w14:paraId="086F3434" w14:textId="77777777" w:rsidTr="00703DE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D2B5E70" w14:textId="77777777" w:rsidR="00703DE1" w:rsidRDefault="00703DE1">
            <w:pPr>
              <w:spacing w:before="120" w:after="120"/>
              <w:jc w:val="both"/>
              <w:rPr>
                <w:rFonts w:ascii="Arial" w:hAnsi="Arial" w:cs="Arial"/>
                <w:b/>
              </w:rPr>
            </w:pPr>
            <w:r>
              <w:rPr>
                <w:rFonts w:ascii="Arial"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43D2C8D4" w14:textId="77777777" w:rsidR="00703DE1" w:rsidRDefault="00703DE1">
            <w:pPr>
              <w:spacing w:before="120" w:after="120"/>
              <w:jc w:val="both"/>
              <w:rPr>
                <w:rFonts w:ascii="Arial" w:hAnsi="Arial" w:cs="Arial"/>
                <w:b/>
              </w:rPr>
            </w:pPr>
            <w:r>
              <w:rPr>
                <w:rFonts w:ascii="Arial" w:hAnsi="Arial" w:cs="Arial"/>
                <w:b/>
              </w:rPr>
              <w:t>Secondary PGCE</w:t>
            </w:r>
          </w:p>
        </w:tc>
      </w:tr>
      <w:tr w:rsidR="00703DE1" w14:paraId="271DC9B0" w14:textId="77777777" w:rsidTr="00703DE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D32516F" w14:textId="77777777" w:rsidR="00703DE1" w:rsidRDefault="00703DE1">
            <w:pPr>
              <w:spacing w:before="120" w:after="120"/>
              <w:jc w:val="both"/>
              <w:rPr>
                <w:rFonts w:ascii="Arial" w:hAnsi="Arial" w:cs="Arial"/>
                <w:b/>
              </w:rPr>
            </w:pPr>
            <w:r>
              <w:rPr>
                <w:rFonts w:ascii="Arial"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tcPr>
          <w:p w14:paraId="7E6ADF0B" w14:textId="77777777" w:rsidR="00703DE1" w:rsidRDefault="00703DE1">
            <w:pPr>
              <w:pStyle w:val="NormalWeb"/>
              <w:rPr>
                <w:sz w:val="22"/>
                <w:szCs w:val="22"/>
              </w:rPr>
            </w:pPr>
            <w:r>
              <w:rPr>
                <w:rFonts w:ascii="Arial" w:hAnsi="Arial" w:cs="Arial"/>
                <w:b/>
                <w:bCs/>
                <w:sz w:val="22"/>
                <w:szCs w:val="22"/>
              </w:rPr>
              <w:t xml:space="preserve">Curriculum Development and Enhancement </w:t>
            </w:r>
          </w:p>
          <w:p w14:paraId="64FBB363" w14:textId="77777777" w:rsidR="00703DE1" w:rsidRDefault="00703DE1">
            <w:pPr>
              <w:spacing w:before="120" w:after="120"/>
              <w:jc w:val="both"/>
              <w:rPr>
                <w:rFonts w:ascii="Arial" w:hAnsi="Arial" w:cs="Arial"/>
                <w:b/>
              </w:rPr>
            </w:pPr>
          </w:p>
        </w:tc>
      </w:tr>
      <w:tr w:rsidR="00703DE1" w14:paraId="38CB5624" w14:textId="77777777" w:rsidTr="00703DE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CCF2DEB" w14:textId="77777777" w:rsidR="00703DE1" w:rsidRDefault="00703DE1">
            <w:pPr>
              <w:spacing w:before="120" w:after="120"/>
              <w:jc w:val="both"/>
              <w:rPr>
                <w:rFonts w:ascii="Arial" w:hAnsi="Arial" w:cs="Arial"/>
                <w:b/>
              </w:rPr>
            </w:pPr>
            <w:r>
              <w:rPr>
                <w:rFonts w:ascii="Arial"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7321670F" w14:textId="77777777" w:rsidR="00703DE1" w:rsidRDefault="00703DE1">
            <w:pPr>
              <w:spacing w:before="120" w:after="120"/>
              <w:jc w:val="both"/>
              <w:rPr>
                <w:rFonts w:ascii="Arial" w:hAnsi="Arial" w:cs="Arial"/>
                <w:b/>
              </w:rPr>
            </w:pPr>
            <w:r>
              <w:rPr>
                <w:rFonts w:ascii="Arial" w:hAnsi="Arial" w:cs="Arial"/>
                <w:b/>
              </w:rPr>
              <w:t>ECSP7002</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637BB0B8" w14:textId="77777777" w:rsidR="00703DE1" w:rsidRDefault="00703DE1">
            <w:pPr>
              <w:pStyle w:val="Heading2"/>
              <w:rPr>
                <w:rFonts w:ascii="Arial" w:hAnsi="Arial" w:cs="Arial"/>
                <w:sz w:val="22"/>
                <w:szCs w:val="22"/>
              </w:rPr>
            </w:pPr>
            <w:r>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1B376FDE" w14:textId="77777777" w:rsidR="00703DE1" w:rsidRDefault="00703DE1">
            <w:pPr>
              <w:spacing w:before="120" w:after="120"/>
              <w:jc w:val="both"/>
              <w:rPr>
                <w:rFonts w:ascii="Arial" w:hAnsi="Arial" w:cs="Arial"/>
                <w:b/>
              </w:rPr>
            </w:pPr>
            <w:r>
              <w:rPr>
                <w:rFonts w:ascii="Arial" w:hAnsi="Arial" w:cs="Arial"/>
                <w:b/>
              </w:rPr>
              <w:t>100%</w:t>
            </w:r>
          </w:p>
        </w:tc>
      </w:tr>
      <w:tr w:rsidR="00703DE1" w14:paraId="7F3483E0" w14:textId="77777777" w:rsidTr="00703DE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BB46949" w14:textId="77777777" w:rsidR="00703DE1" w:rsidRDefault="00703DE1">
            <w:pPr>
              <w:spacing w:before="120" w:after="120"/>
              <w:jc w:val="both"/>
              <w:rPr>
                <w:rFonts w:ascii="Arial" w:hAnsi="Arial" w:cs="Arial"/>
                <w:b/>
              </w:rPr>
            </w:pPr>
            <w:r>
              <w:rPr>
                <w:rFonts w:ascii="Arial" w:hAnsi="Arial"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14:paraId="0337F6EE" w14:textId="77777777" w:rsidR="00703DE1" w:rsidRDefault="00703DE1">
            <w:pPr>
              <w:spacing w:before="120" w:after="120"/>
              <w:jc w:val="both"/>
              <w:rPr>
                <w:rFonts w:ascii="Arial" w:hAnsi="Arial" w:cs="Arial"/>
                <w:b/>
              </w:rPr>
            </w:pPr>
            <w:r>
              <w:rPr>
                <w:rFonts w:ascii="Arial" w:hAnsi="Arial" w:cs="Arial"/>
                <w:b/>
              </w:rPr>
              <w:t>Helen Denny</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1508C109" w14:textId="77777777" w:rsidR="00703DE1" w:rsidRDefault="00703DE1">
            <w:pPr>
              <w:spacing w:before="120" w:after="120"/>
              <w:jc w:val="both"/>
              <w:rPr>
                <w:rFonts w:ascii="Arial" w:hAnsi="Arial" w:cs="Arial"/>
                <w:b/>
              </w:rPr>
            </w:pPr>
            <w:r>
              <w:rPr>
                <w:rFonts w:ascii="Arial"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tcPr>
          <w:p w14:paraId="0BE22F12" w14:textId="77777777" w:rsidR="00703DE1" w:rsidRDefault="00703DE1">
            <w:pPr>
              <w:spacing w:before="120" w:after="120"/>
              <w:jc w:val="both"/>
              <w:rPr>
                <w:rFonts w:ascii="Arial" w:hAnsi="Arial" w:cs="Arial"/>
                <w:b/>
              </w:rPr>
            </w:pPr>
          </w:p>
        </w:tc>
      </w:tr>
      <w:tr w:rsidR="00703DE1" w14:paraId="6CDD8B90" w14:textId="77777777" w:rsidTr="00703DE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CB42D60" w14:textId="77777777" w:rsidR="00703DE1" w:rsidRDefault="00703DE1">
            <w:pPr>
              <w:spacing w:before="120" w:after="120"/>
              <w:jc w:val="both"/>
              <w:rPr>
                <w:rFonts w:ascii="Arial" w:hAnsi="Arial" w:cs="Arial"/>
                <w:b/>
              </w:rPr>
            </w:pPr>
            <w:r>
              <w:rPr>
                <w:rFonts w:ascii="Arial"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tcPr>
          <w:p w14:paraId="473D7F3C" w14:textId="77777777" w:rsidR="00703DE1" w:rsidRDefault="00703DE1">
            <w:pPr>
              <w:pStyle w:val="NormalWeb"/>
            </w:pPr>
            <w:r>
              <w:rPr>
                <w:rFonts w:ascii="Arial" w:hAnsi="Arial" w:cs="Arial"/>
                <w:b/>
                <w:bCs/>
                <w:sz w:val="22"/>
                <w:szCs w:val="22"/>
              </w:rPr>
              <w:t xml:space="preserve">Research Study including Ethics Form </w:t>
            </w:r>
          </w:p>
          <w:p w14:paraId="1D4705F4" w14:textId="77777777" w:rsidR="00703DE1" w:rsidRDefault="00703DE1">
            <w:pPr>
              <w:spacing w:before="120" w:after="120"/>
              <w:jc w:val="both"/>
              <w:rPr>
                <w:rFonts w:ascii="Arial" w:hAnsi="Arial" w:cs="Arial"/>
                <w:b/>
              </w:rPr>
            </w:pP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48BC1D5C" w14:textId="77777777" w:rsidR="00703DE1" w:rsidRDefault="00703DE1">
            <w:pPr>
              <w:spacing w:before="120" w:after="120"/>
              <w:jc w:val="both"/>
              <w:rPr>
                <w:rFonts w:ascii="Arial" w:hAnsi="Arial" w:cs="Arial"/>
                <w:b/>
              </w:rPr>
            </w:pPr>
            <w:r>
              <w:rPr>
                <w:rFonts w:ascii="Arial"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tcPr>
          <w:p w14:paraId="73BF2357" w14:textId="77777777" w:rsidR="00703DE1" w:rsidRDefault="00703DE1">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06BBC768" w14:textId="77777777" w:rsidR="00703DE1" w:rsidRDefault="00703DE1">
            <w:pPr>
              <w:spacing w:before="120" w:after="120"/>
              <w:jc w:val="both"/>
              <w:rPr>
                <w:rFonts w:ascii="Arial" w:hAnsi="Arial" w:cs="Arial"/>
                <w:b/>
              </w:rPr>
            </w:pPr>
          </w:p>
        </w:tc>
      </w:tr>
      <w:tr w:rsidR="00703DE1" w14:paraId="698FDF8D" w14:textId="77777777" w:rsidTr="00703DE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A4008A7" w14:textId="77777777" w:rsidR="00703DE1" w:rsidRDefault="00703DE1">
            <w:pPr>
              <w:spacing w:before="120" w:after="120"/>
              <w:jc w:val="both"/>
              <w:rPr>
                <w:rFonts w:ascii="Arial" w:hAnsi="Arial" w:cs="Arial"/>
                <w:b/>
              </w:rPr>
            </w:pPr>
            <w:r>
              <w:rPr>
                <w:rFonts w:ascii="Arial"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tcPr>
          <w:p w14:paraId="5598B387" w14:textId="77777777" w:rsidR="00703DE1" w:rsidRDefault="00703DE1">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5E2C191C" w14:textId="77777777" w:rsidR="00703DE1" w:rsidRDefault="00703DE1">
            <w:pPr>
              <w:spacing w:before="120" w:after="120"/>
              <w:jc w:val="both"/>
              <w:rPr>
                <w:rFonts w:ascii="Arial" w:hAnsi="Arial" w:cs="Arial"/>
                <w:b/>
              </w:rPr>
            </w:pP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5CCC238F" w14:textId="77777777" w:rsidR="00703DE1" w:rsidRDefault="00703DE1">
            <w:pPr>
              <w:spacing w:before="120" w:after="120"/>
              <w:jc w:val="both"/>
              <w:rPr>
                <w:rFonts w:ascii="Arial" w:hAnsi="Arial" w:cs="Arial"/>
                <w:b/>
              </w:rPr>
            </w:pPr>
            <w:r>
              <w:rPr>
                <w:rFonts w:ascii="Arial"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14:paraId="1E7CFD5E" w14:textId="77777777" w:rsidR="00703DE1" w:rsidRDefault="00703DE1">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3C10BF83" w14:textId="77777777" w:rsidR="00703DE1" w:rsidRDefault="00703DE1">
            <w:pPr>
              <w:spacing w:before="120" w:after="120"/>
              <w:jc w:val="both"/>
              <w:rPr>
                <w:rFonts w:ascii="Arial" w:hAnsi="Arial" w:cs="Arial"/>
                <w:b/>
              </w:rPr>
            </w:pPr>
          </w:p>
        </w:tc>
      </w:tr>
      <w:tr w:rsidR="00703DE1" w14:paraId="19AA7463" w14:textId="77777777" w:rsidTr="00703DE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F8011B1" w14:textId="77777777" w:rsidR="00703DE1" w:rsidRDefault="00703DE1">
            <w:pPr>
              <w:spacing w:before="120" w:after="120"/>
              <w:jc w:val="both"/>
              <w:rPr>
                <w:rFonts w:ascii="Arial" w:hAnsi="Arial" w:cs="Arial"/>
                <w:b/>
              </w:rPr>
            </w:pPr>
            <w:r>
              <w:rPr>
                <w:rFonts w:ascii="Arial"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7F339B99" w14:textId="77777777" w:rsidR="00703DE1" w:rsidRDefault="00703DE1">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9E536C9" w14:textId="77777777" w:rsidR="00703DE1" w:rsidRDefault="00703DE1">
            <w:pPr>
              <w:spacing w:before="120" w:after="120"/>
              <w:jc w:val="both"/>
              <w:rPr>
                <w:rFonts w:ascii="Arial" w:hAnsi="Arial" w:cs="Arial"/>
                <w:b/>
              </w:rPr>
            </w:pPr>
            <w:r>
              <w:rPr>
                <w:rFonts w:ascii="Arial" w:hAnsi="Arial" w:cs="Arial"/>
                <w:b/>
              </w:rPr>
              <w:t xml:space="preserve">Alternative submission method (if applicable): </w:t>
            </w:r>
          </w:p>
          <w:p w14:paraId="6973C71C" w14:textId="77777777" w:rsidR="00703DE1" w:rsidRDefault="00703DE1">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 xml:space="preserve">Penalties for late submission: Up to </w:t>
            </w:r>
            <w:proofErr w:type="gramStart"/>
            <w:r>
              <w:rPr>
                <w:rFonts w:ascii="Arial" w:hAnsi="Arial" w:cs="Arial"/>
              </w:rPr>
              <w:t>one week</w:t>
            </w:r>
            <w:proofErr w:type="gramEnd"/>
            <w:r>
              <w:rPr>
                <w:rFonts w:ascii="Arial" w:hAnsi="Arial" w:cs="Arial"/>
              </w:rPr>
              <w:t xml:space="preserve"> late, maximum mark of 50%.  Over one week late, 0%.  Only the Extenuating Circumstances Panel may approve a change to submission dates.</w:t>
            </w:r>
          </w:p>
        </w:tc>
      </w:tr>
      <w:tr w:rsidR="00703DE1" w14:paraId="52CF1624" w14:textId="77777777" w:rsidTr="00703DE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B3FAD11" w14:textId="77777777" w:rsidR="00703DE1" w:rsidRDefault="00703DE1">
            <w:pPr>
              <w:spacing w:before="120" w:after="120"/>
              <w:rPr>
                <w:rFonts w:ascii="Arial" w:hAnsi="Arial" w:cs="Arial"/>
                <w:b/>
              </w:rPr>
            </w:pPr>
            <w:r>
              <w:rPr>
                <w:rFonts w:ascii="Arial"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14DF3A5F" w14:textId="77777777" w:rsidR="00703DE1" w:rsidRDefault="00703DE1">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D75251F" w14:textId="77777777" w:rsidR="00703DE1" w:rsidRDefault="00703DE1" w:rsidP="00703DE1">
      <w:pPr>
        <w:rPr>
          <w:rFonts w:ascii="Arial" w:hAnsi="Arial" w:cs="Arial"/>
          <w:sz w:val="32"/>
          <w:szCs w:val="20"/>
        </w:rPr>
      </w:pPr>
    </w:p>
    <w:p w14:paraId="281CF42E" w14:textId="7A14DD27" w:rsidR="00CF782A" w:rsidRPr="00DC43B9" w:rsidRDefault="00CF782A" w:rsidP="00703DE1">
      <w:pPr>
        <w:jc w:val="center"/>
        <w:rPr>
          <w:sz w:val="24"/>
          <w:szCs w:val="24"/>
          <w:u w:val="single"/>
        </w:rPr>
      </w:pPr>
      <w:r w:rsidRPr="00DC43B9">
        <w:rPr>
          <w:sz w:val="24"/>
          <w:szCs w:val="24"/>
          <w:u w:val="single"/>
        </w:rPr>
        <w:lastRenderedPageBreak/>
        <w:t>Curriculum Development and Enhancement</w:t>
      </w:r>
    </w:p>
    <w:p w14:paraId="79D0427A" w14:textId="77777777" w:rsidR="00416BDE" w:rsidRPr="00DC43B9" w:rsidRDefault="00416BDE" w:rsidP="00CF782A">
      <w:pPr>
        <w:jc w:val="center"/>
        <w:rPr>
          <w:sz w:val="24"/>
          <w:szCs w:val="24"/>
          <w:u w:val="single"/>
        </w:rPr>
      </w:pPr>
      <w:r w:rsidRPr="00DC43B9">
        <w:rPr>
          <w:sz w:val="24"/>
          <w:szCs w:val="24"/>
          <w:u w:val="single"/>
        </w:rPr>
        <w:t xml:space="preserve">Can inference squares improve the </w:t>
      </w:r>
      <w:r w:rsidR="00255715" w:rsidRPr="00DC43B9">
        <w:rPr>
          <w:sz w:val="24"/>
          <w:szCs w:val="24"/>
          <w:u w:val="single"/>
        </w:rPr>
        <w:t>answers given to</w:t>
      </w:r>
      <w:r w:rsidRPr="00DC43B9">
        <w:rPr>
          <w:sz w:val="24"/>
          <w:szCs w:val="24"/>
          <w:u w:val="single"/>
        </w:rPr>
        <w:t xml:space="preserve"> ‘Quality of Extended Response’ GCSE </w:t>
      </w:r>
      <w:r w:rsidR="00255715" w:rsidRPr="00DC43B9">
        <w:rPr>
          <w:sz w:val="24"/>
          <w:szCs w:val="24"/>
          <w:u w:val="single"/>
        </w:rPr>
        <w:t>questions?</w:t>
      </w:r>
    </w:p>
    <w:p w14:paraId="4593443F" w14:textId="77777777" w:rsidR="00CF782A" w:rsidRPr="00DC43B9" w:rsidRDefault="00CF782A" w:rsidP="00CF782A">
      <w:pPr>
        <w:rPr>
          <w:sz w:val="24"/>
          <w:szCs w:val="24"/>
        </w:rPr>
      </w:pPr>
    </w:p>
    <w:p w14:paraId="3DADFD87" w14:textId="035170B9" w:rsidR="00CF782A" w:rsidRPr="00DC43B9" w:rsidRDefault="00CF782A" w:rsidP="00CF782A">
      <w:pPr>
        <w:rPr>
          <w:sz w:val="24"/>
          <w:szCs w:val="24"/>
        </w:rPr>
      </w:pPr>
      <w:r w:rsidRPr="00DC43B9">
        <w:rPr>
          <w:sz w:val="24"/>
          <w:szCs w:val="24"/>
          <w:u w:val="single"/>
        </w:rPr>
        <w:t xml:space="preserve">Introduction </w:t>
      </w:r>
    </w:p>
    <w:p w14:paraId="56E3F94F" w14:textId="674D480C" w:rsidR="003C2B75" w:rsidRDefault="003C2B75" w:rsidP="00CF782A">
      <w:pPr>
        <w:rPr>
          <w:sz w:val="24"/>
          <w:szCs w:val="24"/>
        </w:rPr>
      </w:pPr>
      <w:r w:rsidRPr="00DC43B9">
        <w:rPr>
          <w:sz w:val="24"/>
          <w:szCs w:val="24"/>
        </w:rPr>
        <w:t>Scientific literacy in schools has been highlighted as a national issue as a response to the poor performance of learners in both PISA questions and the Quality of Extended Response (QER) questions on GCSE science papers</w:t>
      </w:r>
      <w:r w:rsidR="00B269A6">
        <w:rPr>
          <w:sz w:val="24"/>
          <w:szCs w:val="24"/>
        </w:rPr>
        <w:t>. Therefore, using methods within schools to improve the response to these questions by learners will be greatly beneficial, not just to school</w:t>
      </w:r>
      <w:r w:rsidR="001F4297">
        <w:rPr>
          <w:sz w:val="24"/>
          <w:szCs w:val="24"/>
        </w:rPr>
        <w:t>s</w:t>
      </w:r>
      <w:r w:rsidR="00B269A6">
        <w:rPr>
          <w:sz w:val="24"/>
          <w:szCs w:val="24"/>
        </w:rPr>
        <w:t xml:space="preserve"> as a result of GCSE grades improving, but also to the learners for whom the extra marks within the GCSE exam could result in a pass grade rather than a fail</w:t>
      </w:r>
      <w:r w:rsidR="001F4297">
        <w:rPr>
          <w:sz w:val="24"/>
          <w:szCs w:val="24"/>
        </w:rPr>
        <w:t>.</w:t>
      </w:r>
      <w:r w:rsidR="00B269A6">
        <w:rPr>
          <w:sz w:val="24"/>
          <w:szCs w:val="24"/>
        </w:rPr>
        <w:t xml:space="preserve"> </w:t>
      </w:r>
      <w:r w:rsidR="003C3D5E">
        <w:rPr>
          <w:sz w:val="24"/>
          <w:szCs w:val="24"/>
        </w:rPr>
        <w:t xml:space="preserve">Throughout this essay, PISA and QER questions will be referred to as they both aim to assess scientific literacy and the competencies required for this. </w:t>
      </w:r>
    </w:p>
    <w:p w14:paraId="36E531A0" w14:textId="77777777" w:rsidR="00EA09B0" w:rsidRDefault="001F4297" w:rsidP="00CF782A">
      <w:pPr>
        <w:rPr>
          <w:sz w:val="24"/>
          <w:szCs w:val="24"/>
        </w:rPr>
      </w:pPr>
      <w:r>
        <w:rPr>
          <w:sz w:val="24"/>
          <w:szCs w:val="24"/>
        </w:rPr>
        <w:t xml:space="preserve">School X was found to have issues with the literacy of their learners during their last Estyn inspection, which will therefore result in an impact on the understanding and skills of these learners within scientific literacy. </w:t>
      </w:r>
    </w:p>
    <w:p w14:paraId="3E65577A" w14:textId="4EE39199" w:rsidR="001F4297" w:rsidRDefault="001F4297" w:rsidP="00CF782A">
      <w:pPr>
        <w:rPr>
          <w:sz w:val="24"/>
          <w:szCs w:val="24"/>
        </w:rPr>
      </w:pPr>
      <w:r>
        <w:rPr>
          <w:sz w:val="24"/>
          <w:szCs w:val="24"/>
        </w:rPr>
        <w:t xml:space="preserve">The inference square was used with a group of 45 year 9 learners of mixed ability. In one year, these learners will be sitting their first science GCSEs, in which the </w:t>
      </w:r>
      <w:proofErr w:type="gramStart"/>
      <w:r>
        <w:rPr>
          <w:sz w:val="24"/>
          <w:szCs w:val="24"/>
        </w:rPr>
        <w:t>6 mark</w:t>
      </w:r>
      <w:proofErr w:type="gramEnd"/>
      <w:r>
        <w:rPr>
          <w:sz w:val="24"/>
          <w:szCs w:val="24"/>
        </w:rPr>
        <w:t xml:space="preserve"> QER question will be worth up to 10% of the marks on the paper. Introducing the inference square as a method </w:t>
      </w:r>
      <w:r w:rsidR="00EA09B0">
        <w:rPr>
          <w:sz w:val="24"/>
          <w:szCs w:val="24"/>
        </w:rPr>
        <w:t>may improve the way in which these questions are answered, which will</w:t>
      </w:r>
      <w:r>
        <w:rPr>
          <w:sz w:val="24"/>
          <w:szCs w:val="24"/>
        </w:rPr>
        <w:t xml:space="preserve"> therefore have a positive effect of the grades achieved by this cohort. </w:t>
      </w:r>
    </w:p>
    <w:p w14:paraId="3710A4A6" w14:textId="2EA1F31F" w:rsidR="00CF782A" w:rsidRPr="00DC43B9" w:rsidRDefault="00CF782A" w:rsidP="00CF782A">
      <w:pPr>
        <w:rPr>
          <w:sz w:val="24"/>
          <w:szCs w:val="24"/>
        </w:rPr>
      </w:pPr>
      <w:r w:rsidRPr="00DC43B9">
        <w:rPr>
          <w:sz w:val="24"/>
          <w:szCs w:val="24"/>
          <w:u w:val="single"/>
        </w:rPr>
        <w:t>Literature Review</w:t>
      </w:r>
      <w:r w:rsidRPr="00DC43B9">
        <w:rPr>
          <w:sz w:val="24"/>
          <w:szCs w:val="24"/>
        </w:rPr>
        <w:t xml:space="preserve"> </w:t>
      </w:r>
    </w:p>
    <w:p w14:paraId="77C840A2" w14:textId="621DC4CA" w:rsidR="001B7052" w:rsidRDefault="00B37D1F" w:rsidP="00CF782A">
      <w:pPr>
        <w:rPr>
          <w:sz w:val="24"/>
          <w:szCs w:val="24"/>
        </w:rPr>
      </w:pPr>
      <w:r>
        <w:rPr>
          <w:sz w:val="24"/>
          <w:szCs w:val="24"/>
        </w:rPr>
        <w:t>In recent years there has been an emphasis on the development of literacy skills among learners in Wales</w:t>
      </w:r>
      <w:r w:rsidR="00F35D2A">
        <w:rPr>
          <w:sz w:val="24"/>
          <w:szCs w:val="24"/>
        </w:rPr>
        <w:t xml:space="preserve"> with the implementation of the literacy and numeracy framework in 2013, targeting learners aged 5-14 (Literacy and Numeracy Framework, 2013). </w:t>
      </w:r>
      <w:r w:rsidR="001B7052">
        <w:rPr>
          <w:sz w:val="24"/>
          <w:szCs w:val="24"/>
        </w:rPr>
        <w:t xml:space="preserve">The emphasis on literacy is </w:t>
      </w:r>
      <w:proofErr w:type="gramStart"/>
      <w:r w:rsidR="001B7052">
        <w:rPr>
          <w:sz w:val="24"/>
          <w:szCs w:val="24"/>
        </w:rPr>
        <w:t>due to the fact that</w:t>
      </w:r>
      <w:proofErr w:type="gramEnd"/>
      <w:r w:rsidR="001B7052">
        <w:rPr>
          <w:sz w:val="24"/>
          <w:szCs w:val="24"/>
        </w:rPr>
        <w:t xml:space="preserve"> it is now perceived to be a universally required skill to be successful within the modern world (</w:t>
      </w:r>
      <w:proofErr w:type="spellStart"/>
      <w:r w:rsidR="001B7052">
        <w:rPr>
          <w:sz w:val="24"/>
          <w:szCs w:val="24"/>
        </w:rPr>
        <w:t>Schleicher</w:t>
      </w:r>
      <w:proofErr w:type="spellEnd"/>
      <w:r w:rsidR="001B7052">
        <w:rPr>
          <w:sz w:val="24"/>
          <w:szCs w:val="24"/>
        </w:rPr>
        <w:t xml:space="preserve">, 2010). </w:t>
      </w:r>
    </w:p>
    <w:p w14:paraId="195C80D9" w14:textId="792E1428" w:rsidR="00B37D1F" w:rsidRDefault="003B5A17" w:rsidP="00CF782A">
      <w:pPr>
        <w:rPr>
          <w:sz w:val="24"/>
          <w:szCs w:val="24"/>
        </w:rPr>
      </w:pPr>
      <w:r>
        <w:rPr>
          <w:sz w:val="24"/>
          <w:szCs w:val="24"/>
        </w:rPr>
        <w:t>Whilst many believe that literacy is to do with reading and writing, this is a definition only in its simplest terms. Whilst reading and writing are essential skills, l</w:t>
      </w:r>
      <w:r w:rsidR="00F35D2A">
        <w:rPr>
          <w:sz w:val="24"/>
          <w:szCs w:val="24"/>
        </w:rPr>
        <w:t xml:space="preserve">iteracy </w:t>
      </w:r>
      <w:r>
        <w:rPr>
          <w:sz w:val="24"/>
          <w:szCs w:val="24"/>
        </w:rPr>
        <w:t>in its most fundamental sense has been</w:t>
      </w:r>
      <w:r w:rsidR="00F35D2A">
        <w:rPr>
          <w:sz w:val="24"/>
          <w:szCs w:val="24"/>
        </w:rPr>
        <w:t xml:space="preserve"> defined by</w:t>
      </w:r>
      <w:r w:rsidR="005B1526">
        <w:rPr>
          <w:sz w:val="24"/>
          <w:szCs w:val="24"/>
        </w:rPr>
        <w:t xml:space="preserve"> Frankel et al., (2016) in terms of being a constructive and critical process that is strategic and disciplinary and a skill whose definition is constantly changing. When </w:t>
      </w:r>
      <w:proofErr w:type="gramStart"/>
      <w:r w:rsidR="005B1526">
        <w:rPr>
          <w:sz w:val="24"/>
          <w:szCs w:val="24"/>
        </w:rPr>
        <w:t>taking into account</w:t>
      </w:r>
      <w:proofErr w:type="gramEnd"/>
      <w:r w:rsidR="005B1526">
        <w:rPr>
          <w:sz w:val="24"/>
          <w:szCs w:val="24"/>
        </w:rPr>
        <w:t xml:space="preserve"> this definition for literacy, </w:t>
      </w:r>
      <w:r>
        <w:rPr>
          <w:sz w:val="24"/>
          <w:szCs w:val="24"/>
        </w:rPr>
        <w:t xml:space="preserve">the need for learners in schools to have good grasp of literacy skills is essential for accessing all subjects, one such subject being science. </w:t>
      </w:r>
      <w:r w:rsidR="004455E6">
        <w:rPr>
          <w:sz w:val="24"/>
          <w:szCs w:val="24"/>
        </w:rPr>
        <w:t>This is supported by other literature, which states that l</w:t>
      </w:r>
      <w:r>
        <w:rPr>
          <w:sz w:val="24"/>
          <w:szCs w:val="24"/>
        </w:rPr>
        <w:t xml:space="preserve">iteracy in its fundamental definition underpins </w:t>
      </w:r>
      <w:r w:rsidR="005017E3">
        <w:rPr>
          <w:sz w:val="24"/>
          <w:szCs w:val="24"/>
        </w:rPr>
        <w:t>scientific literacy (Norris and Phillips, 2003).</w:t>
      </w:r>
    </w:p>
    <w:p w14:paraId="17BC39DE" w14:textId="24675D5B" w:rsidR="005017E3" w:rsidRDefault="005017E3" w:rsidP="00CF782A">
      <w:pPr>
        <w:rPr>
          <w:sz w:val="24"/>
          <w:szCs w:val="24"/>
        </w:rPr>
      </w:pPr>
      <w:r>
        <w:rPr>
          <w:sz w:val="24"/>
          <w:szCs w:val="24"/>
        </w:rPr>
        <w:t>Scientific literacy has been defined in the past as the understanding of how science works rather than having a large amount of science content knowledge (Durant, 1994)</w:t>
      </w:r>
      <w:r w:rsidR="003E1352">
        <w:rPr>
          <w:sz w:val="24"/>
          <w:szCs w:val="24"/>
        </w:rPr>
        <w:t xml:space="preserve">. </w:t>
      </w:r>
      <w:r w:rsidR="00B47080">
        <w:rPr>
          <w:sz w:val="24"/>
          <w:szCs w:val="24"/>
        </w:rPr>
        <w:t xml:space="preserve">Despite this definition having been developed over two decades ago, and there currently being no widespread agreement on the exact definition of scientific literacy, rather it referring to </w:t>
      </w:r>
      <w:r w:rsidR="00B47080">
        <w:rPr>
          <w:sz w:val="24"/>
          <w:szCs w:val="24"/>
        </w:rPr>
        <w:lastRenderedPageBreak/>
        <w:t>broader goals within the teaching of science (DeBoer, 2000), it does provide a vague idea about what is assessed with regards to scientific literacy. Assessment of learner’s scientific literacy has become gradually more important in recent years, with lack of these scientific literacy skills has been identified as economically damaging within wider communities (</w:t>
      </w:r>
      <w:r w:rsidR="00B47080" w:rsidRPr="00B47080">
        <w:rPr>
          <w:sz w:val="24"/>
        </w:rPr>
        <w:t xml:space="preserve">McGregor and </w:t>
      </w:r>
      <w:proofErr w:type="spellStart"/>
      <w:r w:rsidR="00B47080" w:rsidRPr="00B47080">
        <w:rPr>
          <w:sz w:val="24"/>
        </w:rPr>
        <w:t>Kearton</w:t>
      </w:r>
      <w:proofErr w:type="spellEnd"/>
      <w:r w:rsidR="00B47080" w:rsidRPr="00B47080">
        <w:rPr>
          <w:sz w:val="24"/>
        </w:rPr>
        <w:t>, 2010</w:t>
      </w:r>
      <w:r w:rsidR="00B47080">
        <w:rPr>
          <w:sz w:val="24"/>
          <w:szCs w:val="24"/>
        </w:rPr>
        <w:t>)</w:t>
      </w:r>
      <w:r w:rsidR="006F6D93">
        <w:rPr>
          <w:sz w:val="24"/>
          <w:szCs w:val="24"/>
        </w:rPr>
        <w:t xml:space="preserve">, and one of the most prominent assessments of scientific literacy is that of PISA. </w:t>
      </w:r>
    </w:p>
    <w:p w14:paraId="2C753D48" w14:textId="3CEEFC00" w:rsidR="004455E6" w:rsidRDefault="004455E6" w:rsidP="00CF782A">
      <w:pPr>
        <w:rPr>
          <w:sz w:val="24"/>
          <w:szCs w:val="24"/>
        </w:rPr>
      </w:pPr>
      <w:r>
        <w:rPr>
          <w:sz w:val="24"/>
          <w:szCs w:val="24"/>
        </w:rPr>
        <w:t xml:space="preserve">PISA is the Programme of International Student Assessment and is used to assess the proficiency of randomly selected 15 year- olds in member states in mathematics, science and reading. As a method of international assessment, </w:t>
      </w:r>
      <w:r w:rsidR="004C350A">
        <w:rPr>
          <w:sz w:val="24"/>
          <w:szCs w:val="24"/>
        </w:rPr>
        <w:t>the</w:t>
      </w:r>
      <w:r>
        <w:rPr>
          <w:sz w:val="24"/>
          <w:szCs w:val="24"/>
        </w:rPr>
        <w:t xml:space="preserve"> education and schooling of young learners around the world is now dependent to some degree on PISA</w:t>
      </w:r>
      <w:r w:rsidR="004C350A">
        <w:rPr>
          <w:sz w:val="24"/>
          <w:szCs w:val="24"/>
        </w:rPr>
        <w:t xml:space="preserve">, with it becoming a strategic tool used by those in a position to determine education policy (Meyer and </w:t>
      </w:r>
      <w:proofErr w:type="spellStart"/>
      <w:r w:rsidR="004C350A">
        <w:rPr>
          <w:sz w:val="24"/>
          <w:szCs w:val="24"/>
        </w:rPr>
        <w:t>Benavot</w:t>
      </w:r>
      <w:proofErr w:type="spellEnd"/>
      <w:r w:rsidR="004C350A">
        <w:rPr>
          <w:sz w:val="24"/>
          <w:szCs w:val="24"/>
        </w:rPr>
        <w:t xml:space="preserve">, 2013). With regards to science, due to the difference in curriculums worldwide, the method of assessment PISA uses is not on subject content knowledge, but on the competencies of </w:t>
      </w:r>
      <w:r w:rsidR="00C518DD">
        <w:rPr>
          <w:sz w:val="24"/>
          <w:szCs w:val="24"/>
        </w:rPr>
        <w:t>giving a scientific explanation of phenomena, designing and evaluating scientific investigations and interpretation of given information using scientific theory (OECD, 2006). These competencies</w:t>
      </w:r>
      <w:r w:rsidR="003653A8">
        <w:rPr>
          <w:sz w:val="24"/>
          <w:szCs w:val="24"/>
        </w:rPr>
        <w:t xml:space="preserve"> assessed by PISA</w:t>
      </w:r>
      <w:r w:rsidR="00C518DD">
        <w:rPr>
          <w:sz w:val="24"/>
          <w:szCs w:val="24"/>
        </w:rPr>
        <w:t xml:space="preserve"> relate back to the earlier </w:t>
      </w:r>
      <w:r w:rsidR="003653A8">
        <w:rPr>
          <w:sz w:val="24"/>
          <w:szCs w:val="24"/>
        </w:rPr>
        <w:t xml:space="preserve">definition developed of scientific literacy, and it is on these skills that learners are being increasingly assessed. </w:t>
      </w:r>
      <w:r w:rsidR="007F3074">
        <w:rPr>
          <w:sz w:val="24"/>
          <w:szCs w:val="24"/>
        </w:rPr>
        <w:t xml:space="preserve">They have defined these competencies as skills that all learners at 15 years old should possess in order to be successful individuals. </w:t>
      </w:r>
    </w:p>
    <w:p w14:paraId="4233C144" w14:textId="10B03CEE" w:rsidR="007F3074" w:rsidRDefault="003653A8" w:rsidP="00CF782A">
      <w:pPr>
        <w:rPr>
          <w:sz w:val="24"/>
          <w:szCs w:val="24"/>
        </w:rPr>
      </w:pPr>
      <w:r>
        <w:rPr>
          <w:sz w:val="24"/>
          <w:szCs w:val="24"/>
        </w:rPr>
        <w:t>In Wales, the achievement in these PISA tests by learners was, in the latest tests, the lowest in the UK. The average score had fallen by 20 points than in the previous test, and there are currently 29 countries in which the average scores in science were at least 10 points higher than that in Wales (</w:t>
      </w:r>
      <w:proofErr w:type="spellStart"/>
      <w:r>
        <w:rPr>
          <w:sz w:val="24"/>
          <w:szCs w:val="24"/>
        </w:rPr>
        <w:t>Jerrim</w:t>
      </w:r>
      <w:proofErr w:type="spellEnd"/>
      <w:r>
        <w:rPr>
          <w:sz w:val="24"/>
          <w:szCs w:val="24"/>
        </w:rPr>
        <w:t xml:space="preserve"> and Shure, 2016). </w:t>
      </w:r>
      <w:r w:rsidR="007F3074">
        <w:rPr>
          <w:sz w:val="24"/>
          <w:szCs w:val="24"/>
        </w:rPr>
        <w:t xml:space="preserve">Whilst this is perceived by many to be a failing of the Welsh education system, the findings by studies that have stated this have been evaluated and been found to have results that are not robust and therefore argued against (Rees and Taylor, 2015). There are also many criticisms of PISA, with much research supporting the fact that whilst PISA claims to assess the </w:t>
      </w:r>
      <w:r w:rsidR="00073B06">
        <w:rPr>
          <w:sz w:val="24"/>
          <w:szCs w:val="24"/>
        </w:rPr>
        <w:t xml:space="preserve">skills learners require for the modern world, it does not always achieve this. </w:t>
      </w:r>
      <w:proofErr w:type="spellStart"/>
      <w:r w:rsidR="00073B06">
        <w:rPr>
          <w:sz w:val="24"/>
          <w:szCs w:val="24"/>
        </w:rPr>
        <w:t>Schleicher</w:t>
      </w:r>
      <w:proofErr w:type="spellEnd"/>
      <w:r w:rsidR="00073B06">
        <w:rPr>
          <w:sz w:val="24"/>
          <w:szCs w:val="24"/>
        </w:rPr>
        <w:t xml:space="preserve"> (2007) states that while PISA claims to assess the fundamental competencies of an individual, there are many competencies beyond those which PISA assesses. Therefore, the lack of PISA assessed competencies does not mean the lack of other important competencies. </w:t>
      </w:r>
      <w:r w:rsidR="00F26546">
        <w:rPr>
          <w:sz w:val="24"/>
          <w:szCs w:val="24"/>
        </w:rPr>
        <w:t xml:space="preserve">In addition to this, whilst assessing a learners ability to apply their skills and knowledge is one of the aims set out by PISA, </w:t>
      </w:r>
      <w:r w:rsidR="00373788">
        <w:rPr>
          <w:sz w:val="24"/>
          <w:szCs w:val="24"/>
        </w:rPr>
        <w:t xml:space="preserve">and has been found to be a successful method of improving competency with regards to scientific literacy skills (Sadler et al., 2016) </w:t>
      </w:r>
      <w:r w:rsidR="00F26546">
        <w:rPr>
          <w:sz w:val="24"/>
          <w:szCs w:val="24"/>
        </w:rPr>
        <w:t xml:space="preserve">research has found that learners may have difficulty accessing these papers as they have been found to be removed from real world instances (Sadler and </w:t>
      </w:r>
      <w:proofErr w:type="spellStart"/>
      <w:r w:rsidR="00F26546">
        <w:rPr>
          <w:sz w:val="24"/>
          <w:szCs w:val="24"/>
        </w:rPr>
        <w:t>Zeidler</w:t>
      </w:r>
      <w:proofErr w:type="spellEnd"/>
      <w:r w:rsidR="00F26546">
        <w:rPr>
          <w:sz w:val="24"/>
          <w:szCs w:val="24"/>
        </w:rPr>
        <w:t>, 2009)</w:t>
      </w:r>
      <w:r w:rsidR="00373788">
        <w:rPr>
          <w:sz w:val="24"/>
          <w:szCs w:val="24"/>
        </w:rPr>
        <w:t xml:space="preserve"> despite their intentions. </w:t>
      </w:r>
      <w:r w:rsidR="00A54EFD">
        <w:rPr>
          <w:sz w:val="24"/>
          <w:szCs w:val="24"/>
        </w:rPr>
        <w:t xml:space="preserve">However, even if these ‘real world examples’ are not relatable to all learners, </w:t>
      </w:r>
      <w:r w:rsidR="00801CAB">
        <w:rPr>
          <w:sz w:val="24"/>
          <w:szCs w:val="24"/>
        </w:rPr>
        <w:t xml:space="preserve">there is evidence that just giving scientific instruction in a </w:t>
      </w:r>
      <w:proofErr w:type="gramStart"/>
      <w:r w:rsidR="00801CAB">
        <w:rPr>
          <w:sz w:val="24"/>
          <w:szCs w:val="24"/>
        </w:rPr>
        <w:t>literacy based</w:t>
      </w:r>
      <w:proofErr w:type="gramEnd"/>
      <w:r w:rsidR="00801CAB">
        <w:rPr>
          <w:sz w:val="24"/>
          <w:szCs w:val="24"/>
        </w:rPr>
        <w:t xml:space="preserve"> context can lead to a development in the skills of learners, particularly girls (</w:t>
      </w:r>
      <w:proofErr w:type="spellStart"/>
      <w:r w:rsidR="00801CAB">
        <w:rPr>
          <w:sz w:val="24"/>
          <w:szCs w:val="24"/>
        </w:rPr>
        <w:t>Guxxetti</w:t>
      </w:r>
      <w:proofErr w:type="spellEnd"/>
      <w:r w:rsidR="00801CAB">
        <w:rPr>
          <w:sz w:val="24"/>
          <w:szCs w:val="24"/>
        </w:rPr>
        <w:t xml:space="preserve"> and Bang, 2010).</w:t>
      </w:r>
    </w:p>
    <w:p w14:paraId="64E46908" w14:textId="77B7865D" w:rsidR="003653A8" w:rsidRDefault="007F3074" w:rsidP="00CF782A">
      <w:pPr>
        <w:rPr>
          <w:sz w:val="24"/>
          <w:szCs w:val="24"/>
        </w:rPr>
      </w:pPr>
      <w:r>
        <w:rPr>
          <w:sz w:val="24"/>
          <w:szCs w:val="24"/>
        </w:rPr>
        <w:t xml:space="preserve">Despite this, there is a widespread acceptance within Wales that more needs to be done to improve the skills tested for by these assessments and improve the ranking of Wales internationally. Research has found however, despite it being identified as an area of </w:t>
      </w:r>
      <w:r>
        <w:rPr>
          <w:sz w:val="24"/>
          <w:szCs w:val="24"/>
        </w:rPr>
        <w:lastRenderedPageBreak/>
        <w:t>improvement, there is little being implemented in Wales to drive this improvement (Dale, 2016).</w:t>
      </w:r>
      <w:r w:rsidR="003E6206">
        <w:rPr>
          <w:sz w:val="24"/>
          <w:szCs w:val="24"/>
        </w:rPr>
        <w:t xml:space="preserve"> Furthermore, there is evidence to support that PISA rankings are not a reliable means of comparing educational systems between countries (Osborne et al., 2017). In further support of this finding is that of Huang et al., (2016) who found that variation in the ranking of member countries could be determined by the curriculum taught within those countries. </w:t>
      </w:r>
      <w:r w:rsidR="00DA3C6D">
        <w:rPr>
          <w:sz w:val="24"/>
          <w:szCs w:val="24"/>
        </w:rPr>
        <w:t xml:space="preserve">However, regardless of the league tables and comparisons between other countries, employers across Wales are consistently saying that learners do not have the appropriate transferable skills when starting a new job (Future Skills Wales, 2003). Therefore, development of these skills among learners would not only be beneficial to the international perception of Wales education system, but also to the learners, as these are the types of skill PISA endeavour to evaluate. </w:t>
      </w:r>
    </w:p>
    <w:p w14:paraId="56AA985E" w14:textId="6C281F80" w:rsidR="00DA3C6D" w:rsidRDefault="00DA3C6D" w:rsidP="00CF782A">
      <w:pPr>
        <w:rPr>
          <w:sz w:val="24"/>
          <w:szCs w:val="24"/>
        </w:rPr>
      </w:pPr>
      <w:r>
        <w:rPr>
          <w:sz w:val="24"/>
          <w:szCs w:val="24"/>
        </w:rPr>
        <w:t xml:space="preserve">There is a further reason development of these skills will be beneficial to young learners across Wales. </w:t>
      </w:r>
      <w:r w:rsidR="00217619">
        <w:rPr>
          <w:sz w:val="24"/>
          <w:szCs w:val="24"/>
        </w:rPr>
        <w:t xml:space="preserve">These scientific literacy skills are also assessed within GCSE questions, where literacy is now of greater importance within the exam. In recent years the time of a GCSE exam has increased by 15 minutes in response to a greater amount of reading needed for the exam questions. Furthermore, quality of extended response (QER) questions are found within exam paper and make up ten percent of the marks on a GCSE question paper. </w:t>
      </w:r>
      <w:proofErr w:type="gramStart"/>
      <w:r w:rsidR="00217619">
        <w:rPr>
          <w:sz w:val="24"/>
          <w:szCs w:val="24"/>
        </w:rPr>
        <w:t>Similarly</w:t>
      </w:r>
      <w:proofErr w:type="gramEnd"/>
      <w:r w:rsidR="00217619">
        <w:rPr>
          <w:sz w:val="24"/>
          <w:szCs w:val="24"/>
        </w:rPr>
        <w:t xml:space="preserve"> to PISA questions, learners are expected to extract information from the extended prose question, in addition to applying their own knowledge of the subject in order to answer the question. Literacy skills in their fundamental sense are required for these questions, as learners must read the question, and an extra mark is awarded for the quality of the written answer, hence quality of extended response. However, scientific literacy is also required. These exam questions will introduce new phenomena or situations that learners will not have been taught about and expected to apply this knowledge within their answer. This is </w:t>
      </w:r>
      <w:proofErr w:type="gramStart"/>
      <w:r w:rsidR="00217619">
        <w:rPr>
          <w:sz w:val="24"/>
          <w:szCs w:val="24"/>
        </w:rPr>
        <w:t>similar to</w:t>
      </w:r>
      <w:proofErr w:type="gramEnd"/>
      <w:r w:rsidR="00217619">
        <w:rPr>
          <w:sz w:val="24"/>
          <w:szCs w:val="24"/>
        </w:rPr>
        <w:t xml:space="preserve"> the questions found within PISA tests and aims to test the same competencies as PISA. So, whilst </w:t>
      </w:r>
      <w:r w:rsidR="00EE2359">
        <w:rPr>
          <w:sz w:val="24"/>
          <w:szCs w:val="24"/>
        </w:rPr>
        <w:t xml:space="preserve">the international ramifications of PISA may not impact a </w:t>
      </w:r>
      <w:proofErr w:type="gramStart"/>
      <w:r w:rsidR="00EE2359">
        <w:rPr>
          <w:sz w:val="24"/>
          <w:szCs w:val="24"/>
        </w:rPr>
        <w:t>particular learner</w:t>
      </w:r>
      <w:proofErr w:type="gramEnd"/>
      <w:r w:rsidR="00EE2359">
        <w:rPr>
          <w:sz w:val="24"/>
          <w:szCs w:val="24"/>
        </w:rPr>
        <w:t xml:space="preserve"> </w:t>
      </w:r>
      <w:r w:rsidR="007E1704">
        <w:rPr>
          <w:sz w:val="24"/>
          <w:szCs w:val="24"/>
        </w:rPr>
        <w:t xml:space="preserve">or school </w:t>
      </w:r>
      <w:r w:rsidR="00EE2359">
        <w:rPr>
          <w:sz w:val="24"/>
          <w:szCs w:val="24"/>
        </w:rPr>
        <w:t xml:space="preserve">directly, the skills that are emphasised within the tests could be due to the assessment of these skills within the GCSE exam being worth such a large percentage of the exam paper. </w:t>
      </w:r>
    </w:p>
    <w:p w14:paraId="1D32656C" w14:textId="556A36F2" w:rsidR="00A250FC" w:rsidRDefault="005B1EA3" w:rsidP="00CF782A">
      <w:pPr>
        <w:rPr>
          <w:sz w:val="24"/>
          <w:szCs w:val="24"/>
        </w:rPr>
      </w:pPr>
      <w:r>
        <w:rPr>
          <w:sz w:val="24"/>
          <w:szCs w:val="24"/>
        </w:rPr>
        <w:t xml:space="preserve">It is due to this similarity that a QER question was used in this study rather than a PISA question. For that </w:t>
      </w:r>
      <w:proofErr w:type="gramStart"/>
      <w:r>
        <w:rPr>
          <w:sz w:val="24"/>
          <w:szCs w:val="24"/>
        </w:rPr>
        <w:t>reason</w:t>
      </w:r>
      <w:proofErr w:type="gramEnd"/>
      <w:r>
        <w:rPr>
          <w:sz w:val="24"/>
          <w:szCs w:val="24"/>
        </w:rPr>
        <w:t xml:space="preserve"> also, PISA and QER questions will be referred to interchangeably throughout this report as the skills developed are transferable to either type of question and so the impact of the study remains the same. </w:t>
      </w:r>
    </w:p>
    <w:p w14:paraId="66CAD394" w14:textId="091ACD73" w:rsidR="004A3169" w:rsidRDefault="004A3169" w:rsidP="00CF782A">
      <w:pPr>
        <w:rPr>
          <w:sz w:val="24"/>
          <w:szCs w:val="24"/>
        </w:rPr>
      </w:pPr>
      <w:r>
        <w:rPr>
          <w:sz w:val="24"/>
          <w:szCs w:val="24"/>
        </w:rPr>
        <w:t>Some of the issues encountered by learners could be a result of what they are being taught in the classroom. Firstly, there is evidence that there is a close link between learner</w:t>
      </w:r>
      <w:r w:rsidR="00146031">
        <w:rPr>
          <w:sz w:val="24"/>
          <w:szCs w:val="24"/>
        </w:rPr>
        <w:t>’</w:t>
      </w:r>
      <w:r>
        <w:rPr>
          <w:sz w:val="24"/>
          <w:szCs w:val="24"/>
        </w:rPr>
        <w:t>s interest in science and their levels of scientific literacy</w:t>
      </w:r>
      <w:r w:rsidR="00C93DC3">
        <w:rPr>
          <w:sz w:val="24"/>
          <w:szCs w:val="24"/>
        </w:rPr>
        <w:t xml:space="preserve"> (Bybee and McCrae, 2011)</w:t>
      </w:r>
      <w:r>
        <w:rPr>
          <w:sz w:val="24"/>
          <w:szCs w:val="24"/>
        </w:rPr>
        <w:t xml:space="preserve">. For this reason, during the PISA tests, a learner questionnaire is given to gauge their interest in science. </w:t>
      </w:r>
      <w:r w:rsidR="00C93DC3">
        <w:rPr>
          <w:sz w:val="24"/>
          <w:szCs w:val="24"/>
        </w:rPr>
        <w:t xml:space="preserve">As discussed earlier, this could therefore mean that curriculum of the country of the learner could impact PISA results </w:t>
      </w:r>
      <w:proofErr w:type="gramStart"/>
      <w:r w:rsidR="00C93DC3">
        <w:rPr>
          <w:sz w:val="24"/>
          <w:szCs w:val="24"/>
        </w:rPr>
        <w:t>due to the fact that</w:t>
      </w:r>
      <w:proofErr w:type="gramEnd"/>
      <w:r w:rsidR="00C93DC3">
        <w:rPr>
          <w:sz w:val="24"/>
          <w:szCs w:val="24"/>
        </w:rPr>
        <w:t xml:space="preserve"> learners are more interested in what is taught in the curriculum and therefore the skills integral to scientific literacy are nurtured. </w:t>
      </w:r>
      <w:r w:rsidR="00870982">
        <w:rPr>
          <w:sz w:val="24"/>
          <w:szCs w:val="24"/>
        </w:rPr>
        <w:t xml:space="preserve">This is further supported by findings during a trial of a teaching programme where the main emphasis was on scientific literacy. It was found that this programme led to </w:t>
      </w:r>
      <w:r w:rsidR="00870982">
        <w:rPr>
          <w:sz w:val="24"/>
          <w:szCs w:val="24"/>
        </w:rPr>
        <w:lastRenderedPageBreak/>
        <w:t xml:space="preserve">greater enthusiasm and engagement among learners (Millar, 2006). </w:t>
      </w:r>
      <w:r w:rsidR="00AD3D96">
        <w:rPr>
          <w:sz w:val="24"/>
          <w:szCs w:val="24"/>
        </w:rPr>
        <w:t xml:space="preserve">Despite the fact that in Wales, there appears to be very little being done to target the issues surrounding scientific literacy, the introduction in the near future of the new Welsh curriculum ‘Successful Futures’ could see the way in which science is taught drastically changed and therefore could present the opportunity for increased engagement in the science content by learners and therefore better developed scientific literacy skills. </w:t>
      </w:r>
    </w:p>
    <w:p w14:paraId="4BABC617" w14:textId="78E7D8AF" w:rsidR="00055CFF" w:rsidRDefault="00055CFF" w:rsidP="00CF782A">
      <w:pPr>
        <w:rPr>
          <w:sz w:val="24"/>
          <w:szCs w:val="24"/>
        </w:rPr>
      </w:pPr>
      <w:r>
        <w:rPr>
          <w:sz w:val="24"/>
          <w:szCs w:val="24"/>
        </w:rPr>
        <w:t xml:space="preserve">Furthermore, and perhaps more importantly, there appears to be a misunderstanding among teachers themselves with regards to the skills assessed by PISA and QER questions. Research has found not only inconsistencies between the expectations of teachers and the learner’s achievement in PISA tests, but also a difference between what PISA was assessing and what teachers believed they were assessing (Pinto and </w:t>
      </w:r>
      <w:proofErr w:type="spellStart"/>
      <w:r>
        <w:rPr>
          <w:sz w:val="24"/>
          <w:szCs w:val="24"/>
        </w:rPr>
        <w:t>Boudamoussi</w:t>
      </w:r>
      <w:proofErr w:type="spellEnd"/>
      <w:r>
        <w:rPr>
          <w:sz w:val="24"/>
          <w:szCs w:val="24"/>
        </w:rPr>
        <w:t>, 2009).</w:t>
      </w:r>
    </w:p>
    <w:p w14:paraId="7170B512" w14:textId="44E2CA29" w:rsidR="00183685" w:rsidRDefault="00183685" w:rsidP="00CF782A">
      <w:pPr>
        <w:rPr>
          <w:sz w:val="24"/>
          <w:szCs w:val="24"/>
        </w:rPr>
      </w:pPr>
      <w:r>
        <w:rPr>
          <w:sz w:val="24"/>
          <w:szCs w:val="24"/>
        </w:rPr>
        <w:t xml:space="preserve">Due to the evidence discussed above regarding the benefits of introducing </w:t>
      </w:r>
      <w:r w:rsidR="006B50DE">
        <w:rPr>
          <w:sz w:val="24"/>
          <w:szCs w:val="24"/>
        </w:rPr>
        <w:t xml:space="preserve">lessons </w:t>
      </w:r>
      <w:r>
        <w:rPr>
          <w:sz w:val="24"/>
          <w:szCs w:val="24"/>
        </w:rPr>
        <w:t>that enhance the literacy (and therefore scientific literacy) of learners</w:t>
      </w:r>
      <w:r w:rsidR="006B50DE">
        <w:rPr>
          <w:sz w:val="24"/>
          <w:szCs w:val="24"/>
        </w:rPr>
        <w:t xml:space="preserve"> into schools, an inference square was decided upon to be the main intervention method to investigate in this study. As discussed previously, the implementation of literacy skills within science is key to enhancing scientific literacy skills amongst learners. Therefore, an inference </w:t>
      </w:r>
      <w:r w:rsidR="00BA05E1">
        <w:rPr>
          <w:sz w:val="24"/>
          <w:szCs w:val="24"/>
        </w:rPr>
        <w:t xml:space="preserve">square which is used in literacy- based subjects such as English and History was chosen for learners to use when answering a QER question. There is very little research into the use of activities or practices used within other curriculum areas within science classrooms. However, when, as discussed above, there is a significant relationship between the skills used in literacy and those needed to be competent in scientific literacy, implementation of activities that have been tried and tested within those curriculum areas </w:t>
      </w:r>
      <w:r w:rsidR="00547D0D">
        <w:rPr>
          <w:sz w:val="24"/>
          <w:szCs w:val="24"/>
        </w:rPr>
        <w:t xml:space="preserve">would surely have similar success within the science classroom. </w:t>
      </w:r>
    </w:p>
    <w:p w14:paraId="4B7265AE" w14:textId="4A29ACAC" w:rsidR="00547D0D" w:rsidRDefault="00547D0D" w:rsidP="00CF782A">
      <w:pPr>
        <w:rPr>
          <w:sz w:val="24"/>
          <w:szCs w:val="24"/>
        </w:rPr>
      </w:pPr>
      <w:r>
        <w:rPr>
          <w:sz w:val="24"/>
          <w:szCs w:val="24"/>
        </w:rPr>
        <w:t xml:space="preserve">The inference square was chosen as each section of the square is relevant to the PISA competencies. This will be discussed in the evaluation of this research project. </w:t>
      </w:r>
      <w:bookmarkStart w:id="0" w:name="_GoBack"/>
      <w:bookmarkEnd w:id="0"/>
    </w:p>
    <w:p w14:paraId="06C5B59B" w14:textId="3C613981" w:rsidR="001E59A2" w:rsidRDefault="007E1704" w:rsidP="00CF782A">
      <w:pPr>
        <w:rPr>
          <w:sz w:val="24"/>
          <w:szCs w:val="24"/>
        </w:rPr>
      </w:pPr>
      <w:r>
        <w:rPr>
          <w:sz w:val="24"/>
          <w:szCs w:val="24"/>
        </w:rPr>
        <w:t xml:space="preserve">As discussed previously, improvement of answers in both PISA and QER questions – although for different reasons – is of significant </w:t>
      </w:r>
      <w:r w:rsidR="00B71FFF">
        <w:rPr>
          <w:sz w:val="24"/>
          <w:szCs w:val="24"/>
        </w:rPr>
        <w:t>value both individually and nationally, and to improve those answers there must be improvement of the skills which they aim to assess. It is for this reason that this question was chosen, as the intervention activity of the inference square is used in literacy</w:t>
      </w:r>
      <w:r w:rsidR="00183685">
        <w:rPr>
          <w:sz w:val="24"/>
          <w:szCs w:val="24"/>
        </w:rPr>
        <w:t>-</w:t>
      </w:r>
      <w:r w:rsidR="00B71FFF">
        <w:rPr>
          <w:sz w:val="24"/>
          <w:szCs w:val="24"/>
        </w:rPr>
        <w:t xml:space="preserve"> based lessons in order to develop and hone these same transferable skills. </w:t>
      </w:r>
    </w:p>
    <w:p w14:paraId="71907E3C" w14:textId="73D8AEC3" w:rsidR="00CF782A" w:rsidRDefault="00CF782A" w:rsidP="00CF782A">
      <w:pPr>
        <w:rPr>
          <w:sz w:val="24"/>
          <w:szCs w:val="24"/>
        </w:rPr>
      </w:pPr>
      <w:r w:rsidRPr="00DC43B9">
        <w:rPr>
          <w:sz w:val="24"/>
          <w:szCs w:val="24"/>
          <w:u w:val="single"/>
        </w:rPr>
        <w:t>School Policy and Practice</w:t>
      </w:r>
      <w:r w:rsidRPr="00DC43B9">
        <w:rPr>
          <w:sz w:val="24"/>
          <w:szCs w:val="24"/>
        </w:rPr>
        <w:t xml:space="preserve"> </w:t>
      </w:r>
    </w:p>
    <w:p w14:paraId="38374835" w14:textId="66C87F05" w:rsidR="00622357" w:rsidRDefault="00622357" w:rsidP="00CF782A">
      <w:pPr>
        <w:rPr>
          <w:sz w:val="24"/>
          <w:szCs w:val="24"/>
        </w:rPr>
      </w:pPr>
      <w:r>
        <w:rPr>
          <w:sz w:val="24"/>
          <w:szCs w:val="24"/>
        </w:rPr>
        <w:t xml:space="preserve">In School X there is a significant focus within the School Improvement Plan (SIP) on literacy. </w:t>
      </w:r>
      <w:r w:rsidR="00A7530D">
        <w:rPr>
          <w:sz w:val="24"/>
          <w:szCs w:val="24"/>
        </w:rPr>
        <w:t xml:space="preserve">This is as a result of the 2015 Estyn report of the school where it was found that within lessons there was not </w:t>
      </w:r>
      <w:proofErr w:type="gramStart"/>
      <w:r w:rsidR="00A7530D">
        <w:rPr>
          <w:sz w:val="24"/>
          <w:szCs w:val="24"/>
        </w:rPr>
        <w:t>sufficient</w:t>
      </w:r>
      <w:proofErr w:type="gramEnd"/>
      <w:r w:rsidR="00A7530D">
        <w:rPr>
          <w:sz w:val="24"/>
          <w:szCs w:val="24"/>
        </w:rPr>
        <w:t xml:space="preserve"> emphasis on the development of learners</w:t>
      </w:r>
      <w:r w:rsidR="00A64155">
        <w:rPr>
          <w:sz w:val="24"/>
          <w:szCs w:val="24"/>
        </w:rPr>
        <w:t>’</w:t>
      </w:r>
      <w:r w:rsidR="00A7530D">
        <w:rPr>
          <w:sz w:val="24"/>
          <w:szCs w:val="24"/>
        </w:rPr>
        <w:t xml:space="preserve"> literacy skills (Estyn, 2015). </w:t>
      </w:r>
      <w:r>
        <w:rPr>
          <w:sz w:val="24"/>
          <w:szCs w:val="24"/>
        </w:rPr>
        <w:t xml:space="preserve">Whilst this is a target for improvement throughout the school, </w:t>
      </w:r>
      <w:r w:rsidR="00EA7DE9">
        <w:rPr>
          <w:sz w:val="24"/>
          <w:szCs w:val="24"/>
        </w:rPr>
        <w:t xml:space="preserve">as </w:t>
      </w:r>
      <w:r w:rsidR="00EA7DE9" w:rsidRPr="005A7945">
        <w:rPr>
          <w:rFonts w:cstheme="minorHAnsi"/>
          <w:sz w:val="24"/>
          <w:szCs w:val="24"/>
        </w:rPr>
        <w:t xml:space="preserve">Lee and </w:t>
      </w:r>
      <w:proofErr w:type="spellStart"/>
      <w:r w:rsidR="00EA7DE9" w:rsidRPr="005A7945">
        <w:rPr>
          <w:rFonts w:cstheme="minorHAnsi"/>
          <w:sz w:val="24"/>
          <w:szCs w:val="24"/>
        </w:rPr>
        <w:t>Croninger</w:t>
      </w:r>
      <w:proofErr w:type="spellEnd"/>
      <w:r w:rsidR="00EA7DE9" w:rsidRPr="005A7945">
        <w:rPr>
          <w:rFonts w:cstheme="minorHAnsi"/>
          <w:sz w:val="24"/>
          <w:szCs w:val="24"/>
        </w:rPr>
        <w:t xml:space="preserve"> </w:t>
      </w:r>
      <w:r w:rsidR="00EA7DE9">
        <w:rPr>
          <w:rFonts w:cstheme="minorHAnsi"/>
          <w:sz w:val="24"/>
          <w:szCs w:val="24"/>
        </w:rPr>
        <w:t>(</w:t>
      </w:r>
      <w:r w:rsidR="00EA7DE9" w:rsidRPr="005A7945">
        <w:rPr>
          <w:rFonts w:cstheme="minorHAnsi"/>
          <w:sz w:val="24"/>
          <w:szCs w:val="24"/>
        </w:rPr>
        <w:t>1994</w:t>
      </w:r>
      <w:r w:rsidR="00EA7DE9">
        <w:rPr>
          <w:rFonts w:cstheme="minorHAnsi"/>
          <w:sz w:val="24"/>
          <w:szCs w:val="24"/>
        </w:rPr>
        <w:t xml:space="preserve">) identified that school settings were responsible for the greatest development of learners’ literacy skills, </w:t>
      </w:r>
      <w:r>
        <w:rPr>
          <w:sz w:val="24"/>
          <w:szCs w:val="24"/>
        </w:rPr>
        <w:t>within the Science department a key aspect of improving literacy standards will relate to those of scientific literacy</w:t>
      </w:r>
      <w:r w:rsidR="00EA7DE9">
        <w:rPr>
          <w:sz w:val="24"/>
          <w:szCs w:val="24"/>
        </w:rPr>
        <w:t>.</w:t>
      </w:r>
      <w:r w:rsidR="00A64155">
        <w:rPr>
          <w:sz w:val="24"/>
          <w:szCs w:val="24"/>
        </w:rPr>
        <w:t xml:space="preserve"> The development of learners’ literacy skills </w:t>
      </w:r>
      <w:proofErr w:type="gramStart"/>
      <w:r w:rsidR="00A64155">
        <w:rPr>
          <w:sz w:val="24"/>
          <w:szCs w:val="24"/>
        </w:rPr>
        <w:t>are</w:t>
      </w:r>
      <w:proofErr w:type="gramEnd"/>
      <w:r w:rsidR="00A64155">
        <w:rPr>
          <w:sz w:val="24"/>
          <w:szCs w:val="24"/>
        </w:rPr>
        <w:t xml:space="preserve"> fundamental to the understanding and transference of scientific concepts and ideas, and are therefore an essential requirement for learners within science </w:t>
      </w:r>
      <w:r w:rsidR="00A64155">
        <w:rPr>
          <w:sz w:val="24"/>
          <w:szCs w:val="24"/>
        </w:rPr>
        <w:lastRenderedPageBreak/>
        <w:t>lessons (Norris &amp; Phillips, 2003).</w:t>
      </w:r>
      <w:r>
        <w:rPr>
          <w:sz w:val="24"/>
          <w:szCs w:val="24"/>
        </w:rPr>
        <w:t xml:space="preserve"> Furthermore, the school also has students that participate in the PISA testing. Whilst PISA scores of learners within the school do not directly affect the school with regards</w:t>
      </w:r>
      <w:r w:rsidR="00EA7DE9">
        <w:rPr>
          <w:sz w:val="24"/>
          <w:szCs w:val="24"/>
        </w:rPr>
        <w:t xml:space="preserve"> to reviews or inspections, there is a distinct similarity between the questions asked during the PISA tests and the Quality of Extended Response (QER) questions found within science GCSE exam papers. </w:t>
      </w:r>
      <w:r w:rsidR="00A7530D">
        <w:rPr>
          <w:sz w:val="24"/>
          <w:szCs w:val="24"/>
        </w:rPr>
        <w:t>Both PISA and QER questions require learners to read and understand extended texts, and to use their knowledge in a transferable way</w:t>
      </w:r>
      <w:r w:rsidR="00A64155">
        <w:rPr>
          <w:sz w:val="24"/>
          <w:szCs w:val="24"/>
        </w:rPr>
        <w:t xml:space="preserve">, rather than just relay it in the same manner is has been learned. </w:t>
      </w:r>
    </w:p>
    <w:p w14:paraId="673D1DD3" w14:textId="092248D9" w:rsidR="00EA7DE9" w:rsidRDefault="00EA7DE9" w:rsidP="00CF782A">
      <w:pPr>
        <w:rPr>
          <w:sz w:val="24"/>
          <w:szCs w:val="24"/>
        </w:rPr>
      </w:pPr>
      <w:r>
        <w:rPr>
          <w:sz w:val="24"/>
          <w:szCs w:val="24"/>
        </w:rPr>
        <w:t xml:space="preserve">In addition to a school wide focus on literacy, within the department there is an emphasis on increasing GCSE pass rate. </w:t>
      </w:r>
      <w:r w:rsidR="00785F4A">
        <w:rPr>
          <w:sz w:val="24"/>
          <w:szCs w:val="24"/>
        </w:rPr>
        <w:t xml:space="preserve">QER questions in GCSE papers are worth 6 marks, which is a high proportion of the marks awarded during a GCSE exam for one question. School X has realised this, and so they are given to classes from year 8 upwards for learners to familiarise themselves with the type of question and to try and improve the way in which they are answered before the year 10 and 11 GCSE exams. This can greatly impact the results achieved by these learners in their GCSE exams, and will therefore improve the grades and pass rate within the science department. </w:t>
      </w:r>
      <w:r w:rsidR="00526D80">
        <w:rPr>
          <w:sz w:val="24"/>
          <w:szCs w:val="24"/>
        </w:rPr>
        <w:t>Furthermore, an emphasis on the more literacy</w:t>
      </w:r>
      <w:r w:rsidR="00B269A6">
        <w:rPr>
          <w:sz w:val="24"/>
          <w:szCs w:val="24"/>
        </w:rPr>
        <w:t>-</w:t>
      </w:r>
      <w:r w:rsidR="00526D80">
        <w:rPr>
          <w:sz w:val="24"/>
          <w:szCs w:val="24"/>
        </w:rPr>
        <w:t>based aspects of the curriculum has been viewed by some as having a positive impact on the interest shown by learners within science lessons (Millar, 2006).</w:t>
      </w:r>
    </w:p>
    <w:p w14:paraId="7E85BE53" w14:textId="0EDB7718" w:rsidR="00785F4A" w:rsidRDefault="00785F4A" w:rsidP="00CF782A">
      <w:pPr>
        <w:rPr>
          <w:sz w:val="24"/>
          <w:szCs w:val="24"/>
        </w:rPr>
      </w:pPr>
      <w:r>
        <w:rPr>
          <w:sz w:val="24"/>
          <w:szCs w:val="24"/>
        </w:rPr>
        <w:t xml:space="preserve">Within the science department of School X, the marking policy is that only key pieces of work are marked. The grades from these pieces of work are used to feed back to parents during parent’s evenings and on </w:t>
      </w:r>
      <w:proofErr w:type="gramStart"/>
      <w:r>
        <w:rPr>
          <w:sz w:val="24"/>
          <w:szCs w:val="24"/>
        </w:rPr>
        <w:t>reports, and</w:t>
      </w:r>
      <w:proofErr w:type="gramEnd"/>
      <w:r>
        <w:rPr>
          <w:sz w:val="24"/>
          <w:szCs w:val="24"/>
        </w:rPr>
        <w:t xml:space="preserve"> influence the setting of learners for the next academic year. The key pieces of work marked are end of topic tests</w:t>
      </w:r>
      <w:r w:rsidR="00A7530D">
        <w:rPr>
          <w:sz w:val="24"/>
          <w:szCs w:val="24"/>
        </w:rPr>
        <w:t xml:space="preserve">, the school literacy and numeracy booklets called ‘think on, write on’ tasks and the QER questions related to the topic. There is therefore a focus on QER questions as a tool for assessment within the science </w:t>
      </w:r>
      <w:proofErr w:type="gramStart"/>
      <w:r w:rsidR="00A7530D">
        <w:rPr>
          <w:sz w:val="24"/>
          <w:szCs w:val="24"/>
        </w:rPr>
        <w:t>department, and</w:t>
      </w:r>
      <w:proofErr w:type="gramEnd"/>
      <w:r w:rsidR="00A7530D">
        <w:rPr>
          <w:sz w:val="24"/>
          <w:szCs w:val="24"/>
        </w:rPr>
        <w:t xml:space="preserve"> developing a method for learners to achieve the best possible marks within their ability will be beneficial as the setting will better reflect the learners abilities. </w:t>
      </w:r>
    </w:p>
    <w:p w14:paraId="372DC16D" w14:textId="4275C558" w:rsidR="00CF782A" w:rsidRDefault="00CF782A" w:rsidP="00CF782A">
      <w:pPr>
        <w:rPr>
          <w:sz w:val="24"/>
          <w:szCs w:val="24"/>
        </w:rPr>
      </w:pPr>
      <w:r w:rsidRPr="00DC43B9">
        <w:rPr>
          <w:sz w:val="24"/>
          <w:szCs w:val="24"/>
          <w:u w:val="single"/>
        </w:rPr>
        <w:t>Methodology &amp; Ethics</w:t>
      </w:r>
      <w:r w:rsidRPr="00DC43B9">
        <w:rPr>
          <w:sz w:val="24"/>
          <w:szCs w:val="24"/>
        </w:rPr>
        <w:t xml:space="preserve">  </w:t>
      </w:r>
    </w:p>
    <w:p w14:paraId="38740D68" w14:textId="77777777" w:rsidR="008C1B7C" w:rsidRDefault="00B70BFA" w:rsidP="008C1B7C">
      <w:pPr>
        <w:rPr>
          <w:sz w:val="24"/>
          <w:szCs w:val="24"/>
        </w:rPr>
      </w:pPr>
      <w:r>
        <w:rPr>
          <w:sz w:val="24"/>
          <w:szCs w:val="24"/>
        </w:rPr>
        <w:t xml:space="preserve">The main method implemented as an intervention during this study was the </w:t>
      </w:r>
      <w:r w:rsidR="008C1B7C">
        <w:rPr>
          <w:sz w:val="24"/>
          <w:szCs w:val="24"/>
        </w:rPr>
        <w:t>i</w:t>
      </w:r>
      <w:r w:rsidR="00241865">
        <w:rPr>
          <w:sz w:val="24"/>
          <w:szCs w:val="24"/>
        </w:rPr>
        <w:t>ntroduc</w:t>
      </w:r>
      <w:r w:rsidR="008C1B7C">
        <w:rPr>
          <w:sz w:val="24"/>
          <w:szCs w:val="24"/>
        </w:rPr>
        <w:t>tion of</w:t>
      </w:r>
      <w:r w:rsidR="00241865">
        <w:rPr>
          <w:sz w:val="24"/>
          <w:szCs w:val="24"/>
        </w:rPr>
        <w:t xml:space="preserve"> an inference square</w:t>
      </w:r>
      <w:r w:rsidR="008C1B7C">
        <w:rPr>
          <w:sz w:val="24"/>
          <w:szCs w:val="24"/>
        </w:rPr>
        <w:t>. This inference square was broken down to include three sections: What I know already, what the question tells me and conclusion (Figure 1). During the introduction of the inference square with a different example question, how to use the square was explained to learners. The ‘what the question tells me’ was included in the inference square as learners often do not pay attention to the full information they are provided with. They will often start writing whatever they know about the topic often whether it is relevant or not. The inference square encourages learners to analyse the question itself which will indicate the information it is necessary to include. This is important as learners of different abilities have been found to analyse these extended prose questions differently, with less able learners picking superficial aspects of the texts as opposed to their more able counterparts who discard this information (</w:t>
      </w:r>
      <w:proofErr w:type="spellStart"/>
      <w:r w:rsidR="008C1B7C">
        <w:rPr>
          <w:sz w:val="24"/>
          <w:szCs w:val="24"/>
        </w:rPr>
        <w:t>Cerdan</w:t>
      </w:r>
      <w:proofErr w:type="spellEnd"/>
      <w:r w:rsidR="008C1B7C">
        <w:rPr>
          <w:sz w:val="24"/>
          <w:szCs w:val="24"/>
        </w:rPr>
        <w:t xml:space="preserve"> et al., 2011). Lower ability learners have also been found to struggle with using new information they have been presented with when attempting to answer the corresponding question (Le Hebel et al., 2016). This section of the inference square was therefore chosen </w:t>
      </w:r>
      <w:proofErr w:type="gramStart"/>
      <w:r w:rsidR="008C1B7C">
        <w:rPr>
          <w:sz w:val="24"/>
          <w:szCs w:val="24"/>
        </w:rPr>
        <w:t>in order for</w:t>
      </w:r>
      <w:proofErr w:type="gramEnd"/>
      <w:r w:rsidR="008C1B7C">
        <w:rPr>
          <w:sz w:val="24"/>
          <w:szCs w:val="24"/>
        </w:rPr>
        <w:t xml:space="preserve"> learners to </w:t>
      </w:r>
      <w:r w:rsidR="008C1B7C">
        <w:rPr>
          <w:sz w:val="24"/>
          <w:szCs w:val="24"/>
        </w:rPr>
        <w:lastRenderedPageBreak/>
        <w:t xml:space="preserve">realise that information from the question is often essential for the answer, which in term should guide learners into including all of the necessary information. Based on these two studies, use of the inference squares would be particularly beneficial to learners of lower abilities. </w:t>
      </w:r>
    </w:p>
    <w:p w14:paraId="0AB583A3" w14:textId="25049482" w:rsidR="008C1B7C" w:rsidRDefault="008C1B7C" w:rsidP="008C1B7C">
      <w:pPr>
        <w:rPr>
          <w:sz w:val="24"/>
          <w:szCs w:val="24"/>
        </w:rPr>
      </w:pPr>
      <w:r>
        <w:rPr>
          <w:sz w:val="24"/>
          <w:szCs w:val="24"/>
        </w:rPr>
        <w:t xml:space="preserve">The answer then developed from the information in the other two sections of the inference square will then be written out into the ‘conclusion’ section of the inference square, which will summarise the key information the learners will include when finalising their answer to the QER question.    </w:t>
      </w:r>
    </w:p>
    <w:p w14:paraId="7DA0A85D" w14:textId="4E304CF5" w:rsidR="00241865" w:rsidRDefault="008C1B7C" w:rsidP="00CF782A">
      <w:pPr>
        <w:rPr>
          <w:sz w:val="24"/>
          <w:szCs w:val="24"/>
        </w:rPr>
      </w:pPr>
      <w:r>
        <w:rPr>
          <w:sz w:val="24"/>
          <w:szCs w:val="24"/>
        </w:rPr>
        <w:t xml:space="preserve">The inference square was introduced in the lesson </w:t>
      </w:r>
      <w:proofErr w:type="gramStart"/>
      <w:r w:rsidR="00241865">
        <w:rPr>
          <w:sz w:val="24"/>
          <w:szCs w:val="24"/>
        </w:rPr>
        <w:t xml:space="preserve">previous </w:t>
      </w:r>
      <w:r>
        <w:rPr>
          <w:sz w:val="24"/>
          <w:szCs w:val="24"/>
        </w:rPr>
        <w:t>to</w:t>
      </w:r>
      <w:proofErr w:type="gramEnd"/>
      <w:r>
        <w:rPr>
          <w:sz w:val="24"/>
          <w:szCs w:val="24"/>
        </w:rPr>
        <w:t xml:space="preserve"> it being used as an intervention for the pre and post-test QER question. This was done</w:t>
      </w:r>
      <w:r w:rsidR="00241865">
        <w:rPr>
          <w:sz w:val="24"/>
          <w:szCs w:val="24"/>
        </w:rPr>
        <w:t xml:space="preserve"> to familiarise learners with how to </w:t>
      </w:r>
      <w:r>
        <w:rPr>
          <w:sz w:val="24"/>
          <w:szCs w:val="24"/>
        </w:rPr>
        <w:t>use the inference square,</w:t>
      </w:r>
      <w:r w:rsidR="00241865">
        <w:rPr>
          <w:sz w:val="24"/>
          <w:szCs w:val="24"/>
        </w:rPr>
        <w:t xml:space="preserve"> rather than being introduced to it for the first time during the intervention. </w:t>
      </w:r>
      <w:r w:rsidR="0045611F">
        <w:rPr>
          <w:sz w:val="24"/>
          <w:szCs w:val="24"/>
        </w:rPr>
        <w:t xml:space="preserve">It was done with a QER question unrelated to the pre/post-test question and was never expanded into a full answer. </w:t>
      </w:r>
      <w:r>
        <w:rPr>
          <w:sz w:val="24"/>
          <w:szCs w:val="24"/>
        </w:rPr>
        <w:t>It was carried out solely as</w:t>
      </w:r>
      <w:r w:rsidR="0045611F">
        <w:rPr>
          <w:sz w:val="24"/>
          <w:szCs w:val="24"/>
        </w:rPr>
        <w:t xml:space="preserve"> an activity to demonstrate to learners how they can work. </w:t>
      </w:r>
    </w:p>
    <w:p w14:paraId="28253BB3" w14:textId="79D4DC3C" w:rsidR="00241865" w:rsidRDefault="00964229" w:rsidP="00CF782A">
      <w:pPr>
        <w:rPr>
          <w:sz w:val="24"/>
          <w:szCs w:val="24"/>
        </w:rPr>
      </w:pPr>
      <w:r>
        <w:rPr>
          <w:sz w:val="24"/>
          <w:szCs w:val="24"/>
        </w:rPr>
        <w:t>Prior to the distribution of the pre-test question, it was e</w:t>
      </w:r>
      <w:r w:rsidR="00241865">
        <w:rPr>
          <w:sz w:val="24"/>
          <w:szCs w:val="24"/>
        </w:rPr>
        <w:t xml:space="preserve">xplained to learners that the task was for research and </w:t>
      </w:r>
      <w:r>
        <w:rPr>
          <w:sz w:val="24"/>
          <w:szCs w:val="24"/>
        </w:rPr>
        <w:t>that whilst it was</w:t>
      </w:r>
      <w:r w:rsidR="00241865">
        <w:rPr>
          <w:sz w:val="24"/>
          <w:szCs w:val="24"/>
        </w:rPr>
        <w:t xml:space="preserve"> </w:t>
      </w:r>
      <w:r w:rsidR="0045611F">
        <w:rPr>
          <w:sz w:val="24"/>
          <w:szCs w:val="24"/>
        </w:rPr>
        <w:t>a compulsory school activity as a part of their</w:t>
      </w:r>
      <w:r>
        <w:rPr>
          <w:sz w:val="24"/>
          <w:szCs w:val="24"/>
        </w:rPr>
        <w:t xml:space="preserve"> normal</w:t>
      </w:r>
      <w:r w:rsidR="0045611F">
        <w:rPr>
          <w:sz w:val="24"/>
          <w:szCs w:val="24"/>
        </w:rPr>
        <w:t xml:space="preserve"> learning, </w:t>
      </w:r>
      <w:r>
        <w:rPr>
          <w:sz w:val="24"/>
          <w:szCs w:val="24"/>
        </w:rPr>
        <w:t>their marks could be removed from the write up if they so wished.</w:t>
      </w:r>
      <w:r w:rsidR="0045611F">
        <w:rPr>
          <w:sz w:val="24"/>
          <w:szCs w:val="24"/>
        </w:rPr>
        <w:t xml:space="preserve"> </w:t>
      </w:r>
      <w:r w:rsidR="00B72275">
        <w:rPr>
          <w:sz w:val="24"/>
          <w:szCs w:val="24"/>
        </w:rPr>
        <w:t xml:space="preserve">This </w:t>
      </w:r>
      <w:r>
        <w:rPr>
          <w:sz w:val="24"/>
          <w:szCs w:val="24"/>
        </w:rPr>
        <w:t>was done</w:t>
      </w:r>
      <w:r w:rsidR="00B72275">
        <w:rPr>
          <w:sz w:val="24"/>
          <w:szCs w:val="24"/>
        </w:rPr>
        <w:t xml:space="preserve"> to ensure all participants in the study </w:t>
      </w:r>
      <w:r>
        <w:rPr>
          <w:sz w:val="24"/>
          <w:szCs w:val="24"/>
        </w:rPr>
        <w:t>were</w:t>
      </w:r>
      <w:r w:rsidR="00B72275">
        <w:rPr>
          <w:sz w:val="24"/>
          <w:szCs w:val="24"/>
        </w:rPr>
        <w:t xml:space="preserve"> informed of their right to </w:t>
      </w:r>
      <w:proofErr w:type="gramStart"/>
      <w:r w:rsidR="00B72275">
        <w:rPr>
          <w:sz w:val="24"/>
          <w:szCs w:val="24"/>
        </w:rPr>
        <w:t xml:space="preserve">withdraw, </w:t>
      </w:r>
      <w:r w:rsidR="00B70BFA">
        <w:rPr>
          <w:sz w:val="24"/>
          <w:szCs w:val="24"/>
        </w:rPr>
        <w:t>and</w:t>
      </w:r>
      <w:proofErr w:type="gramEnd"/>
      <w:r w:rsidR="00B70BFA">
        <w:rPr>
          <w:sz w:val="24"/>
          <w:szCs w:val="24"/>
        </w:rPr>
        <w:t xml:space="preserve"> </w:t>
      </w:r>
      <w:r>
        <w:rPr>
          <w:sz w:val="24"/>
          <w:szCs w:val="24"/>
        </w:rPr>
        <w:t xml:space="preserve">were therefore able to </w:t>
      </w:r>
      <w:r w:rsidR="00B70BFA">
        <w:rPr>
          <w:sz w:val="24"/>
          <w:szCs w:val="24"/>
        </w:rPr>
        <w:t xml:space="preserve">give informed consent of their participation in the study. </w:t>
      </w:r>
    </w:p>
    <w:p w14:paraId="5C7A7ECF" w14:textId="25DAF8B0" w:rsidR="0045611F" w:rsidRDefault="00964229" w:rsidP="00CF782A">
      <w:pPr>
        <w:rPr>
          <w:sz w:val="24"/>
          <w:szCs w:val="24"/>
        </w:rPr>
      </w:pPr>
      <w:r>
        <w:rPr>
          <w:sz w:val="24"/>
          <w:szCs w:val="24"/>
        </w:rPr>
        <w:t>Learners then participated in</w:t>
      </w:r>
      <w:r w:rsidR="0045611F">
        <w:rPr>
          <w:sz w:val="24"/>
          <w:szCs w:val="24"/>
        </w:rPr>
        <w:t xml:space="preserve"> a brief revision activity o</w:t>
      </w:r>
      <w:r>
        <w:rPr>
          <w:sz w:val="24"/>
          <w:szCs w:val="24"/>
        </w:rPr>
        <w:t>n the topic of</w:t>
      </w:r>
      <w:r w:rsidR="0045611F">
        <w:rPr>
          <w:sz w:val="24"/>
          <w:szCs w:val="24"/>
        </w:rPr>
        <w:t xml:space="preserve"> breathing to </w:t>
      </w:r>
      <w:r>
        <w:rPr>
          <w:sz w:val="24"/>
          <w:szCs w:val="24"/>
        </w:rPr>
        <w:t>recap their</w:t>
      </w:r>
      <w:r w:rsidR="0045611F">
        <w:rPr>
          <w:sz w:val="24"/>
          <w:szCs w:val="24"/>
        </w:rPr>
        <w:t xml:space="preserve"> knowledge prior to answering the QER pre</w:t>
      </w:r>
      <w:r>
        <w:rPr>
          <w:sz w:val="24"/>
          <w:szCs w:val="24"/>
        </w:rPr>
        <w:t>-</w:t>
      </w:r>
      <w:r w:rsidR="0045611F">
        <w:rPr>
          <w:sz w:val="24"/>
          <w:szCs w:val="24"/>
        </w:rPr>
        <w:t>test</w:t>
      </w:r>
      <w:r>
        <w:rPr>
          <w:sz w:val="24"/>
          <w:szCs w:val="24"/>
        </w:rPr>
        <w:t xml:space="preserve"> question</w:t>
      </w:r>
      <w:r w:rsidR="0045611F">
        <w:rPr>
          <w:sz w:val="24"/>
          <w:szCs w:val="24"/>
        </w:rPr>
        <w:t xml:space="preserve">. This was necessary as the overall topic was organ systems and so the content on breathing had been covered in </w:t>
      </w:r>
      <w:r>
        <w:rPr>
          <w:sz w:val="24"/>
          <w:szCs w:val="24"/>
        </w:rPr>
        <w:t>the</w:t>
      </w:r>
      <w:r w:rsidR="0045611F">
        <w:rPr>
          <w:sz w:val="24"/>
          <w:szCs w:val="24"/>
        </w:rPr>
        <w:t xml:space="preserve"> previous term.</w:t>
      </w:r>
      <w:r w:rsidR="00192E18">
        <w:rPr>
          <w:sz w:val="24"/>
          <w:szCs w:val="24"/>
        </w:rPr>
        <w:t xml:space="preserve"> The information covered in this recap session was not solely on the information required to answer this </w:t>
      </w:r>
      <w:proofErr w:type="gramStart"/>
      <w:r w:rsidR="00192E18">
        <w:rPr>
          <w:sz w:val="24"/>
          <w:szCs w:val="24"/>
        </w:rPr>
        <w:t>particular QER</w:t>
      </w:r>
      <w:proofErr w:type="gramEnd"/>
      <w:r w:rsidR="00192E18">
        <w:rPr>
          <w:sz w:val="24"/>
          <w:szCs w:val="24"/>
        </w:rPr>
        <w:t xml:space="preserve"> question, but an overview of the topic as a whole. The question was on the physical mechanisms that allow breathing to take place, however information on the process of gaseous exchange was also included so as not to influence the specific information learners include within their answers. </w:t>
      </w:r>
    </w:p>
    <w:p w14:paraId="7C54C8EA" w14:textId="16D19EA0" w:rsidR="0045611F" w:rsidRDefault="00C1598A" w:rsidP="00CF782A">
      <w:pPr>
        <w:rPr>
          <w:sz w:val="24"/>
          <w:szCs w:val="24"/>
        </w:rPr>
      </w:pPr>
      <w:r>
        <w:rPr>
          <w:sz w:val="24"/>
          <w:szCs w:val="24"/>
        </w:rPr>
        <w:t>L</w:t>
      </w:r>
      <w:r w:rsidR="0045611F">
        <w:rPr>
          <w:sz w:val="24"/>
          <w:szCs w:val="24"/>
        </w:rPr>
        <w:t xml:space="preserve">earners </w:t>
      </w:r>
      <w:r>
        <w:rPr>
          <w:sz w:val="24"/>
          <w:szCs w:val="24"/>
        </w:rPr>
        <w:t xml:space="preserve">were then instructed to </w:t>
      </w:r>
      <w:r w:rsidR="0045611F">
        <w:rPr>
          <w:sz w:val="24"/>
          <w:szCs w:val="24"/>
        </w:rPr>
        <w:t>complete the pre</w:t>
      </w:r>
      <w:r>
        <w:rPr>
          <w:sz w:val="24"/>
          <w:szCs w:val="24"/>
        </w:rPr>
        <w:t>-</w:t>
      </w:r>
      <w:r w:rsidR="0045611F">
        <w:rPr>
          <w:sz w:val="24"/>
          <w:szCs w:val="24"/>
        </w:rPr>
        <w:t xml:space="preserve"> test QER question on </w:t>
      </w:r>
      <w:r>
        <w:rPr>
          <w:sz w:val="24"/>
          <w:szCs w:val="24"/>
        </w:rPr>
        <w:t xml:space="preserve">the mechanisms of </w:t>
      </w:r>
      <w:r w:rsidR="0045611F">
        <w:rPr>
          <w:sz w:val="24"/>
          <w:szCs w:val="24"/>
        </w:rPr>
        <w:t>breathi</w:t>
      </w:r>
      <w:r w:rsidR="00904433">
        <w:rPr>
          <w:sz w:val="24"/>
          <w:szCs w:val="24"/>
        </w:rPr>
        <w:t>ng, being informed that they could use all information they have access to including lo</w:t>
      </w:r>
      <w:r w:rsidR="0045611F">
        <w:rPr>
          <w:sz w:val="24"/>
          <w:szCs w:val="24"/>
        </w:rPr>
        <w:t>ok</w:t>
      </w:r>
      <w:r w:rsidR="00904433">
        <w:rPr>
          <w:sz w:val="24"/>
          <w:szCs w:val="24"/>
        </w:rPr>
        <w:t>ing</w:t>
      </w:r>
      <w:r w:rsidR="0045611F">
        <w:rPr>
          <w:sz w:val="24"/>
          <w:szCs w:val="24"/>
        </w:rPr>
        <w:t xml:space="preserve"> back in their books.</w:t>
      </w:r>
      <w:r w:rsidR="00904433">
        <w:rPr>
          <w:sz w:val="24"/>
          <w:szCs w:val="24"/>
        </w:rPr>
        <w:t xml:space="preserve"> Whilst they were completing their answers, </w:t>
      </w:r>
      <w:r w:rsidR="0045611F">
        <w:rPr>
          <w:sz w:val="24"/>
          <w:szCs w:val="24"/>
        </w:rPr>
        <w:t>limited guidance was given to learners to ensure that</w:t>
      </w:r>
      <w:r w:rsidR="00904433">
        <w:rPr>
          <w:sz w:val="24"/>
          <w:szCs w:val="24"/>
        </w:rPr>
        <w:t xml:space="preserve"> their answers reflected their </w:t>
      </w:r>
      <w:r w:rsidR="0045611F">
        <w:rPr>
          <w:sz w:val="24"/>
          <w:szCs w:val="24"/>
        </w:rPr>
        <w:t>own work.</w:t>
      </w:r>
    </w:p>
    <w:p w14:paraId="3306F115" w14:textId="06068E66" w:rsidR="0045611F" w:rsidRDefault="00904433" w:rsidP="00CF782A">
      <w:pPr>
        <w:rPr>
          <w:sz w:val="24"/>
          <w:szCs w:val="24"/>
        </w:rPr>
      </w:pPr>
      <w:r>
        <w:rPr>
          <w:sz w:val="24"/>
          <w:szCs w:val="24"/>
        </w:rPr>
        <w:t xml:space="preserve">In their next lesson, the inference square intervention </w:t>
      </w:r>
      <w:r w:rsidR="006A2C39">
        <w:rPr>
          <w:sz w:val="24"/>
          <w:szCs w:val="24"/>
        </w:rPr>
        <w:t>was introduced after learners carried out a starter activity</w:t>
      </w:r>
      <w:r w:rsidR="0045611F">
        <w:rPr>
          <w:sz w:val="24"/>
          <w:szCs w:val="24"/>
        </w:rPr>
        <w:t xml:space="preserve"> writ</w:t>
      </w:r>
      <w:r w:rsidR="006A2C39">
        <w:rPr>
          <w:sz w:val="24"/>
          <w:szCs w:val="24"/>
        </w:rPr>
        <w:t>ing</w:t>
      </w:r>
      <w:r w:rsidR="0045611F">
        <w:rPr>
          <w:sz w:val="24"/>
          <w:szCs w:val="24"/>
        </w:rPr>
        <w:t xml:space="preserve"> down the </w:t>
      </w:r>
      <w:proofErr w:type="gramStart"/>
      <w:r w:rsidR="0045611F">
        <w:rPr>
          <w:sz w:val="24"/>
          <w:szCs w:val="24"/>
        </w:rPr>
        <w:t>information</w:t>
      </w:r>
      <w:proofErr w:type="gramEnd"/>
      <w:r w:rsidR="0045611F">
        <w:rPr>
          <w:sz w:val="24"/>
          <w:szCs w:val="24"/>
        </w:rPr>
        <w:t xml:space="preserve"> they remember</w:t>
      </w:r>
      <w:r w:rsidR="006A2C39">
        <w:rPr>
          <w:sz w:val="24"/>
          <w:szCs w:val="24"/>
        </w:rPr>
        <w:t>ed from the previous lesson</w:t>
      </w:r>
      <w:r w:rsidR="0045611F">
        <w:rPr>
          <w:sz w:val="24"/>
          <w:szCs w:val="24"/>
        </w:rPr>
        <w:t xml:space="preserve"> about breathing. We then went through this information as a class and the information displayed on the board was the same as in the recap from the pre</w:t>
      </w:r>
      <w:r w:rsidR="006A2C39">
        <w:rPr>
          <w:sz w:val="24"/>
          <w:szCs w:val="24"/>
        </w:rPr>
        <w:t>-</w:t>
      </w:r>
      <w:r w:rsidR="0045611F">
        <w:rPr>
          <w:sz w:val="24"/>
          <w:szCs w:val="24"/>
        </w:rPr>
        <w:t xml:space="preserve">test lesson. This is to ensure that the information visible to them during both the pre and post test was the same and so would not influence any improvement in the marks of learners. </w:t>
      </w:r>
    </w:p>
    <w:p w14:paraId="2DF38360" w14:textId="4FEAC4A8" w:rsidR="0045611F" w:rsidRDefault="0045611F" w:rsidP="00CF782A">
      <w:pPr>
        <w:rPr>
          <w:sz w:val="24"/>
          <w:szCs w:val="24"/>
        </w:rPr>
      </w:pPr>
      <w:r>
        <w:rPr>
          <w:sz w:val="24"/>
          <w:szCs w:val="24"/>
        </w:rPr>
        <w:t xml:space="preserve">Learners were then given out the inference square and asked to complete it in the same way they had with a different question in the previous lesson. Again, learners were told that they </w:t>
      </w:r>
      <w:proofErr w:type="gramStart"/>
      <w:r>
        <w:rPr>
          <w:sz w:val="24"/>
          <w:szCs w:val="24"/>
        </w:rPr>
        <w:t>were allowed to</w:t>
      </w:r>
      <w:proofErr w:type="gramEnd"/>
      <w:r>
        <w:rPr>
          <w:sz w:val="24"/>
          <w:szCs w:val="24"/>
        </w:rPr>
        <w:t xml:space="preserve"> look back in their books.</w:t>
      </w:r>
      <w:r w:rsidR="006A2C39">
        <w:rPr>
          <w:sz w:val="24"/>
          <w:szCs w:val="24"/>
        </w:rPr>
        <w:t xml:space="preserve"> </w:t>
      </w:r>
      <w:r>
        <w:rPr>
          <w:sz w:val="24"/>
          <w:szCs w:val="24"/>
        </w:rPr>
        <w:t xml:space="preserve"> </w:t>
      </w:r>
    </w:p>
    <w:p w14:paraId="794E8B6A" w14:textId="3101868B" w:rsidR="0045611F" w:rsidRDefault="0045611F" w:rsidP="00CF782A">
      <w:pPr>
        <w:rPr>
          <w:sz w:val="24"/>
          <w:szCs w:val="24"/>
        </w:rPr>
      </w:pPr>
      <w:r>
        <w:rPr>
          <w:sz w:val="24"/>
          <w:szCs w:val="24"/>
        </w:rPr>
        <w:lastRenderedPageBreak/>
        <w:t xml:space="preserve">Once learners had completed the intervention activity, the same QER question was handed out as the post test. They were </w:t>
      </w:r>
      <w:r w:rsidR="00056CA9">
        <w:rPr>
          <w:sz w:val="24"/>
          <w:szCs w:val="24"/>
        </w:rPr>
        <w:t xml:space="preserve">not given back the papers from the previous lesson as to prevent learners from just copying the answer they had written the previous lesson. </w:t>
      </w:r>
      <w:r w:rsidR="00B70BFA">
        <w:rPr>
          <w:sz w:val="24"/>
          <w:szCs w:val="24"/>
        </w:rPr>
        <w:t xml:space="preserve">Again, assistance with answering the question was limited to ensure the answers were completely those of the individual. </w:t>
      </w:r>
    </w:p>
    <w:p w14:paraId="03C7E021" w14:textId="7A23330C" w:rsidR="0045611F" w:rsidRDefault="00056CA9" w:rsidP="00CF782A">
      <w:pPr>
        <w:rPr>
          <w:sz w:val="24"/>
          <w:szCs w:val="24"/>
        </w:rPr>
      </w:pPr>
      <w:r>
        <w:rPr>
          <w:sz w:val="24"/>
          <w:szCs w:val="24"/>
        </w:rPr>
        <w:t>When marking these QER questions, only a mark out of 5 was awarded. QER questions are usually worth 6 marks however the 6</w:t>
      </w:r>
      <w:r w:rsidRPr="00056CA9">
        <w:rPr>
          <w:sz w:val="24"/>
          <w:szCs w:val="24"/>
          <w:vertAlign w:val="superscript"/>
        </w:rPr>
        <w:t>th</w:t>
      </w:r>
      <w:r>
        <w:rPr>
          <w:sz w:val="24"/>
          <w:szCs w:val="24"/>
        </w:rPr>
        <w:t xml:space="preserve"> mark is awarded for the quality of the writing. As </w:t>
      </w:r>
      <w:r w:rsidR="006A2C39">
        <w:rPr>
          <w:sz w:val="24"/>
          <w:szCs w:val="24"/>
        </w:rPr>
        <w:t xml:space="preserve">the marking is carried out by the researcher and </w:t>
      </w:r>
      <w:r>
        <w:rPr>
          <w:sz w:val="24"/>
          <w:szCs w:val="24"/>
        </w:rPr>
        <w:t xml:space="preserve">this </w:t>
      </w:r>
      <w:r w:rsidR="006A2C39">
        <w:rPr>
          <w:sz w:val="24"/>
          <w:szCs w:val="24"/>
        </w:rPr>
        <w:t xml:space="preserve">mark for written communication is </w:t>
      </w:r>
      <w:r>
        <w:rPr>
          <w:sz w:val="24"/>
          <w:szCs w:val="24"/>
        </w:rPr>
        <w:t xml:space="preserve">subjective to the person marking, </w:t>
      </w:r>
      <w:r w:rsidR="006A2C39">
        <w:rPr>
          <w:sz w:val="24"/>
          <w:szCs w:val="24"/>
        </w:rPr>
        <w:t xml:space="preserve">it was removed to maintain objectivity when marking the answers, as a researcher would want to see a positive result from their intervention and so objectivity cannot be ensured. </w:t>
      </w:r>
      <w:r>
        <w:rPr>
          <w:sz w:val="24"/>
          <w:szCs w:val="24"/>
        </w:rPr>
        <w:t xml:space="preserve">Marking </w:t>
      </w:r>
      <w:r w:rsidR="006A2C39">
        <w:rPr>
          <w:sz w:val="24"/>
          <w:szCs w:val="24"/>
        </w:rPr>
        <w:t xml:space="preserve">of the answers </w:t>
      </w:r>
      <w:r>
        <w:rPr>
          <w:sz w:val="24"/>
          <w:szCs w:val="24"/>
        </w:rPr>
        <w:t xml:space="preserve">was carried out in a standardised way using a </w:t>
      </w:r>
      <w:proofErr w:type="gramStart"/>
      <w:r>
        <w:rPr>
          <w:sz w:val="24"/>
          <w:szCs w:val="24"/>
        </w:rPr>
        <w:t>marking criteria</w:t>
      </w:r>
      <w:proofErr w:type="gramEnd"/>
      <w:r w:rsidR="00DA496F">
        <w:rPr>
          <w:sz w:val="24"/>
          <w:szCs w:val="24"/>
        </w:rPr>
        <w:t xml:space="preserve"> (Figure 2)</w:t>
      </w:r>
      <w:r>
        <w:rPr>
          <w:sz w:val="24"/>
          <w:szCs w:val="24"/>
        </w:rPr>
        <w:t xml:space="preserve"> and </w:t>
      </w:r>
      <w:r w:rsidR="00DA496F">
        <w:rPr>
          <w:sz w:val="24"/>
          <w:szCs w:val="24"/>
        </w:rPr>
        <w:t xml:space="preserve">all answers were marked </w:t>
      </w:r>
      <w:r>
        <w:rPr>
          <w:sz w:val="24"/>
          <w:szCs w:val="24"/>
        </w:rPr>
        <w:t xml:space="preserve">by the same person. </w:t>
      </w:r>
    </w:p>
    <w:p w14:paraId="5AC42248" w14:textId="5925618F" w:rsidR="00D14BC1" w:rsidRDefault="00D14BC1" w:rsidP="00CF782A">
      <w:pPr>
        <w:rPr>
          <w:sz w:val="24"/>
          <w:szCs w:val="24"/>
        </w:rPr>
      </w:pPr>
    </w:p>
    <w:p w14:paraId="2130547B" w14:textId="48F1B485" w:rsidR="00D14BC1" w:rsidRDefault="00D14BC1" w:rsidP="00CF782A">
      <w:pPr>
        <w:rPr>
          <w:sz w:val="24"/>
          <w:szCs w:val="24"/>
          <w:u w:val="single"/>
        </w:rPr>
      </w:pPr>
    </w:p>
    <w:p w14:paraId="01F35010" w14:textId="62876D37" w:rsidR="00D14BC1" w:rsidRDefault="00D14BC1" w:rsidP="00CF782A">
      <w:pPr>
        <w:rPr>
          <w:sz w:val="24"/>
          <w:szCs w:val="24"/>
          <w:u w:val="single"/>
        </w:rPr>
      </w:pPr>
    </w:p>
    <w:p w14:paraId="098BB4BB" w14:textId="458E81DA" w:rsidR="00D14BC1" w:rsidRDefault="00D14BC1" w:rsidP="00CF782A">
      <w:pPr>
        <w:rPr>
          <w:sz w:val="24"/>
          <w:szCs w:val="24"/>
          <w:u w:val="single"/>
        </w:rPr>
      </w:pPr>
    </w:p>
    <w:p w14:paraId="72BE5924" w14:textId="336A5835" w:rsidR="00D14BC1" w:rsidRDefault="00267C0A" w:rsidP="00CF782A">
      <w:pPr>
        <w:rPr>
          <w:sz w:val="24"/>
          <w:szCs w:val="24"/>
          <w:u w:val="single"/>
        </w:rPr>
      </w:pPr>
      <w:r>
        <w:rPr>
          <w:noProof/>
        </w:rPr>
        <w:drawing>
          <wp:inline distT="0" distB="0" distL="0" distR="0" wp14:anchorId="2F9F959E" wp14:editId="3A01F057">
            <wp:extent cx="3256915" cy="4429125"/>
            <wp:effectExtent l="0" t="0" r="63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7146" t="25713" r="65599" b="8374"/>
                    <a:stretch/>
                  </pic:blipFill>
                  <pic:spPr bwMode="auto">
                    <a:xfrm>
                      <a:off x="0" y="0"/>
                      <a:ext cx="3256915" cy="4429125"/>
                    </a:xfrm>
                    <a:prstGeom prst="rect">
                      <a:avLst/>
                    </a:prstGeom>
                    <a:ln>
                      <a:noFill/>
                    </a:ln>
                    <a:extLst>
                      <a:ext uri="{53640926-AAD7-44D8-BBD7-CCE9431645EC}">
                        <a14:shadowObscured xmlns:a14="http://schemas.microsoft.com/office/drawing/2010/main"/>
                      </a:ext>
                    </a:extLst>
                  </pic:spPr>
                </pic:pic>
              </a:graphicData>
            </a:graphic>
          </wp:inline>
        </w:drawing>
      </w:r>
    </w:p>
    <w:p w14:paraId="5E4B003D" w14:textId="29555E0C" w:rsidR="00D14BC1" w:rsidRDefault="00D14BC1" w:rsidP="00CF782A">
      <w:pPr>
        <w:rPr>
          <w:sz w:val="24"/>
          <w:szCs w:val="24"/>
          <w:u w:val="single"/>
        </w:rPr>
      </w:pPr>
      <w:r>
        <w:rPr>
          <w:sz w:val="24"/>
          <w:szCs w:val="24"/>
        </w:rPr>
        <w:t xml:space="preserve">Figure 2 – The marking criteria used across the department for the QER questions. </w:t>
      </w:r>
    </w:p>
    <w:p w14:paraId="052FA774" w14:textId="42641CC3" w:rsidR="00CF782A" w:rsidRDefault="00CF782A" w:rsidP="00CF782A">
      <w:pPr>
        <w:rPr>
          <w:sz w:val="24"/>
          <w:szCs w:val="24"/>
        </w:rPr>
      </w:pPr>
      <w:r w:rsidRPr="00DC43B9">
        <w:rPr>
          <w:sz w:val="24"/>
          <w:szCs w:val="24"/>
          <w:u w:val="single"/>
        </w:rPr>
        <w:lastRenderedPageBreak/>
        <w:t>Evaluation</w:t>
      </w:r>
      <w:r w:rsidRPr="00DC43B9">
        <w:rPr>
          <w:sz w:val="24"/>
          <w:szCs w:val="24"/>
        </w:rPr>
        <w:t xml:space="preserve"> </w:t>
      </w:r>
    </w:p>
    <w:p w14:paraId="08086174" w14:textId="6AFC4BAF" w:rsidR="008D535D" w:rsidRPr="00DC43B9" w:rsidRDefault="00CB6B34" w:rsidP="00CF782A">
      <w:pPr>
        <w:rPr>
          <w:sz w:val="24"/>
          <w:szCs w:val="24"/>
        </w:rPr>
      </w:pPr>
      <w:r>
        <w:rPr>
          <w:sz w:val="24"/>
          <w:szCs w:val="24"/>
        </w:rPr>
        <w:t xml:space="preserve">During this research project, the same </w:t>
      </w:r>
      <w:r w:rsidR="008D535D">
        <w:rPr>
          <w:sz w:val="24"/>
          <w:szCs w:val="24"/>
        </w:rPr>
        <w:t>question</w:t>
      </w:r>
      <w:r>
        <w:rPr>
          <w:sz w:val="24"/>
          <w:szCs w:val="24"/>
        </w:rPr>
        <w:t xml:space="preserve"> was used both</w:t>
      </w:r>
      <w:r w:rsidR="008D535D">
        <w:rPr>
          <w:sz w:val="24"/>
          <w:szCs w:val="24"/>
        </w:rPr>
        <w:t xml:space="preserve"> pre and post- test</w:t>
      </w:r>
      <w:r w:rsidR="00503078">
        <w:rPr>
          <w:sz w:val="24"/>
          <w:szCs w:val="24"/>
        </w:rPr>
        <w:t>.</w:t>
      </w:r>
      <w:r w:rsidR="008D535D">
        <w:rPr>
          <w:sz w:val="24"/>
          <w:szCs w:val="24"/>
        </w:rPr>
        <w:t xml:space="preserve"> </w:t>
      </w:r>
      <w:r w:rsidR="00503078">
        <w:rPr>
          <w:sz w:val="24"/>
          <w:szCs w:val="24"/>
        </w:rPr>
        <w:t>D</w:t>
      </w:r>
      <w:r w:rsidR="008D535D">
        <w:rPr>
          <w:sz w:val="24"/>
          <w:szCs w:val="24"/>
        </w:rPr>
        <w:t xml:space="preserve">espite PISA and QER questions assessing the same skills and therefore </w:t>
      </w:r>
      <w:r w:rsidR="00503078">
        <w:rPr>
          <w:sz w:val="24"/>
          <w:szCs w:val="24"/>
        </w:rPr>
        <w:t>any impact</w:t>
      </w:r>
      <w:r w:rsidR="008D535D">
        <w:rPr>
          <w:sz w:val="24"/>
          <w:szCs w:val="24"/>
        </w:rPr>
        <w:t xml:space="preserve"> of the intervention could have been gauged using a different question, this question was the one all year 9 classes were completing </w:t>
      </w:r>
      <w:r w:rsidR="00503078">
        <w:rPr>
          <w:sz w:val="24"/>
          <w:szCs w:val="24"/>
        </w:rPr>
        <w:t xml:space="preserve">within the Science department </w:t>
      </w:r>
      <w:r w:rsidR="008D535D">
        <w:rPr>
          <w:sz w:val="24"/>
          <w:szCs w:val="24"/>
        </w:rPr>
        <w:t>as a part of normal school practice.</w:t>
      </w:r>
      <w:r w:rsidR="00503078">
        <w:rPr>
          <w:sz w:val="24"/>
          <w:szCs w:val="24"/>
        </w:rPr>
        <w:t xml:space="preserve"> It was for this reason that the question used within this project was a QER question rather than a PISA question. Another advantage of using the same question as both the pre and post- test assessment was that </w:t>
      </w:r>
      <w:r w:rsidR="008D535D">
        <w:rPr>
          <w:sz w:val="24"/>
          <w:szCs w:val="24"/>
        </w:rPr>
        <w:t xml:space="preserve">consistency </w:t>
      </w:r>
      <w:r w:rsidR="00503078">
        <w:rPr>
          <w:sz w:val="24"/>
          <w:szCs w:val="24"/>
        </w:rPr>
        <w:t xml:space="preserve">was kept </w:t>
      </w:r>
      <w:r w:rsidR="008D535D">
        <w:rPr>
          <w:sz w:val="24"/>
          <w:szCs w:val="24"/>
        </w:rPr>
        <w:t>with regards to the difficulty of the question</w:t>
      </w:r>
      <w:r w:rsidR="00503078">
        <w:rPr>
          <w:sz w:val="24"/>
          <w:szCs w:val="24"/>
        </w:rPr>
        <w:t>. This</w:t>
      </w:r>
      <w:r w:rsidR="008D535D">
        <w:rPr>
          <w:sz w:val="24"/>
          <w:szCs w:val="24"/>
        </w:rPr>
        <w:t xml:space="preserve"> therefore mean</w:t>
      </w:r>
      <w:r w:rsidR="00503078">
        <w:rPr>
          <w:sz w:val="24"/>
          <w:szCs w:val="24"/>
        </w:rPr>
        <w:t>t</w:t>
      </w:r>
      <w:r w:rsidR="008D535D">
        <w:rPr>
          <w:sz w:val="24"/>
          <w:szCs w:val="24"/>
        </w:rPr>
        <w:t xml:space="preserve"> that any improvement could not be attributed to these differences as opposed to the introduction of the intervention</w:t>
      </w:r>
      <w:r w:rsidR="00503078">
        <w:rPr>
          <w:sz w:val="24"/>
          <w:szCs w:val="24"/>
        </w:rPr>
        <w:t xml:space="preserve">, and therefore makes the findings of this study more robust. </w:t>
      </w:r>
    </w:p>
    <w:p w14:paraId="2036CEBB" w14:textId="77777777" w:rsidR="008A20BA" w:rsidRDefault="00E26C52" w:rsidP="00CF782A">
      <w:pPr>
        <w:rPr>
          <w:sz w:val="24"/>
          <w:szCs w:val="24"/>
        </w:rPr>
      </w:pPr>
      <w:r>
        <w:rPr>
          <w:sz w:val="24"/>
          <w:szCs w:val="24"/>
        </w:rPr>
        <w:t xml:space="preserve">The inference square was intended to be a simple intervention method which would allow learners to change their perception of the QER questions in order to </w:t>
      </w:r>
      <w:r w:rsidR="00573991">
        <w:rPr>
          <w:sz w:val="24"/>
          <w:szCs w:val="24"/>
        </w:rPr>
        <w:t xml:space="preserve">maximise results. </w:t>
      </w:r>
      <w:r w:rsidR="0029555A">
        <w:rPr>
          <w:sz w:val="24"/>
          <w:szCs w:val="24"/>
        </w:rPr>
        <w:t>T</w:t>
      </w:r>
      <w:r w:rsidR="00573991">
        <w:rPr>
          <w:sz w:val="24"/>
          <w:szCs w:val="24"/>
        </w:rPr>
        <w:t xml:space="preserve">he inference square was chosen as it seemed using a tool that are used in </w:t>
      </w:r>
      <w:proofErr w:type="gramStart"/>
      <w:r w:rsidR="00573991">
        <w:rPr>
          <w:sz w:val="24"/>
          <w:szCs w:val="24"/>
        </w:rPr>
        <w:t>literacy based</w:t>
      </w:r>
      <w:proofErr w:type="gramEnd"/>
      <w:r w:rsidR="00573991">
        <w:rPr>
          <w:sz w:val="24"/>
          <w:szCs w:val="24"/>
        </w:rPr>
        <w:t xml:space="preserve"> subjects such as English and History to a task trying to improve scientific literacy was logical</w:t>
      </w:r>
      <w:r w:rsidR="0055244F">
        <w:rPr>
          <w:sz w:val="24"/>
          <w:szCs w:val="24"/>
        </w:rPr>
        <w:t xml:space="preserve"> as general literacy skills are fundamental to the development of scientific literacy (Norris </w:t>
      </w:r>
      <w:r w:rsidR="00B94558">
        <w:rPr>
          <w:sz w:val="24"/>
          <w:szCs w:val="24"/>
        </w:rPr>
        <w:t>and</w:t>
      </w:r>
      <w:r w:rsidR="0055244F">
        <w:rPr>
          <w:sz w:val="24"/>
          <w:szCs w:val="24"/>
        </w:rPr>
        <w:t xml:space="preserve"> Phillips, 2003). </w:t>
      </w:r>
      <w:r w:rsidR="00573991">
        <w:rPr>
          <w:sz w:val="24"/>
          <w:szCs w:val="24"/>
        </w:rPr>
        <w:t>Broken down into three sections, the inference square</w:t>
      </w:r>
      <w:r w:rsidR="0055244F">
        <w:rPr>
          <w:sz w:val="24"/>
          <w:szCs w:val="24"/>
        </w:rPr>
        <w:t xml:space="preserve"> (figure 3)</w:t>
      </w:r>
      <w:r w:rsidR="00573991">
        <w:rPr>
          <w:sz w:val="24"/>
          <w:szCs w:val="24"/>
        </w:rPr>
        <w:t xml:space="preserve"> design was based upon reading around the improvement of answering this style of question</w:t>
      </w:r>
      <w:r w:rsidR="00B94558">
        <w:rPr>
          <w:sz w:val="24"/>
          <w:szCs w:val="24"/>
        </w:rPr>
        <w:t>.</w:t>
      </w:r>
      <w:r w:rsidR="008A20BA">
        <w:rPr>
          <w:sz w:val="24"/>
          <w:szCs w:val="24"/>
        </w:rPr>
        <w:t xml:space="preserve"> </w:t>
      </w:r>
    </w:p>
    <w:p w14:paraId="3A311960" w14:textId="2AC2FBB0" w:rsidR="0055244F" w:rsidRDefault="00B94558" w:rsidP="00CF782A">
      <w:pPr>
        <w:rPr>
          <w:sz w:val="24"/>
          <w:szCs w:val="24"/>
        </w:rPr>
      </w:pPr>
      <w:r>
        <w:rPr>
          <w:sz w:val="24"/>
          <w:szCs w:val="24"/>
        </w:rPr>
        <w:t>Firstly, the ‘what we know already’ section allow</w:t>
      </w:r>
      <w:r w:rsidR="00875137">
        <w:rPr>
          <w:sz w:val="24"/>
          <w:szCs w:val="24"/>
        </w:rPr>
        <w:t>ed</w:t>
      </w:r>
      <w:r>
        <w:rPr>
          <w:sz w:val="24"/>
          <w:szCs w:val="24"/>
        </w:rPr>
        <w:t xml:space="preserve"> learners to reflect on the content knowledge on the topic they </w:t>
      </w:r>
      <w:r w:rsidR="00875137">
        <w:rPr>
          <w:sz w:val="24"/>
          <w:szCs w:val="24"/>
        </w:rPr>
        <w:t>had</w:t>
      </w:r>
      <w:r>
        <w:rPr>
          <w:sz w:val="24"/>
          <w:szCs w:val="24"/>
        </w:rPr>
        <w:t xml:space="preserve"> learned during lessons. Reflective practice is a skill PISA and QER questions aim to address (Sadler and </w:t>
      </w:r>
      <w:proofErr w:type="spellStart"/>
      <w:r>
        <w:rPr>
          <w:sz w:val="24"/>
          <w:szCs w:val="24"/>
        </w:rPr>
        <w:t>Zeidler</w:t>
      </w:r>
      <w:proofErr w:type="spellEnd"/>
      <w:r>
        <w:rPr>
          <w:sz w:val="24"/>
          <w:szCs w:val="24"/>
        </w:rPr>
        <w:t xml:space="preserve">, 2009), which </w:t>
      </w:r>
      <w:r w:rsidR="00875137">
        <w:rPr>
          <w:sz w:val="24"/>
          <w:szCs w:val="24"/>
        </w:rPr>
        <w:t xml:space="preserve">was developed with this section of the inference square. </w:t>
      </w:r>
      <w:r w:rsidR="003C3D5E">
        <w:rPr>
          <w:sz w:val="24"/>
          <w:szCs w:val="24"/>
        </w:rPr>
        <w:t xml:space="preserve">PISA (and therefore QER) questions aim to assess three competencies, one of which is ‘explaining phenomena scientifically’ (Ching She et al., 2018) which will be achieved by this section of the inference square. </w:t>
      </w:r>
      <w:r w:rsidR="00875137">
        <w:rPr>
          <w:sz w:val="24"/>
          <w:szCs w:val="24"/>
        </w:rPr>
        <w:t xml:space="preserve">During the pre-test lesson, and before the intervention was introduced, learners had the opportunity to briefly revisit the information covered in past lessons that would be necessary for answering the QER question. This was also done as a method as reflective practice which enabled learners to access the question. </w:t>
      </w:r>
      <w:r w:rsidR="008A20BA">
        <w:rPr>
          <w:sz w:val="24"/>
          <w:szCs w:val="24"/>
        </w:rPr>
        <w:t xml:space="preserve">Furthermore, prior to the </w:t>
      </w:r>
      <w:r w:rsidR="00C0271F">
        <w:rPr>
          <w:sz w:val="24"/>
          <w:szCs w:val="24"/>
        </w:rPr>
        <w:t>introduction of the intervention, the information learners included from prior learning was limited and did not provide a fully comprehensive answer addressing all aspects of the question. After the intervention, where learners used this section of the square to organise their knowledge</w:t>
      </w:r>
      <w:r w:rsidR="00FF177B">
        <w:rPr>
          <w:sz w:val="24"/>
          <w:szCs w:val="24"/>
        </w:rPr>
        <w:t xml:space="preserve"> on the subject, there was also evidence to show that when trying to complete this section of the activity to the best of their ability, learners had used their books to gather extra information that they had not previously included within their answers.   </w:t>
      </w:r>
    </w:p>
    <w:p w14:paraId="2ACBB136" w14:textId="618B1C8E" w:rsidR="004805EE" w:rsidRDefault="004805EE" w:rsidP="00CF782A">
      <w:pPr>
        <w:rPr>
          <w:sz w:val="24"/>
          <w:szCs w:val="24"/>
        </w:rPr>
      </w:pPr>
      <w:r>
        <w:rPr>
          <w:sz w:val="24"/>
          <w:szCs w:val="24"/>
        </w:rPr>
        <w:t xml:space="preserve">Secondly, the ‘what we know from the question’ section of the inference square was designed to encourage learners to utilise the information provided to them in the question to its full extent. </w:t>
      </w:r>
      <w:r w:rsidR="00902A64">
        <w:rPr>
          <w:sz w:val="24"/>
          <w:szCs w:val="24"/>
        </w:rPr>
        <w:t xml:space="preserve">With PISA and QER questions, much of the information which is fundamental to include in the answer is </w:t>
      </w:r>
      <w:r w:rsidR="000A13B9">
        <w:rPr>
          <w:sz w:val="24"/>
          <w:szCs w:val="24"/>
        </w:rPr>
        <w:t xml:space="preserve">included in the context of the question as they are intended to measure a student’s ability to apply knowledge they have been provided with to situations. </w:t>
      </w:r>
      <w:r w:rsidR="007C5A81">
        <w:rPr>
          <w:sz w:val="24"/>
          <w:szCs w:val="24"/>
        </w:rPr>
        <w:t xml:space="preserve">This is meant to assess the competency of </w:t>
      </w:r>
      <w:r w:rsidR="00AC337F">
        <w:rPr>
          <w:sz w:val="24"/>
          <w:szCs w:val="24"/>
        </w:rPr>
        <w:t xml:space="preserve">interpreting data scientifically aspect of PISA questions (She </w:t>
      </w:r>
      <w:proofErr w:type="spellStart"/>
      <w:r w:rsidR="00AC337F">
        <w:rPr>
          <w:sz w:val="24"/>
          <w:szCs w:val="24"/>
        </w:rPr>
        <w:t>et</w:t>
      </w:r>
      <w:proofErr w:type="spellEnd"/>
      <w:r w:rsidR="00AC337F">
        <w:rPr>
          <w:sz w:val="24"/>
          <w:szCs w:val="24"/>
        </w:rPr>
        <w:t xml:space="preserve"> all., 2018). </w:t>
      </w:r>
      <w:r w:rsidR="000A13B9">
        <w:rPr>
          <w:sz w:val="24"/>
          <w:szCs w:val="24"/>
        </w:rPr>
        <w:t xml:space="preserve">This was therefore essential to include within the intervention as, again, it develops the skills essential for achieving the highest marks with </w:t>
      </w:r>
      <w:r w:rsidR="000A13B9">
        <w:rPr>
          <w:sz w:val="24"/>
          <w:szCs w:val="24"/>
        </w:rPr>
        <w:lastRenderedPageBreak/>
        <w:t>this style of question. There is often a</w:t>
      </w:r>
      <w:r w:rsidR="002A14B6">
        <w:rPr>
          <w:sz w:val="24"/>
          <w:szCs w:val="24"/>
        </w:rPr>
        <w:t xml:space="preserve"> misunderstanding among learners about what they are expected to include within their answers, and an inability by some learners to develop a method from which they can formulate an answer (Hebel et al., 2016). This section of the inference square addresses these issues and provides all learners with a tool from which they can develop answers. </w:t>
      </w:r>
      <w:r w:rsidR="00575517">
        <w:rPr>
          <w:sz w:val="24"/>
          <w:szCs w:val="24"/>
        </w:rPr>
        <w:t xml:space="preserve">From the answers given in the pre-test (figure 4) responses, many of the learners failed to mention </w:t>
      </w:r>
      <w:proofErr w:type="gramStart"/>
      <w:r w:rsidR="00575517">
        <w:rPr>
          <w:sz w:val="24"/>
          <w:szCs w:val="24"/>
        </w:rPr>
        <w:t>all of</w:t>
      </w:r>
      <w:proofErr w:type="gramEnd"/>
      <w:r w:rsidR="00575517">
        <w:rPr>
          <w:sz w:val="24"/>
          <w:szCs w:val="24"/>
        </w:rPr>
        <w:t xml:space="preserve"> the anatomical parts specifically labelled in the question that you would expect learners to refer to. </w:t>
      </w:r>
      <w:r w:rsidR="00C0271F">
        <w:rPr>
          <w:sz w:val="24"/>
          <w:szCs w:val="24"/>
        </w:rPr>
        <w:t xml:space="preserve">In addition to this, the illustrations within the QER question demonstrate </w:t>
      </w:r>
      <w:r w:rsidR="00FF177B">
        <w:rPr>
          <w:sz w:val="24"/>
          <w:szCs w:val="24"/>
        </w:rPr>
        <w:t xml:space="preserve">the process learners are being asked to explain, which many of them failed to. </w:t>
      </w:r>
      <w:r w:rsidR="00575517">
        <w:rPr>
          <w:sz w:val="24"/>
          <w:szCs w:val="24"/>
        </w:rPr>
        <w:t xml:space="preserve">However, after the introduction of the intervention, many of the learners had discussed </w:t>
      </w:r>
      <w:proofErr w:type="gramStart"/>
      <w:r w:rsidR="00575517">
        <w:rPr>
          <w:sz w:val="24"/>
          <w:szCs w:val="24"/>
        </w:rPr>
        <w:t>all of</w:t>
      </w:r>
      <w:proofErr w:type="gramEnd"/>
      <w:r w:rsidR="00575517">
        <w:rPr>
          <w:sz w:val="24"/>
          <w:szCs w:val="24"/>
        </w:rPr>
        <w:t xml:space="preserve"> the anatomical parts, even if not in the detail needed to achieve the mark. This therefore demonstrates that learners </w:t>
      </w:r>
      <w:r w:rsidR="001323EF">
        <w:rPr>
          <w:sz w:val="24"/>
          <w:szCs w:val="24"/>
        </w:rPr>
        <w:t xml:space="preserve">paid less attention to the content of the question and did not make the link between the information that had been provided and what was needed to be included within the question prior to the intervention activity. </w:t>
      </w:r>
    </w:p>
    <w:p w14:paraId="13ACC023" w14:textId="725DAA27" w:rsidR="00B4646A" w:rsidRDefault="00AC337F" w:rsidP="00CF782A">
      <w:pPr>
        <w:rPr>
          <w:sz w:val="24"/>
          <w:szCs w:val="24"/>
        </w:rPr>
      </w:pPr>
      <w:r>
        <w:rPr>
          <w:sz w:val="24"/>
          <w:szCs w:val="24"/>
        </w:rPr>
        <w:t xml:space="preserve">Finally, the conclusion box included in the intervention was included for learners to make links between the information they had included within the other two sections of the inference square, and to </w:t>
      </w:r>
      <w:r w:rsidR="005D384E">
        <w:rPr>
          <w:sz w:val="24"/>
          <w:szCs w:val="24"/>
        </w:rPr>
        <w:t xml:space="preserve">start to develop a coherent answer while applying these links to the QER question they had been presented with. </w:t>
      </w:r>
      <w:r w:rsidR="005017E3">
        <w:rPr>
          <w:sz w:val="24"/>
          <w:szCs w:val="24"/>
        </w:rPr>
        <w:t>Linking their prior knowledge which was gathered in the first section to new knowledge which was gathered in the second section is key to developing scientific literacy skills of learners (</w:t>
      </w:r>
      <w:proofErr w:type="spellStart"/>
      <w:r w:rsidR="005017E3">
        <w:rPr>
          <w:sz w:val="24"/>
          <w:szCs w:val="24"/>
        </w:rPr>
        <w:t>Kradcik</w:t>
      </w:r>
      <w:proofErr w:type="spellEnd"/>
      <w:r w:rsidR="005017E3">
        <w:rPr>
          <w:sz w:val="24"/>
          <w:szCs w:val="24"/>
        </w:rPr>
        <w:t xml:space="preserve"> and Sutherland, 2010). </w:t>
      </w:r>
      <w:r w:rsidR="005D384E">
        <w:rPr>
          <w:sz w:val="24"/>
          <w:szCs w:val="24"/>
        </w:rPr>
        <w:t xml:space="preserve">Also, the other two sections of the inference square just required the input of information they knew previously or had gathered from the question. The conclusion section encourages the application of this knowledge to answer the question, rather than just listing information. During the lesson learners were encouraged to write their conclusion in this box in the form of concise bullet points on which they could expand when writing out their response to the QER question. </w:t>
      </w:r>
      <w:r w:rsidR="00B4646A">
        <w:rPr>
          <w:sz w:val="24"/>
          <w:szCs w:val="24"/>
        </w:rPr>
        <w:t xml:space="preserve"> </w:t>
      </w:r>
    </w:p>
    <w:p w14:paraId="00F392A9" w14:textId="7CF729A0" w:rsidR="006978D6" w:rsidRDefault="006978D6" w:rsidP="00CF782A">
      <w:pPr>
        <w:rPr>
          <w:sz w:val="24"/>
          <w:szCs w:val="24"/>
        </w:rPr>
      </w:pPr>
      <w:r>
        <w:rPr>
          <w:sz w:val="24"/>
          <w:szCs w:val="24"/>
        </w:rPr>
        <w:t xml:space="preserve">The skills emphasised by the intervention activity had never been explicitly taught to learners. Whilst they were told to ‘read the question carefully’, when observing these QER answering lessons done by a number of teachers in School X, they were never told to use the information in the question to give them guidance in their answer, nor were they reminded that if for example, in this case an anatomical part is in a diagram and labelled, then there would be an expectation that that part should be discussed within their answer. </w:t>
      </w:r>
      <w:proofErr w:type="gramStart"/>
      <w:r>
        <w:rPr>
          <w:sz w:val="24"/>
          <w:szCs w:val="24"/>
        </w:rPr>
        <w:t>Therefore</w:t>
      </w:r>
      <w:proofErr w:type="gramEnd"/>
      <w:r>
        <w:rPr>
          <w:sz w:val="24"/>
          <w:szCs w:val="24"/>
        </w:rPr>
        <w:t xml:space="preserve"> the inference square provided learners with this guidance and through the sections of the square, told them what is expected to be included. </w:t>
      </w:r>
    </w:p>
    <w:p w14:paraId="7F11ED2E" w14:textId="7CBA93A7" w:rsidR="00503078" w:rsidRDefault="00503078" w:rsidP="00CF782A">
      <w:pPr>
        <w:rPr>
          <w:sz w:val="24"/>
          <w:szCs w:val="24"/>
        </w:rPr>
      </w:pPr>
      <w:r>
        <w:rPr>
          <w:sz w:val="24"/>
          <w:szCs w:val="24"/>
        </w:rPr>
        <w:t>The decision to introduce learners to the inference square</w:t>
      </w:r>
      <w:r w:rsidR="00A4367B">
        <w:rPr>
          <w:sz w:val="24"/>
          <w:szCs w:val="24"/>
        </w:rPr>
        <w:t xml:space="preserve"> prior to using it as the intervention activity itself was taken as it was felt that introducing it for the first time during the intervention lesson would have meant learners not using the square to it’s full potential. The recommendation was made to do this by the classes usual teacher, and whilst it did introduce learners to the skills developed by the inference squares directly prior to the pre-test question being given, at this point learners were not aware that they would be answering this same question as the post- test question and were not made aware that the inference square was a method by which they could potentially improve their answer. </w:t>
      </w:r>
      <w:r w:rsidR="00A4367B">
        <w:rPr>
          <w:sz w:val="24"/>
          <w:szCs w:val="24"/>
        </w:rPr>
        <w:lastRenderedPageBreak/>
        <w:t xml:space="preserve">Therefore, this led to familiarity with using the square by learners during the intervention, however it is unlikely that during the answering of the pre- test question learners had used the skills the inference square had aimed to address by its introduction. </w:t>
      </w:r>
    </w:p>
    <w:p w14:paraId="13D76399" w14:textId="26AEC33F" w:rsidR="0055244F" w:rsidRDefault="00575517" w:rsidP="00CF782A">
      <w:pPr>
        <w:rPr>
          <w:sz w:val="24"/>
          <w:szCs w:val="24"/>
        </w:rPr>
      </w:pPr>
      <w:r>
        <w:rPr>
          <w:noProof/>
        </w:rPr>
        <w:lastRenderedPageBreak/>
        <w:drawing>
          <wp:anchor distT="0" distB="0" distL="114300" distR="114300" simplePos="0" relativeHeight="251660288" behindDoc="1" locked="0" layoutInCell="1" allowOverlap="1" wp14:anchorId="71BC6FBA" wp14:editId="378C89CA">
            <wp:simplePos x="0" y="0"/>
            <wp:positionH relativeFrom="column">
              <wp:posOffset>238125</wp:posOffset>
            </wp:positionH>
            <wp:positionV relativeFrom="paragraph">
              <wp:posOffset>5209540</wp:posOffset>
            </wp:positionV>
            <wp:extent cx="5532755" cy="3232785"/>
            <wp:effectExtent l="0" t="0" r="0" b="5715"/>
            <wp:wrapTight wrapText="bothSides">
              <wp:wrapPolygon edited="0">
                <wp:start x="0" y="0"/>
                <wp:lineTo x="0" y="21511"/>
                <wp:lineTo x="21493" y="21511"/>
                <wp:lineTo x="2149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8252" t="21966" r="24052" b="28472"/>
                    <a:stretch/>
                  </pic:blipFill>
                  <pic:spPr bwMode="auto">
                    <a:xfrm>
                      <a:off x="0" y="0"/>
                      <a:ext cx="5532755" cy="3232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244F">
        <w:rPr>
          <w:noProof/>
        </w:rPr>
        <w:drawing>
          <wp:anchor distT="0" distB="0" distL="114300" distR="114300" simplePos="0" relativeHeight="251659264" behindDoc="1" locked="0" layoutInCell="1" allowOverlap="1" wp14:anchorId="2D9B6CFD" wp14:editId="50BC7710">
            <wp:simplePos x="0" y="0"/>
            <wp:positionH relativeFrom="column">
              <wp:posOffset>0</wp:posOffset>
            </wp:positionH>
            <wp:positionV relativeFrom="paragraph">
              <wp:posOffset>3175</wp:posOffset>
            </wp:positionV>
            <wp:extent cx="5507355" cy="4596130"/>
            <wp:effectExtent l="0" t="0" r="0" b="0"/>
            <wp:wrapTight wrapText="bothSides">
              <wp:wrapPolygon edited="0">
                <wp:start x="0" y="0"/>
                <wp:lineTo x="0" y="21487"/>
                <wp:lineTo x="21518" y="21487"/>
                <wp:lineTo x="2151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4497" t="16166" r="27261" b="12228"/>
                    <a:stretch/>
                  </pic:blipFill>
                  <pic:spPr bwMode="auto">
                    <a:xfrm>
                      <a:off x="0" y="0"/>
                      <a:ext cx="5507355" cy="4596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244F">
        <w:rPr>
          <w:sz w:val="24"/>
          <w:szCs w:val="24"/>
        </w:rPr>
        <w:t xml:space="preserve">Figure 3 – Inference square used as the intervention activity </w:t>
      </w:r>
      <w:r w:rsidR="00B94558">
        <w:rPr>
          <w:sz w:val="24"/>
          <w:szCs w:val="24"/>
        </w:rPr>
        <w:t xml:space="preserve">during the sequence of lessons for this study. </w:t>
      </w:r>
    </w:p>
    <w:p w14:paraId="4AA888CF" w14:textId="46A95FF8" w:rsidR="00575517" w:rsidRDefault="00575517" w:rsidP="00CF782A">
      <w:pPr>
        <w:rPr>
          <w:sz w:val="24"/>
          <w:szCs w:val="24"/>
        </w:rPr>
      </w:pPr>
      <w:r>
        <w:rPr>
          <w:sz w:val="24"/>
          <w:szCs w:val="24"/>
        </w:rPr>
        <w:t>Figure 4 – The QER question given to learners as the pre and post</w:t>
      </w:r>
      <w:r w:rsidR="00FF177B">
        <w:rPr>
          <w:sz w:val="24"/>
          <w:szCs w:val="24"/>
        </w:rPr>
        <w:t>-</w:t>
      </w:r>
      <w:r>
        <w:rPr>
          <w:sz w:val="24"/>
          <w:szCs w:val="24"/>
        </w:rPr>
        <w:t xml:space="preserve"> test.</w:t>
      </w:r>
    </w:p>
    <w:p w14:paraId="6AD39970" w14:textId="74481582" w:rsidR="00F558EA" w:rsidRDefault="00525C41" w:rsidP="00CF782A">
      <w:pPr>
        <w:rPr>
          <w:sz w:val="24"/>
          <w:szCs w:val="24"/>
        </w:rPr>
      </w:pPr>
      <w:r>
        <w:rPr>
          <w:sz w:val="24"/>
          <w:szCs w:val="24"/>
        </w:rPr>
        <w:lastRenderedPageBreak/>
        <w:t>Marking of the QER responses was carried out using a standardised mark scheme which was used across the Science department within School X. This was done in order to ensure that the content learners had included within their response was what was outlined in the mark scheme. As this QER question was a standardised assessment across the department, the marking had to be consistent between teachers. This was beneficial for this research as it meant that the effects of marker bias were greatly reduced. As a researcher, you would want to see an improvement in marks to provide evidence that your intervention had worked</w:t>
      </w:r>
      <w:r w:rsidR="00F73B50">
        <w:rPr>
          <w:sz w:val="24"/>
          <w:szCs w:val="24"/>
        </w:rPr>
        <w:t xml:space="preserve"> (Pigott et al., 2013)</w:t>
      </w:r>
      <w:r>
        <w:rPr>
          <w:sz w:val="24"/>
          <w:szCs w:val="24"/>
        </w:rPr>
        <w:t>, and therefore marking could be subject to researcher bias. However, using a content</w:t>
      </w:r>
      <w:r w:rsidR="00A170AC">
        <w:rPr>
          <w:sz w:val="24"/>
          <w:szCs w:val="24"/>
        </w:rPr>
        <w:t>-</w:t>
      </w:r>
      <w:r>
        <w:rPr>
          <w:sz w:val="24"/>
          <w:szCs w:val="24"/>
        </w:rPr>
        <w:t xml:space="preserve"> based mark scheme and removing the subjective 6</w:t>
      </w:r>
      <w:r w:rsidRPr="00525C41">
        <w:rPr>
          <w:sz w:val="24"/>
          <w:szCs w:val="24"/>
          <w:vertAlign w:val="superscript"/>
        </w:rPr>
        <w:t>th</w:t>
      </w:r>
      <w:r>
        <w:rPr>
          <w:sz w:val="24"/>
          <w:szCs w:val="24"/>
        </w:rPr>
        <w:t>mark for the quality of written communication meant that it was more difficult to be su</w:t>
      </w:r>
      <w:r w:rsidR="00F73B50">
        <w:rPr>
          <w:sz w:val="24"/>
          <w:szCs w:val="24"/>
        </w:rPr>
        <w:t xml:space="preserve">bjective when marking the work. It also meant that learners received the feedback in the form of ‘what went well, even better if’ to improve future work. </w:t>
      </w:r>
    </w:p>
    <w:p w14:paraId="282649A8" w14:textId="11F60AAC" w:rsidR="00120481" w:rsidRDefault="00120481" w:rsidP="00CF782A">
      <w:pPr>
        <w:rPr>
          <w:sz w:val="24"/>
          <w:szCs w:val="24"/>
        </w:rPr>
      </w:pPr>
      <w:r>
        <w:rPr>
          <w:sz w:val="24"/>
          <w:szCs w:val="24"/>
        </w:rPr>
        <w:t xml:space="preserve">This study </w:t>
      </w:r>
      <w:r w:rsidR="00E26C52">
        <w:rPr>
          <w:sz w:val="24"/>
          <w:szCs w:val="24"/>
        </w:rPr>
        <w:t xml:space="preserve">of 45 year 9 learners </w:t>
      </w:r>
      <w:r>
        <w:rPr>
          <w:sz w:val="24"/>
          <w:szCs w:val="24"/>
        </w:rPr>
        <w:t xml:space="preserve">has </w:t>
      </w:r>
      <w:r w:rsidR="00B311A9">
        <w:rPr>
          <w:sz w:val="24"/>
          <w:szCs w:val="24"/>
        </w:rPr>
        <w:t xml:space="preserve">found </w:t>
      </w:r>
      <w:r w:rsidR="00FF177B">
        <w:rPr>
          <w:sz w:val="24"/>
          <w:szCs w:val="24"/>
        </w:rPr>
        <w:t xml:space="preserve">that during the post- test activity, there was </w:t>
      </w:r>
      <w:r w:rsidR="00B311A9">
        <w:rPr>
          <w:sz w:val="24"/>
          <w:szCs w:val="24"/>
        </w:rPr>
        <w:t xml:space="preserve">an increase in the average </w:t>
      </w:r>
      <w:r w:rsidR="00005363">
        <w:rPr>
          <w:sz w:val="24"/>
          <w:szCs w:val="24"/>
        </w:rPr>
        <w:t>mark achieved by learners of 0.93</w:t>
      </w:r>
      <w:r w:rsidR="009A7386">
        <w:rPr>
          <w:sz w:val="24"/>
          <w:szCs w:val="24"/>
        </w:rPr>
        <w:t xml:space="preserve"> (Figure 3)</w:t>
      </w:r>
      <w:r w:rsidR="00005363">
        <w:rPr>
          <w:sz w:val="24"/>
          <w:szCs w:val="24"/>
        </w:rPr>
        <w:t xml:space="preserve"> which is an average increase of 18.6%. </w:t>
      </w:r>
      <w:r w:rsidR="00A4367B">
        <w:rPr>
          <w:sz w:val="24"/>
          <w:szCs w:val="24"/>
        </w:rPr>
        <w:t xml:space="preserve">The decision was made to exclude the results of any learners that were only present for one of the lessons as the research was to look into the impact of the inference square on the marks of QER questions, therefore including any learners scores that had either not participated in the intervention or in the post- test would have skewed the resulting impact of the intervention. </w:t>
      </w:r>
    </w:p>
    <w:p w14:paraId="0AE6464A" w14:textId="7F3AD2CC" w:rsidR="009A7386" w:rsidRDefault="009A7386" w:rsidP="00CF782A">
      <w:pPr>
        <w:rPr>
          <w:sz w:val="24"/>
          <w:szCs w:val="24"/>
        </w:rPr>
      </w:pPr>
      <w:r>
        <w:rPr>
          <w:noProof/>
        </w:rPr>
        <w:drawing>
          <wp:inline distT="0" distB="0" distL="0" distR="0" wp14:anchorId="69283A73" wp14:editId="1AEC8492">
            <wp:extent cx="4572000" cy="2743200"/>
            <wp:effectExtent l="0" t="0" r="0" b="0"/>
            <wp:docPr id="1" name="Chart 1">
              <a:extLst xmlns:a="http://schemas.openxmlformats.org/drawingml/2006/main">
                <a:ext uri="{FF2B5EF4-FFF2-40B4-BE49-F238E27FC236}">
                  <a16:creationId xmlns:a16="http://schemas.microsoft.com/office/drawing/2014/main" id="{804A427F-CDBE-48CC-862B-B894F70442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2CB8E95" w14:textId="563CC46B" w:rsidR="009A7386" w:rsidRDefault="009A7386" w:rsidP="00CF782A">
      <w:pPr>
        <w:rPr>
          <w:sz w:val="24"/>
          <w:szCs w:val="24"/>
        </w:rPr>
      </w:pPr>
      <w:r>
        <w:rPr>
          <w:sz w:val="24"/>
          <w:szCs w:val="24"/>
        </w:rPr>
        <w:t xml:space="preserve">Figure </w:t>
      </w:r>
      <w:r w:rsidR="00575517">
        <w:rPr>
          <w:sz w:val="24"/>
          <w:szCs w:val="24"/>
        </w:rPr>
        <w:t>5</w:t>
      </w:r>
      <w:r>
        <w:rPr>
          <w:sz w:val="24"/>
          <w:szCs w:val="24"/>
        </w:rPr>
        <w:t xml:space="preserve"> – A graph showing the difference in QER scores in the </w:t>
      </w:r>
      <w:r w:rsidR="001C044C">
        <w:rPr>
          <w:sz w:val="24"/>
          <w:szCs w:val="24"/>
        </w:rPr>
        <w:t>pre and post</w:t>
      </w:r>
      <w:r w:rsidR="00A170AC">
        <w:rPr>
          <w:sz w:val="24"/>
          <w:szCs w:val="24"/>
        </w:rPr>
        <w:t>-</w:t>
      </w:r>
      <w:r w:rsidR="001C044C">
        <w:rPr>
          <w:sz w:val="24"/>
          <w:szCs w:val="24"/>
        </w:rPr>
        <w:t xml:space="preserve"> test lessons.</w:t>
      </w:r>
    </w:p>
    <w:p w14:paraId="745657FA" w14:textId="1C723C64" w:rsidR="009A7386" w:rsidRDefault="00340021" w:rsidP="00CF782A">
      <w:pPr>
        <w:rPr>
          <w:sz w:val="24"/>
          <w:szCs w:val="24"/>
        </w:rPr>
      </w:pPr>
      <w:r>
        <w:rPr>
          <w:sz w:val="24"/>
          <w:szCs w:val="24"/>
        </w:rPr>
        <w:t xml:space="preserve">The marks achieved during the post test compared to the pre-test ranged from a decrease of one mark, to an increase of 3 marks (Figure 4). </w:t>
      </w:r>
      <w:proofErr w:type="gramStart"/>
      <w:r>
        <w:rPr>
          <w:sz w:val="24"/>
          <w:szCs w:val="24"/>
        </w:rPr>
        <w:t>The majority of</w:t>
      </w:r>
      <w:proofErr w:type="gramEnd"/>
      <w:r>
        <w:rPr>
          <w:sz w:val="24"/>
          <w:szCs w:val="24"/>
        </w:rPr>
        <w:t xml:space="preserve"> learners increased their score by one mark, and 69% of </w:t>
      </w:r>
      <w:r w:rsidR="00EE1005">
        <w:rPr>
          <w:sz w:val="24"/>
          <w:szCs w:val="24"/>
        </w:rPr>
        <w:t xml:space="preserve">the 45 </w:t>
      </w:r>
      <w:r>
        <w:rPr>
          <w:sz w:val="24"/>
          <w:szCs w:val="24"/>
        </w:rPr>
        <w:t>learners within the class improved their grades in the post test after the intervention.</w:t>
      </w:r>
    </w:p>
    <w:p w14:paraId="0A42FFDA" w14:textId="2A63B5BE" w:rsidR="00340021" w:rsidRDefault="00340021" w:rsidP="00CF782A">
      <w:pPr>
        <w:rPr>
          <w:sz w:val="24"/>
          <w:szCs w:val="24"/>
        </w:rPr>
      </w:pPr>
      <w:r>
        <w:rPr>
          <w:noProof/>
        </w:rPr>
        <w:lastRenderedPageBreak/>
        <w:drawing>
          <wp:inline distT="0" distB="0" distL="0" distR="0" wp14:anchorId="2FE49936" wp14:editId="6FD68B40">
            <wp:extent cx="4572000" cy="2743200"/>
            <wp:effectExtent l="0" t="0" r="0" b="0"/>
            <wp:docPr id="2" name="Chart 2">
              <a:extLst xmlns:a="http://schemas.openxmlformats.org/drawingml/2006/main">
                <a:ext uri="{FF2B5EF4-FFF2-40B4-BE49-F238E27FC236}">
                  <a16:creationId xmlns:a16="http://schemas.microsoft.com/office/drawing/2014/main" id="{8ED8E55C-F476-4FC6-97D3-1CD3645CA9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E3FF24B" w14:textId="649C2730" w:rsidR="00340021" w:rsidRDefault="00340021" w:rsidP="00CF782A">
      <w:pPr>
        <w:rPr>
          <w:sz w:val="24"/>
          <w:szCs w:val="24"/>
        </w:rPr>
      </w:pPr>
      <w:r>
        <w:rPr>
          <w:sz w:val="24"/>
          <w:szCs w:val="24"/>
        </w:rPr>
        <w:t xml:space="preserve">Figure </w:t>
      </w:r>
      <w:r w:rsidR="00575517">
        <w:rPr>
          <w:sz w:val="24"/>
          <w:szCs w:val="24"/>
        </w:rPr>
        <w:t>6</w:t>
      </w:r>
      <w:r>
        <w:rPr>
          <w:sz w:val="24"/>
          <w:szCs w:val="24"/>
        </w:rPr>
        <w:t xml:space="preserve"> – A graph showing the changes in scores of the 45 participants in the study after the intervention.</w:t>
      </w:r>
    </w:p>
    <w:p w14:paraId="4326F0B8" w14:textId="0EDC808F" w:rsidR="00340021" w:rsidRDefault="00340021" w:rsidP="00CF782A">
      <w:pPr>
        <w:rPr>
          <w:sz w:val="24"/>
          <w:szCs w:val="24"/>
        </w:rPr>
      </w:pPr>
      <w:r>
        <w:rPr>
          <w:sz w:val="24"/>
          <w:szCs w:val="24"/>
        </w:rPr>
        <w:t xml:space="preserve">These results suggest that the introduction of the inference square to the learners may have resulted in the increase seen by </w:t>
      </w:r>
      <w:proofErr w:type="gramStart"/>
      <w:r>
        <w:rPr>
          <w:sz w:val="24"/>
          <w:szCs w:val="24"/>
        </w:rPr>
        <w:t>the majority of</w:t>
      </w:r>
      <w:proofErr w:type="gramEnd"/>
      <w:r>
        <w:rPr>
          <w:sz w:val="24"/>
          <w:szCs w:val="24"/>
        </w:rPr>
        <w:t xml:space="preserve"> the participants. </w:t>
      </w:r>
      <w:r w:rsidR="00FB0182">
        <w:rPr>
          <w:sz w:val="24"/>
          <w:szCs w:val="24"/>
        </w:rPr>
        <w:t xml:space="preserve">It cannot be explicitly stated that the introduction of the inference square </w:t>
      </w:r>
      <w:r w:rsidR="00EE1005">
        <w:rPr>
          <w:sz w:val="24"/>
          <w:szCs w:val="24"/>
        </w:rPr>
        <w:t xml:space="preserve">was the cause of the increase, as a cause effect relationship cannot be proven despite attempts to keep other factors the same in both the pre and post-test. Furthermore, there are limitations within the study which could also have caused the results seen, which will be discussed in the limitations part of this essay. </w:t>
      </w:r>
    </w:p>
    <w:p w14:paraId="3C3C94FD" w14:textId="75B92F4C" w:rsidR="00CB2026" w:rsidRDefault="00CB2026" w:rsidP="00CF782A">
      <w:pPr>
        <w:rPr>
          <w:sz w:val="24"/>
          <w:szCs w:val="24"/>
        </w:rPr>
      </w:pPr>
      <w:r>
        <w:rPr>
          <w:sz w:val="24"/>
          <w:szCs w:val="24"/>
        </w:rPr>
        <w:t>Whilst it appears that the inference square is a positive tool that can be used by learners to develop the relevant skills to access these scientific literacy based questions and to answer them to a high standard, as with other activities the effort put into utilising this tool by the learners is still a determining factor in how successful their answers were.</w:t>
      </w:r>
      <w:r w:rsidR="000A373D">
        <w:rPr>
          <w:sz w:val="24"/>
          <w:szCs w:val="24"/>
        </w:rPr>
        <w:t xml:space="preserve"> Within schools, generally when completing a piece of work, the learners higher mark would be the one that was recorded. The two learners whose grade decreased when carrying out the post- test may have put in less effort when answering the question for the second time as they assumed their highest score would be the one recorded as their mark. The inference square could potentially have also led them to include different, irrelevant information within their post- test answers than they had included in their pre- test attempts.  </w:t>
      </w:r>
    </w:p>
    <w:p w14:paraId="73FDD601" w14:textId="6C07CC96" w:rsidR="006978D6" w:rsidRDefault="00EE1005" w:rsidP="00CF782A">
      <w:pPr>
        <w:rPr>
          <w:sz w:val="24"/>
          <w:szCs w:val="24"/>
        </w:rPr>
      </w:pPr>
      <w:r>
        <w:rPr>
          <w:sz w:val="24"/>
          <w:szCs w:val="24"/>
        </w:rPr>
        <w:t xml:space="preserve">Despite any limitations, however, the study was beneficial overall for the classroom assessment aspect of these QER questions. Whilst not practical to be used in GCSE exams by learners, the habit they would get into by using these on a regular basis would enable them to develop </w:t>
      </w:r>
      <w:r w:rsidR="00743B83">
        <w:rPr>
          <w:sz w:val="24"/>
          <w:szCs w:val="24"/>
        </w:rPr>
        <w:t>the</w:t>
      </w:r>
      <w:r>
        <w:rPr>
          <w:sz w:val="24"/>
          <w:szCs w:val="24"/>
        </w:rPr>
        <w:t xml:space="preserve"> skills </w:t>
      </w:r>
      <w:r w:rsidR="00743B83">
        <w:rPr>
          <w:sz w:val="24"/>
          <w:szCs w:val="24"/>
        </w:rPr>
        <w:t>needed for interpreting and explaining phenomena scientifically which are essential to scientific literacy (</w:t>
      </w:r>
      <w:proofErr w:type="spellStart"/>
      <w:r w:rsidR="00743B83">
        <w:rPr>
          <w:sz w:val="24"/>
          <w:szCs w:val="24"/>
        </w:rPr>
        <w:t>Turiman</w:t>
      </w:r>
      <w:proofErr w:type="spellEnd"/>
      <w:r w:rsidR="00743B83">
        <w:rPr>
          <w:sz w:val="24"/>
          <w:szCs w:val="24"/>
        </w:rPr>
        <w:t xml:space="preserve"> et al., 2012) </w:t>
      </w:r>
      <w:r>
        <w:rPr>
          <w:sz w:val="24"/>
          <w:szCs w:val="24"/>
        </w:rPr>
        <w:t xml:space="preserve">with regards to extended prose questions and </w:t>
      </w:r>
      <w:r w:rsidR="00697926">
        <w:rPr>
          <w:sz w:val="24"/>
          <w:szCs w:val="24"/>
        </w:rPr>
        <w:t xml:space="preserve">apply these in exams. Therefore, in addition to being beneficial to learners when completing these as assessments in the classroom, the transferable skills could help to improve the way in which these questions are answered in exams and therefore improve the marks achieved by learners. </w:t>
      </w:r>
    </w:p>
    <w:p w14:paraId="43BA7808" w14:textId="7CE8491D" w:rsidR="00CF782A" w:rsidRPr="00DC43B9" w:rsidRDefault="00CF782A" w:rsidP="00CF782A">
      <w:pPr>
        <w:rPr>
          <w:sz w:val="24"/>
          <w:szCs w:val="24"/>
        </w:rPr>
      </w:pPr>
      <w:r w:rsidRPr="00DC43B9">
        <w:rPr>
          <w:sz w:val="24"/>
          <w:szCs w:val="24"/>
          <w:u w:val="single"/>
        </w:rPr>
        <w:lastRenderedPageBreak/>
        <w:t>Conclusions</w:t>
      </w:r>
      <w:r w:rsidRPr="00DC43B9">
        <w:rPr>
          <w:sz w:val="24"/>
          <w:szCs w:val="24"/>
        </w:rPr>
        <w:t xml:space="preserve"> </w:t>
      </w:r>
    </w:p>
    <w:p w14:paraId="2AA1D1C5" w14:textId="77777777" w:rsidR="00411EE9" w:rsidRDefault="007475D3" w:rsidP="00CF782A">
      <w:pPr>
        <w:rPr>
          <w:sz w:val="24"/>
          <w:szCs w:val="24"/>
        </w:rPr>
      </w:pPr>
      <w:r>
        <w:rPr>
          <w:sz w:val="24"/>
          <w:szCs w:val="24"/>
        </w:rPr>
        <w:t xml:space="preserve">Based upon the findings of this study, it is suggested that the use of inference squares </w:t>
      </w:r>
      <w:r w:rsidR="000D57A2">
        <w:rPr>
          <w:sz w:val="24"/>
          <w:szCs w:val="24"/>
        </w:rPr>
        <w:t>incorporates the</w:t>
      </w:r>
      <w:r>
        <w:rPr>
          <w:sz w:val="24"/>
          <w:szCs w:val="24"/>
        </w:rPr>
        <w:t xml:space="preserve"> scientific literacy skills </w:t>
      </w:r>
      <w:r w:rsidR="000D57A2">
        <w:rPr>
          <w:sz w:val="24"/>
          <w:szCs w:val="24"/>
        </w:rPr>
        <w:t xml:space="preserve">needed by learners to access QER and PISA style questions </w:t>
      </w:r>
      <w:r>
        <w:rPr>
          <w:sz w:val="24"/>
          <w:szCs w:val="24"/>
        </w:rPr>
        <w:t xml:space="preserve">and therefore improves their answering of </w:t>
      </w:r>
      <w:r w:rsidR="000D57A2">
        <w:rPr>
          <w:sz w:val="24"/>
          <w:szCs w:val="24"/>
        </w:rPr>
        <w:t xml:space="preserve">these </w:t>
      </w:r>
      <w:r>
        <w:rPr>
          <w:sz w:val="24"/>
          <w:szCs w:val="24"/>
        </w:rPr>
        <w:t>questions. This is because some of the main competencies addressed by these questions are those scientific literacy</w:t>
      </w:r>
      <w:r w:rsidR="00411EE9">
        <w:rPr>
          <w:sz w:val="24"/>
          <w:szCs w:val="24"/>
        </w:rPr>
        <w:t>-</w:t>
      </w:r>
      <w:r>
        <w:rPr>
          <w:sz w:val="24"/>
          <w:szCs w:val="24"/>
        </w:rPr>
        <w:t xml:space="preserve"> based skills, such as identifying science issues and explaining phenomena scientifically (OECD, 2006)</w:t>
      </w:r>
      <w:r w:rsidR="002E709A">
        <w:rPr>
          <w:sz w:val="24"/>
          <w:szCs w:val="24"/>
        </w:rPr>
        <w:t xml:space="preserve">, which were specifically </w:t>
      </w:r>
      <w:proofErr w:type="gramStart"/>
      <w:r w:rsidR="002E709A">
        <w:rPr>
          <w:sz w:val="24"/>
          <w:szCs w:val="24"/>
        </w:rPr>
        <w:t>taken into account</w:t>
      </w:r>
      <w:proofErr w:type="gramEnd"/>
      <w:r w:rsidR="002E709A">
        <w:rPr>
          <w:sz w:val="24"/>
          <w:szCs w:val="24"/>
        </w:rPr>
        <w:t xml:space="preserve"> during the design and creation of the inference square intervention activity. </w:t>
      </w:r>
      <w:r>
        <w:rPr>
          <w:sz w:val="24"/>
          <w:szCs w:val="24"/>
        </w:rPr>
        <w:t xml:space="preserve"> </w:t>
      </w:r>
    </w:p>
    <w:p w14:paraId="43F5A913" w14:textId="3A5ADFD7" w:rsidR="007475D3" w:rsidRDefault="002E709A" w:rsidP="00CF782A">
      <w:pPr>
        <w:rPr>
          <w:sz w:val="24"/>
          <w:szCs w:val="24"/>
        </w:rPr>
      </w:pPr>
      <w:r>
        <w:rPr>
          <w:sz w:val="24"/>
          <w:szCs w:val="24"/>
        </w:rPr>
        <w:t>The outer square of the inference square addressed the ‘explaining phenomena scientifically’ competency by asking ‘what we know already’ and asking learners to apply their learned scientific knowledge on the topic</w:t>
      </w:r>
      <w:r w:rsidR="00EF3327">
        <w:rPr>
          <w:sz w:val="24"/>
          <w:szCs w:val="24"/>
        </w:rPr>
        <w:t xml:space="preserve"> to the question. </w:t>
      </w:r>
      <w:r w:rsidR="00411EE9">
        <w:rPr>
          <w:sz w:val="24"/>
          <w:szCs w:val="24"/>
        </w:rPr>
        <w:t xml:space="preserve">This provides learners with much of the scientific theory needed to answer the questions, </w:t>
      </w:r>
      <w:r w:rsidR="00F93E72">
        <w:rPr>
          <w:sz w:val="24"/>
          <w:szCs w:val="24"/>
        </w:rPr>
        <w:t>as</w:t>
      </w:r>
      <w:r w:rsidR="00411EE9">
        <w:rPr>
          <w:sz w:val="24"/>
          <w:szCs w:val="24"/>
        </w:rPr>
        <w:t xml:space="preserve"> even when learners are provided with information by the questions, this section targets the explanation behind what is seen in the question. </w:t>
      </w:r>
    </w:p>
    <w:p w14:paraId="3FD0E25F" w14:textId="21BD9562" w:rsidR="002E709A" w:rsidRDefault="002E709A" w:rsidP="00CF782A">
      <w:pPr>
        <w:rPr>
          <w:sz w:val="24"/>
          <w:szCs w:val="24"/>
        </w:rPr>
      </w:pPr>
      <w:r>
        <w:rPr>
          <w:sz w:val="24"/>
          <w:szCs w:val="24"/>
        </w:rPr>
        <w:t xml:space="preserve">The second section of the inference square addressed the scientific literacy competency outlined by PISA (OECD, 2006) and therefore required when answering QER questions, which requires learners to have the ability to interpret information scientifically. This competency requires learners to use the information they are provided with, within the question in order to use this whilst answering the question. The square of the inference square that encourages learners to extract information from the question to apply in their answer </w:t>
      </w:r>
      <w:r w:rsidR="00EF3327">
        <w:rPr>
          <w:sz w:val="24"/>
          <w:szCs w:val="24"/>
        </w:rPr>
        <w:t xml:space="preserve">therefore targets this scientific literacy competency. </w:t>
      </w:r>
    </w:p>
    <w:p w14:paraId="01189970" w14:textId="06537978" w:rsidR="004A2045" w:rsidRDefault="004A2045" w:rsidP="00CF782A">
      <w:pPr>
        <w:rPr>
          <w:sz w:val="24"/>
          <w:szCs w:val="24"/>
        </w:rPr>
      </w:pPr>
      <w:r>
        <w:rPr>
          <w:sz w:val="24"/>
          <w:szCs w:val="24"/>
        </w:rPr>
        <w:t>The third section</w:t>
      </w:r>
      <w:r w:rsidR="006D01FA">
        <w:rPr>
          <w:sz w:val="24"/>
          <w:szCs w:val="24"/>
        </w:rPr>
        <w:t xml:space="preserve"> encourages learners to make links between the knowledge they have outlined in the other sections of the inference square, and to apply this knowledge to the question they are attempting. </w:t>
      </w:r>
      <w:r w:rsidR="00411EE9">
        <w:rPr>
          <w:sz w:val="24"/>
          <w:szCs w:val="24"/>
        </w:rPr>
        <w:t xml:space="preserve">This supports the competency of interpreting information scientifically as whilst the second section of the inference square encourages learners to extract the relevant information given within the questions, this section provides guidance to learners to apply that information to the question itself, and therefore achieves the application of knowledge. </w:t>
      </w:r>
    </w:p>
    <w:p w14:paraId="1FB465B8" w14:textId="7514B4CA" w:rsidR="004A2045" w:rsidRDefault="004A2045" w:rsidP="00CF782A">
      <w:pPr>
        <w:rPr>
          <w:sz w:val="24"/>
          <w:szCs w:val="24"/>
        </w:rPr>
      </w:pPr>
      <w:r>
        <w:rPr>
          <w:sz w:val="24"/>
          <w:szCs w:val="24"/>
        </w:rPr>
        <w:t xml:space="preserve">Whilst it cannot be guaranteed that the improvement of learner’s marks when answering the QER question was as a direct result of the introduction of the inference square as an intervention activity, the improvement of grades was </w:t>
      </w:r>
      <w:proofErr w:type="gramStart"/>
      <w:r>
        <w:rPr>
          <w:sz w:val="24"/>
          <w:szCs w:val="24"/>
        </w:rPr>
        <w:t>significant</w:t>
      </w:r>
      <w:proofErr w:type="gramEnd"/>
      <w:r>
        <w:rPr>
          <w:sz w:val="24"/>
          <w:szCs w:val="24"/>
        </w:rPr>
        <w:t xml:space="preserve"> and the intervention was the main change between the pre and post- test situations. Therefore, </w:t>
      </w:r>
      <w:proofErr w:type="gramStart"/>
      <w:r>
        <w:rPr>
          <w:sz w:val="24"/>
          <w:szCs w:val="24"/>
        </w:rPr>
        <w:t>taking into account</w:t>
      </w:r>
      <w:proofErr w:type="gramEnd"/>
      <w:r>
        <w:rPr>
          <w:sz w:val="24"/>
          <w:szCs w:val="24"/>
        </w:rPr>
        <w:t xml:space="preserve"> the usual margins of error, it can be said that the inference square had a positive impact on the marks achieved by learners when completing a question in which the scientific literacy competencies as defined by PISA are the factors </w:t>
      </w:r>
      <w:r w:rsidR="00BC708E">
        <w:rPr>
          <w:sz w:val="24"/>
          <w:szCs w:val="24"/>
        </w:rPr>
        <w:t xml:space="preserve">being assessed. </w:t>
      </w:r>
    </w:p>
    <w:p w14:paraId="22C61D1D" w14:textId="61ACD754" w:rsidR="00EF3327" w:rsidRDefault="00EF3327" w:rsidP="00CF782A">
      <w:pPr>
        <w:rPr>
          <w:sz w:val="24"/>
          <w:szCs w:val="24"/>
        </w:rPr>
      </w:pPr>
      <w:r>
        <w:rPr>
          <w:sz w:val="24"/>
          <w:szCs w:val="24"/>
        </w:rPr>
        <w:t xml:space="preserve">Moving forward, it would be recommended from the findings of this study, to incorporate tools used in other, more literacy based subject areas within science departments, as the benefits of doing so are significant improvement in a learner’s ability to both access and answer scientific </w:t>
      </w:r>
      <w:proofErr w:type="gramStart"/>
      <w:r>
        <w:rPr>
          <w:sz w:val="24"/>
          <w:szCs w:val="24"/>
        </w:rPr>
        <w:t>literacy based</w:t>
      </w:r>
      <w:proofErr w:type="gramEnd"/>
      <w:r>
        <w:rPr>
          <w:sz w:val="24"/>
          <w:szCs w:val="24"/>
        </w:rPr>
        <w:t xml:space="preserve"> questions. The skills required for a good level of scientific literacy are </w:t>
      </w:r>
      <w:r w:rsidR="004A2045">
        <w:rPr>
          <w:sz w:val="24"/>
          <w:szCs w:val="24"/>
        </w:rPr>
        <w:t xml:space="preserve">those required within </w:t>
      </w:r>
      <w:proofErr w:type="gramStart"/>
      <w:r w:rsidR="004A2045">
        <w:rPr>
          <w:sz w:val="24"/>
          <w:szCs w:val="24"/>
        </w:rPr>
        <w:t>literacy based</w:t>
      </w:r>
      <w:proofErr w:type="gramEnd"/>
      <w:r w:rsidR="004A2045">
        <w:rPr>
          <w:sz w:val="24"/>
          <w:szCs w:val="24"/>
        </w:rPr>
        <w:t xml:space="preserve"> subjects (Pearson et al., 2010)</w:t>
      </w:r>
      <w:r w:rsidR="0091458D">
        <w:rPr>
          <w:sz w:val="24"/>
          <w:szCs w:val="24"/>
        </w:rPr>
        <w:t>. If the results seen in this study were not as a result of the intervention, the introduction of a</w:t>
      </w:r>
      <w:r w:rsidR="00F93E72">
        <w:rPr>
          <w:sz w:val="24"/>
          <w:szCs w:val="24"/>
        </w:rPr>
        <w:t xml:space="preserve">n </w:t>
      </w:r>
      <w:r w:rsidR="0091458D">
        <w:rPr>
          <w:sz w:val="24"/>
          <w:szCs w:val="24"/>
        </w:rPr>
        <w:t xml:space="preserve">activity </w:t>
      </w:r>
      <w:r w:rsidR="0091458D">
        <w:rPr>
          <w:sz w:val="24"/>
          <w:szCs w:val="24"/>
        </w:rPr>
        <w:lastRenderedPageBreak/>
        <w:t>within science lessons</w:t>
      </w:r>
      <w:r w:rsidR="00F93E72">
        <w:rPr>
          <w:sz w:val="24"/>
          <w:szCs w:val="24"/>
        </w:rPr>
        <w:t xml:space="preserve"> in which the improvement of literacy skills was the main objective</w:t>
      </w:r>
      <w:r w:rsidR="0091458D">
        <w:rPr>
          <w:sz w:val="24"/>
          <w:szCs w:val="24"/>
        </w:rPr>
        <w:t xml:space="preserve"> would still be beneficial for the learner as a whole, as it would support learning within other subject areas. There would therefore not be a negative outcome from introducing this type of activity, even if it did not achieve its main aim of improving the answering of scientifically based PISA and QER questions. </w:t>
      </w:r>
    </w:p>
    <w:p w14:paraId="0E66121A" w14:textId="55C8F8AF" w:rsidR="0091458D" w:rsidRDefault="0091458D" w:rsidP="00CF782A">
      <w:pPr>
        <w:rPr>
          <w:sz w:val="24"/>
          <w:szCs w:val="24"/>
        </w:rPr>
      </w:pPr>
      <w:r>
        <w:rPr>
          <w:sz w:val="24"/>
          <w:szCs w:val="24"/>
        </w:rPr>
        <w:t xml:space="preserve">Particularly within Wales, there has been little success in </w:t>
      </w:r>
      <w:r w:rsidR="00BD7168">
        <w:rPr>
          <w:sz w:val="24"/>
          <w:szCs w:val="24"/>
        </w:rPr>
        <w:t xml:space="preserve">introducing methods to improve scientific literacy among young learners (Dale, 2016), therefore any activities or methods that can be utilised within classrooms in order to attempt to </w:t>
      </w:r>
      <w:r w:rsidR="00692F6B">
        <w:rPr>
          <w:sz w:val="24"/>
          <w:szCs w:val="24"/>
        </w:rPr>
        <w:t xml:space="preserve">hone these skills that will only become more </w:t>
      </w:r>
      <w:r w:rsidR="00DB3AA6">
        <w:rPr>
          <w:sz w:val="24"/>
          <w:szCs w:val="24"/>
        </w:rPr>
        <w:t>prominent within</w:t>
      </w:r>
      <w:r w:rsidR="00411EE9">
        <w:rPr>
          <w:sz w:val="24"/>
          <w:szCs w:val="24"/>
        </w:rPr>
        <w:t xml:space="preserve"> future</w:t>
      </w:r>
      <w:r w:rsidR="00DB3AA6">
        <w:rPr>
          <w:sz w:val="24"/>
          <w:szCs w:val="24"/>
        </w:rPr>
        <w:t xml:space="preserve"> assessments of learners knowledge, </w:t>
      </w:r>
      <w:r w:rsidR="009B6B5C">
        <w:rPr>
          <w:sz w:val="24"/>
          <w:szCs w:val="24"/>
        </w:rPr>
        <w:t xml:space="preserve">is an improvement on current classroom practice. </w:t>
      </w:r>
      <w:r w:rsidR="006D01FA">
        <w:rPr>
          <w:sz w:val="24"/>
          <w:szCs w:val="24"/>
        </w:rPr>
        <w:t>Therefore, future practice should aim to include activities that focus on addressing the shortfall in skills learners have when dealing with scientific literacy</w:t>
      </w:r>
      <w:r w:rsidR="00F93E72">
        <w:rPr>
          <w:sz w:val="24"/>
          <w:szCs w:val="24"/>
        </w:rPr>
        <w:t>-</w:t>
      </w:r>
      <w:r w:rsidR="006D01FA">
        <w:rPr>
          <w:sz w:val="24"/>
          <w:szCs w:val="24"/>
        </w:rPr>
        <w:t xml:space="preserve"> based questions. Whilst scientific content knowledge is important, many of the PISA and QER style questions provide a significant portion of the information </w:t>
      </w:r>
      <w:proofErr w:type="gramStart"/>
      <w:r w:rsidR="006D01FA">
        <w:rPr>
          <w:sz w:val="24"/>
          <w:szCs w:val="24"/>
        </w:rPr>
        <w:t>actually required</w:t>
      </w:r>
      <w:proofErr w:type="gramEnd"/>
      <w:r w:rsidR="006D01FA">
        <w:rPr>
          <w:sz w:val="24"/>
          <w:szCs w:val="24"/>
        </w:rPr>
        <w:t xml:space="preserve"> to answer the question. Therefore, in addition to testing learners content knowledge through </w:t>
      </w:r>
      <w:r w:rsidR="005845B0">
        <w:rPr>
          <w:sz w:val="24"/>
          <w:szCs w:val="24"/>
        </w:rPr>
        <w:t>end of unit tests, schools could implement methods of improving learner</w:t>
      </w:r>
      <w:r w:rsidR="00411EE9">
        <w:rPr>
          <w:sz w:val="24"/>
          <w:szCs w:val="24"/>
        </w:rPr>
        <w:t>’</w:t>
      </w:r>
      <w:r w:rsidR="005845B0">
        <w:rPr>
          <w:sz w:val="24"/>
          <w:szCs w:val="24"/>
        </w:rPr>
        <w:t>s comprehension of questions such as the inference square</w:t>
      </w:r>
      <w:r w:rsidR="006978D6">
        <w:rPr>
          <w:sz w:val="24"/>
          <w:szCs w:val="24"/>
        </w:rPr>
        <w:t xml:space="preserve">, particularly in schools such as School X where QER questions are used as a form of ongoing assessment among learners from year 8 through to year 11. Whilst it is beneficial for learners to familiarise themselves with this style of question prior to final exams or PISA tests, it was noticed that prior to </w:t>
      </w:r>
      <w:r w:rsidR="00851721">
        <w:rPr>
          <w:sz w:val="24"/>
          <w:szCs w:val="24"/>
        </w:rPr>
        <w:t xml:space="preserve">the inference square being introduced to the year 9 learners in School X, they were given very little guidance on the fact that if something is shown in the question it is expected to be discussed in the answer. This is therefore an important aspect of answering these questions that the inference square highlighted for learners. </w:t>
      </w:r>
    </w:p>
    <w:p w14:paraId="1E40FA10" w14:textId="77777777" w:rsidR="006978D6" w:rsidRDefault="00F93E72" w:rsidP="00CF782A">
      <w:pPr>
        <w:rPr>
          <w:sz w:val="24"/>
          <w:szCs w:val="24"/>
        </w:rPr>
      </w:pPr>
      <w:r>
        <w:rPr>
          <w:sz w:val="24"/>
          <w:szCs w:val="24"/>
        </w:rPr>
        <w:t>In summary, the introduction of activities within classrooms which aim to improve the literacy and understanding skills of the learner would be greatly advantageous with regards to scientific literacy. Whilst a cause effect relationship of the introduction of the inference square and the improvement of learners marks can not be categorically established, due to the minimal attention paid, particularly in Wales, to the shortfall in scientific literacy skills of learners, any method put in place in an attempt to improve these skills should be looked upon with favour. This can be said particularly when the design of such an activity is rooted firmly in reading around the competencies these PISA and QER style questions assess.</w:t>
      </w:r>
    </w:p>
    <w:p w14:paraId="4B846C07" w14:textId="3649A38A" w:rsidR="00F93E72" w:rsidRPr="00DC43B9" w:rsidRDefault="00F93E72" w:rsidP="00CF782A">
      <w:pPr>
        <w:rPr>
          <w:sz w:val="24"/>
          <w:szCs w:val="24"/>
        </w:rPr>
      </w:pPr>
      <w:r>
        <w:rPr>
          <w:sz w:val="24"/>
          <w:szCs w:val="24"/>
        </w:rPr>
        <w:t xml:space="preserve"> </w:t>
      </w:r>
      <w:r w:rsidR="006978D6">
        <w:rPr>
          <w:sz w:val="24"/>
          <w:szCs w:val="24"/>
        </w:rPr>
        <w:t>Assessment into the introduction of such activities could also be carried out. As with school X, learners could start to complet</w:t>
      </w:r>
      <w:r w:rsidR="00851721">
        <w:rPr>
          <w:sz w:val="24"/>
          <w:szCs w:val="24"/>
        </w:rPr>
        <w:t>e QER or PISA style questions early on in their school life, and by using activities such as the inference square, the best ways in which learners can answer the questions and the information included within their answers can be emphasised, and will develop the skills needed for learners to complete these questions to a high level in exams.</w:t>
      </w:r>
    </w:p>
    <w:p w14:paraId="6370F78D" w14:textId="77777777" w:rsidR="00377EF1" w:rsidRPr="00DC43B9" w:rsidRDefault="00CF782A" w:rsidP="00CF782A">
      <w:pPr>
        <w:rPr>
          <w:sz w:val="24"/>
          <w:szCs w:val="24"/>
        </w:rPr>
      </w:pPr>
      <w:r w:rsidRPr="00DC43B9">
        <w:rPr>
          <w:sz w:val="24"/>
          <w:szCs w:val="24"/>
          <w:u w:val="single"/>
        </w:rPr>
        <w:t>Limitations and future development</w:t>
      </w:r>
      <w:r w:rsidRPr="00DC43B9">
        <w:rPr>
          <w:sz w:val="24"/>
          <w:szCs w:val="24"/>
        </w:rPr>
        <w:t xml:space="preserve"> </w:t>
      </w:r>
    </w:p>
    <w:p w14:paraId="7FD5C378" w14:textId="77777777" w:rsidR="00377EF1" w:rsidRPr="00DC43B9" w:rsidRDefault="00377EF1" w:rsidP="00CF782A">
      <w:pPr>
        <w:rPr>
          <w:sz w:val="24"/>
          <w:szCs w:val="24"/>
        </w:rPr>
      </w:pPr>
      <w:r w:rsidRPr="00DC43B9">
        <w:rPr>
          <w:sz w:val="24"/>
          <w:szCs w:val="24"/>
        </w:rPr>
        <w:t xml:space="preserve">Whilst the study has suggested that the use of inference squares can lead to an increase in the marks obtained by students when answering QER questions, there were several limitations identified with regards to the methodology used. </w:t>
      </w:r>
    </w:p>
    <w:p w14:paraId="46B8DE56" w14:textId="77777777" w:rsidR="00377EF1" w:rsidRPr="00DC43B9" w:rsidRDefault="00377EF1" w:rsidP="00CF782A">
      <w:pPr>
        <w:rPr>
          <w:sz w:val="24"/>
          <w:szCs w:val="24"/>
        </w:rPr>
      </w:pPr>
      <w:r w:rsidRPr="00DC43B9">
        <w:rPr>
          <w:sz w:val="24"/>
          <w:szCs w:val="24"/>
        </w:rPr>
        <w:lastRenderedPageBreak/>
        <w:t xml:space="preserve">Firstly, the learners were presented with the same question as both the pre-test and the post-test. Whilst this was beneficial with regards to maintaining consistency both with regards to the marking and the difficulty of the questions, it did pose issues. </w:t>
      </w:r>
    </w:p>
    <w:p w14:paraId="3D3659F1" w14:textId="77777777" w:rsidR="00377EF1" w:rsidRPr="00DC43B9" w:rsidRDefault="00377EF1" w:rsidP="00CF782A">
      <w:pPr>
        <w:rPr>
          <w:sz w:val="24"/>
          <w:szCs w:val="24"/>
        </w:rPr>
      </w:pPr>
      <w:r w:rsidRPr="00DC43B9">
        <w:rPr>
          <w:sz w:val="24"/>
          <w:szCs w:val="24"/>
        </w:rPr>
        <w:t xml:space="preserve">One such issue was that learners were aware that they had answered this question in the previous lesson and knew that their best mark would count which led to initial reluctance to answer the question. In order to overcome this, the learners were told that the second question was given to them in order to see whether their grade would improve. This could have impacted the learners’ attitudes towards the question, and they may have subsequently put greater effort into their answers after seeing it for the second time. This therefore could mean that, particularly in the case of the higher ability, more conscientious learners, the increase in marks achieved was due to an increase in effort as they were trying to meet researcher expectations, rather than the introduction of the inference square.  </w:t>
      </w:r>
    </w:p>
    <w:p w14:paraId="69253E14" w14:textId="77777777" w:rsidR="00377EF1" w:rsidRPr="00DC43B9" w:rsidRDefault="00377EF1" w:rsidP="00CF782A">
      <w:pPr>
        <w:rPr>
          <w:sz w:val="24"/>
          <w:szCs w:val="24"/>
        </w:rPr>
      </w:pPr>
      <w:r w:rsidRPr="00DC43B9">
        <w:rPr>
          <w:sz w:val="24"/>
          <w:szCs w:val="24"/>
        </w:rPr>
        <w:t xml:space="preserve">Using the same question both pre and post – test could also be a limitation </w:t>
      </w:r>
      <w:proofErr w:type="gramStart"/>
      <w:r w:rsidRPr="00DC43B9">
        <w:rPr>
          <w:sz w:val="24"/>
          <w:szCs w:val="24"/>
        </w:rPr>
        <w:t>due to the fact that</w:t>
      </w:r>
      <w:proofErr w:type="gramEnd"/>
      <w:r w:rsidRPr="00DC43B9">
        <w:rPr>
          <w:sz w:val="24"/>
          <w:szCs w:val="24"/>
        </w:rPr>
        <w:t xml:space="preserve"> a small number of learners’ marks went down for their post – test answers. This could have been caused by learners assuming that, without feedback, the first time they completed the question they were badly answered, and so they altered the content of their second answer in response to this, therefore omitting some relevant information.</w:t>
      </w:r>
    </w:p>
    <w:p w14:paraId="54CB62B3" w14:textId="77777777" w:rsidR="00377EF1" w:rsidRPr="00DC43B9" w:rsidRDefault="00377EF1" w:rsidP="00CF782A">
      <w:pPr>
        <w:rPr>
          <w:sz w:val="24"/>
          <w:szCs w:val="24"/>
        </w:rPr>
      </w:pPr>
      <w:r w:rsidRPr="00DC43B9">
        <w:rPr>
          <w:sz w:val="24"/>
          <w:szCs w:val="24"/>
        </w:rPr>
        <w:t xml:space="preserve">A further limitation may have been researcher bias. Although, as discussed previously, the questions were marked only out of five rather than 6 to avoid marking subjectively with regards to the mark for ‘quality of written communication’, there may still have been marker bias. As the aim of the study was to put in place an intervention to try and increase the marks achieved by learners, there may have been more leniency with the marks awarded when marking of the post-test was carried out. </w:t>
      </w:r>
    </w:p>
    <w:p w14:paraId="19965A47" w14:textId="77777777" w:rsidR="00377EF1" w:rsidRPr="00DC43B9" w:rsidRDefault="00377EF1" w:rsidP="00377EF1">
      <w:pPr>
        <w:rPr>
          <w:sz w:val="24"/>
          <w:szCs w:val="24"/>
        </w:rPr>
      </w:pPr>
      <w:r w:rsidRPr="00DC43B9">
        <w:rPr>
          <w:sz w:val="24"/>
          <w:szCs w:val="24"/>
        </w:rPr>
        <w:t>Another limitation that may have impacted the study is the way in which information of the question topic was provided to the class. Although in both the pre and post – test lessons, learners were provided with exactly the same information displayed</w:t>
      </w:r>
      <w:r w:rsidR="00F50C81" w:rsidRPr="00DC43B9">
        <w:rPr>
          <w:sz w:val="24"/>
          <w:szCs w:val="24"/>
        </w:rPr>
        <w:t xml:space="preserve"> on the board</w:t>
      </w:r>
      <w:r w:rsidRPr="00DC43B9">
        <w:rPr>
          <w:sz w:val="24"/>
          <w:szCs w:val="24"/>
        </w:rPr>
        <w:t xml:space="preserve"> at the front of the class, and on both occasions they were told they could look in their books to help with their answers, the way in which the information displayed was </w:t>
      </w:r>
      <w:r w:rsidR="00F50C81" w:rsidRPr="00DC43B9">
        <w:rPr>
          <w:sz w:val="24"/>
          <w:szCs w:val="24"/>
        </w:rPr>
        <w:t>delivered to</w:t>
      </w:r>
      <w:r w:rsidRPr="00DC43B9">
        <w:rPr>
          <w:sz w:val="24"/>
          <w:szCs w:val="24"/>
        </w:rPr>
        <w:t xml:space="preserve"> the learners was different. In the pre – test lesson the information was presented to learners via a ten minute ‘recap’ which was teacher led. However, during the post – test lesson, learners were told to look back in their books and give information on the topic which was then written on the board as the starter activity. Although in both test conditions the information given to them on the board was the same, the encouragement to use their </w:t>
      </w:r>
      <w:r w:rsidR="00F50C81" w:rsidRPr="00DC43B9">
        <w:rPr>
          <w:sz w:val="24"/>
          <w:szCs w:val="24"/>
        </w:rPr>
        <w:t xml:space="preserve">books for the starter activity in the post – test lesson may have led to them to engage with other relevant information from their books that had not been given to them during the recap in the previous lesson, and for them to continue to use their books in their second answers. </w:t>
      </w:r>
      <w:r w:rsidR="00DC43B9" w:rsidRPr="00DC43B9">
        <w:rPr>
          <w:sz w:val="24"/>
          <w:szCs w:val="24"/>
        </w:rPr>
        <w:t xml:space="preserve">Despite being a potential limitation for this study, for future classroom enquiry, there could be a greater emphasis for learners to utilise the information in their books in order to answer questions to the best of their ability, including all relevant information. Therefore, if this is one of the factors that led to an increased mark in this research, then it should be encouraged and have similar beneficial results in future. </w:t>
      </w:r>
    </w:p>
    <w:p w14:paraId="381202D3" w14:textId="77777777" w:rsidR="00377EF1" w:rsidRPr="00DC43B9" w:rsidRDefault="00377EF1" w:rsidP="00CF782A">
      <w:pPr>
        <w:rPr>
          <w:sz w:val="24"/>
          <w:szCs w:val="24"/>
        </w:rPr>
      </w:pPr>
      <w:r w:rsidRPr="00DC43B9">
        <w:rPr>
          <w:sz w:val="24"/>
          <w:szCs w:val="24"/>
        </w:rPr>
        <w:lastRenderedPageBreak/>
        <w:t xml:space="preserve">Whilst these are limitations of this </w:t>
      </w:r>
      <w:proofErr w:type="gramStart"/>
      <w:r w:rsidRPr="00DC43B9">
        <w:rPr>
          <w:sz w:val="24"/>
          <w:szCs w:val="24"/>
        </w:rPr>
        <w:t>particular study</w:t>
      </w:r>
      <w:proofErr w:type="gramEnd"/>
      <w:r w:rsidRPr="00DC43B9">
        <w:rPr>
          <w:sz w:val="24"/>
          <w:szCs w:val="24"/>
        </w:rPr>
        <w:t xml:space="preserve">, when carrying out future classroom enquiries of this nature, the question will not be given to the class on two occasions, as the inference square would be used as regular practice. This would therefore avoid the limitation previously discussed. Furthermore, as part of normal teaching practice, there would be a limited effect of researcher subjectivity as being more lenient when marking answers would not provide the perceived benefits as it has in this study. </w:t>
      </w:r>
    </w:p>
    <w:p w14:paraId="260338DD" w14:textId="4B08923D" w:rsidR="00DC43B9" w:rsidRDefault="00DC43B9" w:rsidP="00CF782A">
      <w:pPr>
        <w:rPr>
          <w:sz w:val="24"/>
          <w:szCs w:val="24"/>
        </w:rPr>
      </w:pPr>
      <w:r w:rsidRPr="00DC43B9">
        <w:rPr>
          <w:sz w:val="24"/>
          <w:szCs w:val="24"/>
        </w:rPr>
        <w:t xml:space="preserve">Finally, the sample size of the study is a limitation of this study. This was carried out with only a sample of 45 learners, all within the same year group. Although the result in this case has been significant, with a greater sample size or with learners of a different age, the intervention may not result in a similar trend. When carrying out future enquiries, the sample of learners used could be greater, and the intervention applied across different age ranges. This will allow conclusions about interventions put in place in future teaching practice to be more reliable, and to come to more robust cause – effect conclusions than in this study. </w:t>
      </w:r>
    </w:p>
    <w:p w14:paraId="20BB9E1A" w14:textId="77777777" w:rsidR="00774F78" w:rsidRDefault="00774F78" w:rsidP="00774F78">
      <w:pPr>
        <w:rPr>
          <w:rFonts w:cstheme="minorHAnsi"/>
          <w:sz w:val="24"/>
          <w:szCs w:val="24"/>
          <w:u w:val="single"/>
        </w:rPr>
      </w:pPr>
      <w:r>
        <w:rPr>
          <w:rFonts w:cstheme="minorHAnsi"/>
          <w:sz w:val="24"/>
          <w:szCs w:val="24"/>
          <w:u w:val="single"/>
        </w:rPr>
        <w:t>References</w:t>
      </w:r>
    </w:p>
    <w:p w14:paraId="4B75409A" w14:textId="77777777" w:rsidR="00C93DC3" w:rsidRDefault="00C93DC3" w:rsidP="00C93DC3">
      <w:r>
        <w:t xml:space="preserve">Bybee, R., &amp; McCrae, B. (2011). Scientific literacy and student attitudes: Perspectives from PISA 2006 science. </w:t>
      </w:r>
      <w:r>
        <w:rPr>
          <w:i/>
          <w:iCs/>
        </w:rPr>
        <w:t>International Journal of Science Education</w:t>
      </w:r>
      <w:r>
        <w:t xml:space="preserve">, </w:t>
      </w:r>
      <w:r>
        <w:rPr>
          <w:i/>
          <w:iCs/>
        </w:rPr>
        <w:t>33</w:t>
      </w:r>
      <w:r>
        <w:t>(1), 7-26.</w:t>
      </w:r>
    </w:p>
    <w:p w14:paraId="7F0483EA" w14:textId="77777777" w:rsidR="00C93DC3" w:rsidRPr="00C93DC3" w:rsidRDefault="00C93DC3" w:rsidP="00774F78">
      <w:pPr>
        <w:spacing w:after="0" w:line="240" w:lineRule="auto"/>
        <w:rPr>
          <w:rFonts w:eastAsia="Times New Roman" w:cstheme="minorHAnsi"/>
          <w:b/>
          <w:sz w:val="24"/>
          <w:szCs w:val="24"/>
          <w:lang w:eastAsia="en-GB"/>
        </w:rPr>
      </w:pPr>
    </w:p>
    <w:p w14:paraId="02855556" w14:textId="5CBDBDCB" w:rsidR="00774F78" w:rsidRDefault="00774F78" w:rsidP="00C93DC3">
      <w:pPr>
        <w:spacing w:after="0" w:line="240" w:lineRule="auto"/>
        <w:rPr>
          <w:rFonts w:eastAsia="Times New Roman" w:cstheme="minorHAnsi"/>
          <w:sz w:val="24"/>
          <w:szCs w:val="24"/>
          <w:lang w:eastAsia="en-GB"/>
        </w:rPr>
      </w:pPr>
      <w:proofErr w:type="spellStart"/>
      <w:r>
        <w:rPr>
          <w:rFonts w:eastAsia="Times New Roman" w:cstheme="minorHAnsi"/>
          <w:sz w:val="24"/>
          <w:szCs w:val="24"/>
          <w:lang w:eastAsia="en-GB"/>
        </w:rPr>
        <w:t>Cerdán</w:t>
      </w:r>
      <w:proofErr w:type="spellEnd"/>
      <w:r>
        <w:rPr>
          <w:rFonts w:eastAsia="Times New Roman" w:cstheme="minorHAnsi"/>
          <w:sz w:val="24"/>
          <w:szCs w:val="24"/>
          <w:lang w:eastAsia="en-GB"/>
        </w:rPr>
        <w:t xml:space="preserve">, R., </w:t>
      </w:r>
      <w:proofErr w:type="spellStart"/>
      <w:r>
        <w:rPr>
          <w:rFonts w:eastAsia="Times New Roman" w:cstheme="minorHAnsi"/>
          <w:sz w:val="24"/>
          <w:szCs w:val="24"/>
          <w:lang w:eastAsia="en-GB"/>
        </w:rPr>
        <w:t>Gilabert</w:t>
      </w:r>
      <w:proofErr w:type="spellEnd"/>
      <w:r>
        <w:rPr>
          <w:rFonts w:eastAsia="Times New Roman" w:cstheme="minorHAnsi"/>
          <w:sz w:val="24"/>
          <w:szCs w:val="24"/>
          <w:lang w:eastAsia="en-GB"/>
        </w:rPr>
        <w:t>, R., &amp; Vidal-</w:t>
      </w:r>
      <w:proofErr w:type="spellStart"/>
      <w:r>
        <w:rPr>
          <w:rFonts w:eastAsia="Times New Roman" w:cstheme="minorHAnsi"/>
          <w:sz w:val="24"/>
          <w:szCs w:val="24"/>
          <w:lang w:eastAsia="en-GB"/>
        </w:rPr>
        <w:t>Abarca</w:t>
      </w:r>
      <w:proofErr w:type="spellEnd"/>
      <w:r>
        <w:rPr>
          <w:rFonts w:eastAsia="Times New Roman" w:cstheme="minorHAnsi"/>
          <w:sz w:val="24"/>
          <w:szCs w:val="24"/>
          <w:lang w:eastAsia="en-GB"/>
        </w:rPr>
        <w:t xml:space="preserve">, E. (2011). Selecting information to answer questions: Strategic individual differences when searching texts. </w:t>
      </w:r>
      <w:r>
        <w:rPr>
          <w:rFonts w:eastAsia="Times New Roman" w:cstheme="minorHAnsi"/>
          <w:i/>
          <w:iCs/>
          <w:sz w:val="24"/>
          <w:szCs w:val="24"/>
          <w:lang w:eastAsia="en-GB"/>
        </w:rPr>
        <w:t>Learning and Individual Differences</w:t>
      </w:r>
      <w:r>
        <w:rPr>
          <w:rFonts w:eastAsia="Times New Roman" w:cstheme="minorHAnsi"/>
          <w:sz w:val="24"/>
          <w:szCs w:val="24"/>
          <w:lang w:eastAsia="en-GB"/>
        </w:rPr>
        <w:t xml:space="preserve">, </w:t>
      </w:r>
      <w:r>
        <w:rPr>
          <w:rFonts w:eastAsia="Times New Roman" w:cstheme="minorHAnsi"/>
          <w:i/>
          <w:iCs/>
          <w:sz w:val="24"/>
          <w:szCs w:val="24"/>
          <w:lang w:eastAsia="en-GB"/>
        </w:rPr>
        <w:t>21</w:t>
      </w:r>
      <w:r>
        <w:rPr>
          <w:rFonts w:eastAsia="Times New Roman" w:cstheme="minorHAnsi"/>
          <w:sz w:val="24"/>
          <w:szCs w:val="24"/>
          <w:lang w:eastAsia="en-GB"/>
        </w:rPr>
        <w:t>(2), 201-205.</w:t>
      </w:r>
    </w:p>
    <w:p w14:paraId="7626F2C7" w14:textId="77777777" w:rsidR="00C93DC3" w:rsidRPr="00C93DC3" w:rsidRDefault="00C93DC3" w:rsidP="00C93DC3">
      <w:pPr>
        <w:spacing w:after="0" w:line="240" w:lineRule="auto"/>
        <w:rPr>
          <w:rFonts w:eastAsia="Times New Roman" w:cstheme="minorHAnsi"/>
          <w:sz w:val="24"/>
          <w:szCs w:val="24"/>
          <w:lang w:eastAsia="en-GB"/>
        </w:rPr>
      </w:pPr>
    </w:p>
    <w:p w14:paraId="5027850E" w14:textId="77777777" w:rsidR="00774F78" w:rsidRDefault="00774F78" w:rsidP="00774F78">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Dale, G. J. (2016). </w:t>
      </w:r>
      <w:r>
        <w:rPr>
          <w:rFonts w:eastAsia="Times New Roman" w:cstheme="minorHAnsi"/>
          <w:i/>
          <w:iCs/>
          <w:sz w:val="24"/>
          <w:szCs w:val="24"/>
          <w:lang w:eastAsia="en-GB"/>
        </w:rPr>
        <w:t>The Current State of Scientific Literacy in Wales</w:t>
      </w:r>
      <w:r>
        <w:rPr>
          <w:rFonts w:eastAsia="Times New Roman" w:cstheme="minorHAnsi"/>
          <w:sz w:val="24"/>
          <w:szCs w:val="24"/>
          <w:lang w:eastAsia="en-GB"/>
        </w:rPr>
        <w:t xml:space="preserve"> (Doctoral dissertation, </w:t>
      </w:r>
      <w:proofErr w:type="spellStart"/>
      <w:r>
        <w:rPr>
          <w:rFonts w:eastAsia="Times New Roman" w:cstheme="minorHAnsi"/>
          <w:sz w:val="24"/>
          <w:szCs w:val="24"/>
          <w:lang w:eastAsia="en-GB"/>
        </w:rPr>
        <w:t>Prifysgol</w:t>
      </w:r>
      <w:proofErr w:type="spellEnd"/>
      <w:r>
        <w:rPr>
          <w:rFonts w:eastAsia="Times New Roman" w:cstheme="minorHAnsi"/>
          <w:sz w:val="24"/>
          <w:szCs w:val="24"/>
          <w:lang w:eastAsia="en-GB"/>
        </w:rPr>
        <w:t xml:space="preserve"> Bangor University).</w:t>
      </w:r>
    </w:p>
    <w:p w14:paraId="17284880" w14:textId="77777777" w:rsidR="00774F78" w:rsidRDefault="00774F78" w:rsidP="00774F78">
      <w:pPr>
        <w:jc w:val="both"/>
        <w:rPr>
          <w:rFonts w:cstheme="minorHAnsi"/>
          <w:sz w:val="24"/>
          <w:szCs w:val="24"/>
        </w:rPr>
      </w:pPr>
    </w:p>
    <w:p w14:paraId="7F721BE1" w14:textId="77777777" w:rsidR="00774F78" w:rsidRDefault="00774F78" w:rsidP="00774F78">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DeBoer, G. E. (2000). Scientific literacy: Another look at its historical and contemporary meanings and its relationship to science education reform. </w:t>
      </w:r>
      <w:r>
        <w:rPr>
          <w:rFonts w:eastAsia="Times New Roman" w:cstheme="minorHAnsi"/>
          <w:i/>
          <w:iCs/>
          <w:sz w:val="24"/>
          <w:szCs w:val="24"/>
          <w:lang w:eastAsia="en-GB"/>
        </w:rPr>
        <w:t>Journal of Research in Science Teaching: The Official Journal of the National Association for Research in Science Teaching</w:t>
      </w:r>
      <w:r>
        <w:rPr>
          <w:rFonts w:eastAsia="Times New Roman" w:cstheme="minorHAnsi"/>
          <w:sz w:val="24"/>
          <w:szCs w:val="24"/>
          <w:lang w:eastAsia="en-GB"/>
        </w:rPr>
        <w:t xml:space="preserve">, </w:t>
      </w:r>
      <w:r>
        <w:rPr>
          <w:rFonts w:eastAsia="Times New Roman" w:cstheme="minorHAnsi"/>
          <w:i/>
          <w:iCs/>
          <w:sz w:val="24"/>
          <w:szCs w:val="24"/>
          <w:lang w:eastAsia="en-GB"/>
        </w:rPr>
        <w:t>37</w:t>
      </w:r>
      <w:r>
        <w:rPr>
          <w:rFonts w:eastAsia="Times New Roman" w:cstheme="minorHAnsi"/>
          <w:sz w:val="24"/>
          <w:szCs w:val="24"/>
          <w:lang w:eastAsia="en-GB"/>
        </w:rPr>
        <w:t>(6), 582-601.</w:t>
      </w:r>
    </w:p>
    <w:p w14:paraId="57A48E95" w14:textId="77777777" w:rsidR="00774F78" w:rsidRDefault="00774F78" w:rsidP="00774F78">
      <w:pPr>
        <w:jc w:val="both"/>
        <w:rPr>
          <w:rFonts w:cstheme="minorHAnsi"/>
          <w:sz w:val="24"/>
          <w:szCs w:val="24"/>
        </w:rPr>
      </w:pPr>
    </w:p>
    <w:p w14:paraId="5EFED01B" w14:textId="77777777" w:rsidR="00774F78" w:rsidRDefault="00774F78" w:rsidP="00774F78">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Durant, J. (1994). What is scientific </w:t>
      </w:r>
      <w:proofErr w:type="gramStart"/>
      <w:r>
        <w:rPr>
          <w:rFonts w:eastAsia="Times New Roman" w:cstheme="minorHAnsi"/>
          <w:sz w:val="24"/>
          <w:szCs w:val="24"/>
          <w:lang w:eastAsia="en-GB"/>
        </w:rPr>
        <w:t>literacy?.</w:t>
      </w:r>
      <w:proofErr w:type="gramEnd"/>
      <w:r>
        <w:rPr>
          <w:rFonts w:eastAsia="Times New Roman" w:cstheme="minorHAnsi"/>
          <w:sz w:val="24"/>
          <w:szCs w:val="24"/>
          <w:lang w:eastAsia="en-GB"/>
        </w:rPr>
        <w:t xml:space="preserve"> </w:t>
      </w:r>
      <w:r>
        <w:rPr>
          <w:rFonts w:eastAsia="Times New Roman" w:cstheme="minorHAnsi"/>
          <w:i/>
          <w:iCs/>
          <w:sz w:val="24"/>
          <w:szCs w:val="24"/>
          <w:lang w:eastAsia="en-GB"/>
        </w:rPr>
        <w:t>European Review</w:t>
      </w:r>
      <w:r>
        <w:rPr>
          <w:rFonts w:eastAsia="Times New Roman" w:cstheme="minorHAnsi"/>
          <w:sz w:val="24"/>
          <w:szCs w:val="24"/>
          <w:lang w:eastAsia="en-GB"/>
        </w:rPr>
        <w:t xml:space="preserve">, </w:t>
      </w:r>
      <w:r>
        <w:rPr>
          <w:rFonts w:eastAsia="Times New Roman" w:cstheme="minorHAnsi"/>
          <w:i/>
          <w:iCs/>
          <w:sz w:val="24"/>
          <w:szCs w:val="24"/>
          <w:lang w:eastAsia="en-GB"/>
        </w:rPr>
        <w:t>2</w:t>
      </w:r>
      <w:r>
        <w:rPr>
          <w:rFonts w:eastAsia="Times New Roman" w:cstheme="minorHAnsi"/>
          <w:sz w:val="24"/>
          <w:szCs w:val="24"/>
          <w:lang w:eastAsia="en-GB"/>
        </w:rPr>
        <w:t>(1), 83-89.</w:t>
      </w:r>
    </w:p>
    <w:p w14:paraId="70827DD0" w14:textId="77777777" w:rsidR="00774F78" w:rsidRDefault="00774F78" w:rsidP="00774F78">
      <w:pPr>
        <w:jc w:val="both"/>
        <w:rPr>
          <w:rFonts w:cstheme="minorHAnsi"/>
          <w:sz w:val="24"/>
          <w:szCs w:val="24"/>
        </w:rPr>
      </w:pPr>
    </w:p>
    <w:p w14:paraId="592184E1" w14:textId="77777777" w:rsidR="00774F78" w:rsidRDefault="00774F78" w:rsidP="00774F78">
      <w:pPr>
        <w:jc w:val="both"/>
        <w:rPr>
          <w:rFonts w:cstheme="minorHAnsi"/>
          <w:sz w:val="24"/>
          <w:szCs w:val="24"/>
        </w:rPr>
      </w:pPr>
      <w:r>
        <w:rPr>
          <w:rFonts w:cstheme="minorHAnsi"/>
          <w:sz w:val="24"/>
          <w:szCs w:val="24"/>
        </w:rPr>
        <w:t>Estyn Report (2015) School X, Welsh Government</w:t>
      </w:r>
    </w:p>
    <w:p w14:paraId="75F3905D" w14:textId="77777777" w:rsidR="00774F78" w:rsidRDefault="00774F78" w:rsidP="00774F78">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Frankel, K. K., Becker, B. L., Rowe, M. W., &amp; Pearson, P. D. (2016). From “what is reading?” to what is </w:t>
      </w:r>
      <w:proofErr w:type="gramStart"/>
      <w:r>
        <w:rPr>
          <w:rFonts w:eastAsia="Times New Roman" w:cstheme="minorHAnsi"/>
          <w:sz w:val="24"/>
          <w:szCs w:val="24"/>
          <w:lang w:eastAsia="en-GB"/>
        </w:rPr>
        <w:t>literacy?.</w:t>
      </w:r>
      <w:proofErr w:type="gramEnd"/>
      <w:r>
        <w:rPr>
          <w:rFonts w:eastAsia="Times New Roman" w:cstheme="minorHAnsi"/>
          <w:sz w:val="24"/>
          <w:szCs w:val="24"/>
          <w:lang w:eastAsia="en-GB"/>
        </w:rPr>
        <w:t xml:space="preserve"> </w:t>
      </w:r>
      <w:r>
        <w:rPr>
          <w:rFonts w:eastAsia="Times New Roman" w:cstheme="minorHAnsi"/>
          <w:i/>
          <w:iCs/>
          <w:sz w:val="24"/>
          <w:szCs w:val="24"/>
          <w:lang w:eastAsia="en-GB"/>
        </w:rPr>
        <w:t>Journal of Education</w:t>
      </w:r>
      <w:r>
        <w:rPr>
          <w:rFonts w:eastAsia="Times New Roman" w:cstheme="minorHAnsi"/>
          <w:sz w:val="24"/>
          <w:szCs w:val="24"/>
          <w:lang w:eastAsia="en-GB"/>
        </w:rPr>
        <w:t xml:space="preserve">, </w:t>
      </w:r>
      <w:r>
        <w:rPr>
          <w:rFonts w:eastAsia="Times New Roman" w:cstheme="minorHAnsi"/>
          <w:i/>
          <w:iCs/>
          <w:sz w:val="24"/>
          <w:szCs w:val="24"/>
          <w:lang w:eastAsia="en-GB"/>
        </w:rPr>
        <w:t>196</w:t>
      </w:r>
      <w:r>
        <w:rPr>
          <w:rFonts w:eastAsia="Times New Roman" w:cstheme="minorHAnsi"/>
          <w:sz w:val="24"/>
          <w:szCs w:val="24"/>
          <w:lang w:eastAsia="en-GB"/>
        </w:rPr>
        <w:t>(3), 7-17.</w:t>
      </w:r>
    </w:p>
    <w:p w14:paraId="1BF63DD1" w14:textId="77777777" w:rsidR="00774F78" w:rsidRDefault="00774F78" w:rsidP="00774F78">
      <w:pPr>
        <w:jc w:val="both"/>
        <w:rPr>
          <w:rFonts w:cstheme="minorHAnsi"/>
          <w:sz w:val="24"/>
          <w:szCs w:val="24"/>
        </w:rPr>
      </w:pPr>
    </w:p>
    <w:p w14:paraId="50AE427B" w14:textId="77777777" w:rsidR="00774F78" w:rsidRPr="00774F78" w:rsidRDefault="00774F78" w:rsidP="00774F78">
      <w:pPr>
        <w:jc w:val="both"/>
        <w:rPr>
          <w:rFonts w:cstheme="minorHAnsi"/>
          <w:sz w:val="24"/>
          <w:szCs w:val="24"/>
        </w:rPr>
      </w:pPr>
      <w:r w:rsidRPr="00774F78">
        <w:rPr>
          <w:rFonts w:cstheme="minorHAnsi"/>
          <w:sz w:val="24"/>
          <w:szCs w:val="24"/>
        </w:rPr>
        <w:t xml:space="preserve">Future Skills Wales, </w:t>
      </w:r>
      <w:r w:rsidRPr="00774F78">
        <w:rPr>
          <w:rFonts w:cstheme="minorHAnsi"/>
          <w:bCs/>
          <w:i/>
          <w:iCs/>
          <w:sz w:val="24"/>
          <w:szCs w:val="24"/>
        </w:rPr>
        <w:t>Future Skills Wales 2003 Generic Skills Survey</w:t>
      </w:r>
      <w:r w:rsidRPr="00774F78">
        <w:rPr>
          <w:rFonts w:cstheme="minorHAnsi"/>
          <w:sz w:val="24"/>
          <w:szCs w:val="24"/>
        </w:rPr>
        <w:t xml:space="preserve">, 2003, p5,10  </w:t>
      </w:r>
    </w:p>
    <w:p w14:paraId="0672F8C4" w14:textId="77777777" w:rsidR="00801CAB" w:rsidRDefault="00801CAB" w:rsidP="00801CAB">
      <w:r>
        <w:t xml:space="preserve">Guzzetti, B. J., &amp; Bang, E. (2010). The influence of literacy-based science instruction on adolescents' interest, participation, and achievement in science. </w:t>
      </w:r>
      <w:r>
        <w:rPr>
          <w:i/>
          <w:iCs/>
        </w:rPr>
        <w:t>Literacy Research and Instruction</w:t>
      </w:r>
      <w:r>
        <w:t xml:space="preserve">, </w:t>
      </w:r>
      <w:r>
        <w:rPr>
          <w:i/>
          <w:iCs/>
        </w:rPr>
        <w:t>50</w:t>
      </w:r>
      <w:r>
        <w:t>(1), 44-67.</w:t>
      </w:r>
    </w:p>
    <w:p w14:paraId="4839546E" w14:textId="77777777" w:rsidR="00774F78" w:rsidRDefault="00774F78" w:rsidP="00774F78">
      <w:pPr>
        <w:jc w:val="both"/>
        <w:rPr>
          <w:rFonts w:cstheme="minorHAnsi"/>
          <w:sz w:val="24"/>
          <w:szCs w:val="24"/>
        </w:rPr>
      </w:pPr>
    </w:p>
    <w:p w14:paraId="5A68E171" w14:textId="77777777" w:rsidR="00774F78" w:rsidRDefault="00774F78" w:rsidP="00774F78">
      <w:pPr>
        <w:rPr>
          <w:rFonts w:cstheme="minorHAnsi"/>
          <w:sz w:val="24"/>
          <w:szCs w:val="24"/>
        </w:rPr>
      </w:pPr>
      <w:r>
        <w:rPr>
          <w:rFonts w:cstheme="minorHAnsi"/>
          <w:sz w:val="24"/>
          <w:szCs w:val="24"/>
        </w:rPr>
        <w:lastRenderedPageBreak/>
        <w:t xml:space="preserve">Huang, X., Wilson, M., &amp; Wang, L. (2016). Exploring plausible causes of differential item functioning in the PISA science assessment: language, curriculum or culture. </w:t>
      </w:r>
      <w:r>
        <w:rPr>
          <w:rFonts w:cstheme="minorHAnsi"/>
          <w:i/>
          <w:iCs/>
          <w:sz w:val="24"/>
          <w:szCs w:val="24"/>
        </w:rPr>
        <w:t>Educational Psychology</w:t>
      </w:r>
      <w:r>
        <w:rPr>
          <w:rFonts w:cstheme="minorHAnsi"/>
          <w:sz w:val="24"/>
          <w:szCs w:val="24"/>
        </w:rPr>
        <w:t xml:space="preserve">, </w:t>
      </w:r>
      <w:r>
        <w:rPr>
          <w:rFonts w:cstheme="minorHAnsi"/>
          <w:i/>
          <w:iCs/>
          <w:sz w:val="24"/>
          <w:szCs w:val="24"/>
        </w:rPr>
        <w:t>36</w:t>
      </w:r>
      <w:r>
        <w:rPr>
          <w:rFonts w:cstheme="minorHAnsi"/>
          <w:sz w:val="24"/>
          <w:szCs w:val="24"/>
        </w:rPr>
        <w:t>(2), 378-390.</w:t>
      </w:r>
    </w:p>
    <w:p w14:paraId="049D91F5" w14:textId="77777777" w:rsidR="00774F78" w:rsidRDefault="00774F78" w:rsidP="00774F78">
      <w:pPr>
        <w:jc w:val="both"/>
        <w:rPr>
          <w:rFonts w:cstheme="minorHAnsi"/>
          <w:sz w:val="24"/>
          <w:szCs w:val="24"/>
        </w:rPr>
      </w:pPr>
    </w:p>
    <w:p w14:paraId="2BF518AE" w14:textId="77777777" w:rsidR="00774F78" w:rsidRDefault="00774F78" w:rsidP="00774F78">
      <w:pPr>
        <w:jc w:val="both"/>
        <w:rPr>
          <w:rFonts w:cstheme="minorHAnsi"/>
          <w:sz w:val="24"/>
          <w:szCs w:val="24"/>
        </w:rPr>
      </w:pPr>
      <w:proofErr w:type="spellStart"/>
      <w:r>
        <w:rPr>
          <w:rFonts w:cstheme="minorHAnsi"/>
          <w:sz w:val="24"/>
          <w:szCs w:val="24"/>
        </w:rPr>
        <w:t>Jerrim</w:t>
      </w:r>
      <w:proofErr w:type="spellEnd"/>
      <w:r>
        <w:rPr>
          <w:rFonts w:cstheme="minorHAnsi"/>
          <w:sz w:val="24"/>
          <w:szCs w:val="24"/>
        </w:rPr>
        <w:t xml:space="preserve">, John, and Shure, Nikki (2016) "Achievement of </w:t>
      </w:r>
      <w:proofErr w:type="gramStart"/>
      <w:r>
        <w:rPr>
          <w:rFonts w:cstheme="minorHAnsi"/>
          <w:sz w:val="24"/>
          <w:szCs w:val="24"/>
        </w:rPr>
        <w:t>15 year</w:t>
      </w:r>
      <w:proofErr w:type="gramEnd"/>
      <w:r>
        <w:rPr>
          <w:rFonts w:cstheme="minorHAnsi"/>
          <w:sz w:val="24"/>
          <w:szCs w:val="24"/>
        </w:rPr>
        <w:t xml:space="preserve"> olds in Wales: </w:t>
      </w:r>
      <w:r>
        <w:rPr>
          <w:rStyle w:val="highlight"/>
          <w:rFonts w:cstheme="minorHAnsi"/>
          <w:sz w:val="24"/>
          <w:szCs w:val="24"/>
        </w:rPr>
        <w:t>PISA</w:t>
      </w:r>
      <w:r>
        <w:rPr>
          <w:rFonts w:cstheme="minorHAnsi"/>
          <w:sz w:val="24"/>
          <w:szCs w:val="24"/>
        </w:rPr>
        <w:t xml:space="preserve"> 2015 national report." UCL, Institute of Education.</w:t>
      </w:r>
    </w:p>
    <w:p w14:paraId="74C09949" w14:textId="77777777" w:rsidR="00774F78" w:rsidRDefault="00774F78" w:rsidP="00774F78">
      <w:pPr>
        <w:spacing w:after="0" w:line="240" w:lineRule="auto"/>
        <w:rPr>
          <w:rFonts w:eastAsia="Times New Roman" w:cstheme="minorHAnsi"/>
          <w:sz w:val="24"/>
          <w:szCs w:val="24"/>
          <w:lang w:eastAsia="en-GB"/>
        </w:rPr>
      </w:pPr>
      <w:proofErr w:type="spellStart"/>
      <w:r>
        <w:rPr>
          <w:rFonts w:eastAsia="Times New Roman" w:cstheme="minorHAnsi"/>
          <w:sz w:val="24"/>
          <w:szCs w:val="24"/>
          <w:lang w:eastAsia="en-GB"/>
        </w:rPr>
        <w:t>Krajcik</w:t>
      </w:r>
      <w:proofErr w:type="spellEnd"/>
      <w:r>
        <w:rPr>
          <w:rFonts w:eastAsia="Times New Roman" w:cstheme="minorHAnsi"/>
          <w:sz w:val="24"/>
          <w:szCs w:val="24"/>
          <w:lang w:eastAsia="en-GB"/>
        </w:rPr>
        <w:t xml:space="preserve">, J. S., &amp; Sutherland, L. M. (2010). Supporting students in developing literacy in science. </w:t>
      </w:r>
      <w:r>
        <w:rPr>
          <w:rFonts w:eastAsia="Times New Roman" w:cstheme="minorHAnsi"/>
          <w:i/>
          <w:iCs/>
          <w:sz w:val="24"/>
          <w:szCs w:val="24"/>
          <w:lang w:eastAsia="en-GB"/>
        </w:rPr>
        <w:t>Science</w:t>
      </w:r>
      <w:r>
        <w:rPr>
          <w:rFonts w:eastAsia="Times New Roman" w:cstheme="minorHAnsi"/>
          <w:sz w:val="24"/>
          <w:szCs w:val="24"/>
          <w:lang w:eastAsia="en-GB"/>
        </w:rPr>
        <w:t xml:space="preserve">, </w:t>
      </w:r>
      <w:r>
        <w:rPr>
          <w:rFonts w:eastAsia="Times New Roman" w:cstheme="minorHAnsi"/>
          <w:i/>
          <w:iCs/>
          <w:sz w:val="24"/>
          <w:szCs w:val="24"/>
          <w:lang w:eastAsia="en-GB"/>
        </w:rPr>
        <w:t>328</w:t>
      </w:r>
      <w:r>
        <w:rPr>
          <w:rFonts w:eastAsia="Times New Roman" w:cstheme="minorHAnsi"/>
          <w:sz w:val="24"/>
          <w:szCs w:val="24"/>
          <w:lang w:eastAsia="en-GB"/>
        </w:rPr>
        <w:t>(5977), 456-459.</w:t>
      </w:r>
    </w:p>
    <w:p w14:paraId="1BC569B4" w14:textId="77777777" w:rsidR="00774F78" w:rsidRDefault="00774F78" w:rsidP="00774F78">
      <w:pPr>
        <w:jc w:val="both"/>
        <w:rPr>
          <w:rFonts w:cstheme="minorHAnsi"/>
          <w:sz w:val="24"/>
          <w:szCs w:val="24"/>
        </w:rPr>
      </w:pPr>
    </w:p>
    <w:p w14:paraId="3ECF4CE4" w14:textId="6128C216" w:rsidR="00774F78" w:rsidRDefault="00774F78" w:rsidP="008D60CE">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Le Hebel, F., </w:t>
      </w:r>
      <w:proofErr w:type="spellStart"/>
      <w:r>
        <w:rPr>
          <w:rFonts w:eastAsia="Times New Roman" w:cstheme="minorHAnsi"/>
          <w:sz w:val="24"/>
          <w:szCs w:val="24"/>
          <w:lang w:eastAsia="en-GB"/>
        </w:rPr>
        <w:t>Montpied</w:t>
      </w:r>
      <w:proofErr w:type="spellEnd"/>
      <w:r>
        <w:rPr>
          <w:rFonts w:eastAsia="Times New Roman" w:cstheme="minorHAnsi"/>
          <w:sz w:val="24"/>
          <w:szCs w:val="24"/>
          <w:lang w:eastAsia="en-GB"/>
        </w:rPr>
        <w:t xml:space="preserve">, P., &amp; </w:t>
      </w:r>
      <w:proofErr w:type="spellStart"/>
      <w:r>
        <w:rPr>
          <w:rFonts w:eastAsia="Times New Roman" w:cstheme="minorHAnsi"/>
          <w:sz w:val="24"/>
          <w:szCs w:val="24"/>
          <w:lang w:eastAsia="en-GB"/>
        </w:rPr>
        <w:t>Tiberghien</w:t>
      </w:r>
      <w:proofErr w:type="spellEnd"/>
      <w:r>
        <w:rPr>
          <w:rFonts w:eastAsia="Times New Roman" w:cstheme="minorHAnsi"/>
          <w:sz w:val="24"/>
          <w:szCs w:val="24"/>
          <w:lang w:eastAsia="en-GB"/>
        </w:rPr>
        <w:t xml:space="preserve">, A. (2016). Which answering strategies do low achievers use to solve PISA science </w:t>
      </w:r>
      <w:proofErr w:type="gramStart"/>
      <w:r>
        <w:rPr>
          <w:rFonts w:eastAsia="Times New Roman" w:cstheme="minorHAnsi"/>
          <w:sz w:val="24"/>
          <w:szCs w:val="24"/>
          <w:lang w:eastAsia="en-GB"/>
        </w:rPr>
        <w:t>items?.</w:t>
      </w:r>
      <w:proofErr w:type="gramEnd"/>
      <w:r>
        <w:rPr>
          <w:rFonts w:eastAsia="Times New Roman" w:cstheme="minorHAnsi"/>
          <w:sz w:val="24"/>
          <w:szCs w:val="24"/>
          <w:lang w:eastAsia="en-GB"/>
        </w:rPr>
        <w:t xml:space="preserve"> In </w:t>
      </w:r>
      <w:r>
        <w:rPr>
          <w:rFonts w:eastAsia="Times New Roman" w:cstheme="minorHAnsi"/>
          <w:i/>
          <w:iCs/>
          <w:sz w:val="24"/>
          <w:szCs w:val="24"/>
          <w:lang w:eastAsia="en-GB"/>
        </w:rPr>
        <w:t>Insights from research in science teaching and learning</w:t>
      </w:r>
      <w:r>
        <w:rPr>
          <w:rFonts w:eastAsia="Times New Roman" w:cstheme="minorHAnsi"/>
          <w:sz w:val="24"/>
          <w:szCs w:val="24"/>
          <w:lang w:eastAsia="en-GB"/>
        </w:rPr>
        <w:t xml:space="preserve"> (pp. 237-252). Springer, Cham.</w:t>
      </w:r>
    </w:p>
    <w:p w14:paraId="73AAB1E3" w14:textId="77777777" w:rsidR="008D60CE" w:rsidRPr="008D60CE" w:rsidRDefault="008D60CE" w:rsidP="008D60CE">
      <w:pPr>
        <w:spacing w:after="0" w:line="240" w:lineRule="auto"/>
        <w:rPr>
          <w:rFonts w:eastAsia="Times New Roman" w:cstheme="minorHAnsi"/>
          <w:sz w:val="24"/>
          <w:szCs w:val="24"/>
          <w:lang w:eastAsia="en-GB"/>
        </w:rPr>
      </w:pPr>
    </w:p>
    <w:p w14:paraId="31C59E45" w14:textId="77777777" w:rsidR="00774F78" w:rsidRDefault="00774F78" w:rsidP="00774F78">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Lee, V. E., &amp; </w:t>
      </w:r>
      <w:proofErr w:type="spellStart"/>
      <w:r>
        <w:rPr>
          <w:rFonts w:eastAsia="Times New Roman" w:cstheme="minorHAnsi"/>
          <w:sz w:val="24"/>
          <w:szCs w:val="24"/>
          <w:lang w:eastAsia="en-GB"/>
        </w:rPr>
        <w:t>Croninger</w:t>
      </w:r>
      <w:proofErr w:type="spellEnd"/>
      <w:r>
        <w:rPr>
          <w:rFonts w:eastAsia="Times New Roman" w:cstheme="minorHAnsi"/>
          <w:sz w:val="24"/>
          <w:szCs w:val="24"/>
          <w:lang w:eastAsia="en-GB"/>
        </w:rPr>
        <w:t xml:space="preserve">, R. G. (1994). The relative importance of home and school in the development of literacy skills for middle-grade students. </w:t>
      </w:r>
      <w:r>
        <w:rPr>
          <w:rFonts w:eastAsia="Times New Roman" w:cstheme="minorHAnsi"/>
          <w:i/>
          <w:iCs/>
          <w:sz w:val="24"/>
          <w:szCs w:val="24"/>
          <w:lang w:eastAsia="en-GB"/>
        </w:rPr>
        <w:t>American Journal of Education</w:t>
      </w:r>
      <w:r>
        <w:rPr>
          <w:rFonts w:eastAsia="Times New Roman" w:cstheme="minorHAnsi"/>
          <w:sz w:val="24"/>
          <w:szCs w:val="24"/>
          <w:lang w:eastAsia="en-GB"/>
        </w:rPr>
        <w:t xml:space="preserve">, </w:t>
      </w:r>
      <w:r>
        <w:rPr>
          <w:rFonts w:eastAsia="Times New Roman" w:cstheme="minorHAnsi"/>
          <w:i/>
          <w:iCs/>
          <w:sz w:val="24"/>
          <w:szCs w:val="24"/>
          <w:lang w:eastAsia="en-GB"/>
        </w:rPr>
        <w:t>102</w:t>
      </w:r>
      <w:r>
        <w:rPr>
          <w:rFonts w:eastAsia="Times New Roman" w:cstheme="minorHAnsi"/>
          <w:sz w:val="24"/>
          <w:szCs w:val="24"/>
          <w:lang w:eastAsia="en-GB"/>
        </w:rPr>
        <w:t>(3), 286-329.</w:t>
      </w:r>
    </w:p>
    <w:p w14:paraId="055595EF" w14:textId="77777777" w:rsidR="00774F78" w:rsidRDefault="00774F78" w:rsidP="00774F78">
      <w:pPr>
        <w:rPr>
          <w:rFonts w:cstheme="minorHAnsi"/>
          <w:sz w:val="24"/>
          <w:szCs w:val="24"/>
        </w:rPr>
      </w:pPr>
    </w:p>
    <w:p w14:paraId="3BF5F074" w14:textId="1755C16C" w:rsidR="00774F78" w:rsidRDefault="00774F78" w:rsidP="00774F78">
      <w:pPr>
        <w:rPr>
          <w:rFonts w:cstheme="minorHAnsi"/>
          <w:sz w:val="24"/>
          <w:szCs w:val="24"/>
        </w:rPr>
      </w:pPr>
      <w:r>
        <w:rPr>
          <w:rFonts w:cstheme="minorHAnsi"/>
          <w:sz w:val="24"/>
          <w:szCs w:val="24"/>
        </w:rPr>
        <w:t xml:space="preserve">Meyer, H. D., &amp; </w:t>
      </w:r>
      <w:proofErr w:type="spellStart"/>
      <w:r>
        <w:rPr>
          <w:rFonts w:cstheme="minorHAnsi"/>
          <w:sz w:val="24"/>
          <w:szCs w:val="24"/>
        </w:rPr>
        <w:t>Benavot</w:t>
      </w:r>
      <w:proofErr w:type="spellEnd"/>
      <w:r>
        <w:rPr>
          <w:rFonts w:cstheme="minorHAnsi"/>
          <w:sz w:val="24"/>
          <w:szCs w:val="24"/>
        </w:rPr>
        <w:t>, A. (Eds.). (2013, May). PISA, power, and policy: The emergence of global educational governance. Symposium Books Ltd.</w:t>
      </w:r>
    </w:p>
    <w:p w14:paraId="65165B7E" w14:textId="77777777" w:rsidR="00774F78" w:rsidRDefault="00774F78" w:rsidP="00774F78">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McGregor, D., &amp; </w:t>
      </w:r>
      <w:proofErr w:type="spellStart"/>
      <w:r>
        <w:rPr>
          <w:rFonts w:eastAsia="Times New Roman" w:cstheme="minorHAnsi"/>
          <w:sz w:val="24"/>
          <w:szCs w:val="24"/>
          <w:lang w:eastAsia="en-GB"/>
        </w:rPr>
        <w:t>Kearton</w:t>
      </w:r>
      <w:proofErr w:type="spellEnd"/>
      <w:r>
        <w:rPr>
          <w:rFonts w:eastAsia="Times New Roman" w:cstheme="minorHAnsi"/>
          <w:sz w:val="24"/>
          <w:szCs w:val="24"/>
          <w:lang w:eastAsia="en-GB"/>
        </w:rPr>
        <w:t xml:space="preserve">, G. (2010). What Do Researchers Say about Scientific Literacy in </w:t>
      </w:r>
      <w:proofErr w:type="gramStart"/>
      <w:r>
        <w:rPr>
          <w:rFonts w:eastAsia="Times New Roman" w:cstheme="minorHAnsi"/>
          <w:sz w:val="24"/>
          <w:szCs w:val="24"/>
          <w:lang w:eastAsia="en-GB"/>
        </w:rPr>
        <w:t>Schools?.</w:t>
      </w:r>
      <w:proofErr w:type="gramEnd"/>
      <w:r>
        <w:rPr>
          <w:rFonts w:eastAsia="Times New Roman" w:cstheme="minorHAnsi"/>
          <w:sz w:val="24"/>
          <w:szCs w:val="24"/>
          <w:lang w:eastAsia="en-GB"/>
        </w:rPr>
        <w:t xml:space="preserve"> </w:t>
      </w:r>
      <w:r>
        <w:rPr>
          <w:rFonts w:eastAsia="Times New Roman" w:cstheme="minorHAnsi"/>
          <w:i/>
          <w:iCs/>
          <w:sz w:val="24"/>
          <w:szCs w:val="24"/>
          <w:lang w:eastAsia="en-GB"/>
        </w:rPr>
        <w:t>Education in Science</w:t>
      </w:r>
      <w:r>
        <w:rPr>
          <w:rFonts w:eastAsia="Times New Roman" w:cstheme="minorHAnsi"/>
          <w:sz w:val="24"/>
          <w:szCs w:val="24"/>
          <w:lang w:eastAsia="en-GB"/>
        </w:rPr>
        <w:t xml:space="preserve">, </w:t>
      </w:r>
      <w:r>
        <w:rPr>
          <w:rFonts w:eastAsia="Times New Roman" w:cstheme="minorHAnsi"/>
          <w:i/>
          <w:iCs/>
          <w:sz w:val="24"/>
          <w:szCs w:val="24"/>
          <w:lang w:eastAsia="en-GB"/>
        </w:rPr>
        <w:t>240</w:t>
      </w:r>
      <w:r>
        <w:rPr>
          <w:rFonts w:eastAsia="Times New Roman" w:cstheme="minorHAnsi"/>
          <w:sz w:val="24"/>
          <w:szCs w:val="24"/>
          <w:lang w:eastAsia="en-GB"/>
        </w:rPr>
        <w:t>, 22-23.</w:t>
      </w:r>
    </w:p>
    <w:p w14:paraId="25C0EA4F" w14:textId="77777777" w:rsidR="00774F78" w:rsidRDefault="00774F78" w:rsidP="00774F78">
      <w:pPr>
        <w:rPr>
          <w:rFonts w:cstheme="minorHAnsi"/>
          <w:sz w:val="24"/>
          <w:szCs w:val="24"/>
        </w:rPr>
      </w:pPr>
    </w:p>
    <w:p w14:paraId="74E9A400" w14:textId="77777777" w:rsidR="00774F78" w:rsidRDefault="00774F78" w:rsidP="00774F78">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Millar, R. (2006). Twenty first century science: Insights from the design and implementation of a scientific literacy approach in school science. </w:t>
      </w:r>
      <w:r>
        <w:rPr>
          <w:rFonts w:eastAsia="Times New Roman" w:cstheme="minorHAnsi"/>
          <w:i/>
          <w:iCs/>
          <w:sz w:val="24"/>
          <w:szCs w:val="24"/>
          <w:lang w:eastAsia="en-GB"/>
        </w:rPr>
        <w:t>International journal of science education</w:t>
      </w:r>
      <w:r>
        <w:rPr>
          <w:rFonts w:eastAsia="Times New Roman" w:cstheme="minorHAnsi"/>
          <w:sz w:val="24"/>
          <w:szCs w:val="24"/>
          <w:lang w:eastAsia="en-GB"/>
        </w:rPr>
        <w:t xml:space="preserve">, </w:t>
      </w:r>
      <w:r>
        <w:rPr>
          <w:rFonts w:eastAsia="Times New Roman" w:cstheme="minorHAnsi"/>
          <w:i/>
          <w:iCs/>
          <w:sz w:val="24"/>
          <w:szCs w:val="24"/>
          <w:lang w:eastAsia="en-GB"/>
        </w:rPr>
        <w:t>28</w:t>
      </w:r>
      <w:r>
        <w:rPr>
          <w:rFonts w:eastAsia="Times New Roman" w:cstheme="minorHAnsi"/>
          <w:sz w:val="24"/>
          <w:szCs w:val="24"/>
          <w:lang w:eastAsia="en-GB"/>
        </w:rPr>
        <w:t>(13), 1499-1521.</w:t>
      </w:r>
    </w:p>
    <w:p w14:paraId="424582E5" w14:textId="77777777" w:rsidR="00774F78" w:rsidRDefault="00774F78" w:rsidP="00774F78">
      <w:pPr>
        <w:rPr>
          <w:rFonts w:cstheme="minorHAnsi"/>
          <w:sz w:val="24"/>
          <w:szCs w:val="24"/>
        </w:rPr>
      </w:pPr>
    </w:p>
    <w:p w14:paraId="7FBB5E6F" w14:textId="77777777" w:rsidR="00774F78" w:rsidRDefault="00774F78" w:rsidP="00774F78">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Norris, S. P., &amp; Phillips, L. M. (2003). How literacy in its fundamental sense is central to scientific literacy. </w:t>
      </w:r>
      <w:r>
        <w:rPr>
          <w:rFonts w:eastAsia="Times New Roman" w:cstheme="minorHAnsi"/>
          <w:i/>
          <w:iCs/>
          <w:sz w:val="24"/>
          <w:szCs w:val="24"/>
          <w:lang w:eastAsia="en-GB"/>
        </w:rPr>
        <w:t>Science education</w:t>
      </w:r>
      <w:r>
        <w:rPr>
          <w:rFonts w:eastAsia="Times New Roman" w:cstheme="minorHAnsi"/>
          <w:sz w:val="24"/>
          <w:szCs w:val="24"/>
          <w:lang w:eastAsia="en-GB"/>
        </w:rPr>
        <w:t xml:space="preserve">, </w:t>
      </w:r>
      <w:r>
        <w:rPr>
          <w:rFonts w:eastAsia="Times New Roman" w:cstheme="minorHAnsi"/>
          <w:i/>
          <w:iCs/>
          <w:sz w:val="24"/>
          <w:szCs w:val="24"/>
          <w:lang w:eastAsia="en-GB"/>
        </w:rPr>
        <w:t>87</w:t>
      </w:r>
      <w:r>
        <w:rPr>
          <w:rFonts w:eastAsia="Times New Roman" w:cstheme="minorHAnsi"/>
          <w:sz w:val="24"/>
          <w:szCs w:val="24"/>
          <w:lang w:eastAsia="en-GB"/>
        </w:rPr>
        <w:t>(2), 224-240.</w:t>
      </w:r>
    </w:p>
    <w:p w14:paraId="5222C0F5" w14:textId="77777777" w:rsidR="00774F78" w:rsidRDefault="00774F78" w:rsidP="00774F78">
      <w:pPr>
        <w:rPr>
          <w:rFonts w:cstheme="minorHAnsi"/>
          <w:sz w:val="24"/>
          <w:szCs w:val="24"/>
        </w:rPr>
      </w:pPr>
    </w:p>
    <w:p w14:paraId="1A5161EE" w14:textId="77777777" w:rsidR="00774F78" w:rsidRDefault="00774F78" w:rsidP="00774F78">
      <w:pPr>
        <w:rPr>
          <w:rFonts w:cstheme="minorHAnsi"/>
          <w:sz w:val="24"/>
          <w:szCs w:val="24"/>
        </w:rPr>
      </w:pPr>
      <w:r>
        <w:rPr>
          <w:rFonts w:cstheme="minorHAnsi"/>
          <w:sz w:val="24"/>
          <w:szCs w:val="24"/>
        </w:rPr>
        <w:t>OECD. (2006). Assessing scientific, reading and mathematical literacy: A framework for PISA 2006.Paris: OECD.</w:t>
      </w:r>
    </w:p>
    <w:p w14:paraId="3F26A2A8" w14:textId="77777777" w:rsidR="00774F78" w:rsidRDefault="00774F78" w:rsidP="00774F78">
      <w:pPr>
        <w:rPr>
          <w:rFonts w:cstheme="minorHAnsi"/>
          <w:sz w:val="24"/>
          <w:szCs w:val="24"/>
        </w:rPr>
      </w:pPr>
      <w:r>
        <w:rPr>
          <w:rFonts w:cstheme="minorHAnsi"/>
          <w:sz w:val="24"/>
          <w:szCs w:val="24"/>
        </w:rPr>
        <w:t xml:space="preserve">Osborne, J., </w:t>
      </w:r>
      <w:proofErr w:type="spellStart"/>
      <w:r>
        <w:rPr>
          <w:rFonts w:cstheme="minorHAnsi"/>
          <w:sz w:val="24"/>
          <w:szCs w:val="24"/>
        </w:rPr>
        <w:t>Oskarsson</w:t>
      </w:r>
      <w:proofErr w:type="spellEnd"/>
      <w:r>
        <w:rPr>
          <w:rFonts w:cstheme="minorHAnsi"/>
          <w:sz w:val="24"/>
          <w:szCs w:val="24"/>
        </w:rPr>
        <w:t xml:space="preserve">, M., </w:t>
      </w:r>
      <w:proofErr w:type="spellStart"/>
      <w:r>
        <w:rPr>
          <w:rFonts w:cstheme="minorHAnsi"/>
          <w:sz w:val="24"/>
          <w:szCs w:val="24"/>
        </w:rPr>
        <w:t>Serder</w:t>
      </w:r>
      <w:proofErr w:type="spellEnd"/>
      <w:r>
        <w:rPr>
          <w:rFonts w:cstheme="minorHAnsi"/>
          <w:sz w:val="24"/>
          <w:szCs w:val="24"/>
        </w:rPr>
        <w:t xml:space="preserve">, M., &amp; </w:t>
      </w:r>
      <w:proofErr w:type="spellStart"/>
      <w:r>
        <w:rPr>
          <w:rFonts w:cstheme="minorHAnsi"/>
          <w:sz w:val="24"/>
          <w:szCs w:val="24"/>
        </w:rPr>
        <w:t>Sjøberg</w:t>
      </w:r>
      <w:proofErr w:type="spellEnd"/>
      <w:r>
        <w:rPr>
          <w:rFonts w:cstheme="minorHAnsi"/>
          <w:sz w:val="24"/>
          <w:szCs w:val="24"/>
        </w:rPr>
        <w:t xml:space="preserve">, S. (2017). The PISA Science Assessment for 2015 and the Implications for Science Education: Uses and Abuses. In </w:t>
      </w:r>
      <w:r>
        <w:rPr>
          <w:rFonts w:cstheme="minorHAnsi"/>
          <w:i/>
          <w:iCs/>
          <w:sz w:val="24"/>
          <w:szCs w:val="24"/>
        </w:rPr>
        <w:t>Cognitive and Affective Aspects in Science Education Research</w:t>
      </w:r>
      <w:r>
        <w:rPr>
          <w:rFonts w:cstheme="minorHAnsi"/>
          <w:sz w:val="24"/>
          <w:szCs w:val="24"/>
        </w:rPr>
        <w:t xml:space="preserve"> (pp. 191-203). Springer, Cham.</w:t>
      </w:r>
    </w:p>
    <w:p w14:paraId="483ACD8A" w14:textId="77777777" w:rsidR="00774F78" w:rsidRDefault="00774F78" w:rsidP="00774F78">
      <w:pPr>
        <w:rPr>
          <w:rFonts w:cstheme="minorHAnsi"/>
          <w:sz w:val="24"/>
          <w:szCs w:val="24"/>
        </w:rPr>
      </w:pPr>
    </w:p>
    <w:p w14:paraId="12EBFE0D" w14:textId="77777777" w:rsidR="00774F78" w:rsidRDefault="00774F78" w:rsidP="00774F78">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Pearson, P. D., </w:t>
      </w:r>
      <w:proofErr w:type="spellStart"/>
      <w:r>
        <w:rPr>
          <w:rFonts w:eastAsia="Times New Roman" w:cstheme="minorHAnsi"/>
          <w:sz w:val="24"/>
          <w:szCs w:val="24"/>
          <w:lang w:eastAsia="en-GB"/>
        </w:rPr>
        <w:t>Moje</w:t>
      </w:r>
      <w:proofErr w:type="spellEnd"/>
      <w:r>
        <w:rPr>
          <w:rFonts w:eastAsia="Times New Roman" w:cstheme="minorHAnsi"/>
          <w:sz w:val="24"/>
          <w:szCs w:val="24"/>
          <w:lang w:eastAsia="en-GB"/>
        </w:rPr>
        <w:t xml:space="preserve">, E., &amp; Greenleaf, C. (2010). Literacy and science: Each in the service of the other. </w:t>
      </w:r>
      <w:r>
        <w:rPr>
          <w:rFonts w:eastAsia="Times New Roman" w:cstheme="minorHAnsi"/>
          <w:i/>
          <w:iCs/>
          <w:sz w:val="24"/>
          <w:szCs w:val="24"/>
          <w:lang w:eastAsia="en-GB"/>
        </w:rPr>
        <w:t>science</w:t>
      </w:r>
      <w:r>
        <w:rPr>
          <w:rFonts w:eastAsia="Times New Roman" w:cstheme="minorHAnsi"/>
          <w:sz w:val="24"/>
          <w:szCs w:val="24"/>
          <w:lang w:eastAsia="en-GB"/>
        </w:rPr>
        <w:t xml:space="preserve">, </w:t>
      </w:r>
      <w:r>
        <w:rPr>
          <w:rFonts w:eastAsia="Times New Roman" w:cstheme="minorHAnsi"/>
          <w:i/>
          <w:iCs/>
          <w:sz w:val="24"/>
          <w:szCs w:val="24"/>
          <w:lang w:eastAsia="en-GB"/>
        </w:rPr>
        <w:t>328</w:t>
      </w:r>
      <w:r>
        <w:rPr>
          <w:rFonts w:eastAsia="Times New Roman" w:cstheme="minorHAnsi"/>
          <w:sz w:val="24"/>
          <w:szCs w:val="24"/>
          <w:lang w:eastAsia="en-GB"/>
        </w:rPr>
        <w:t>(5977), 459-463.</w:t>
      </w:r>
    </w:p>
    <w:p w14:paraId="027E072D" w14:textId="77777777" w:rsidR="00774F78" w:rsidRDefault="00774F78" w:rsidP="00774F78">
      <w:pPr>
        <w:rPr>
          <w:rFonts w:cstheme="minorHAnsi"/>
          <w:sz w:val="24"/>
          <w:szCs w:val="24"/>
        </w:rPr>
      </w:pPr>
    </w:p>
    <w:p w14:paraId="37E603A5" w14:textId="77777777" w:rsidR="00774F78" w:rsidRDefault="00774F78" w:rsidP="00774F78">
      <w:pPr>
        <w:spacing w:after="0" w:line="240" w:lineRule="auto"/>
        <w:rPr>
          <w:rFonts w:eastAsia="Times New Roman" w:cstheme="minorHAnsi"/>
          <w:sz w:val="24"/>
          <w:szCs w:val="24"/>
          <w:lang w:eastAsia="en-GB"/>
        </w:rPr>
      </w:pPr>
      <w:r>
        <w:rPr>
          <w:rFonts w:eastAsia="Times New Roman" w:cstheme="minorHAnsi"/>
          <w:sz w:val="24"/>
          <w:szCs w:val="24"/>
          <w:lang w:eastAsia="en-GB"/>
        </w:rPr>
        <w:lastRenderedPageBreak/>
        <w:t xml:space="preserve">Pigott, T. D., Valentine, J. C., </w:t>
      </w:r>
      <w:proofErr w:type="spellStart"/>
      <w:r>
        <w:rPr>
          <w:rFonts w:eastAsia="Times New Roman" w:cstheme="minorHAnsi"/>
          <w:sz w:val="24"/>
          <w:szCs w:val="24"/>
          <w:lang w:eastAsia="en-GB"/>
        </w:rPr>
        <w:t>Polanin</w:t>
      </w:r>
      <w:proofErr w:type="spellEnd"/>
      <w:r>
        <w:rPr>
          <w:rFonts w:eastAsia="Times New Roman" w:cstheme="minorHAnsi"/>
          <w:sz w:val="24"/>
          <w:szCs w:val="24"/>
          <w:lang w:eastAsia="en-GB"/>
        </w:rPr>
        <w:t xml:space="preserve">, J. R., Williams, R. T., &amp; Canada, D. D. (2013). Outcome-reporting bias in education research. </w:t>
      </w:r>
      <w:r>
        <w:rPr>
          <w:rFonts w:eastAsia="Times New Roman" w:cstheme="minorHAnsi"/>
          <w:i/>
          <w:iCs/>
          <w:sz w:val="24"/>
          <w:szCs w:val="24"/>
          <w:lang w:eastAsia="en-GB"/>
        </w:rPr>
        <w:t>Educational Researcher</w:t>
      </w:r>
      <w:r>
        <w:rPr>
          <w:rFonts w:eastAsia="Times New Roman" w:cstheme="minorHAnsi"/>
          <w:sz w:val="24"/>
          <w:szCs w:val="24"/>
          <w:lang w:eastAsia="en-GB"/>
        </w:rPr>
        <w:t xml:space="preserve">, </w:t>
      </w:r>
      <w:r>
        <w:rPr>
          <w:rFonts w:eastAsia="Times New Roman" w:cstheme="minorHAnsi"/>
          <w:i/>
          <w:iCs/>
          <w:sz w:val="24"/>
          <w:szCs w:val="24"/>
          <w:lang w:eastAsia="en-GB"/>
        </w:rPr>
        <w:t>42</w:t>
      </w:r>
      <w:r>
        <w:rPr>
          <w:rFonts w:eastAsia="Times New Roman" w:cstheme="minorHAnsi"/>
          <w:sz w:val="24"/>
          <w:szCs w:val="24"/>
          <w:lang w:eastAsia="en-GB"/>
        </w:rPr>
        <w:t>(8), 424-432.</w:t>
      </w:r>
    </w:p>
    <w:p w14:paraId="0E269090" w14:textId="6E69F414" w:rsidR="00774F78" w:rsidRDefault="00774F78" w:rsidP="00774F78">
      <w:pPr>
        <w:rPr>
          <w:rFonts w:cstheme="minorHAnsi"/>
          <w:sz w:val="24"/>
          <w:szCs w:val="24"/>
        </w:rPr>
      </w:pPr>
    </w:p>
    <w:p w14:paraId="43032BCA" w14:textId="77777777" w:rsidR="004004DE" w:rsidRDefault="004004DE" w:rsidP="004004DE">
      <w:r>
        <w:t xml:space="preserve">Pinto, R., &amp; El </w:t>
      </w:r>
      <w:proofErr w:type="spellStart"/>
      <w:r>
        <w:t>Boudamoussi</w:t>
      </w:r>
      <w:proofErr w:type="spellEnd"/>
      <w:r>
        <w:t xml:space="preserve">, S. (2009). Scientific processes in PISA tests observed for science teachers. </w:t>
      </w:r>
      <w:r>
        <w:rPr>
          <w:i/>
          <w:iCs/>
        </w:rPr>
        <w:t>International Journal of Science Education</w:t>
      </w:r>
      <w:r>
        <w:t xml:space="preserve">, </w:t>
      </w:r>
      <w:r>
        <w:rPr>
          <w:i/>
          <w:iCs/>
        </w:rPr>
        <w:t>31</w:t>
      </w:r>
      <w:r>
        <w:t>(16), 2137-2159.</w:t>
      </w:r>
    </w:p>
    <w:p w14:paraId="71C59C7F" w14:textId="77777777" w:rsidR="004004DE" w:rsidRDefault="004004DE" w:rsidP="00774F78">
      <w:pPr>
        <w:rPr>
          <w:rFonts w:cstheme="minorHAnsi"/>
          <w:sz w:val="24"/>
          <w:szCs w:val="24"/>
        </w:rPr>
      </w:pPr>
    </w:p>
    <w:p w14:paraId="78849098" w14:textId="77777777" w:rsidR="00774F78" w:rsidRDefault="00774F78" w:rsidP="00774F78">
      <w:pPr>
        <w:rPr>
          <w:rFonts w:cstheme="minorHAnsi"/>
          <w:sz w:val="24"/>
          <w:szCs w:val="24"/>
        </w:rPr>
      </w:pPr>
      <w:r>
        <w:rPr>
          <w:rFonts w:cstheme="minorHAnsi"/>
          <w:sz w:val="24"/>
          <w:szCs w:val="24"/>
        </w:rPr>
        <w:t xml:space="preserve">Rees, G., &amp; Taylor, C. (2015). Is There a ‘Crisis’ in Welsh </w:t>
      </w:r>
      <w:proofErr w:type="gramStart"/>
      <w:r>
        <w:rPr>
          <w:rFonts w:cstheme="minorHAnsi"/>
          <w:sz w:val="24"/>
          <w:szCs w:val="24"/>
        </w:rPr>
        <w:t>Education?.</w:t>
      </w:r>
      <w:proofErr w:type="gramEnd"/>
      <w:r>
        <w:rPr>
          <w:rFonts w:cstheme="minorHAnsi"/>
          <w:sz w:val="24"/>
          <w:szCs w:val="24"/>
        </w:rPr>
        <w:t xml:space="preserve"> </w:t>
      </w:r>
      <w:r>
        <w:rPr>
          <w:rFonts w:cstheme="minorHAnsi"/>
          <w:i/>
          <w:iCs/>
          <w:sz w:val="24"/>
          <w:szCs w:val="24"/>
        </w:rPr>
        <w:t xml:space="preserve">Transactions of the Honourable Society of </w:t>
      </w:r>
      <w:proofErr w:type="spellStart"/>
      <w:r>
        <w:rPr>
          <w:rFonts w:cstheme="minorHAnsi"/>
          <w:i/>
          <w:iCs/>
          <w:sz w:val="24"/>
          <w:szCs w:val="24"/>
        </w:rPr>
        <w:t>Cymmrodorion</w:t>
      </w:r>
      <w:proofErr w:type="spellEnd"/>
      <w:r>
        <w:rPr>
          <w:rFonts w:cstheme="minorHAnsi"/>
          <w:sz w:val="24"/>
          <w:szCs w:val="24"/>
        </w:rPr>
        <w:t xml:space="preserve">, </w:t>
      </w:r>
      <w:r>
        <w:rPr>
          <w:rFonts w:cstheme="minorHAnsi"/>
          <w:i/>
          <w:iCs/>
          <w:sz w:val="24"/>
          <w:szCs w:val="24"/>
        </w:rPr>
        <w:t>2015</w:t>
      </w:r>
      <w:r>
        <w:rPr>
          <w:rFonts w:cstheme="minorHAnsi"/>
          <w:sz w:val="24"/>
          <w:szCs w:val="24"/>
        </w:rPr>
        <w:t>, 97-113.</w:t>
      </w:r>
    </w:p>
    <w:p w14:paraId="10ABFE79" w14:textId="6C2D2B80" w:rsidR="00774F78" w:rsidRPr="008D60CE" w:rsidRDefault="008D60CE" w:rsidP="00774F78">
      <w:r>
        <w:t xml:space="preserve">Sadler, T. D., Romine, W. L., &amp; </w:t>
      </w:r>
      <w:proofErr w:type="spellStart"/>
      <w:r>
        <w:t>Topçu</w:t>
      </w:r>
      <w:proofErr w:type="spellEnd"/>
      <w:r>
        <w:t xml:space="preserve">, M. S. (2016). Learning science content through socio-scientific issues-based instruction: A multi-level assessment study. </w:t>
      </w:r>
      <w:r>
        <w:rPr>
          <w:i/>
          <w:iCs/>
        </w:rPr>
        <w:t>International Journal of Science Education</w:t>
      </w:r>
      <w:r>
        <w:t xml:space="preserve">, </w:t>
      </w:r>
      <w:r>
        <w:rPr>
          <w:i/>
          <w:iCs/>
        </w:rPr>
        <w:t>38</w:t>
      </w:r>
      <w:r>
        <w:t>(10), 1622-1635.</w:t>
      </w:r>
    </w:p>
    <w:p w14:paraId="314E271F" w14:textId="77777777" w:rsidR="00774F78" w:rsidRDefault="00774F78" w:rsidP="00774F78">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Sadler, T. D., &amp; </w:t>
      </w:r>
      <w:proofErr w:type="spellStart"/>
      <w:r>
        <w:rPr>
          <w:rFonts w:eastAsia="Times New Roman" w:cstheme="minorHAnsi"/>
          <w:sz w:val="24"/>
          <w:szCs w:val="24"/>
          <w:lang w:eastAsia="en-GB"/>
        </w:rPr>
        <w:t>Zeidler</w:t>
      </w:r>
      <w:proofErr w:type="spellEnd"/>
      <w:r>
        <w:rPr>
          <w:rFonts w:eastAsia="Times New Roman" w:cstheme="minorHAnsi"/>
          <w:sz w:val="24"/>
          <w:szCs w:val="24"/>
          <w:lang w:eastAsia="en-GB"/>
        </w:rPr>
        <w:t xml:space="preserve">, D. L. (2009). Scientific literacy, PISA, and </w:t>
      </w:r>
      <w:proofErr w:type="spellStart"/>
      <w:r>
        <w:rPr>
          <w:rFonts w:eastAsia="Times New Roman" w:cstheme="minorHAnsi"/>
          <w:sz w:val="24"/>
          <w:szCs w:val="24"/>
          <w:lang w:eastAsia="en-GB"/>
        </w:rPr>
        <w:t>socioscientific</w:t>
      </w:r>
      <w:proofErr w:type="spellEnd"/>
      <w:r>
        <w:rPr>
          <w:rFonts w:eastAsia="Times New Roman" w:cstheme="minorHAnsi"/>
          <w:sz w:val="24"/>
          <w:szCs w:val="24"/>
          <w:lang w:eastAsia="en-GB"/>
        </w:rPr>
        <w:t xml:space="preserve"> discourse: Assessment for progressive aims of science education. </w:t>
      </w:r>
      <w:r>
        <w:rPr>
          <w:rFonts w:eastAsia="Times New Roman" w:cstheme="minorHAnsi"/>
          <w:i/>
          <w:iCs/>
          <w:sz w:val="24"/>
          <w:szCs w:val="24"/>
          <w:lang w:eastAsia="en-GB"/>
        </w:rPr>
        <w:t>Journal of Research in Science Teaching: The Official Journal of the National Association for Research in Science Teaching</w:t>
      </w:r>
      <w:r>
        <w:rPr>
          <w:rFonts w:eastAsia="Times New Roman" w:cstheme="minorHAnsi"/>
          <w:sz w:val="24"/>
          <w:szCs w:val="24"/>
          <w:lang w:eastAsia="en-GB"/>
        </w:rPr>
        <w:t xml:space="preserve">, </w:t>
      </w:r>
      <w:r>
        <w:rPr>
          <w:rFonts w:eastAsia="Times New Roman" w:cstheme="minorHAnsi"/>
          <w:i/>
          <w:iCs/>
          <w:sz w:val="24"/>
          <w:szCs w:val="24"/>
          <w:lang w:eastAsia="en-GB"/>
        </w:rPr>
        <w:t>46</w:t>
      </w:r>
      <w:r>
        <w:rPr>
          <w:rFonts w:eastAsia="Times New Roman" w:cstheme="minorHAnsi"/>
          <w:sz w:val="24"/>
          <w:szCs w:val="24"/>
          <w:lang w:eastAsia="en-GB"/>
        </w:rPr>
        <w:t>(8), 909-921.</w:t>
      </w:r>
    </w:p>
    <w:p w14:paraId="1E3FAED3" w14:textId="77777777" w:rsidR="00774F78" w:rsidRDefault="00774F78" w:rsidP="00774F78">
      <w:pPr>
        <w:rPr>
          <w:rFonts w:cstheme="minorHAnsi"/>
          <w:sz w:val="24"/>
          <w:szCs w:val="24"/>
        </w:rPr>
      </w:pPr>
    </w:p>
    <w:p w14:paraId="0C2290F9" w14:textId="77777777" w:rsidR="00774F78" w:rsidRDefault="00774F78" w:rsidP="00774F78">
      <w:pPr>
        <w:rPr>
          <w:rFonts w:cstheme="minorHAnsi"/>
          <w:sz w:val="24"/>
          <w:szCs w:val="24"/>
        </w:rPr>
      </w:pPr>
      <w:proofErr w:type="spellStart"/>
      <w:r>
        <w:rPr>
          <w:rFonts w:cstheme="minorHAnsi"/>
          <w:sz w:val="24"/>
          <w:szCs w:val="24"/>
        </w:rPr>
        <w:t>Schleicher</w:t>
      </w:r>
      <w:proofErr w:type="spellEnd"/>
      <w:r>
        <w:rPr>
          <w:rFonts w:cstheme="minorHAnsi"/>
          <w:sz w:val="24"/>
          <w:szCs w:val="24"/>
        </w:rPr>
        <w:t xml:space="preserve">, A. (2007). Can competencies assessed by PISA be considered the fundamental school knowledge 15-year-olds should </w:t>
      </w:r>
      <w:proofErr w:type="gramStart"/>
      <w:r>
        <w:rPr>
          <w:rFonts w:cstheme="minorHAnsi"/>
          <w:sz w:val="24"/>
          <w:szCs w:val="24"/>
        </w:rPr>
        <w:t>possess?.</w:t>
      </w:r>
      <w:proofErr w:type="gramEnd"/>
      <w:r>
        <w:rPr>
          <w:rFonts w:cstheme="minorHAnsi"/>
          <w:sz w:val="24"/>
          <w:szCs w:val="24"/>
        </w:rPr>
        <w:t xml:space="preserve"> </w:t>
      </w:r>
      <w:r>
        <w:rPr>
          <w:rFonts w:cstheme="minorHAnsi"/>
          <w:i/>
          <w:iCs/>
          <w:sz w:val="24"/>
          <w:szCs w:val="24"/>
        </w:rPr>
        <w:t>Journal of Educational Change</w:t>
      </w:r>
      <w:r>
        <w:rPr>
          <w:rFonts w:cstheme="minorHAnsi"/>
          <w:sz w:val="24"/>
          <w:szCs w:val="24"/>
        </w:rPr>
        <w:t xml:space="preserve">, </w:t>
      </w:r>
      <w:r>
        <w:rPr>
          <w:rFonts w:cstheme="minorHAnsi"/>
          <w:i/>
          <w:iCs/>
          <w:sz w:val="24"/>
          <w:szCs w:val="24"/>
        </w:rPr>
        <w:t>8</w:t>
      </w:r>
      <w:r>
        <w:rPr>
          <w:rFonts w:cstheme="minorHAnsi"/>
          <w:sz w:val="24"/>
          <w:szCs w:val="24"/>
        </w:rPr>
        <w:t>(4), 349-357.</w:t>
      </w:r>
    </w:p>
    <w:p w14:paraId="65859AE1" w14:textId="1BEABCB2" w:rsidR="00774F78" w:rsidRDefault="00774F78" w:rsidP="00774F78">
      <w:pPr>
        <w:rPr>
          <w:rFonts w:cstheme="minorHAnsi"/>
          <w:sz w:val="24"/>
          <w:szCs w:val="24"/>
        </w:rPr>
      </w:pPr>
      <w:proofErr w:type="spellStart"/>
      <w:r>
        <w:rPr>
          <w:rFonts w:cstheme="minorHAnsi"/>
          <w:sz w:val="24"/>
          <w:szCs w:val="24"/>
        </w:rPr>
        <w:t>Schleicher</w:t>
      </w:r>
      <w:proofErr w:type="spellEnd"/>
      <w:r>
        <w:rPr>
          <w:rFonts w:cstheme="minorHAnsi"/>
          <w:sz w:val="24"/>
          <w:szCs w:val="24"/>
        </w:rPr>
        <w:t xml:space="preserve">, A. (2010). Assessing literacy across a changing world. </w:t>
      </w:r>
      <w:r>
        <w:rPr>
          <w:rFonts w:cstheme="minorHAnsi"/>
          <w:i/>
          <w:iCs/>
          <w:sz w:val="24"/>
          <w:szCs w:val="24"/>
        </w:rPr>
        <w:t>Science</w:t>
      </w:r>
      <w:r>
        <w:rPr>
          <w:rFonts w:cstheme="minorHAnsi"/>
          <w:sz w:val="24"/>
          <w:szCs w:val="24"/>
        </w:rPr>
        <w:t xml:space="preserve">, </w:t>
      </w:r>
      <w:r>
        <w:rPr>
          <w:rFonts w:cstheme="minorHAnsi"/>
          <w:i/>
          <w:iCs/>
          <w:sz w:val="24"/>
          <w:szCs w:val="24"/>
        </w:rPr>
        <w:t>328</w:t>
      </w:r>
      <w:r>
        <w:rPr>
          <w:rFonts w:cstheme="minorHAnsi"/>
          <w:sz w:val="24"/>
          <w:szCs w:val="24"/>
        </w:rPr>
        <w:t>(5977), 433-434.</w:t>
      </w:r>
    </w:p>
    <w:p w14:paraId="5193A42C" w14:textId="77777777" w:rsidR="00774F78" w:rsidRDefault="00774F78" w:rsidP="00774F78">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She, H. C., Stacey, K., &amp; Schmidt, W. H. (2018). Science and mathematics literacy: PISA for better school education. </w:t>
      </w:r>
      <w:r>
        <w:rPr>
          <w:rFonts w:eastAsia="Times New Roman" w:cstheme="minorHAnsi"/>
          <w:i/>
          <w:iCs/>
          <w:sz w:val="24"/>
          <w:szCs w:val="24"/>
          <w:lang w:eastAsia="en-GB"/>
        </w:rPr>
        <w:t>International Journal of Science and Mathematics Education</w:t>
      </w:r>
      <w:r>
        <w:rPr>
          <w:rFonts w:eastAsia="Times New Roman" w:cstheme="minorHAnsi"/>
          <w:sz w:val="24"/>
          <w:szCs w:val="24"/>
          <w:lang w:eastAsia="en-GB"/>
        </w:rPr>
        <w:t xml:space="preserve">, </w:t>
      </w:r>
      <w:r>
        <w:rPr>
          <w:rFonts w:eastAsia="Times New Roman" w:cstheme="minorHAnsi"/>
          <w:i/>
          <w:iCs/>
          <w:sz w:val="24"/>
          <w:szCs w:val="24"/>
          <w:lang w:eastAsia="en-GB"/>
        </w:rPr>
        <w:t>16</w:t>
      </w:r>
      <w:r>
        <w:rPr>
          <w:rFonts w:eastAsia="Times New Roman" w:cstheme="minorHAnsi"/>
          <w:sz w:val="24"/>
          <w:szCs w:val="24"/>
          <w:lang w:eastAsia="en-GB"/>
        </w:rPr>
        <w:t>(1), 1-5.</w:t>
      </w:r>
    </w:p>
    <w:p w14:paraId="280DFE2F" w14:textId="77777777" w:rsidR="00774F78" w:rsidRDefault="00774F78" w:rsidP="00774F78">
      <w:pPr>
        <w:rPr>
          <w:rFonts w:cstheme="minorHAnsi"/>
          <w:sz w:val="24"/>
          <w:szCs w:val="24"/>
        </w:rPr>
      </w:pPr>
    </w:p>
    <w:p w14:paraId="3BDD0E84" w14:textId="77777777" w:rsidR="00774F78" w:rsidRDefault="00774F78" w:rsidP="00774F78">
      <w:pPr>
        <w:spacing w:after="0" w:line="240" w:lineRule="auto"/>
        <w:rPr>
          <w:rFonts w:eastAsia="Times New Roman" w:cstheme="minorHAnsi"/>
          <w:sz w:val="24"/>
          <w:szCs w:val="24"/>
          <w:lang w:eastAsia="en-GB"/>
        </w:rPr>
      </w:pPr>
      <w:proofErr w:type="spellStart"/>
      <w:r>
        <w:rPr>
          <w:rFonts w:eastAsia="Times New Roman" w:cstheme="minorHAnsi"/>
          <w:sz w:val="24"/>
          <w:szCs w:val="24"/>
          <w:lang w:eastAsia="en-GB"/>
        </w:rPr>
        <w:t>Turiman</w:t>
      </w:r>
      <w:proofErr w:type="spellEnd"/>
      <w:r>
        <w:rPr>
          <w:rFonts w:eastAsia="Times New Roman" w:cstheme="minorHAnsi"/>
          <w:sz w:val="24"/>
          <w:szCs w:val="24"/>
          <w:lang w:eastAsia="en-GB"/>
        </w:rPr>
        <w:t xml:space="preserve">, P., Omar, J., </w:t>
      </w:r>
      <w:proofErr w:type="spellStart"/>
      <w:r>
        <w:rPr>
          <w:rFonts w:eastAsia="Times New Roman" w:cstheme="minorHAnsi"/>
          <w:sz w:val="24"/>
          <w:szCs w:val="24"/>
          <w:lang w:eastAsia="en-GB"/>
        </w:rPr>
        <w:t>Daud</w:t>
      </w:r>
      <w:proofErr w:type="spellEnd"/>
      <w:r>
        <w:rPr>
          <w:rFonts w:eastAsia="Times New Roman" w:cstheme="minorHAnsi"/>
          <w:sz w:val="24"/>
          <w:szCs w:val="24"/>
          <w:lang w:eastAsia="en-GB"/>
        </w:rPr>
        <w:t xml:space="preserve">, A. M., &amp; Osman, K. (2012). Fostering the 21st century skills through scientific literacy and science process skills. </w:t>
      </w:r>
      <w:r>
        <w:rPr>
          <w:rFonts w:eastAsia="Times New Roman" w:cstheme="minorHAnsi"/>
          <w:i/>
          <w:iCs/>
          <w:sz w:val="24"/>
          <w:szCs w:val="24"/>
          <w:lang w:eastAsia="en-GB"/>
        </w:rPr>
        <w:t xml:space="preserve">Procedia-Social and </w:t>
      </w:r>
      <w:proofErr w:type="spellStart"/>
      <w:r>
        <w:rPr>
          <w:rFonts w:eastAsia="Times New Roman" w:cstheme="minorHAnsi"/>
          <w:i/>
          <w:iCs/>
          <w:sz w:val="24"/>
          <w:szCs w:val="24"/>
          <w:lang w:eastAsia="en-GB"/>
        </w:rPr>
        <w:t>Behavioral</w:t>
      </w:r>
      <w:proofErr w:type="spellEnd"/>
      <w:r>
        <w:rPr>
          <w:rFonts w:eastAsia="Times New Roman" w:cstheme="minorHAnsi"/>
          <w:i/>
          <w:iCs/>
          <w:sz w:val="24"/>
          <w:szCs w:val="24"/>
          <w:lang w:eastAsia="en-GB"/>
        </w:rPr>
        <w:t xml:space="preserve"> Sciences</w:t>
      </w:r>
      <w:r>
        <w:rPr>
          <w:rFonts w:eastAsia="Times New Roman" w:cstheme="minorHAnsi"/>
          <w:sz w:val="24"/>
          <w:szCs w:val="24"/>
          <w:lang w:eastAsia="en-GB"/>
        </w:rPr>
        <w:t xml:space="preserve">, </w:t>
      </w:r>
      <w:r>
        <w:rPr>
          <w:rFonts w:eastAsia="Times New Roman" w:cstheme="minorHAnsi"/>
          <w:i/>
          <w:iCs/>
          <w:sz w:val="24"/>
          <w:szCs w:val="24"/>
          <w:lang w:eastAsia="en-GB"/>
        </w:rPr>
        <w:t>59</w:t>
      </w:r>
      <w:r>
        <w:rPr>
          <w:rFonts w:eastAsia="Times New Roman" w:cstheme="minorHAnsi"/>
          <w:sz w:val="24"/>
          <w:szCs w:val="24"/>
          <w:lang w:eastAsia="en-GB"/>
        </w:rPr>
        <w:t>, 110-116.</w:t>
      </w:r>
    </w:p>
    <w:p w14:paraId="2A82B5B2" w14:textId="77777777" w:rsidR="00774F78" w:rsidRDefault="00774F78" w:rsidP="00774F78">
      <w:pPr>
        <w:rPr>
          <w:rFonts w:cstheme="minorHAnsi"/>
          <w:sz w:val="24"/>
          <w:szCs w:val="24"/>
        </w:rPr>
      </w:pPr>
    </w:p>
    <w:p w14:paraId="4A016082" w14:textId="73813C09" w:rsidR="00312A32" w:rsidRPr="00DC43B9" w:rsidRDefault="00774F78" w:rsidP="00774F78">
      <w:pPr>
        <w:rPr>
          <w:sz w:val="24"/>
          <w:szCs w:val="24"/>
        </w:rPr>
      </w:pPr>
      <w:r>
        <w:rPr>
          <w:rFonts w:cstheme="minorHAnsi"/>
          <w:sz w:val="24"/>
          <w:szCs w:val="24"/>
        </w:rPr>
        <w:t>Wales Literacy and Numeracy Framework (2013) W</w:t>
      </w:r>
      <w:r>
        <w:t>ales Government.</w:t>
      </w:r>
    </w:p>
    <w:sectPr w:rsidR="00312A32" w:rsidRPr="00DC4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82A"/>
    <w:rsid w:val="00005363"/>
    <w:rsid w:val="00055CFF"/>
    <w:rsid w:val="00056CA9"/>
    <w:rsid w:val="000674DC"/>
    <w:rsid w:val="00073B06"/>
    <w:rsid w:val="000833B1"/>
    <w:rsid w:val="000A13B9"/>
    <w:rsid w:val="000A373D"/>
    <w:rsid w:val="000D57A2"/>
    <w:rsid w:val="000F14CB"/>
    <w:rsid w:val="00120481"/>
    <w:rsid w:val="001323EF"/>
    <w:rsid w:val="0014505B"/>
    <w:rsid w:val="00146031"/>
    <w:rsid w:val="00183685"/>
    <w:rsid w:val="001870AA"/>
    <w:rsid w:val="00192E18"/>
    <w:rsid w:val="001B7052"/>
    <w:rsid w:val="001C044C"/>
    <w:rsid w:val="001C4A66"/>
    <w:rsid w:val="001D0B27"/>
    <w:rsid w:val="001E59A2"/>
    <w:rsid w:val="001F4297"/>
    <w:rsid w:val="00217619"/>
    <w:rsid w:val="00241865"/>
    <w:rsid w:val="00255715"/>
    <w:rsid w:val="00255BCC"/>
    <w:rsid w:val="00267C0A"/>
    <w:rsid w:val="0029555A"/>
    <w:rsid w:val="00296B28"/>
    <w:rsid w:val="002A14B6"/>
    <w:rsid w:val="002E709A"/>
    <w:rsid w:val="002F2BD3"/>
    <w:rsid w:val="00312A32"/>
    <w:rsid w:val="00340021"/>
    <w:rsid w:val="003653A8"/>
    <w:rsid w:val="00373788"/>
    <w:rsid w:val="00377EF1"/>
    <w:rsid w:val="0038249D"/>
    <w:rsid w:val="003B5A17"/>
    <w:rsid w:val="003C2B75"/>
    <w:rsid w:val="003C3D5E"/>
    <w:rsid w:val="003E1352"/>
    <w:rsid w:val="003E6206"/>
    <w:rsid w:val="004004DE"/>
    <w:rsid w:val="00411EE9"/>
    <w:rsid w:val="00416BDE"/>
    <w:rsid w:val="004455E6"/>
    <w:rsid w:val="0045611F"/>
    <w:rsid w:val="004805EE"/>
    <w:rsid w:val="004A2045"/>
    <w:rsid w:val="004A3169"/>
    <w:rsid w:val="004C1962"/>
    <w:rsid w:val="004C350A"/>
    <w:rsid w:val="005017E3"/>
    <w:rsid w:val="00503078"/>
    <w:rsid w:val="00525C41"/>
    <w:rsid w:val="00526D80"/>
    <w:rsid w:val="00547D0D"/>
    <w:rsid w:val="0055244F"/>
    <w:rsid w:val="00573991"/>
    <w:rsid w:val="00575517"/>
    <w:rsid w:val="005845B0"/>
    <w:rsid w:val="005B1285"/>
    <w:rsid w:val="005B1526"/>
    <w:rsid w:val="005B1EA3"/>
    <w:rsid w:val="005D384E"/>
    <w:rsid w:val="00622357"/>
    <w:rsid w:val="00624412"/>
    <w:rsid w:val="00637492"/>
    <w:rsid w:val="0065288A"/>
    <w:rsid w:val="006668DC"/>
    <w:rsid w:val="00692F6B"/>
    <w:rsid w:val="006978D6"/>
    <w:rsid w:val="00697926"/>
    <w:rsid w:val="006A2C39"/>
    <w:rsid w:val="006B3EF9"/>
    <w:rsid w:val="006B50DE"/>
    <w:rsid w:val="006D01FA"/>
    <w:rsid w:val="006F6D93"/>
    <w:rsid w:val="00703DE1"/>
    <w:rsid w:val="00732B05"/>
    <w:rsid w:val="00743B83"/>
    <w:rsid w:val="007475D3"/>
    <w:rsid w:val="00774F78"/>
    <w:rsid w:val="00785F4A"/>
    <w:rsid w:val="0079798D"/>
    <w:rsid w:val="007C5A81"/>
    <w:rsid w:val="007E1704"/>
    <w:rsid w:val="007F3074"/>
    <w:rsid w:val="00801CAB"/>
    <w:rsid w:val="00851721"/>
    <w:rsid w:val="00870982"/>
    <w:rsid w:val="00875137"/>
    <w:rsid w:val="008A20BA"/>
    <w:rsid w:val="008C1B7C"/>
    <w:rsid w:val="008D535D"/>
    <w:rsid w:val="008D60CE"/>
    <w:rsid w:val="00902A64"/>
    <w:rsid w:val="00904433"/>
    <w:rsid w:val="0091458D"/>
    <w:rsid w:val="00964229"/>
    <w:rsid w:val="00974D06"/>
    <w:rsid w:val="009934EB"/>
    <w:rsid w:val="009A7386"/>
    <w:rsid w:val="009B6B5C"/>
    <w:rsid w:val="00A170AC"/>
    <w:rsid w:val="00A250FC"/>
    <w:rsid w:val="00A32537"/>
    <w:rsid w:val="00A4367B"/>
    <w:rsid w:val="00A539D0"/>
    <w:rsid w:val="00A54EFD"/>
    <w:rsid w:val="00A64155"/>
    <w:rsid w:val="00A7530D"/>
    <w:rsid w:val="00AA340E"/>
    <w:rsid w:val="00AC337F"/>
    <w:rsid w:val="00AD3D96"/>
    <w:rsid w:val="00AF159A"/>
    <w:rsid w:val="00B269A6"/>
    <w:rsid w:val="00B311A9"/>
    <w:rsid w:val="00B37D1F"/>
    <w:rsid w:val="00B4646A"/>
    <w:rsid w:val="00B47080"/>
    <w:rsid w:val="00B52D42"/>
    <w:rsid w:val="00B70BFA"/>
    <w:rsid w:val="00B71FFF"/>
    <w:rsid w:val="00B72275"/>
    <w:rsid w:val="00B81D74"/>
    <w:rsid w:val="00B94558"/>
    <w:rsid w:val="00BA05E1"/>
    <w:rsid w:val="00BB663E"/>
    <w:rsid w:val="00BB6F0C"/>
    <w:rsid w:val="00BC708E"/>
    <w:rsid w:val="00BD7168"/>
    <w:rsid w:val="00C0271F"/>
    <w:rsid w:val="00C1598A"/>
    <w:rsid w:val="00C518DD"/>
    <w:rsid w:val="00C667B7"/>
    <w:rsid w:val="00C93DC3"/>
    <w:rsid w:val="00CB2026"/>
    <w:rsid w:val="00CB6B34"/>
    <w:rsid w:val="00CF782A"/>
    <w:rsid w:val="00D14BC1"/>
    <w:rsid w:val="00DA3C6D"/>
    <w:rsid w:val="00DA496F"/>
    <w:rsid w:val="00DB3AA6"/>
    <w:rsid w:val="00DC43B9"/>
    <w:rsid w:val="00E16349"/>
    <w:rsid w:val="00E26C52"/>
    <w:rsid w:val="00E4213D"/>
    <w:rsid w:val="00EA09B0"/>
    <w:rsid w:val="00EA7DE9"/>
    <w:rsid w:val="00EE1005"/>
    <w:rsid w:val="00EE2359"/>
    <w:rsid w:val="00EF3327"/>
    <w:rsid w:val="00F26546"/>
    <w:rsid w:val="00F35D2A"/>
    <w:rsid w:val="00F50C81"/>
    <w:rsid w:val="00F558EA"/>
    <w:rsid w:val="00F574E9"/>
    <w:rsid w:val="00F73B50"/>
    <w:rsid w:val="00F93E72"/>
    <w:rsid w:val="00FB0182"/>
    <w:rsid w:val="00FF1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8BBEF"/>
  <w15:chartTrackingRefBased/>
  <w15:docId w15:val="{8BD53777-71F2-450A-BD8A-3286E7962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703DE1"/>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703DE1"/>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A73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7386"/>
    <w:rPr>
      <w:rFonts w:ascii="Segoe UI" w:hAnsi="Segoe UI" w:cs="Segoe UI"/>
      <w:sz w:val="18"/>
      <w:szCs w:val="18"/>
    </w:rPr>
  </w:style>
  <w:style w:type="character" w:styleId="Hyperlink">
    <w:name w:val="Hyperlink"/>
    <w:basedOn w:val="DefaultParagraphFont"/>
    <w:uiPriority w:val="99"/>
    <w:unhideWhenUsed/>
    <w:rsid w:val="001E59A2"/>
    <w:rPr>
      <w:color w:val="0563C1" w:themeColor="hyperlink"/>
      <w:u w:val="single"/>
    </w:rPr>
  </w:style>
  <w:style w:type="character" w:styleId="UnresolvedMention">
    <w:name w:val="Unresolved Mention"/>
    <w:basedOn w:val="DefaultParagraphFont"/>
    <w:uiPriority w:val="99"/>
    <w:semiHidden/>
    <w:unhideWhenUsed/>
    <w:rsid w:val="001E59A2"/>
    <w:rPr>
      <w:color w:val="605E5C"/>
      <w:shd w:val="clear" w:color="auto" w:fill="E1DFDD"/>
    </w:rPr>
  </w:style>
  <w:style w:type="character" w:styleId="FollowedHyperlink">
    <w:name w:val="FollowedHyperlink"/>
    <w:basedOn w:val="DefaultParagraphFont"/>
    <w:uiPriority w:val="99"/>
    <w:semiHidden/>
    <w:unhideWhenUsed/>
    <w:rsid w:val="003E6206"/>
    <w:rPr>
      <w:color w:val="954F72" w:themeColor="followedHyperlink"/>
      <w:u w:val="single"/>
    </w:rPr>
  </w:style>
  <w:style w:type="character" w:customStyle="1" w:styleId="Heading2Char">
    <w:name w:val="Heading 2 Char"/>
    <w:basedOn w:val="DefaultParagraphFont"/>
    <w:link w:val="Heading2"/>
    <w:semiHidden/>
    <w:rsid w:val="00703DE1"/>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703DE1"/>
    <w:rPr>
      <w:rFonts w:ascii="Times New Roman" w:eastAsia="Times New Roman" w:hAnsi="Times New Roman" w:cs="Times New Roman"/>
      <w:sz w:val="40"/>
      <w:szCs w:val="20"/>
      <w:lang w:eastAsia="en-GB"/>
    </w:rPr>
  </w:style>
  <w:style w:type="paragraph" w:styleId="NormalWeb">
    <w:name w:val="Normal (Web)"/>
    <w:basedOn w:val="Normal"/>
    <w:uiPriority w:val="99"/>
    <w:semiHidden/>
    <w:unhideWhenUsed/>
    <w:rsid w:val="00703DE1"/>
    <w:pPr>
      <w:spacing w:before="100" w:after="100" w:line="240" w:lineRule="auto"/>
    </w:pPr>
    <w:rPr>
      <w:rFonts w:ascii="Times New Roman" w:eastAsia="Times New Roman" w:hAnsi="Times New Roman" w:cs="Times New Roman"/>
      <w:sz w:val="24"/>
      <w:szCs w:val="20"/>
    </w:rPr>
  </w:style>
  <w:style w:type="paragraph" w:styleId="Header">
    <w:name w:val="header"/>
    <w:basedOn w:val="Normal"/>
    <w:link w:val="HeaderChar"/>
    <w:uiPriority w:val="99"/>
    <w:semiHidden/>
    <w:unhideWhenUsed/>
    <w:rsid w:val="00703DE1"/>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semiHidden/>
    <w:rsid w:val="00703DE1"/>
    <w:rPr>
      <w:rFonts w:ascii="Times New Roman" w:eastAsia="Times New Roman" w:hAnsi="Times New Roman" w:cs="Times New Roman"/>
      <w:sz w:val="20"/>
      <w:szCs w:val="20"/>
      <w:lang w:eastAsia="en-GB"/>
    </w:rPr>
  </w:style>
  <w:style w:type="character" w:customStyle="1" w:styleId="highlight">
    <w:name w:val="highlight"/>
    <w:basedOn w:val="DefaultParagraphFont"/>
    <w:rsid w:val="00774F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403535">
      <w:bodyDiv w:val="1"/>
      <w:marLeft w:val="0"/>
      <w:marRight w:val="0"/>
      <w:marTop w:val="0"/>
      <w:marBottom w:val="0"/>
      <w:divBdr>
        <w:top w:val="none" w:sz="0" w:space="0" w:color="auto"/>
        <w:left w:val="none" w:sz="0" w:space="0" w:color="auto"/>
        <w:bottom w:val="none" w:sz="0" w:space="0" w:color="auto"/>
        <w:right w:val="none" w:sz="0" w:space="0" w:color="auto"/>
      </w:divBdr>
      <w:divsChild>
        <w:div w:id="1896893038">
          <w:marLeft w:val="0"/>
          <w:marRight w:val="0"/>
          <w:marTop w:val="0"/>
          <w:marBottom w:val="0"/>
          <w:divBdr>
            <w:top w:val="none" w:sz="0" w:space="0" w:color="auto"/>
            <w:left w:val="none" w:sz="0" w:space="0" w:color="auto"/>
            <w:bottom w:val="none" w:sz="0" w:space="0" w:color="auto"/>
            <w:right w:val="none" w:sz="0" w:space="0" w:color="auto"/>
          </w:divBdr>
        </w:div>
      </w:divsChild>
    </w:div>
    <w:div w:id="440877412">
      <w:bodyDiv w:val="1"/>
      <w:marLeft w:val="0"/>
      <w:marRight w:val="0"/>
      <w:marTop w:val="0"/>
      <w:marBottom w:val="0"/>
      <w:divBdr>
        <w:top w:val="none" w:sz="0" w:space="0" w:color="auto"/>
        <w:left w:val="none" w:sz="0" w:space="0" w:color="auto"/>
        <w:bottom w:val="none" w:sz="0" w:space="0" w:color="auto"/>
        <w:right w:val="none" w:sz="0" w:space="0" w:color="auto"/>
      </w:divBdr>
    </w:div>
    <w:div w:id="722875671">
      <w:bodyDiv w:val="1"/>
      <w:marLeft w:val="0"/>
      <w:marRight w:val="0"/>
      <w:marTop w:val="0"/>
      <w:marBottom w:val="0"/>
      <w:divBdr>
        <w:top w:val="none" w:sz="0" w:space="0" w:color="auto"/>
        <w:left w:val="none" w:sz="0" w:space="0" w:color="auto"/>
        <w:bottom w:val="none" w:sz="0" w:space="0" w:color="auto"/>
        <w:right w:val="none" w:sz="0" w:space="0" w:color="auto"/>
      </w:divBdr>
      <w:divsChild>
        <w:div w:id="1602294232">
          <w:marLeft w:val="0"/>
          <w:marRight w:val="0"/>
          <w:marTop w:val="0"/>
          <w:marBottom w:val="0"/>
          <w:divBdr>
            <w:top w:val="none" w:sz="0" w:space="0" w:color="auto"/>
            <w:left w:val="none" w:sz="0" w:space="0" w:color="auto"/>
            <w:bottom w:val="none" w:sz="0" w:space="0" w:color="auto"/>
            <w:right w:val="none" w:sz="0" w:space="0" w:color="auto"/>
          </w:divBdr>
        </w:div>
      </w:divsChild>
    </w:div>
    <w:div w:id="743918384">
      <w:bodyDiv w:val="1"/>
      <w:marLeft w:val="0"/>
      <w:marRight w:val="0"/>
      <w:marTop w:val="0"/>
      <w:marBottom w:val="0"/>
      <w:divBdr>
        <w:top w:val="none" w:sz="0" w:space="0" w:color="auto"/>
        <w:left w:val="none" w:sz="0" w:space="0" w:color="auto"/>
        <w:bottom w:val="none" w:sz="0" w:space="0" w:color="auto"/>
        <w:right w:val="none" w:sz="0" w:space="0" w:color="auto"/>
      </w:divBdr>
      <w:divsChild>
        <w:div w:id="2088533732">
          <w:marLeft w:val="0"/>
          <w:marRight w:val="0"/>
          <w:marTop w:val="0"/>
          <w:marBottom w:val="0"/>
          <w:divBdr>
            <w:top w:val="none" w:sz="0" w:space="0" w:color="auto"/>
            <w:left w:val="none" w:sz="0" w:space="0" w:color="auto"/>
            <w:bottom w:val="none" w:sz="0" w:space="0" w:color="auto"/>
            <w:right w:val="none" w:sz="0" w:space="0" w:color="auto"/>
          </w:divBdr>
        </w:div>
      </w:divsChild>
    </w:div>
    <w:div w:id="1203981232">
      <w:bodyDiv w:val="1"/>
      <w:marLeft w:val="0"/>
      <w:marRight w:val="0"/>
      <w:marTop w:val="0"/>
      <w:marBottom w:val="0"/>
      <w:divBdr>
        <w:top w:val="none" w:sz="0" w:space="0" w:color="auto"/>
        <w:left w:val="none" w:sz="0" w:space="0" w:color="auto"/>
        <w:bottom w:val="none" w:sz="0" w:space="0" w:color="auto"/>
        <w:right w:val="none" w:sz="0" w:space="0" w:color="auto"/>
      </w:divBdr>
      <w:divsChild>
        <w:div w:id="432169759">
          <w:marLeft w:val="0"/>
          <w:marRight w:val="0"/>
          <w:marTop w:val="0"/>
          <w:marBottom w:val="0"/>
          <w:divBdr>
            <w:top w:val="none" w:sz="0" w:space="0" w:color="auto"/>
            <w:left w:val="none" w:sz="0" w:space="0" w:color="auto"/>
            <w:bottom w:val="none" w:sz="0" w:space="0" w:color="auto"/>
            <w:right w:val="none" w:sz="0" w:space="0" w:color="auto"/>
          </w:divBdr>
        </w:div>
      </w:divsChild>
    </w:div>
    <w:div w:id="1549219681">
      <w:bodyDiv w:val="1"/>
      <w:marLeft w:val="0"/>
      <w:marRight w:val="0"/>
      <w:marTop w:val="0"/>
      <w:marBottom w:val="0"/>
      <w:divBdr>
        <w:top w:val="none" w:sz="0" w:space="0" w:color="auto"/>
        <w:left w:val="none" w:sz="0" w:space="0" w:color="auto"/>
        <w:bottom w:val="none" w:sz="0" w:space="0" w:color="auto"/>
        <w:right w:val="none" w:sz="0" w:space="0" w:color="auto"/>
      </w:divBdr>
      <w:divsChild>
        <w:div w:id="1784419045">
          <w:marLeft w:val="0"/>
          <w:marRight w:val="0"/>
          <w:marTop w:val="0"/>
          <w:marBottom w:val="0"/>
          <w:divBdr>
            <w:top w:val="none" w:sz="0" w:space="0" w:color="auto"/>
            <w:left w:val="none" w:sz="0" w:space="0" w:color="auto"/>
            <w:bottom w:val="none" w:sz="0" w:space="0" w:color="auto"/>
            <w:right w:val="none" w:sz="0" w:space="0" w:color="auto"/>
          </w:divBdr>
        </w:div>
      </w:divsChild>
    </w:div>
    <w:div w:id="1628897984">
      <w:bodyDiv w:val="1"/>
      <w:marLeft w:val="0"/>
      <w:marRight w:val="0"/>
      <w:marTop w:val="0"/>
      <w:marBottom w:val="0"/>
      <w:divBdr>
        <w:top w:val="none" w:sz="0" w:space="0" w:color="auto"/>
        <w:left w:val="none" w:sz="0" w:space="0" w:color="auto"/>
        <w:bottom w:val="none" w:sz="0" w:space="0" w:color="auto"/>
        <w:right w:val="none" w:sz="0" w:space="0" w:color="auto"/>
      </w:divBdr>
    </w:div>
    <w:div w:id="1671328608">
      <w:bodyDiv w:val="1"/>
      <w:marLeft w:val="0"/>
      <w:marRight w:val="0"/>
      <w:marTop w:val="0"/>
      <w:marBottom w:val="0"/>
      <w:divBdr>
        <w:top w:val="none" w:sz="0" w:space="0" w:color="auto"/>
        <w:left w:val="none" w:sz="0" w:space="0" w:color="auto"/>
        <w:bottom w:val="none" w:sz="0" w:space="0" w:color="auto"/>
        <w:right w:val="none" w:sz="0" w:space="0" w:color="auto"/>
      </w:divBdr>
      <w:divsChild>
        <w:div w:id="168326034">
          <w:marLeft w:val="0"/>
          <w:marRight w:val="0"/>
          <w:marTop w:val="0"/>
          <w:marBottom w:val="0"/>
          <w:divBdr>
            <w:top w:val="none" w:sz="0" w:space="0" w:color="auto"/>
            <w:left w:val="none" w:sz="0" w:space="0" w:color="auto"/>
            <w:bottom w:val="none" w:sz="0" w:space="0" w:color="auto"/>
            <w:right w:val="none" w:sz="0" w:space="0" w:color="auto"/>
          </w:divBdr>
        </w:div>
      </w:divsChild>
    </w:div>
    <w:div w:id="1727559160">
      <w:bodyDiv w:val="1"/>
      <w:marLeft w:val="0"/>
      <w:marRight w:val="0"/>
      <w:marTop w:val="0"/>
      <w:marBottom w:val="0"/>
      <w:divBdr>
        <w:top w:val="none" w:sz="0" w:space="0" w:color="auto"/>
        <w:left w:val="none" w:sz="0" w:space="0" w:color="auto"/>
        <w:bottom w:val="none" w:sz="0" w:space="0" w:color="auto"/>
        <w:right w:val="none" w:sz="0" w:space="0" w:color="auto"/>
      </w:divBdr>
      <w:divsChild>
        <w:div w:id="1000962069">
          <w:marLeft w:val="0"/>
          <w:marRight w:val="0"/>
          <w:marTop w:val="0"/>
          <w:marBottom w:val="0"/>
          <w:divBdr>
            <w:top w:val="none" w:sz="0" w:space="0" w:color="auto"/>
            <w:left w:val="none" w:sz="0" w:space="0" w:color="auto"/>
            <w:bottom w:val="none" w:sz="0" w:space="0" w:color="auto"/>
            <w:right w:val="none" w:sz="0" w:space="0" w:color="auto"/>
          </w:divBdr>
        </w:div>
      </w:divsChild>
    </w:div>
    <w:div w:id="1825119638">
      <w:bodyDiv w:val="1"/>
      <w:marLeft w:val="0"/>
      <w:marRight w:val="0"/>
      <w:marTop w:val="0"/>
      <w:marBottom w:val="0"/>
      <w:divBdr>
        <w:top w:val="none" w:sz="0" w:space="0" w:color="auto"/>
        <w:left w:val="none" w:sz="0" w:space="0" w:color="auto"/>
        <w:bottom w:val="none" w:sz="0" w:space="0" w:color="auto"/>
        <w:right w:val="none" w:sz="0" w:space="0" w:color="auto"/>
      </w:divBdr>
      <w:divsChild>
        <w:div w:id="1533688118">
          <w:marLeft w:val="0"/>
          <w:marRight w:val="0"/>
          <w:marTop w:val="0"/>
          <w:marBottom w:val="0"/>
          <w:divBdr>
            <w:top w:val="none" w:sz="0" w:space="0" w:color="auto"/>
            <w:left w:val="none" w:sz="0" w:space="0" w:color="auto"/>
            <w:bottom w:val="none" w:sz="0" w:space="0" w:color="auto"/>
            <w:right w:val="none" w:sz="0" w:space="0" w:color="auto"/>
          </w:divBdr>
        </w:div>
      </w:divsChild>
    </w:div>
    <w:div w:id="2025670441">
      <w:bodyDiv w:val="1"/>
      <w:marLeft w:val="0"/>
      <w:marRight w:val="0"/>
      <w:marTop w:val="0"/>
      <w:marBottom w:val="0"/>
      <w:divBdr>
        <w:top w:val="none" w:sz="0" w:space="0" w:color="auto"/>
        <w:left w:val="none" w:sz="0" w:space="0" w:color="auto"/>
        <w:bottom w:val="none" w:sz="0" w:space="0" w:color="auto"/>
        <w:right w:val="none" w:sz="0" w:space="0" w:color="auto"/>
      </w:divBdr>
      <w:divsChild>
        <w:div w:id="17712011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chart" Target="charts/chart2.xml"/><Relationship Id="rId5" Type="http://schemas.openxmlformats.org/officeDocument/2006/relationships/image" Target="media/image1.png"/><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Star9\Documents\PGCE\PTE%201\Research%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tar9\Documents\PGCE\PTE%201\Research%20Data.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'9C2'!$H$1:$H$2</c:f>
              <c:strCache>
                <c:ptCount val="2"/>
                <c:pt idx="0">
                  <c:v>Pre-test</c:v>
                </c:pt>
                <c:pt idx="1">
                  <c:v>Post-test</c:v>
                </c:pt>
              </c:strCache>
            </c:strRef>
          </c:cat>
          <c:val>
            <c:numRef>
              <c:f>'9C2'!$J$1:$J$2</c:f>
              <c:numCache>
                <c:formatCode>General</c:formatCode>
                <c:ptCount val="2"/>
                <c:pt idx="0">
                  <c:v>2</c:v>
                </c:pt>
                <c:pt idx="1">
                  <c:v>2.93</c:v>
                </c:pt>
              </c:numCache>
            </c:numRef>
          </c:val>
          <c:extLst>
            <c:ext xmlns:c16="http://schemas.microsoft.com/office/drawing/2014/chart" uri="{C3380CC4-5D6E-409C-BE32-E72D297353CC}">
              <c16:uniqueId val="{00000000-F51F-4045-B919-F24DC2D2BA28}"/>
            </c:ext>
          </c:extLst>
        </c:ser>
        <c:dLbls>
          <c:showLegendKey val="0"/>
          <c:showVal val="0"/>
          <c:showCatName val="0"/>
          <c:showSerName val="0"/>
          <c:showPercent val="0"/>
          <c:showBubbleSize val="0"/>
        </c:dLbls>
        <c:gapWidth val="219"/>
        <c:overlap val="-27"/>
        <c:axId val="433948344"/>
        <c:axId val="433946376"/>
      </c:barChart>
      <c:catAx>
        <c:axId val="4339483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 and</a:t>
                </a:r>
                <a:r>
                  <a:rPr lang="en-GB" baseline="0"/>
                  <a:t> Post Test Lessons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3946376"/>
        <c:crosses val="autoZero"/>
        <c:auto val="1"/>
        <c:lblAlgn val="ctr"/>
        <c:lblOffset val="100"/>
        <c:noMultiLvlLbl val="0"/>
      </c:catAx>
      <c:valAx>
        <c:axId val="433946376"/>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Average Score in QER Question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39483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'9C2'!$H$29</c:f>
              <c:strCache>
                <c:ptCount val="1"/>
                <c:pt idx="0">
                  <c:v>Number of Learners</c:v>
                </c:pt>
              </c:strCache>
            </c:strRef>
          </c:tx>
          <c:spPr>
            <a:solidFill>
              <a:schemeClr val="accent1"/>
            </a:solidFill>
            <a:ln>
              <a:noFill/>
            </a:ln>
            <a:effectLst/>
          </c:spPr>
          <c:invertIfNegative val="0"/>
          <c:cat>
            <c:numLit>
              <c:formatCode>General</c:formatCode>
              <c:ptCount val="5"/>
              <c:pt idx="0">
                <c:v>-1</c:v>
              </c:pt>
              <c:pt idx="1">
                <c:v>0</c:v>
              </c:pt>
              <c:pt idx="2">
                <c:v>1</c:v>
              </c:pt>
              <c:pt idx="3">
                <c:v>2</c:v>
              </c:pt>
              <c:pt idx="4">
                <c:v>3</c:v>
              </c:pt>
            </c:numLit>
          </c:cat>
          <c:val>
            <c:numRef>
              <c:f>'9C2'!$H$30:$H$34</c:f>
              <c:numCache>
                <c:formatCode>General</c:formatCode>
                <c:ptCount val="5"/>
                <c:pt idx="0">
                  <c:v>2</c:v>
                </c:pt>
                <c:pt idx="1">
                  <c:v>12</c:v>
                </c:pt>
                <c:pt idx="2">
                  <c:v>21</c:v>
                </c:pt>
                <c:pt idx="3">
                  <c:v>7</c:v>
                </c:pt>
                <c:pt idx="4">
                  <c:v>3</c:v>
                </c:pt>
              </c:numCache>
            </c:numRef>
          </c:val>
          <c:extLst>
            <c:ext xmlns:c16="http://schemas.microsoft.com/office/drawing/2014/chart" uri="{C3380CC4-5D6E-409C-BE32-E72D297353CC}">
              <c16:uniqueId val="{00000000-92DB-46AC-881D-54E7CBD2C049}"/>
            </c:ext>
          </c:extLst>
        </c:ser>
        <c:dLbls>
          <c:showLegendKey val="0"/>
          <c:showVal val="0"/>
          <c:showCatName val="0"/>
          <c:showSerName val="0"/>
          <c:showPercent val="0"/>
          <c:showBubbleSize val="0"/>
        </c:dLbls>
        <c:gapWidth val="219"/>
        <c:overlap val="-27"/>
        <c:axId val="434795616"/>
        <c:axId val="434797912"/>
      </c:barChart>
      <c:catAx>
        <c:axId val="4347956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Change</a:t>
                </a:r>
                <a:r>
                  <a:rPr lang="en-GB" baseline="0"/>
                  <a:t> in Learners' Scores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797912"/>
        <c:crosses val="autoZero"/>
        <c:auto val="1"/>
        <c:lblAlgn val="ctr"/>
        <c:lblOffset val="100"/>
        <c:noMultiLvlLbl val="0"/>
      </c:catAx>
      <c:valAx>
        <c:axId val="434797912"/>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Learners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7956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4E23C5-EF3B-4AF3-8326-A0A43A7F4B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5653</TotalTime>
  <Pages>20</Pages>
  <Words>7747</Words>
  <Characters>44164</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Evans (1803779)</dc:creator>
  <cp:keywords/>
  <dc:description/>
  <cp:lastModifiedBy>Hannah Evans (1803779)</cp:lastModifiedBy>
  <cp:revision>72</cp:revision>
  <dcterms:created xsi:type="dcterms:W3CDTF">2019-03-20T14:07:00Z</dcterms:created>
  <dcterms:modified xsi:type="dcterms:W3CDTF">2019-05-13T20:00:00Z</dcterms:modified>
</cp:coreProperties>
</file>