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cs="Times New Roman"/>
          <w:b/>
          <w:bCs/>
        </w:rPr>
        <w:id w:val="-1001202456"/>
        <w:docPartObj>
          <w:docPartGallery w:val="Cover Pages"/>
          <w:docPartUnique/>
        </w:docPartObj>
      </w:sdtPr>
      <w:sdtContent>
        <w:p w14:paraId="10645065" w14:textId="44003228" w:rsidR="005D676F" w:rsidRPr="005D676F" w:rsidRDefault="005D676F" w:rsidP="005D676F">
          <w:pPr>
            <w:spacing w:line="240" w:lineRule="auto"/>
            <w:rPr>
              <w:rFonts w:ascii="Times New Roman" w:hAnsi="Times New Roman" w:cs="Times New Roman"/>
              <w:b/>
              <w:bCs/>
            </w:rPr>
          </w:pPr>
          <w:r w:rsidRPr="005D676F">
            <w:rPr>
              <w:rFonts w:ascii="Times New Roman" w:hAnsi="Times New Roman" w:cs="Times New Roman"/>
              <w:b/>
              <w:bCs/>
            </w:rPr>
            <w:t>Student name:</w:t>
          </w:r>
          <w:r w:rsidRPr="005D676F">
            <w:rPr>
              <w:rFonts w:ascii="Times New Roman" w:hAnsi="Times New Roman" w:cs="Times New Roman"/>
              <w:b/>
              <w:bCs/>
            </w:rPr>
            <w:t xml:space="preserve"> Marinel Toader</w:t>
          </w:r>
          <w:r w:rsidRPr="005D676F">
            <w:rPr>
              <w:rFonts w:ascii="Times New Roman" w:hAnsi="Times New Roman" w:cs="Times New Roman"/>
              <w:b/>
              <w:bCs/>
            </w:rPr>
            <w:tab/>
            <w:t xml:space="preserve">     </w:t>
          </w:r>
        </w:p>
        <w:p w14:paraId="368FB139" w14:textId="363707F6" w:rsidR="005D676F" w:rsidRPr="005D676F" w:rsidRDefault="005D676F" w:rsidP="005D676F">
          <w:pPr>
            <w:spacing w:line="240" w:lineRule="auto"/>
            <w:rPr>
              <w:rFonts w:ascii="Times New Roman" w:hAnsi="Times New Roman" w:cs="Times New Roman"/>
              <w:b/>
              <w:bCs/>
            </w:rPr>
          </w:pPr>
          <w:r w:rsidRPr="005D676F">
            <w:rPr>
              <w:rFonts w:ascii="Times New Roman" w:hAnsi="Times New Roman" w:cs="Times New Roman"/>
              <w:b/>
              <w:bCs/>
            </w:rPr>
            <w:t>Module:</w:t>
          </w:r>
          <w:r w:rsidRPr="005D676F">
            <w:rPr>
              <w:rFonts w:ascii="Times New Roman" w:hAnsi="Times New Roman" w:cs="Times New Roman"/>
              <w:b/>
              <w:bCs/>
            </w:rPr>
            <w:t xml:space="preserve"> </w:t>
          </w:r>
          <w:r w:rsidRPr="005D676F">
            <w:rPr>
              <w:rFonts w:ascii="Times New Roman" w:hAnsi="Times New Roman" w:cs="Times New Roman"/>
              <w:b/>
              <w:bCs/>
            </w:rPr>
            <w:t>Social Enterprise: Theory and Practise</w:t>
          </w:r>
        </w:p>
        <w:p w14:paraId="418E98AC" w14:textId="77777777" w:rsidR="005D676F" w:rsidRPr="005D676F" w:rsidRDefault="005D676F" w:rsidP="005D676F">
          <w:pPr>
            <w:spacing w:line="240" w:lineRule="auto"/>
            <w:rPr>
              <w:rFonts w:ascii="Times New Roman" w:hAnsi="Times New Roman" w:cs="Times New Roman"/>
              <w:b/>
              <w:bCs/>
            </w:rPr>
          </w:pPr>
          <w:r w:rsidRPr="005D676F">
            <w:rPr>
              <w:rFonts w:ascii="Times New Roman" w:hAnsi="Times New Roman" w:cs="Times New Roman"/>
              <w:b/>
              <w:bCs/>
            </w:rPr>
            <w:t>Module code:</w:t>
          </w:r>
          <w:r w:rsidRPr="005D676F">
            <w:rPr>
              <w:rFonts w:ascii="Times New Roman" w:hAnsi="Times New Roman" w:cs="Times New Roman"/>
              <w:b/>
              <w:bCs/>
            </w:rPr>
            <w:tab/>
            <w:t>BMSE4009D</w:t>
          </w:r>
        </w:p>
        <w:p w14:paraId="64A24A22" w14:textId="48C1B083" w:rsidR="005D676F" w:rsidRPr="005D676F" w:rsidRDefault="005D676F" w:rsidP="005D676F">
          <w:pPr>
            <w:spacing w:line="240" w:lineRule="auto"/>
            <w:rPr>
              <w:rFonts w:ascii="Times New Roman" w:hAnsi="Times New Roman" w:cs="Times New Roman"/>
              <w:b/>
              <w:bCs/>
            </w:rPr>
          </w:pPr>
          <w:r w:rsidRPr="005D676F">
            <w:rPr>
              <w:rFonts w:ascii="Times New Roman" w:hAnsi="Times New Roman" w:cs="Times New Roman"/>
              <w:b/>
              <w:bCs/>
            </w:rPr>
            <w:t>Lecturer:</w:t>
          </w:r>
          <w:r w:rsidRPr="005D676F">
            <w:rPr>
              <w:rFonts w:ascii="Times New Roman" w:hAnsi="Times New Roman" w:cs="Times New Roman"/>
              <w:b/>
              <w:bCs/>
            </w:rPr>
            <w:t xml:space="preserve"> </w:t>
          </w:r>
          <w:r w:rsidRPr="005D676F">
            <w:rPr>
              <w:rFonts w:ascii="Times New Roman" w:hAnsi="Times New Roman" w:cs="Times New Roman"/>
              <w:b/>
              <w:bCs/>
            </w:rPr>
            <w:t>Jessica Shore</w:t>
          </w:r>
        </w:p>
        <w:p w14:paraId="562A2DC7" w14:textId="62282C8F" w:rsidR="005D676F" w:rsidRPr="005D676F" w:rsidRDefault="005D676F">
          <w:pPr>
            <w:rPr>
              <w:rFonts w:ascii="Times New Roman" w:hAnsi="Times New Roman" w:cs="Times New Roman"/>
              <w:b/>
              <w:bCs/>
            </w:rPr>
          </w:pPr>
          <w:r w:rsidRPr="005D676F">
            <w:rPr>
              <w:rFonts w:ascii="Times New Roman" w:hAnsi="Times New Roman" w:cs="Times New Roman"/>
              <w:b/>
              <w:bCs/>
              <w:noProof/>
            </w:rPr>
            <mc:AlternateContent>
              <mc:Choice Requires="wps">
                <w:drawing>
                  <wp:anchor distT="0" distB="0" distL="114300" distR="114300" simplePos="0" relativeHeight="251659264" behindDoc="1" locked="0" layoutInCell="1" allowOverlap="1" wp14:anchorId="3A425C11" wp14:editId="64F31C47">
                    <wp:simplePos x="0" y="0"/>
                    <wp:positionH relativeFrom="column">
                      <wp:posOffset>-484288</wp:posOffset>
                    </wp:positionH>
                    <wp:positionV relativeFrom="paragraph">
                      <wp:posOffset>3958960</wp:posOffset>
                    </wp:positionV>
                    <wp:extent cx="6858000" cy="2722728"/>
                    <wp:effectExtent l="0" t="0" r="0" b="1905"/>
                    <wp:wrapNone/>
                    <wp:docPr id="527654684" name="Text Box 196"/>
                    <wp:cNvGraphicFramePr/>
                    <a:graphic xmlns:a="http://schemas.openxmlformats.org/drawingml/2006/main">
                      <a:graphicData uri="http://schemas.microsoft.com/office/word/2010/wordprocessingShape">
                        <wps:wsp>
                          <wps:cNvSpPr txBox="1"/>
                          <wps:spPr>
                            <a:xfrm>
                              <a:off x="0" y="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heme="majorEastAsia" w:hAnsi="Times New Roman" w:cs="Times New Roman"/>
                                    <w:b/>
                                    <w:bCs/>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E5C6B44" w14:textId="056FD290" w:rsidR="005D676F" w:rsidRPr="005D676F" w:rsidRDefault="005D676F">
                                    <w:pPr>
                                      <w:pStyle w:val="NoSpacing"/>
                                      <w:jc w:val="center"/>
                                      <w:rPr>
                                        <w:rFonts w:ascii="Times New Roman" w:eastAsiaTheme="majorEastAsia" w:hAnsi="Times New Roman" w:cs="Times New Roman"/>
                                        <w:b/>
                                        <w:bCs/>
                                        <w:caps/>
                                        <w:color w:val="156082" w:themeColor="accent1"/>
                                        <w:sz w:val="72"/>
                                        <w:szCs w:val="72"/>
                                      </w:rPr>
                                    </w:pPr>
                                    <w:r w:rsidRPr="005D676F">
                                      <w:rPr>
                                        <w:rFonts w:ascii="Times New Roman" w:eastAsiaTheme="majorEastAsia" w:hAnsi="Times New Roman" w:cs="Times New Roman"/>
                                        <w:b/>
                                        <w:bCs/>
                                        <w:caps/>
                                        <w:color w:val="156082" w:themeColor="accent1"/>
                                        <w:sz w:val="72"/>
                                        <w:szCs w:val="72"/>
                                      </w:rPr>
                                      <w:t>Opportunities and Threats to Social Enterprise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a:graphicData>
                    </a:graphic>
                  </wp:anchor>
                </w:drawing>
              </mc:Choice>
              <mc:Fallback>
                <w:pict>
                  <v:shapetype w14:anchorId="3A425C11" id="_x0000_t202" coordsize="21600,21600" o:spt="202" path="m,l,21600r21600,l21600,xe">
                    <v:stroke joinstyle="miter"/>
                    <v:path gradientshapeok="t" o:connecttype="rect"/>
                  </v:shapetype>
                  <v:shape id="Text Box 196" o:spid="_x0000_s1026" type="#_x0000_t202" style="position:absolute;margin-left:-38.15pt;margin-top:311.75pt;width:540pt;height:214.4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" fillcolor="white [3212]" stroked="f" strokeweight=".5pt">
                    <v:textbox inset="36pt,7.2pt,36pt,7.2pt">
                      <w:txbxContent>
                        <w:sdt>
                          <w:sdtPr>
                            <w:rPr>
                              <w:rFonts w:ascii="Times New Roman" w:eastAsiaTheme="majorEastAsia" w:hAnsi="Times New Roman" w:cs="Times New Roman"/>
                              <w:b/>
                              <w:bCs/>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E5C6B44" w14:textId="056FD290" w:rsidR="005D676F" w:rsidRPr="005D676F" w:rsidRDefault="005D676F">
                              <w:pPr>
                                <w:pStyle w:val="NoSpacing"/>
                                <w:jc w:val="center"/>
                                <w:rPr>
                                  <w:rFonts w:ascii="Times New Roman" w:eastAsiaTheme="majorEastAsia" w:hAnsi="Times New Roman" w:cs="Times New Roman"/>
                                  <w:b/>
                                  <w:bCs/>
                                  <w:caps/>
                                  <w:color w:val="156082" w:themeColor="accent1"/>
                                  <w:sz w:val="72"/>
                                  <w:szCs w:val="72"/>
                                </w:rPr>
                              </w:pPr>
                              <w:r w:rsidRPr="005D676F">
                                <w:rPr>
                                  <w:rFonts w:ascii="Times New Roman" w:eastAsiaTheme="majorEastAsia" w:hAnsi="Times New Roman" w:cs="Times New Roman"/>
                                  <w:b/>
                                  <w:bCs/>
                                  <w:caps/>
                                  <w:color w:val="156082" w:themeColor="accent1"/>
                                  <w:sz w:val="72"/>
                                  <w:szCs w:val="72"/>
                                </w:rPr>
                                <w:t>Opportunities and Threats to Social Enterprise</w:t>
                              </w:r>
                            </w:p>
                          </w:sdtContent>
                        </w:sdt>
                      </w:txbxContent>
                    </v:textbox>
                  </v:shape>
                </w:pict>
              </mc:Fallback>
            </mc:AlternateContent>
          </w:r>
          <w:r w:rsidRPr="005D676F">
            <w:rPr>
              <w:rFonts w:ascii="Times New Roman" w:hAnsi="Times New Roman" w:cs="Times New Roman"/>
              <w:b/>
              <w:bCs/>
            </w:rPr>
            <w:br w:type="page"/>
          </w:r>
        </w:p>
      </w:sdtContent>
    </w:sdt>
    <w:p w14:paraId="545EB09B" w14:textId="083436E2" w:rsidR="00F1192C" w:rsidRPr="007B51D0" w:rsidRDefault="00F1192C" w:rsidP="00F1192C">
      <w:pPr>
        <w:spacing w:line="480" w:lineRule="auto"/>
        <w:rPr>
          <w:rFonts w:ascii="Times New Roman" w:hAnsi="Times New Roman" w:cs="Times New Roman"/>
          <w:b/>
          <w:bCs/>
        </w:rPr>
      </w:pPr>
      <w:r w:rsidRPr="007B51D0">
        <w:rPr>
          <w:rFonts w:ascii="Times New Roman" w:hAnsi="Times New Roman" w:cs="Times New Roman"/>
          <w:b/>
          <w:bCs/>
        </w:rPr>
        <w:lastRenderedPageBreak/>
        <w:t>Introduction</w:t>
      </w:r>
    </w:p>
    <w:p w14:paraId="3EE8AC1B" w14:textId="77777777" w:rsidR="00F1192C" w:rsidRDefault="00F1192C" w:rsidP="00F1192C">
      <w:pPr>
        <w:spacing w:line="480" w:lineRule="auto"/>
        <w:rPr>
          <w:rFonts w:ascii="Times New Roman" w:hAnsi="Times New Roman" w:cs="Times New Roman"/>
        </w:rPr>
      </w:pPr>
      <w:r w:rsidRPr="00F1192C">
        <w:rPr>
          <w:rFonts w:ascii="Times New Roman" w:hAnsi="Times New Roman" w:cs="Times New Roman"/>
        </w:rPr>
        <w:t>Social enterprises are increasingly acknowledged to be important stakeholders in tackling persistent global issues, such as inequality, poverty, environmental degradation, and social exclusion. Social enterprises operate at the intersection of traditional non-profits and commercial businesses, applying a market-based approach to generate socially beneficial outcomes. The social enterprise model, with a dual objective of generating social and</w:t>
      </w:r>
      <w:r>
        <w:rPr>
          <w:rFonts w:ascii="Times New Roman" w:hAnsi="Times New Roman" w:cs="Times New Roman"/>
        </w:rPr>
        <w:t xml:space="preserve"> </w:t>
      </w:r>
      <w:r w:rsidRPr="00F1192C">
        <w:rPr>
          <w:rFonts w:ascii="Times New Roman" w:hAnsi="Times New Roman" w:cs="Times New Roman"/>
        </w:rPr>
        <w:t>environmental value while remaining financially viable, presents a convincing alternative model to traditional commercial businesses. However, hybridity also leads to heightened operational and market tensions impacting social enterprises' ability to scale-up or remain true to their mission.</w:t>
      </w:r>
    </w:p>
    <w:p w14:paraId="561A9321" w14:textId="7F1F6A7C" w:rsidR="00F1192C" w:rsidRPr="00F1192C" w:rsidRDefault="00F1192C" w:rsidP="00F1192C">
      <w:pPr>
        <w:spacing w:line="480" w:lineRule="auto"/>
        <w:rPr>
          <w:rFonts w:ascii="Times New Roman" w:hAnsi="Times New Roman" w:cs="Times New Roman"/>
        </w:rPr>
      </w:pPr>
      <w:r w:rsidRPr="00F1192C">
        <w:rPr>
          <w:rFonts w:ascii="Times New Roman" w:hAnsi="Times New Roman" w:cs="Times New Roman"/>
        </w:rPr>
        <w:t xml:space="preserve">To critically examine the implications of the dynamics of social enterprise, the essay uses the SWOT analysis framework to determine and examine the Strengths, Weaknesses, Opportunities and Threats that social enterprises experience. </w:t>
      </w:r>
    </w:p>
    <w:p w14:paraId="1F12CBD9" w14:textId="77777777" w:rsidR="00F1192C" w:rsidRPr="007B51D0" w:rsidRDefault="00F1192C" w:rsidP="00F1192C">
      <w:pPr>
        <w:spacing w:line="480" w:lineRule="auto"/>
        <w:rPr>
          <w:rFonts w:ascii="Times New Roman" w:hAnsi="Times New Roman" w:cs="Times New Roman"/>
          <w:b/>
          <w:bCs/>
        </w:rPr>
      </w:pPr>
      <w:r w:rsidRPr="007B51D0">
        <w:rPr>
          <w:rFonts w:ascii="Times New Roman" w:hAnsi="Times New Roman" w:cs="Times New Roman"/>
          <w:b/>
          <w:bCs/>
        </w:rPr>
        <w:t>The SWOT Framework in Social Enterprise</w:t>
      </w:r>
    </w:p>
    <w:p w14:paraId="6B5C8488" w14:textId="77777777" w:rsidR="00F1192C" w:rsidRDefault="00F1192C" w:rsidP="00F1192C">
      <w:pPr>
        <w:spacing w:line="480" w:lineRule="auto"/>
        <w:rPr>
          <w:rFonts w:ascii="Times New Roman" w:hAnsi="Times New Roman" w:cs="Times New Roman"/>
        </w:rPr>
      </w:pPr>
      <w:r w:rsidRPr="00F1192C">
        <w:rPr>
          <w:rFonts w:ascii="Times New Roman" w:hAnsi="Times New Roman" w:cs="Times New Roman"/>
        </w:rPr>
        <w:t>SWOT analysis represents a form of strategic planning that can be utilised to assess the internal capabilities of an organisation in addition to the external environment related to the organisation. Strengths and weaknesses reference internal attributes (e.g. innovation, governance, or funding structures), while opportunities and threats are reflective of external circumstances (e.g. regulatory conditions, economic, or competitive). Given their complex dual mandate of ensuring financial viability, whilst ensuring a measurable social impact, the SWOT framework is particularly helpful in the social enterprise context.</w:t>
      </w:r>
    </w:p>
    <w:p w14:paraId="7F7FF651" w14:textId="77777777" w:rsidR="00F1192C" w:rsidRDefault="00F1192C" w:rsidP="00F1192C">
      <w:pPr>
        <w:spacing w:line="480" w:lineRule="auto"/>
        <w:rPr>
          <w:rFonts w:ascii="Times New Roman" w:hAnsi="Times New Roman" w:cs="Times New Roman"/>
        </w:rPr>
      </w:pPr>
    </w:p>
    <w:p w14:paraId="7580CCE9" w14:textId="77777777" w:rsidR="00F1192C" w:rsidRDefault="00F1192C" w:rsidP="00F1192C">
      <w:pPr>
        <w:spacing w:line="480" w:lineRule="auto"/>
        <w:rPr>
          <w:rFonts w:ascii="Times New Roman" w:hAnsi="Times New Roman" w:cs="Times New Roman"/>
        </w:rPr>
      </w:pPr>
    </w:p>
    <w:p w14:paraId="1320768E" w14:textId="41DE0ED4" w:rsidR="00F1192C" w:rsidRPr="005D676F" w:rsidRDefault="00F1192C" w:rsidP="00F1192C">
      <w:pPr>
        <w:spacing w:line="480" w:lineRule="auto"/>
        <w:rPr>
          <w:rFonts w:ascii="Times New Roman" w:hAnsi="Times New Roman" w:cs="Times New Roman"/>
          <w:b/>
          <w:bCs/>
        </w:rPr>
      </w:pPr>
      <w:r w:rsidRPr="005D676F">
        <w:rPr>
          <w:rFonts w:ascii="Times New Roman" w:hAnsi="Times New Roman" w:cs="Times New Roman"/>
          <w:b/>
          <w:bCs/>
        </w:rPr>
        <w:lastRenderedPageBreak/>
        <w:t>Strengths</w:t>
      </w:r>
      <w:r w:rsidRPr="005D676F">
        <w:rPr>
          <w:rFonts w:ascii="Times New Roman" w:hAnsi="Times New Roman" w:cs="Times New Roman"/>
          <w:b/>
          <w:bCs/>
        </w:rPr>
        <w:t xml:space="preserve"> of Social Enterprises</w:t>
      </w:r>
    </w:p>
    <w:p w14:paraId="2A5DA843" w14:textId="77777777" w:rsidR="00F1192C" w:rsidRDefault="00F1192C" w:rsidP="00F1192C">
      <w:pPr>
        <w:spacing w:line="480" w:lineRule="auto"/>
        <w:rPr>
          <w:rFonts w:ascii="Times New Roman" w:hAnsi="Times New Roman" w:cs="Times New Roman"/>
        </w:rPr>
      </w:pPr>
      <w:r w:rsidRPr="00F1192C">
        <w:rPr>
          <w:rFonts w:ascii="Times New Roman" w:hAnsi="Times New Roman" w:cs="Times New Roman"/>
        </w:rPr>
        <w:t>A pivotal advantage of social enterprises is their ability to create blended value, meeting financial objectives as well as social or environmental objectives (Emerson, 2000). A well-known example is Grameen Bank, which pioneered microfinance and provided small loans to low-income borrowers, most often women, in Bangladesh. According to Yunus et al. (2010), Grameen's model illustrates how financial assets can be organi</w:t>
      </w:r>
      <w:r>
        <w:rPr>
          <w:rFonts w:ascii="Times New Roman" w:hAnsi="Times New Roman" w:cs="Times New Roman"/>
        </w:rPr>
        <w:t>s</w:t>
      </w:r>
      <w:r w:rsidRPr="00F1192C">
        <w:rPr>
          <w:rFonts w:ascii="Times New Roman" w:hAnsi="Times New Roman" w:cs="Times New Roman"/>
        </w:rPr>
        <w:t>ed to alleviate systemic poverty while allowing for survival without donations.</w:t>
      </w:r>
    </w:p>
    <w:p w14:paraId="4BDE692C" w14:textId="77777777" w:rsidR="00F1192C" w:rsidRDefault="00F1192C" w:rsidP="00F1192C">
      <w:pPr>
        <w:spacing w:line="480" w:lineRule="auto"/>
        <w:rPr>
          <w:rFonts w:ascii="Times New Roman" w:hAnsi="Times New Roman" w:cs="Times New Roman"/>
        </w:rPr>
      </w:pPr>
      <w:r w:rsidRPr="00F1192C">
        <w:rPr>
          <w:rFonts w:ascii="Times New Roman" w:hAnsi="Times New Roman" w:cs="Times New Roman"/>
        </w:rPr>
        <w:t xml:space="preserve">Social enterprises tend to have high stakeholder engagement as they are implicitly aligned with Freeman's (1984) Stakeholder Theory positing that businesses need to include the interests of stakeholders and not exclusively shareholders. Divine Chocolate is an example of a social enterprise where shares are held by a Ghanaian cocoa farmers' cooperative, which provides producers with the ability to have a voice and share in profits from corporate operational decisions. This approach provides legitimacy (Abedin et al., 2023), nurtures </w:t>
      </w:r>
      <w:r w:rsidRPr="00F1192C">
        <w:rPr>
          <w:rFonts w:ascii="Times New Roman" w:hAnsi="Times New Roman" w:cs="Times New Roman"/>
        </w:rPr>
        <w:t>trust and</w:t>
      </w:r>
      <w:r w:rsidRPr="00F1192C">
        <w:rPr>
          <w:rFonts w:ascii="Times New Roman" w:hAnsi="Times New Roman" w:cs="Times New Roman"/>
        </w:rPr>
        <w:t xml:space="preserve"> prolongs partnerships and reduces potential volatility.</w:t>
      </w:r>
    </w:p>
    <w:p w14:paraId="42CF5CFA" w14:textId="0C787618" w:rsidR="00F1192C" w:rsidRPr="00F1192C" w:rsidRDefault="00F1192C" w:rsidP="00F1192C">
      <w:pPr>
        <w:spacing w:line="480" w:lineRule="auto"/>
        <w:rPr>
          <w:rFonts w:ascii="Times New Roman" w:hAnsi="Times New Roman" w:cs="Times New Roman"/>
        </w:rPr>
      </w:pPr>
      <w:r w:rsidRPr="00F1192C">
        <w:rPr>
          <w:rFonts w:ascii="Times New Roman" w:hAnsi="Times New Roman" w:cs="Times New Roman"/>
        </w:rPr>
        <w:t>Social enterprises can also be very innovative, typically generating contextually appropriate solutions to intractable issues. Resource poor environments often drive innovation. mPedigree is an example of a West African enterprise that combats counterfeit medicine using mobile technology to enhance engagement between key stakeholders. The enterprise advances technology and the uptake of important public health (Awan &amp; Sroufe, 2022).</w:t>
      </w:r>
    </w:p>
    <w:p w14:paraId="6BFE1806" w14:textId="77777777" w:rsidR="00F1192C" w:rsidRPr="005D676F" w:rsidRDefault="00F1192C" w:rsidP="00F1192C">
      <w:pPr>
        <w:spacing w:line="480" w:lineRule="auto"/>
        <w:rPr>
          <w:rFonts w:ascii="Times New Roman" w:hAnsi="Times New Roman" w:cs="Times New Roman"/>
          <w:b/>
          <w:bCs/>
        </w:rPr>
      </w:pPr>
      <w:r w:rsidRPr="005D676F">
        <w:rPr>
          <w:rFonts w:ascii="Times New Roman" w:hAnsi="Times New Roman" w:cs="Times New Roman"/>
          <w:b/>
          <w:bCs/>
        </w:rPr>
        <w:t>Weaknesses</w:t>
      </w:r>
      <w:r w:rsidRPr="005D676F">
        <w:rPr>
          <w:rFonts w:ascii="Times New Roman" w:hAnsi="Times New Roman" w:cs="Times New Roman"/>
          <w:b/>
          <w:bCs/>
        </w:rPr>
        <w:t xml:space="preserve"> of Social Enterprises</w:t>
      </w:r>
    </w:p>
    <w:p w14:paraId="7796A85B" w14:textId="77777777" w:rsidR="00F1192C" w:rsidRDefault="00F1192C" w:rsidP="00F1192C">
      <w:pPr>
        <w:spacing w:line="480" w:lineRule="auto"/>
        <w:rPr>
          <w:rFonts w:ascii="Times New Roman" w:hAnsi="Times New Roman" w:cs="Times New Roman"/>
        </w:rPr>
      </w:pPr>
      <w:r w:rsidRPr="00F1192C">
        <w:rPr>
          <w:rFonts w:ascii="Times New Roman" w:hAnsi="Times New Roman" w:cs="Times New Roman"/>
        </w:rPr>
        <w:t xml:space="preserve">Despite benefiting from many advantages, social enterprises often struggle with significant operational challenges. The most prevalent challenge is often limited access to </w:t>
      </w:r>
      <w:r w:rsidRPr="00F1192C">
        <w:rPr>
          <w:rFonts w:ascii="Times New Roman" w:hAnsi="Times New Roman" w:cs="Times New Roman"/>
        </w:rPr>
        <w:t>capital. The</w:t>
      </w:r>
      <w:r w:rsidRPr="00F1192C">
        <w:rPr>
          <w:rFonts w:ascii="Times New Roman" w:hAnsi="Times New Roman" w:cs="Times New Roman"/>
        </w:rPr>
        <w:t xml:space="preserve"> hybrid nature of social enterprises is not particularly appealing to traditional investors that are primarily mainly concerned with maximising returns, while some philanthropic funders do </w:t>
      </w:r>
      <w:r w:rsidRPr="00F1192C">
        <w:rPr>
          <w:rFonts w:ascii="Times New Roman" w:hAnsi="Times New Roman" w:cs="Times New Roman"/>
        </w:rPr>
        <w:lastRenderedPageBreak/>
        <w:t>not want to associate themselves with policy environments that are driven by profit (Porter &amp; Kramer, 2011). As a result, there is a gap in funding, which restricts the ability of social enterprises to grow and innovate. Abedin et al. (2023) conclude that many small social enterprises are limited by strategic under-development due to the inconsistency in funding and the capacity of their work.</w:t>
      </w:r>
    </w:p>
    <w:p w14:paraId="4B2067F1" w14:textId="77777777" w:rsidR="005E19BC" w:rsidRDefault="00F1192C" w:rsidP="00F1192C">
      <w:pPr>
        <w:spacing w:line="480" w:lineRule="auto"/>
        <w:rPr>
          <w:rFonts w:ascii="Times New Roman" w:hAnsi="Times New Roman" w:cs="Times New Roman"/>
        </w:rPr>
      </w:pPr>
      <w:r w:rsidRPr="00F1192C">
        <w:rPr>
          <w:rFonts w:ascii="Times New Roman" w:hAnsi="Times New Roman" w:cs="Times New Roman"/>
        </w:rPr>
        <w:t xml:space="preserve">Another significant weakness is the possibility of mission drift. More established social enterprises or those that are more dependent on outside funding may see a shift or drift from being focused on the social mission to being focused on profit (or profit sustainability) (Bhatt, 2022). </w:t>
      </w:r>
      <w:r>
        <w:rPr>
          <w:rFonts w:ascii="Times New Roman" w:hAnsi="Times New Roman" w:cs="Times New Roman"/>
        </w:rPr>
        <w:t>I</w:t>
      </w:r>
      <w:r w:rsidRPr="00F1192C">
        <w:rPr>
          <w:rFonts w:ascii="Times New Roman" w:hAnsi="Times New Roman" w:cs="Times New Roman"/>
        </w:rPr>
        <w:t>ncreasingly prominent social enterprises will have increased ethical complexity as they scale, and this growth will require them to negotiate the best possible compromises between social outcomes and the realities of the market. A drift from the social mission can erode trust with beneficiaries and stakeholder and, ultimately, stagnate or worsen the long-term social sustainability of the social enterprise, undermining prospects for positive societal development and financial sustainability of that impact.</w:t>
      </w:r>
    </w:p>
    <w:p w14:paraId="660BBCC8" w14:textId="0A0A6063" w:rsidR="00F1192C" w:rsidRPr="00F1192C" w:rsidRDefault="00F1192C" w:rsidP="00F1192C">
      <w:pPr>
        <w:spacing w:line="480" w:lineRule="auto"/>
        <w:rPr>
          <w:rFonts w:ascii="Times New Roman" w:hAnsi="Times New Roman" w:cs="Times New Roman"/>
        </w:rPr>
      </w:pPr>
      <w:r w:rsidRPr="00F1192C">
        <w:rPr>
          <w:rFonts w:ascii="Times New Roman" w:hAnsi="Times New Roman" w:cs="Times New Roman"/>
        </w:rPr>
        <w:t>Next, social enterprises often struggle with how to measure their impact. Unlike financial performance, social outcomes are complex, highly contextualised, and often involve long-term consideration. There are rigorous measurement methodologies, such as Theory of Change and Social Return on Investment (SROI), but few social enterprises have the resources or capacity (staff, methodological training, etc.) to be able to measure social value with either of these frameworks. Satar (2022) argues that social enterprises without guidelines to meet planning for triple-bottom-line processes, run the risk of failing to adequately measure and discuss their value proposition, while limiting funding and decision-making.</w:t>
      </w:r>
    </w:p>
    <w:p w14:paraId="6B563BDD" w14:textId="77777777" w:rsidR="00F1192C" w:rsidRPr="00F1192C" w:rsidRDefault="00F1192C" w:rsidP="00F1192C">
      <w:pPr>
        <w:spacing w:line="480" w:lineRule="auto"/>
        <w:rPr>
          <w:rFonts w:ascii="Times New Roman" w:hAnsi="Times New Roman" w:cs="Times New Roman"/>
        </w:rPr>
      </w:pPr>
    </w:p>
    <w:p w14:paraId="41954DCD" w14:textId="04E4F644" w:rsidR="005E19BC" w:rsidRPr="005D676F" w:rsidRDefault="005E19BC" w:rsidP="00F1192C">
      <w:pPr>
        <w:spacing w:line="480" w:lineRule="auto"/>
        <w:rPr>
          <w:rFonts w:ascii="Times New Roman" w:hAnsi="Times New Roman" w:cs="Times New Roman"/>
          <w:b/>
          <w:bCs/>
        </w:rPr>
      </w:pPr>
      <w:r w:rsidRPr="005D676F">
        <w:rPr>
          <w:rFonts w:ascii="Times New Roman" w:hAnsi="Times New Roman" w:cs="Times New Roman"/>
          <w:b/>
          <w:bCs/>
        </w:rPr>
        <w:lastRenderedPageBreak/>
        <w:t xml:space="preserve">Opportunities </w:t>
      </w:r>
      <w:r w:rsidRPr="005D676F">
        <w:rPr>
          <w:rFonts w:ascii="Times New Roman" w:hAnsi="Times New Roman" w:cs="Times New Roman"/>
          <w:b/>
          <w:bCs/>
        </w:rPr>
        <w:t xml:space="preserve">of </w:t>
      </w:r>
      <w:r w:rsidRPr="005D676F">
        <w:rPr>
          <w:rFonts w:ascii="Times New Roman" w:hAnsi="Times New Roman" w:cs="Times New Roman"/>
          <w:b/>
          <w:bCs/>
        </w:rPr>
        <w:t>Social Enterprises</w:t>
      </w:r>
      <w:r w:rsidRPr="005D676F">
        <w:rPr>
          <w:rFonts w:ascii="Times New Roman" w:hAnsi="Times New Roman" w:cs="Times New Roman"/>
          <w:b/>
          <w:bCs/>
        </w:rPr>
        <w:t xml:space="preserve"> </w:t>
      </w:r>
    </w:p>
    <w:p w14:paraId="4ABB8955" w14:textId="77777777" w:rsidR="005E19BC" w:rsidRDefault="00F1192C" w:rsidP="00F1192C">
      <w:pPr>
        <w:spacing w:line="480" w:lineRule="auto"/>
        <w:rPr>
          <w:rFonts w:ascii="Times New Roman" w:hAnsi="Times New Roman" w:cs="Times New Roman"/>
        </w:rPr>
      </w:pPr>
      <w:r w:rsidRPr="00F1192C">
        <w:rPr>
          <w:rFonts w:ascii="Times New Roman" w:hAnsi="Times New Roman" w:cs="Times New Roman"/>
        </w:rPr>
        <w:t xml:space="preserve">The current global economy is providing many social enterprises with significant opportunities to grow their influence and impact. One opportunity, arguably the most significant, is the growing trend of ethical consumption. The growing portion of consumers, particularly millennials and Generation Z consumers, will only purchase products and services from companies that deliberately prioritise sustainability, social justice, and ethical </w:t>
      </w:r>
      <w:r w:rsidR="005E19BC" w:rsidRPr="00F1192C">
        <w:rPr>
          <w:rFonts w:ascii="Times New Roman" w:hAnsi="Times New Roman" w:cs="Times New Roman"/>
        </w:rPr>
        <w:t>activities. According</w:t>
      </w:r>
      <w:r w:rsidRPr="00F1192C">
        <w:rPr>
          <w:rFonts w:ascii="Times New Roman" w:hAnsi="Times New Roman" w:cs="Times New Roman"/>
        </w:rPr>
        <w:t xml:space="preserve"> to Nielsen (2015), 66% of consumers worldwide are now willing to pay more for products sold by organi</w:t>
      </w:r>
      <w:r w:rsidR="005E19BC">
        <w:rPr>
          <w:rFonts w:ascii="Times New Roman" w:hAnsi="Times New Roman" w:cs="Times New Roman"/>
        </w:rPr>
        <w:t>s</w:t>
      </w:r>
      <w:r w:rsidRPr="00F1192C">
        <w:rPr>
          <w:rFonts w:ascii="Times New Roman" w:hAnsi="Times New Roman" w:cs="Times New Roman"/>
        </w:rPr>
        <w:t>ations dedicated to positive change in social and environmental aspects. This aligns with Elkington's (1997) Triple Bottom Line framework, which states that companies are responsible for creating value in three areas</w:t>
      </w:r>
      <w:r w:rsidR="005E19BC">
        <w:rPr>
          <w:rFonts w:ascii="Times New Roman" w:hAnsi="Times New Roman" w:cs="Times New Roman"/>
        </w:rPr>
        <w:t xml:space="preserve">: </w:t>
      </w:r>
      <w:r w:rsidRPr="00F1192C">
        <w:rPr>
          <w:rFonts w:ascii="Times New Roman" w:hAnsi="Times New Roman" w:cs="Times New Roman"/>
        </w:rPr>
        <w:t>profit, people, and planet.</w:t>
      </w:r>
      <w:r w:rsidR="005E19BC">
        <w:rPr>
          <w:rFonts w:ascii="Times New Roman" w:hAnsi="Times New Roman" w:cs="Times New Roman"/>
        </w:rPr>
        <w:t xml:space="preserve"> </w:t>
      </w:r>
      <w:r w:rsidRPr="00F1192C">
        <w:rPr>
          <w:rFonts w:ascii="Times New Roman" w:hAnsi="Times New Roman" w:cs="Times New Roman"/>
        </w:rPr>
        <w:t xml:space="preserve">Companies like Who Gives </w:t>
      </w:r>
      <w:proofErr w:type="gramStart"/>
      <w:r w:rsidRPr="00F1192C">
        <w:rPr>
          <w:rFonts w:ascii="Times New Roman" w:hAnsi="Times New Roman" w:cs="Times New Roman"/>
        </w:rPr>
        <w:t>A</w:t>
      </w:r>
      <w:proofErr w:type="gramEnd"/>
      <w:r w:rsidRPr="00F1192C">
        <w:rPr>
          <w:rFonts w:ascii="Times New Roman" w:hAnsi="Times New Roman" w:cs="Times New Roman"/>
        </w:rPr>
        <w:t xml:space="preserve"> Crap have embraced this opportunity with sustainable toilet paper while donating 50% of profits to improve sanitation globally. The organisation utili</w:t>
      </w:r>
      <w:r w:rsidR="005E19BC">
        <w:rPr>
          <w:rFonts w:ascii="Times New Roman" w:hAnsi="Times New Roman" w:cs="Times New Roman"/>
        </w:rPr>
        <w:t>s</w:t>
      </w:r>
      <w:r w:rsidRPr="00F1192C">
        <w:rPr>
          <w:rFonts w:ascii="Times New Roman" w:hAnsi="Times New Roman" w:cs="Times New Roman"/>
        </w:rPr>
        <w:t xml:space="preserve">es </w:t>
      </w:r>
      <w:r w:rsidR="005E19BC" w:rsidRPr="00F1192C">
        <w:rPr>
          <w:rFonts w:ascii="Times New Roman" w:hAnsi="Times New Roman" w:cs="Times New Roman"/>
        </w:rPr>
        <w:t>humour</w:t>
      </w:r>
      <w:r w:rsidRPr="00F1192C">
        <w:rPr>
          <w:rFonts w:ascii="Times New Roman" w:hAnsi="Times New Roman" w:cs="Times New Roman"/>
        </w:rPr>
        <w:t>, transparency, and a direct-to-consumer sales model to develop a loyal audience (Mendes et al., 2023).</w:t>
      </w:r>
    </w:p>
    <w:p w14:paraId="0032FD87" w14:textId="77777777" w:rsidR="005E19BC" w:rsidRDefault="00F1192C" w:rsidP="00F1192C">
      <w:pPr>
        <w:spacing w:line="480" w:lineRule="auto"/>
        <w:rPr>
          <w:rFonts w:ascii="Times New Roman" w:hAnsi="Times New Roman" w:cs="Times New Roman"/>
        </w:rPr>
      </w:pPr>
      <w:r w:rsidRPr="00F1192C">
        <w:rPr>
          <w:rFonts w:ascii="Times New Roman" w:hAnsi="Times New Roman" w:cs="Times New Roman"/>
        </w:rPr>
        <w:t>Policy environments are moving in the direction of facilitating social enterprise development as well. Legal forms of organi</w:t>
      </w:r>
      <w:r w:rsidR="005E19BC">
        <w:rPr>
          <w:rFonts w:ascii="Times New Roman" w:hAnsi="Times New Roman" w:cs="Times New Roman"/>
        </w:rPr>
        <w:t>s</w:t>
      </w:r>
      <w:r w:rsidRPr="00F1192C">
        <w:rPr>
          <w:rFonts w:ascii="Times New Roman" w:hAnsi="Times New Roman" w:cs="Times New Roman"/>
        </w:rPr>
        <w:t>ations such as Community Interest Companies (CIC) in the UK and B Corporations in the United States provide formal recognition of hybrid business, adding legitimacy and confidence for investors. Additionally, the UK's Social Investment Tax Relief (SITR) program incentivi</w:t>
      </w:r>
      <w:r w:rsidR="005E19BC">
        <w:rPr>
          <w:rFonts w:ascii="Times New Roman" w:hAnsi="Times New Roman" w:cs="Times New Roman"/>
        </w:rPr>
        <w:t>s</w:t>
      </w:r>
      <w:r w:rsidRPr="00F1192C">
        <w:rPr>
          <w:rFonts w:ascii="Times New Roman" w:hAnsi="Times New Roman" w:cs="Times New Roman"/>
        </w:rPr>
        <w:t xml:space="preserve">es national private investment in social enterprises with tax incentives. According to Yunus et al. (2010), enabling ecosystems, or policy and legal frameworks, is needed to foster sustainable social business models. </w:t>
      </w:r>
    </w:p>
    <w:p w14:paraId="33337D95" w14:textId="77777777" w:rsidR="005E19BC" w:rsidRDefault="00F1192C" w:rsidP="00F1192C">
      <w:pPr>
        <w:spacing w:line="480" w:lineRule="auto"/>
        <w:rPr>
          <w:rFonts w:ascii="Times New Roman" w:hAnsi="Times New Roman" w:cs="Times New Roman"/>
        </w:rPr>
      </w:pPr>
      <w:r w:rsidRPr="00F1192C">
        <w:rPr>
          <w:rFonts w:ascii="Times New Roman" w:hAnsi="Times New Roman" w:cs="Times New Roman"/>
        </w:rPr>
        <w:t xml:space="preserve">Another major opportunity is technology. Digital platforms, mobile apps, and data analytics can leverage tools to improve efficiency, scale, and increase social impact. Awan and Sroufe (2022) suggested that circular and sustainable business models often rely on technology to </w:t>
      </w:r>
      <w:r w:rsidRPr="00F1192C">
        <w:rPr>
          <w:rFonts w:ascii="Times New Roman" w:hAnsi="Times New Roman" w:cs="Times New Roman"/>
        </w:rPr>
        <w:lastRenderedPageBreak/>
        <w:t xml:space="preserve">innovate on waste reduction and stakeholder </w:t>
      </w:r>
      <w:r w:rsidR="005E19BC" w:rsidRPr="00F1192C">
        <w:rPr>
          <w:rFonts w:ascii="Times New Roman" w:hAnsi="Times New Roman" w:cs="Times New Roman"/>
        </w:rPr>
        <w:t>engagement. Digital</w:t>
      </w:r>
      <w:r w:rsidRPr="00F1192C">
        <w:rPr>
          <w:rFonts w:ascii="Times New Roman" w:hAnsi="Times New Roman" w:cs="Times New Roman"/>
        </w:rPr>
        <w:t xml:space="preserve"> technologies should allow for easier tracking of impact, particularly given the ways in which organi</w:t>
      </w:r>
      <w:r w:rsidR="005E19BC">
        <w:rPr>
          <w:rFonts w:ascii="Times New Roman" w:hAnsi="Times New Roman" w:cs="Times New Roman"/>
        </w:rPr>
        <w:t>s</w:t>
      </w:r>
      <w:r w:rsidRPr="00F1192C">
        <w:rPr>
          <w:rFonts w:ascii="Times New Roman" w:hAnsi="Times New Roman" w:cs="Times New Roman"/>
        </w:rPr>
        <w:t xml:space="preserve">ations actively engage and move supporters into fundraising, storytelling, and social media. The mPedigree mobile-enabled verification system demonstrates how low-cost technologies can be designed to facilitate system-wide change in constrained resource environments. </w:t>
      </w:r>
    </w:p>
    <w:p w14:paraId="08216FD8" w14:textId="20ACA8A7" w:rsidR="005E19BC" w:rsidRPr="005D676F" w:rsidRDefault="00F1192C" w:rsidP="00F1192C">
      <w:pPr>
        <w:spacing w:line="480" w:lineRule="auto"/>
        <w:rPr>
          <w:rFonts w:ascii="Times New Roman" w:hAnsi="Times New Roman" w:cs="Times New Roman"/>
          <w:b/>
          <w:bCs/>
        </w:rPr>
      </w:pPr>
      <w:r w:rsidRPr="005D676F">
        <w:rPr>
          <w:rFonts w:ascii="Times New Roman" w:hAnsi="Times New Roman" w:cs="Times New Roman"/>
          <w:b/>
          <w:bCs/>
        </w:rPr>
        <w:t xml:space="preserve">Threats </w:t>
      </w:r>
      <w:r w:rsidR="005D676F" w:rsidRPr="005D676F">
        <w:rPr>
          <w:rFonts w:ascii="Times New Roman" w:hAnsi="Times New Roman" w:cs="Times New Roman"/>
          <w:b/>
          <w:bCs/>
        </w:rPr>
        <w:t>of</w:t>
      </w:r>
      <w:r w:rsidRPr="005D676F">
        <w:rPr>
          <w:rFonts w:ascii="Times New Roman" w:hAnsi="Times New Roman" w:cs="Times New Roman"/>
          <w:b/>
          <w:bCs/>
        </w:rPr>
        <w:t xml:space="preserve"> Social Enterprises </w:t>
      </w:r>
    </w:p>
    <w:p w14:paraId="0F71A04D" w14:textId="77777777" w:rsidR="005E19BC" w:rsidRDefault="00F1192C" w:rsidP="00F1192C">
      <w:pPr>
        <w:spacing w:line="480" w:lineRule="auto"/>
        <w:rPr>
          <w:rFonts w:ascii="Times New Roman" w:hAnsi="Times New Roman" w:cs="Times New Roman"/>
        </w:rPr>
      </w:pPr>
      <w:r w:rsidRPr="00F1192C">
        <w:rPr>
          <w:rFonts w:ascii="Times New Roman" w:hAnsi="Times New Roman" w:cs="Times New Roman"/>
        </w:rPr>
        <w:t>At the same time, there are external forces that social enterprises must deal with that can adversely affect the operational capacity or life of their organi</w:t>
      </w:r>
      <w:r w:rsidR="005E19BC">
        <w:rPr>
          <w:rFonts w:ascii="Times New Roman" w:hAnsi="Times New Roman" w:cs="Times New Roman"/>
        </w:rPr>
        <w:t>s</w:t>
      </w:r>
      <w:r w:rsidRPr="00F1192C">
        <w:rPr>
          <w:rFonts w:ascii="Times New Roman" w:hAnsi="Times New Roman" w:cs="Times New Roman"/>
        </w:rPr>
        <w:t>ation. A significant threat is competition from large corporations adopting CSR or shared value models. Porter and Kramer (2011) argue that many businesses have elevated to the level of designing business strategies that factor in considerations for social impact. It is important to note that while the public good may be assisted at a wider societal good, this can lead to 'impact washing' in which enterprises utili</w:t>
      </w:r>
      <w:r w:rsidR="005E19BC">
        <w:rPr>
          <w:rFonts w:ascii="Times New Roman" w:hAnsi="Times New Roman" w:cs="Times New Roman"/>
        </w:rPr>
        <w:t>s</w:t>
      </w:r>
      <w:r w:rsidRPr="00F1192C">
        <w:rPr>
          <w:rFonts w:ascii="Times New Roman" w:hAnsi="Times New Roman" w:cs="Times New Roman"/>
        </w:rPr>
        <w:t xml:space="preserve">e the language of purpose while not being primarily mission-driven. This puts pressure on social enterprises to continuously seek differentiation and demonstrate the value of impact with limited public and marketing prominence. </w:t>
      </w:r>
    </w:p>
    <w:p w14:paraId="2AA1328B" w14:textId="77777777" w:rsidR="005E19BC" w:rsidRDefault="00F1192C" w:rsidP="00F1192C">
      <w:pPr>
        <w:spacing w:line="480" w:lineRule="auto"/>
        <w:rPr>
          <w:rFonts w:ascii="Times New Roman" w:hAnsi="Times New Roman" w:cs="Times New Roman"/>
        </w:rPr>
      </w:pPr>
      <w:r w:rsidRPr="00F1192C">
        <w:rPr>
          <w:rFonts w:ascii="Times New Roman" w:hAnsi="Times New Roman" w:cs="Times New Roman"/>
        </w:rPr>
        <w:t>An equally important challenge is volatility in the economy. During turbulent economic circumstances, consumer spending on ethical products declines, and funders may reduce or restrict grant commitment to organi</w:t>
      </w:r>
      <w:r w:rsidR="005E19BC">
        <w:rPr>
          <w:rFonts w:ascii="Times New Roman" w:hAnsi="Times New Roman" w:cs="Times New Roman"/>
        </w:rPr>
        <w:t>s</w:t>
      </w:r>
      <w:r w:rsidRPr="00F1192C">
        <w:rPr>
          <w:rFonts w:ascii="Times New Roman" w:hAnsi="Times New Roman" w:cs="Times New Roman"/>
        </w:rPr>
        <w:t>ations that have a financial return in the short term. As a notable example, the COVID-19 pandemic has created enormous challenges on the social enterprise sectors. As observed by Weaver (2023), many organi</w:t>
      </w:r>
      <w:r w:rsidR="005E19BC">
        <w:rPr>
          <w:rFonts w:ascii="Times New Roman" w:hAnsi="Times New Roman" w:cs="Times New Roman"/>
        </w:rPr>
        <w:t>s</w:t>
      </w:r>
      <w:r w:rsidRPr="00F1192C">
        <w:rPr>
          <w:rFonts w:ascii="Times New Roman" w:hAnsi="Times New Roman" w:cs="Times New Roman"/>
        </w:rPr>
        <w:t xml:space="preserve">ations were forced to reduce services and staff, and even in some cases dependent on local pandemic orders, temporarily close, when income was lost or operational restrictions cited to the pandemic orders of which they had to comply with. </w:t>
      </w:r>
    </w:p>
    <w:p w14:paraId="3C70B0CB" w14:textId="77777777" w:rsidR="005E19BC" w:rsidRDefault="00F1192C" w:rsidP="00F1192C">
      <w:pPr>
        <w:spacing w:line="480" w:lineRule="auto"/>
        <w:rPr>
          <w:rFonts w:ascii="Times New Roman" w:hAnsi="Times New Roman" w:cs="Times New Roman"/>
        </w:rPr>
      </w:pPr>
      <w:r w:rsidRPr="00F1192C">
        <w:rPr>
          <w:rFonts w:ascii="Times New Roman" w:hAnsi="Times New Roman" w:cs="Times New Roman"/>
        </w:rPr>
        <w:lastRenderedPageBreak/>
        <w:t xml:space="preserve">A further concern is the problem of growing without fidelity to missions. As social enterprises grow, they typically </w:t>
      </w:r>
      <w:r w:rsidR="005E19BC" w:rsidRPr="00F1192C">
        <w:rPr>
          <w:rFonts w:ascii="Times New Roman" w:hAnsi="Times New Roman" w:cs="Times New Roman"/>
        </w:rPr>
        <w:t>must</w:t>
      </w:r>
      <w:r w:rsidRPr="00F1192C">
        <w:rPr>
          <w:rFonts w:ascii="Times New Roman" w:hAnsi="Times New Roman" w:cs="Times New Roman"/>
        </w:rPr>
        <w:t xml:space="preserve"> either standardi</w:t>
      </w:r>
      <w:r w:rsidR="005E19BC">
        <w:rPr>
          <w:rFonts w:ascii="Times New Roman" w:hAnsi="Times New Roman" w:cs="Times New Roman"/>
        </w:rPr>
        <w:t>s</w:t>
      </w:r>
      <w:r w:rsidRPr="00F1192C">
        <w:rPr>
          <w:rFonts w:ascii="Times New Roman" w:hAnsi="Times New Roman" w:cs="Times New Roman"/>
        </w:rPr>
        <w:t>e operations or pursue investment from commercial investors to consider the scale and this can lead to a higher instance of mission drift (Bhatt, 2022). Unless additional formali</w:t>
      </w:r>
      <w:r w:rsidR="005E19BC">
        <w:rPr>
          <w:rFonts w:ascii="Times New Roman" w:hAnsi="Times New Roman" w:cs="Times New Roman"/>
        </w:rPr>
        <w:t>s</w:t>
      </w:r>
      <w:r w:rsidRPr="00F1192C">
        <w:rPr>
          <w:rFonts w:ascii="Times New Roman" w:hAnsi="Times New Roman" w:cs="Times New Roman"/>
        </w:rPr>
        <w:t xml:space="preserve">ed governance mechanisms are implemented and values-based leadership are in place residents' social returns could be diminished as growth is pursued. </w:t>
      </w:r>
    </w:p>
    <w:p w14:paraId="0D74A344" w14:textId="77777777" w:rsidR="007B51D0" w:rsidRDefault="00F1192C" w:rsidP="00F1192C">
      <w:pPr>
        <w:spacing w:line="480" w:lineRule="auto"/>
        <w:rPr>
          <w:rFonts w:ascii="Times New Roman" w:hAnsi="Times New Roman" w:cs="Times New Roman"/>
        </w:rPr>
      </w:pPr>
      <w:r w:rsidRPr="00F1192C">
        <w:rPr>
          <w:rFonts w:ascii="Times New Roman" w:hAnsi="Times New Roman" w:cs="Times New Roman"/>
        </w:rPr>
        <w:t>The ethical complexities many social enterprises are faced with heightens these risks. Many organi</w:t>
      </w:r>
      <w:r w:rsidR="005E19BC">
        <w:rPr>
          <w:rFonts w:ascii="Times New Roman" w:hAnsi="Times New Roman" w:cs="Times New Roman"/>
        </w:rPr>
        <w:t>s</w:t>
      </w:r>
      <w:r w:rsidRPr="00F1192C">
        <w:rPr>
          <w:rFonts w:ascii="Times New Roman" w:hAnsi="Times New Roman" w:cs="Times New Roman"/>
        </w:rPr>
        <w:t>ations are situated in contested or politically charged spaces</w:t>
      </w:r>
      <w:r w:rsidR="007B51D0">
        <w:rPr>
          <w:rFonts w:ascii="Times New Roman" w:hAnsi="Times New Roman" w:cs="Times New Roman"/>
        </w:rPr>
        <w:t xml:space="preserve"> </w:t>
      </w:r>
      <w:r w:rsidRPr="00F1192C">
        <w:rPr>
          <w:rFonts w:ascii="Times New Roman" w:hAnsi="Times New Roman" w:cs="Times New Roman"/>
        </w:rPr>
        <w:t xml:space="preserve">where the expectations of stakeholder needs may not just be different but incredibly difficult to ascertain. Bhatt (2022) captures some of the challenges, as social entrepreneurs may be engaged in </w:t>
      </w:r>
      <w:r w:rsidR="007B51D0">
        <w:rPr>
          <w:rFonts w:ascii="Times New Roman" w:hAnsi="Times New Roman" w:cs="Times New Roman"/>
        </w:rPr>
        <w:t xml:space="preserve">several </w:t>
      </w:r>
      <w:r w:rsidRPr="00F1192C">
        <w:rPr>
          <w:rFonts w:ascii="Times New Roman" w:hAnsi="Times New Roman" w:cs="Times New Roman"/>
        </w:rPr>
        <w:t xml:space="preserve">morally ambiguous realities or </w:t>
      </w:r>
      <w:proofErr w:type="gramStart"/>
      <w:r w:rsidRPr="00F1192C">
        <w:rPr>
          <w:rFonts w:ascii="Times New Roman" w:hAnsi="Times New Roman" w:cs="Times New Roman"/>
        </w:rPr>
        <w:t>have to</w:t>
      </w:r>
      <w:proofErr w:type="gramEnd"/>
      <w:r w:rsidRPr="00F1192C">
        <w:rPr>
          <w:rFonts w:ascii="Times New Roman" w:hAnsi="Times New Roman" w:cs="Times New Roman"/>
        </w:rPr>
        <w:t xml:space="preserve"> make trade-offs that accommodate stakeholder needs bound to dissatisfaction. Compound this with the reputational and operational risks associated with expectations of transparency and accountability as </w:t>
      </w:r>
      <w:r w:rsidR="007B51D0">
        <w:rPr>
          <w:rFonts w:ascii="Times New Roman" w:hAnsi="Times New Roman" w:cs="Times New Roman"/>
        </w:rPr>
        <w:t>they</w:t>
      </w:r>
      <w:r w:rsidRPr="00F1192C">
        <w:rPr>
          <w:rFonts w:ascii="Times New Roman" w:hAnsi="Times New Roman" w:cs="Times New Roman"/>
        </w:rPr>
        <w:t xml:space="preserve"> could easily see why care must be taken. </w:t>
      </w:r>
    </w:p>
    <w:p w14:paraId="169FD689" w14:textId="77777777" w:rsidR="007B51D0" w:rsidRPr="005D676F" w:rsidRDefault="00F1192C" w:rsidP="00F1192C">
      <w:pPr>
        <w:spacing w:line="480" w:lineRule="auto"/>
        <w:rPr>
          <w:rFonts w:ascii="Times New Roman" w:hAnsi="Times New Roman" w:cs="Times New Roman"/>
          <w:b/>
          <w:bCs/>
        </w:rPr>
      </w:pPr>
      <w:r w:rsidRPr="005D676F">
        <w:rPr>
          <w:rFonts w:ascii="Times New Roman" w:hAnsi="Times New Roman" w:cs="Times New Roman"/>
          <w:b/>
          <w:bCs/>
        </w:rPr>
        <w:t xml:space="preserve">Conclusion </w:t>
      </w:r>
    </w:p>
    <w:p w14:paraId="56751991" w14:textId="4D52616C" w:rsidR="00F1192C" w:rsidRDefault="00F1192C" w:rsidP="00F1192C">
      <w:pPr>
        <w:spacing w:line="480" w:lineRule="auto"/>
        <w:rPr>
          <w:rFonts w:ascii="Times New Roman" w:hAnsi="Times New Roman" w:cs="Times New Roman"/>
        </w:rPr>
      </w:pPr>
      <w:r w:rsidRPr="00F1192C">
        <w:rPr>
          <w:rFonts w:ascii="Times New Roman" w:hAnsi="Times New Roman" w:cs="Times New Roman"/>
        </w:rPr>
        <w:t>Social enterprises have capacity to be important agents of inclusive growth, sustainability, and systemic change; they embody two distinct, and eligibility outlined values that justify a parallel business case to more traditional practices: mission-driven innovation and engagement to stakeholders and blended value propositions. However, internal insufficiencies such as access to capital to sustain operating overhead, to mission drift when combined with those challenges experienced from external forces evidenced by competing corporations seeking the same social impact or global economic crisis could impact the social enterprise organi</w:t>
      </w:r>
      <w:r w:rsidR="007B51D0">
        <w:rPr>
          <w:rFonts w:ascii="Times New Roman" w:hAnsi="Times New Roman" w:cs="Times New Roman"/>
        </w:rPr>
        <w:t>s</w:t>
      </w:r>
      <w:r w:rsidRPr="00F1192C">
        <w:rPr>
          <w:rFonts w:ascii="Times New Roman" w:hAnsi="Times New Roman" w:cs="Times New Roman"/>
        </w:rPr>
        <w:t>ational impact</w:t>
      </w:r>
      <w:r w:rsidR="007B51D0">
        <w:rPr>
          <w:rFonts w:ascii="Times New Roman" w:hAnsi="Times New Roman" w:cs="Times New Roman"/>
        </w:rPr>
        <w:t xml:space="preserve">, </w:t>
      </w:r>
      <w:r w:rsidRPr="00F1192C">
        <w:rPr>
          <w:rFonts w:ascii="Times New Roman" w:hAnsi="Times New Roman" w:cs="Times New Roman"/>
        </w:rPr>
        <w:t xml:space="preserve">however, at the same time, with those structures we see global trends in consumer values, continued policy support, and expanded technological use and capability </w:t>
      </w:r>
      <w:r w:rsidRPr="00F1192C">
        <w:rPr>
          <w:rFonts w:ascii="Times New Roman" w:hAnsi="Times New Roman" w:cs="Times New Roman"/>
        </w:rPr>
        <w:lastRenderedPageBreak/>
        <w:t>presents unique opportunities and enhancements for support and resilience to many social enterprises. As we experience the continued tension of internal assets to engage external opportunities while also mitigating upcoming threats to resources and managing the weaknesses from internally based factors, we would have to assert that a social enterprise would continue contributing to a more equitable and sustainable global economy.</w:t>
      </w:r>
    </w:p>
    <w:p w14:paraId="2951632E" w14:textId="77777777" w:rsidR="007B51D0" w:rsidRDefault="007B51D0" w:rsidP="00F1192C">
      <w:pPr>
        <w:spacing w:line="480" w:lineRule="auto"/>
        <w:rPr>
          <w:rFonts w:ascii="Times New Roman" w:hAnsi="Times New Roman" w:cs="Times New Roman"/>
        </w:rPr>
      </w:pPr>
    </w:p>
    <w:p w14:paraId="4254C158" w14:textId="77777777" w:rsidR="007B51D0" w:rsidRDefault="007B51D0" w:rsidP="00F1192C">
      <w:pPr>
        <w:spacing w:line="480" w:lineRule="auto"/>
        <w:rPr>
          <w:rFonts w:ascii="Times New Roman" w:hAnsi="Times New Roman" w:cs="Times New Roman"/>
        </w:rPr>
      </w:pPr>
    </w:p>
    <w:p w14:paraId="77EB5A43" w14:textId="77777777" w:rsidR="007B51D0" w:rsidRDefault="007B51D0" w:rsidP="00F1192C">
      <w:pPr>
        <w:spacing w:line="480" w:lineRule="auto"/>
        <w:rPr>
          <w:rFonts w:ascii="Times New Roman" w:hAnsi="Times New Roman" w:cs="Times New Roman"/>
        </w:rPr>
      </w:pPr>
    </w:p>
    <w:p w14:paraId="6E406658" w14:textId="77777777" w:rsidR="007B51D0" w:rsidRDefault="007B51D0" w:rsidP="00F1192C">
      <w:pPr>
        <w:spacing w:line="480" w:lineRule="auto"/>
        <w:rPr>
          <w:rFonts w:ascii="Times New Roman" w:hAnsi="Times New Roman" w:cs="Times New Roman"/>
        </w:rPr>
      </w:pPr>
    </w:p>
    <w:p w14:paraId="087BBF04" w14:textId="77777777" w:rsidR="007B51D0" w:rsidRDefault="007B51D0" w:rsidP="00F1192C">
      <w:pPr>
        <w:spacing w:line="480" w:lineRule="auto"/>
        <w:rPr>
          <w:rFonts w:ascii="Times New Roman" w:hAnsi="Times New Roman" w:cs="Times New Roman"/>
        </w:rPr>
      </w:pPr>
    </w:p>
    <w:p w14:paraId="6BF24C3B" w14:textId="77777777" w:rsidR="007B51D0" w:rsidRDefault="007B51D0" w:rsidP="00F1192C">
      <w:pPr>
        <w:spacing w:line="480" w:lineRule="auto"/>
        <w:rPr>
          <w:rFonts w:ascii="Times New Roman" w:hAnsi="Times New Roman" w:cs="Times New Roman"/>
        </w:rPr>
      </w:pPr>
    </w:p>
    <w:p w14:paraId="02811DA1" w14:textId="77777777" w:rsidR="007B51D0" w:rsidRDefault="007B51D0" w:rsidP="00F1192C">
      <w:pPr>
        <w:spacing w:line="480" w:lineRule="auto"/>
        <w:rPr>
          <w:rFonts w:ascii="Times New Roman" w:hAnsi="Times New Roman" w:cs="Times New Roman"/>
        </w:rPr>
      </w:pPr>
    </w:p>
    <w:p w14:paraId="5D53CE64" w14:textId="77777777" w:rsidR="007B51D0" w:rsidRDefault="007B51D0" w:rsidP="00F1192C">
      <w:pPr>
        <w:spacing w:line="480" w:lineRule="auto"/>
        <w:rPr>
          <w:rFonts w:ascii="Times New Roman" w:hAnsi="Times New Roman" w:cs="Times New Roman"/>
        </w:rPr>
      </w:pPr>
    </w:p>
    <w:p w14:paraId="726B8A86" w14:textId="77777777" w:rsidR="007B51D0" w:rsidRDefault="007B51D0" w:rsidP="00F1192C">
      <w:pPr>
        <w:spacing w:line="480" w:lineRule="auto"/>
        <w:rPr>
          <w:rFonts w:ascii="Times New Roman" w:hAnsi="Times New Roman" w:cs="Times New Roman"/>
        </w:rPr>
      </w:pPr>
    </w:p>
    <w:p w14:paraId="116DC2FD" w14:textId="77777777" w:rsidR="007B51D0" w:rsidRDefault="007B51D0" w:rsidP="00F1192C">
      <w:pPr>
        <w:spacing w:line="480" w:lineRule="auto"/>
        <w:rPr>
          <w:rFonts w:ascii="Times New Roman" w:hAnsi="Times New Roman" w:cs="Times New Roman"/>
        </w:rPr>
      </w:pPr>
    </w:p>
    <w:p w14:paraId="760B98EF" w14:textId="77777777" w:rsidR="007B51D0" w:rsidRDefault="007B51D0" w:rsidP="00F1192C">
      <w:pPr>
        <w:spacing w:line="480" w:lineRule="auto"/>
        <w:rPr>
          <w:rFonts w:ascii="Times New Roman" w:hAnsi="Times New Roman" w:cs="Times New Roman"/>
        </w:rPr>
      </w:pPr>
    </w:p>
    <w:p w14:paraId="60BD87BD" w14:textId="77777777" w:rsidR="007B51D0" w:rsidRDefault="007B51D0" w:rsidP="00F1192C">
      <w:pPr>
        <w:spacing w:line="480" w:lineRule="auto"/>
        <w:rPr>
          <w:rFonts w:ascii="Times New Roman" w:hAnsi="Times New Roman" w:cs="Times New Roman"/>
        </w:rPr>
      </w:pPr>
    </w:p>
    <w:p w14:paraId="3463E9A4" w14:textId="77777777" w:rsidR="007B51D0" w:rsidRDefault="007B51D0" w:rsidP="00F1192C">
      <w:pPr>
        <w:spacing w:line="480" w:lineRule="auto"/>
        <w:rPr>
          <w:rFonts w:ascii="Times New Roman" w:hAnsi="Times New Roman" w:cs="Times New Roman"/>
        </w:rPr>
      </w:pPr>
    </w:p>
    <w:p w14:paraId="41774EC3" w14:textId="77777777" w:rsidR="007B51D0" w:rsidRDefault="007B51D0" w:rsidP="00F1192C">
      <w:pPr>
        <w:spacing w:line="480" w:lineRule="auto"/>
        <w:rPr>
          <w:rFonts w:ascii="Times New Roman" w:hAnsi="Times New Roman" w:cs="Times New Roman"/>
        </w:rPr>
      </w:pPr>
    </w:p>
    <w:p w14:paraId="625B4F8A" w14:textId="77777777" w:rsidR="007B51D0" w:rsidRDefault="007B51D0" w:rsidP="00F1192C">
      <w:pPr>
        <w:spacing w:line="480" w:lineRule="auto"/>
        <w:rPr>
          <w:rFonts w:ascii="Times New Roman" w:hAnsi="Times New Roman" w:cs="Times New Roman"/>
        </w:rPr>
      </w:pPr>
    </w:p>
    <w:p w14:paraId="08E640A9" w14:textId="77777777" w:rsidR="007B51D0" w:rsidRDefault="007B51D0" w:rsidP="00F1192C">
      <w:pPr>
        <w:spacing w:line="480" w:lineRule="auto"/>
        <w:rPr>
          <w:rFonts w:ascii="Times New Roman" w:hAnsi="Times New Roman" w:cs="Times New Roman"/>
        </w:rPr>
      </w:pPr>
    </w:p>
    <w:p w14:paraId="58439B2A" w14:textId="65846282" w:rsidR="007B51D0" w:rsidRPr="005D676F" w:rsidRDefault="007B51D0" w:rsidP="00F1192C">
      <w:pPr>
        <w:spacing w:line="480" w:lineRule="auto"/>
        <w:rPr>
          <w:rFonts w:ascii="Times New Roman" w:hAnsi="Times New Roman" w:cs="Times New Roman"/>
          <w:b/>
          <w:bCs/>
        </w:rPr>
      </w:pPr>
      <w:r w:rsidRPr="005D676F">
        <w:rPr>
          <w:rFonts w:ascii="Times New Roman" w:hAnsi="Times New Roman" w:cs="Times New Roman"/>
          <w:b/>
          <w:bCs/>
        </w:rPr>
        <w:lastRenderedPageBreak/>
        <w:t xml:space="preserve">References </w:t>
      </w:r>
    </w:p>
    <w:p w14:paraId="11DB0B2C" w14:textId="47003530" w:rsidR="007B51D0" w:rsidRDefault="007B51D0" w:rsidP="007B51D0">
      <w:pPr>
        <w:spacing w:line="480" w:lineRule="auto"/>
        <w:rPr>
          <w:rFonts w:ascii="Times New Roman" w:hAnsi="Times New Roman" w:cs="Times New Roman"/>
        </w:rPr>
      </w:pPr>
      <w:r w:rsidRPr="007B51D0">
        <w:rPr>
          <w:rFonts w:ascii="Times New Roman" w:hAnsi="Times New Roman" w:cs="Times New Roman"/>
        </w:rPr>
        <w:t xml:space="preserve">Abedin, B., Douglas, H., Watson, J., &amp; Bidar, R. (2023). Mitigating challenges of small social enterprises to improve performance. </w:t>
      </w:r>
      <w:r w:rsidRPr="007B51D0">
        <w:rPr>
          <w:rFonts w:ascii="Times New Roman" w:hAnsi="Times New Roman" w:cs="Times New Roman"/>
          <w:i/>
          <w:iCs/>
        </w:rPr>
        <w:t>International Journal of Productivity and Performance Management, 72</w:t>
      </w:r>
      <w:r w:rsidRPr="007B51D0">
        <w:rPr>
          <w:rFonts w:ascii="Times New Roman" w:hAnsi="Times New Roman" w:cs="Times New Roman"/>
        </w:rPr>
        <w:t xml:space="preserve">(1), 226–245. </w:t>
      </w:r>
    </w:p>
    <w:p w14:paraId="45D607F4" w14:textId="77777777" w:rsidR="007B51D0" w:rsidRDefault="007B51D0" w:rsidP="007B51D0">
      <w:pPr>
        <w:spacing w:line="480" w:lineRule="auto"/>
        <w:rPr>
          <w:rFonts w:ascii="Times New Roman" w:hAnsi="Times New Roman" w:cs="Times New Roman"/>
        </w:rPr>
      </w:pPr>
      <w:r w:rsidRPr="007B51D0">
        <w:rPr>
          <w:rFonts w:ascii="Times New Roman" w:hAnsi="Times New Roman" w:cs="Times New Roman"/>
        </w:rPr>
        <w:t xml:space="preserve">Awan, U., &amp; Sroufe, R. (2022). Sustainability in the circular economy: Insights and dynamics of designing circular business models. </w:t>
      </w:r>
      <w:r w:rsidRPr="007B51D0">
        <w:rPr>
          <w:rFonts w:ascii="Times New Roman" w:hAnsi="Times New Roman" w:cs="Times New Roman"/>
          <w:i/>
          <w:iCs/>
        </w:rPr>
        <w:t>Applied Sciences, 12</w:t>
      </w:r>
      <w:r w:rsidRPr="007B51D0">
        <w:rPr>
          <w:rFonts w:ascii="Times New Roman" w:hAnsi="Times New Roman" w:cs="Times New Roman"/>
        </w:rPr>
        <w:t xml:space="preserve">(3), 1521. </w:t>
      </w:r>
    </w:p>
    <w:p w14:paraId="4963142B" w14:textId="25BE9192" w:rsidR="007B51D0" w:rsidRDefault="007B51D0" w:rsidP="007B51D0">
      <w:pPr>
        <w:spacing w:line="480" w:lineRule="auto"/>
        <w:rPr>
          <w:rFonts w:ascii="Times New Roman" w:hAnsi="Times New Roman" w:cs="Times New Roman"/>
        </w:rPr>
      </w:pPr>
      <w:r w:rsidRPr="007B51D0">
        <w:rPr>
          <w:rFonts w:ascii="Times New Roman" w:hAnsi="Times New Roman" w:cs="Times New Roman"/>
        </w:rPr>
        <w:t xml:space="preserve">Bhatt, B. (2022). Ethical complexity of social change: Negotiated actions of a social enterprise. </w:t>
      </w:r>
      <w:r w:rsidRPr="007B51D0">
        <w:rPr>
          <w:rFonts w:ascii="Times New Roman" w:hAnsi="Times New Roman" w:cs="Times New Roman"/>
          <w:i/>
          <w:iCs/>
        </w:rPr>
        <w:t>Journal of Business Ethics, 177</w:t>
      </w:r>
      <w:r w:rsidRPr="007B51D0">
        <w:rPr>
          <w:rFonts w:ascii="Times New Roman" w:hAnsi="Times New Roman" w:cs="Times New Roman"/>
        </w:rPr>
        <w:t xml:space="preserve">(4), 743–762. </w:t>
      </w:r>
      <w:hyperlink r:id="rId6" w:history="1">
        <w:r w:rsidRPr="00D116EE">
          <w:rPr>
            <w:rStyle w:val="Hyperlink"/>
            <w:rFonts w:ascii="Times New Roman" w:hAnsi="Times New Roman" w:cs="Times New Roman"/>
          </w:rPr>
          <w:t>https://doi.org/10.1007/s10551-021-05063-3</w:t>
        </w:r>
      </w:hyperlink>
    </w:p>
    <w:p w14:paraId="75E293A5" w14:textId="77777777" w:rsidR="007B51D0" w:rsidRDefault="007B51D0" w:rsidP="007B51D0">
      <w:pPr>
        <w:spacing w:line="480" w:lineRule="auto"/>
        <w:rPr>
          <w:rFonts w:ascii="Times New Roman" w:hAnsi="Times New Roman" w:cs="Times New Roman"/>
          <w:i/>
          <w:iCs/>
        </w:rPr>
      </w:pPr>
      <w:r w:rsidRPr="007B51D0">
        <w:rPr>
          <w:rFonts w:ascii="Times New Roman" w:hAnsi="Times New Roman" w:cs="Times New Roman"/>
        </w:rPr>
        <w:t xml:space="preserve">Elkington, J. (1997). </w:t>
      </w:r>
      <w:r w:rsidRPr="007B51D0">
        <w:rPr>
          <w:rFonts w:ascii="Times New Roman" w:hAnsi="Times New Roman" w:cs="Times New Roman"/>
          <w:i/>
          <w:iCs/>
        </w:rPr>
        <w:t>Cannibals with forks: The triple bottom line of 21st century business. Capstone.</w:t>
      </w:r>
    </w:p>
    <w:p w14:paraId="185C3CAF" w14:textId="77777777" w:rsidR="007B51D0" w:rsidRDefault="007B51D0" w:rsidP="007B51D0">
      <w:pPr>
        <w:spacing w:line="480" w:lineRule="auto"/>
        <w:rPr>
          <w:rFonts w:ascii="Times New Roman" w:hAnsi="Times New Roman" w:cs="Times New Roman"/>
          <w:i/>
          <w:iCs/>
        </w:rPr>
      </w:pPr>
      <w:r w:rsidRPr="007B51D0">
        <w:rPr>
          <w:rFonts w:ascii="Times New Roman" w:hAnsi="Times New Roman" w:cs="Times New Roman"/>
        </w:rPr>
        <w:t xml:space="preserve">Emerson, J. (2000). The blended value proposition: Integrating social and financial returns. </w:t>
      </w:r>
      <w:r w:rsidRPr="007B51D0">
        <w:rPr>
          <w:rFonts w:ascii="Times New Roman" w:hAnsi="Times New Roman" w:cs="Times New Roman"/>
          <w:i/>
          <w:iCs/>
        </w:rPr>
        <w:t>California Management Review, 45</w:t>
      </w:r>
      <w:r w:rsidRPr="007B51D0">
        <w:rPr>
          <w:rFonts w:ascii="Times New Roman" w:hAnsi="Times New Roman" w:cs="Times New Roman"/>
        </w:rPr>
        <w:t xml:space="preserve">(4), 35–51. </w:t>
      </w:r>
    </w:p>
    <w:p w14:paraId="61280E29" w14:textId="77777777" w:rsidR="007B51D0" w:rsidRDefault="007B51D0" w:rsidP="007B51D0">
      <w:pPr>
        <w:spacing w:line="480" w:lineRule="auto"/>
        <w:rPr>
          <w:rFonts w:ascii="Times New Roman" w:hAnsi="Times New Roman" w:cs="Times New Roman"/>
          <w:i/>
          <w:iCs/>
        </w:rPr>
      </w:pPr>
      <w:r w:rsidRPr="007B51D0">
        <w:rPr>
          <w:rFonts w:ascii="Times New Roman" w:hAnsi="Times New Roman" w:cs="Times New Roman"/>
        </w:rPr>
        <w:t xml:space="preserve">Freeman, R. E. (1984). </w:t>
      </w:r>
      <w:r w:rsidRPr="007B51D0">
        <w:rPr>
          <w:rFonts w:ascii="Times New Roman" w:hAnsi="Times New Roman" w:cs="Times New Roman"/>
          <w:i/>
          <w:iCs/>
        </w:rPr>
        <w:t>Strategic management: A stakeholder approach</w:t>
      </w:r>
      <w:r w:rsidRPr="007B51D0">
        <w:rPr>
          <w:rFonts w:ascii="Times New Roman" w:hAnsi="Times New Roman" w:cs="Times New Roman"/>
        </w:rPr>
        <w:t>. Pitman.</w:t>
      </w:r>
    </w:p>
    <w:p w14:paraId="652BC403" w14:textId="77777777" w:rsidR="007B51D0" w:rsidRDefault="007B51D0" w:rsidP="007B51D0">
      <w:pPr>
        <w:spacing w:line="480" w:lineRule="auto"/>
        <w:rPr>
          <w:rFonts w:ascii="Times New Roman" w:hAnsi="Times New Roman" w:cs="Times New Roman"/>
          <w:i/>
          <w:iCs/>
        </w:rPr>
      </w:pPr>
      <w:r w:rsidRPr="007B51D0">
        <w:rPr>
          <w:rFonts w:ascii="Times New Roman" w:hAnsi="Times New Roman" w:cs="Times New Roman"/>
        </w:rPr>
        <w:t xml:space="preserve">Mendes, T., Braga, V., Correia, A., &amp; Silva, C. (2023). Linking corporate social responsibility, cooperation and innovation: The triple bottom line perspective. </w:t>
      </w:r>
      <w:r w:rsidRPr="007B51D0">
        <w:rPr>
          <w:rFonts w:ascii="Times New Roman" w:hAnsi="Times New Roman" w:cs="Times New Roman"/>
          <w:i/>
          <w:iCs/>
        </w:rPr>
        <w:t>Innovation &amp; Management Review, 20</w:t>
      </w:r>
      <w:r w:rsidRPr="007B51D0">
        <w:rPr>
          <w:rFonts w:ascii="Times New Roman" w:hAnsi="Times New Roman" w:cs="Times New Roman"/>
        </w:rPr>
        <w:t>(3), 244–280</w:t>
      </w:r>
      <w:r>
        <w:rPr>
          <w:rFonts w:ascii="Times New Roman" w:hAnsi="Times New Roman" w:cs="Times New Roman"/>
        </w:rPr>
        <w:t>.</w:t>
      </w:r>
    </w:p>
    <w:p w14:paraId="33652D72" w14:textId="77777777" w:rsidR="007B51D0" w:rsidRDefault="007B51D0" w:rsidP="007B51D0">
      <w:pPr>
        <w:spacing w:line="480" w:lineRule="auto"/>
        <w:rPr>
          <w:rFonts w:ascii="Times New Roman" w:hAnsi="Times New Roman" w:cs="Times New Roman"/>
          <w:i/>
          <w:iCs/>
        </w:rPr>
      </w:pPr>
      <w:r w:rsidRPr="007B51D0">
        <w:rPr>
          <w:rFonts w:ascii="Times New Roman" w:hAnsi="Times New Roman" w:cs="Times New Roman"/>
        </w:rPr>
        <w:t xml:space="preserve">Porter, M. E., &amp; Kramer, M. R. (2011). Creating shared value. </w:t>
      </w:r>
      <w:r w:rsidRPr="007B51D0">
        <w:rPr>
          <w:rFonts w:ascii="Times New Roman" w:hAnsi="Times New Roman" w:cs="Times New Roman"/>
          <w:i/>
          <w:iCs/>
        </w:rPr>
        <w:t>Harvard Business Review, 89</w:t>
      </w:r>
      <w:r w:rsidRPr="007B51D0">
        <w:rPr>
          <w:rFonts w:ascii="Times New Roman" w:hAnsi="Times New Roman" w:cs="Times New Roman"/>
        </w:rPr>
        <w:t>(1–2), 62–77.</w:t>
      </w:r>
    </w:p>
    <w:p w14:paraId="250DC2BC" w14:textId="77777777" w:rsidR="007B51D0" w:rsidRDefault="007B51D0" w:rsidP="007B51D0">
      <w:pPr>
        <w:spacing w:line="480" w:lineRule="auto"/>
        <w:rPr>
          <w:rFonts w:ascii="Times New Roman" w:hAnsi="Times New Roman" w:cs="Times New Roman"/>
          <w:i/>
          <w:iCs/>
        </w:rPr>
      </w:pPr>
      <w:r w:rsidRPr="007B51D0">
        <w:rPr>
          <w:rFonts w:ascii="Times New Roman" w:hAnsi="Times New Roman" w:cs="Times New Roman"/>
        </w:rPr>
        <w:t xml:space="preserve">Satar, M. S. (2022). Sustainability and triple bottom line planning in social enterprises: Developing the guidelines for social entrepreneurs. </w:t>
      </w:r>
      <w:r w:rsidRPr="007B51D0">
        <w:rPr>
          <w:rFonts w:ascii="Times New Roman" w:hAnsi="Times New Roman" w:cs="Times New Roman"/>
          <w:i/>
          <w:iCs/>
        </w:rPr>
        <w:t>International Journal of Sustainable Development and Planning, 17</w:t>
      </w:r>
      <w:r w:rsidRPr="007B51D0">
        <w:rPr>
          <w:rFonts w:ascii="Times New Roman" w:hAnsi="Times New Roman" w:cs="Times New Roman"/>
        </w:rPr>
        <w:t xml:space="preserve">(3), 813–821. </w:t>
      </w:r>
    </w:p>
    <w:p w14:paraId="06436396" w14:textId="77777777" w:rsidR="007B51D0" w:rsidRDefault="007B51D0" w:rsidP="007B51D0">
      <w:pPr>
        <w:spacing w:line="480" w:lineRule="auto"/>
        <w:rPr>
          <w:rFonts w:ascii="Times New Roman" w:hAnsi="Times New Roman" w:cs="Times New Roman"/>
          <w:i/>
          <w:iCs/>
        </w:rPr>
      </w:pPr>
      <w:r w:rsidRPr="007B51D0">
        <w:rPr>
          <w:rFonts w:ascii="Times New Roman" w:hAnsi="Times New Roman" w:cs="Times New Roman"/>
        </w:rPr>
        <w:lastRenderedPageBreak/>
        <w:t xml:space="preserve">Weaver, R. L. (2023). The impact of COVID-19 on the social enterprise sector. </w:t>
      </w:r>
      <w:r w:rsidRPr="007B51D0">
        <w:rPr>
          <w:rFonts w:ascii="Times New Roman" w:hAnsi="Times New Roman" w:cs="Times New Roman"/>
          <w:i/>
          <w:iCs/>
        </w:rPr>
        <w:t>Journal of Social Entrepreneurship, 14</w:t>
      </w:r>
      <w:r w:rsidRPr="007B51D0">
        <w:rPr>
          <w:rFonts w:ascii="Times New Roman" w:hAnsi="Times New Roman" w:cs="Times New Roman"/>
        </w:rPr>
        <w:t xml:space="preserve">(2), 177–185. </w:t>
      </w:r>
    </w:p>
    <w:p w14:paraId="5762CF89" w14:textId="62502B69" w:rsidR="007B51D0" w:rsidRDefault="007B51D0" w:rsidP="007B51D0">
      <w:pPr>
        <w:spacing w:line="480" w:lineRule="auto"/>
        <w:rPr>
          <w:rFonts w:ascii="Times New Roman" w:hAnsi="Times New Roman" w:cs="Times New Roman"/>
        </w:rPr>
      </w:pPr>
      <w:r w:rsidRPr="007B51D0">
        <w:rPr>
          <w:rFonts w:ascii="Times New Roman" w:hAnsi="Times New Roman" w:cs="Times New Roman"/>
        </w:rPr>
        <w:t xml:space="preserve">Yunus, M., Moingeon, B., &amp; Lehmann-Ortega, L. (2010). Building social business models: Lessons from the Grameen experience. </w:t>
      </w:r>
      <w:r w:rsidRPr="007B51D0">
        <w:rPr>
          <w:rFonts w:ascii="Times New Roman" w:hAnsi="Times New Roman" w:cs="Times New Roman"/>
          <w:i/>
          <w:iCs/>
        </w:rPr>
        <w:t>Long Range Planning, 43</w:t>
      </w:r>
      <w:r w:rsidRPr="007B51D0">
        <w:rPr>
          <w:rFonts w:ascii="Times New Roman" w:hAnsi="Times New Roman" w:cs="Times New Roman"/>
        </w:rPr>
        <w:t xml:space="preserve">(2–3), 308–325. </w:t>
      </w:r>
    </w:p>
    <w:p w14:paraId="2ABC3E31" w14:textId="0847BCAF" w:rsidR="007B51D0" w:rsidRDefault="007B51D0" w:rsidP="007B51D0">
      <w:pPr>
        <w:spacing w:line="480" w:lineRule="auto"/>
        <w:rPr>
          <w:rFonts w:ascii="Times New Roman" w:hAnsi="Times New Roman" w:cs="Times New Roman"/>
        </w:rPr>
      </w:pPr>
      <w:hyperlink r:id="rId7" w:history="1">
        <w:r w:rsidRPr="007B51D0">
          <w:rPr>
            <w:rStyle w:val="Hyperlink"/>
            <w:rFonts w:ascii="Times New Roman" w:hAnsi="Times New Roman" w:cs="Times New Roman"/>
          </w:rPr>
          <w:t>https://mpedigree.com/</w:t>
        </w:r>
      </w:hyperlink>
      <w:r w:rsidRPr="007B51D0">
        <w:rPr>
          <w:rFonts w:ascii="Times New Roman" w:hAnsi="Times New Roman" w:cs="Times New Roman"/>
        </w:rPr>
        <w:t xml:space="preserve"> </w:t>
      </w:r>
    </w:p>
    <w:p w14:paraId="380B0F7E" w14:textId="02925FC2" w:rsidR="007B51D0" w:rsidRPr="007B51D0" w:rsidRDefault="007B51D0" w:rsidP="007B51D0">
      <w:pPr>
        <w:spacing w:line="480" w:lineRule="auto"/>
        <w:rPr>
          <w:rFonts w:ascii="Times New Roman" w:hAnsi="Times New Roman" w:cs="Times New Roman"/>
        </w:rPr>
      </w:pPr>
      <w:hyperlink r:id="rId8" w:history="1">
        <w:r w:rsidRPr="00D116EE">
          <w:rPr>
            <w:rStyle w:val="Hyperlink"/>
            <w:rFonts w:ascii="Times New Roman" w:hAnsi="Times New Roman" w:cs="Times New Roman"/>
          </w:rPr>
          <w:t>https://www.emerald.com/sej/article/15/3/376/351847/Why-social-enterprises-pursue-growth-Analysis-of</w:t>
        </w:r>
      </w:hyperlink>
      <w:r>
        <w:rPr>
          <w:rFonts w:ascii="Times New Roman" w:hAnsi="Times New Roman" w:cs="Times New Roman"/>
        </w:rPr>
        <w:t xml:space="preserve"> </w:t>
      </w:r>
    </w:p>
    <w:sectPr w:rsidR="007B51D0" w:rsidRPr="007B51D0" w:rsidSect="005D676F">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00F050" w14:textId="77777777" w:rsidR="00132CFC" w:rsidRDefault="00132CFC" w:rsidP="005D676F">
      <w:pPr>
        <w:spacing w:after="0" w:line="240" w:lineRule="auto"/>
      </w:pPr>
      <w:r>
        <w:separator/>
      </w:r>
    </w:p>
  </w:endnote>
  <w:endnote w:type="continuationSeparator" w:id="0">
    <w:p w14:paraId="0034962F" w14:textId="77777777" w:rsidR="00132CFC" w:rsidRDefault="00132CFC" w:rsidP="005D67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7199670"/>
      <w:docPartObj>
        <w:docPartGallery w:val="Page Numbers (Bottom of Page)"/>
        <w:docPartUnique/>
      </w:docPartObj>
    </w:sdtPr>
    <w:sdtEndPr>
      <w:rPr>
        <w:color w:val="7F7F7F" w:themeColor="background1" w:themeShade="7F"/>
        <w:spacing w:val="60"/>
      </w:rPr>
    </w:sdtEndPr>
    <w:sdtContent>
      <w:p w14:paraId="557F3E92" w14:textId="752C45D8" w:rsidR="005D676F" w:rsidRDefault="005D676F">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5E559DE" w14:textId="77777777" w:rsidR="005D676F" w:rsidRDefault="005D67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DD6DD3" w14:textId="77777777" w:rsidR="00132CFC" w:rsidRDefault="00132CFC" w:rsidP="005D676F">
      <w:pPr>
        <w:spacing w:after="0" w:line="240" w:lineRule="auto"/>
      </w:pPr>
      <w:r>
        <w:separator/>
      </w:r>
    </w:p>
  </w:footnote>
  <w:footnote w:type="continuationSeparator" w:id="0">
    <w:p w14:paraId="38EB6127" w14:textId="77777777" w:rsidR="00132CFC" w:rsidRDefault="00132CFC" w:rsidP="005D676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92C"/>
    <w:rsid w:val="00132CFC"/>
    <w:rsid w:val="005D676F"/>
    <w:rsid w:val="005E19BC"/>
    <w:rsid w:val="007B51D0"/>
    <w:rsid w:val="00B40BE5"/>
    <w:rsid w:val="00F119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8C5F0D"/>
  <w15:chartTrackingRefBased/>
  <w15:docId w15:val="{F8AD47E5-0685-450A-8E59-76074DC16E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19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119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1192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1192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192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19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19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19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19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192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1192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1192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192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192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19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19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19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192C"/>
    <w:rPr>
      <w:rFonts w:eastAsiaTheme="majorEastAsia" w:cstheme="majorBidi"/>
      <w:color w:val="272727" w:themeColor="text1" w:themeTint="D8"/>
    </w:rPr>
  </w:style>
  <w:style w:type="paragraph" w:styleId="Title">
    <w:name w:val="Title"/>
    <w:basedOn w:val="Normal"/>
    <w:next w:val="Normal"/>
    <w:link w:val="TitleChar"/>
    <w:uiPriority w:val="10"/>
    <w:qFormat/>
    <w:rsid w:val="00F119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19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19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19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192C"/>
    <w:pPr>
      <w:spacing w:before="160"/>
      <w:jc w:val="center"/>
    </w:pPr>
    <w:rPr>
      <w:i/>
      <w:iCs/>
      <w:color w:val="404040" w:themeColor="text1" w:themeTint="BF"/>
    </w:rPr>
  </w:style>
  <w:style w:type="character" w:customStyle="1" w:styleId="QuoteChar">
    <w:name w:val="Quote Char"/>
    <w:basedOn w:val="DefaultParagraphFont"/>
    <w:link w:val="Quote"/>
    <w:uiPriority w:val="29"/>
    <w:rsid w:val="00F1192C"/>
    <w:rPr>
      <w:i/>
      <w:iCs/>
      <w:color w:val="404040" w:themeColor="text1" w:themeTint="BF"/>
    </w:rPr>
  </w:style>
  <w:style w:type="paragraph" w:styleId="ListParagraph">
    <w:name w:val="List Paragraph"/>
    <w:basedOn w:val="Normal"/>
    <w:uiPriority w:val="34"/>
    <w:qFormat/>
    <w:rsid w:val="00F1192C"/>
    <w:pPr>
      <w:ind w:left="720"/>
      <w:contextualSpacing/>
    </w:pPr>
  </w:style>
  <w:style w:type="character" w:styleId="IntenseEmphasis">
    <w:name w:val="Intense Emphasis"/>
    <w:basedOn w:val="DefaultParagraphFont"/>
    <w:uiPriority w:val="21"/>
    <w:qFormat/>
    <w:rsid w:val="00F1192C"/>
    <w:rPr>
      <w:i/>
      <w:iCs/>
      <w:color w:val="0F4761" w:themeColor="accent1" w:themeShade="BF"/>
    </w:rPr>
  </w:style>
  <w:style w:type="paragraph" w:styleId="IntenseQuote">
    <w:name w:val="Intense Quote"/>
    <w:basedOn w:val="Normal"/>
    <w:next w:val="Normal"/>
    <w:link w:val="IntenseQuoteChar"/>
    <w:uiPriority w:val="30"/>
    <w:qFormat/>
    <w:rsid w:val="00F119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192C"/>
    <w:rPr>
      <w:i/>
      <w:iCs/>
      <w:color w:val="0F4761" w:themeColor="accent1" w:themeShade="BF"/>
    </w:rPr>
  </w:style>
  <w:style w:type="character" w:styleId="IntenseReference">
    <w:name w:val="Intense Reference"/>
    <w:basedOn w:val="DefaultParagraphFont"/>
    <w:uiPriority w:val="32"/>
    <w:qFormat/>
    <w:rsid w:val="00F1192C"/>
    <w:rPr>
      <w:b/>
      <w:bCs/>
      <w:smallCaps/>
      <w:color w:val="0F4761" w:themeColor="accent1" w:themeShade="BF"/>
      <w:spacing w:val="5"/>
    </w:rPr>
  </w:style>
  <w:style w:type="character" w:styleId="Hyperlink">
    <w:name w:val="Hyperlink"/>
    <w:basedOn w:val="DefaultParagraphFont"/>
    <w:uiPriority w:val="99"/>
    <w:unhideWhenUsed/>
    <w:rsid w:val="007B51D0"/>
    <w:rPr>
      <w:color w:val="467886" w:themeColor="hyperlink"/>
      <w:u w:val="single"/>
    </w:rPr>
  </w:style>
  <w:style w:type="character" w:styleId="UnresolvedMention">
    <w:name w:val="Unresolved Mention"/>
    <w:basedOn w:val="DefaultParagraphFont"/>
    <w:uiPriority w:val="99"/>
    <w:semiHidden/>
    <w:unhideWhenUsed/>
    <w:rsid w:val="007B51D0"/>
    <w:rPr>
      <w:color w:val="605E5C"/>
      <w:shd w:val="clear" w:color="auto" w:fill="E1DFDD"/>
    </w:rPr>
  </w:style>
  <w:style w:type="paragraph" w:styleId="Header">
    <w:name w:val="header"/>
    <w:basedOn w:val="Normal"/>
    <w:link w:val="HeaderChar"/>
    <w:uiPriority w:val="99"/>
    <w:unhideWhenUsed/>
    <w:rsid w:val="005D67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676F"/>
  </w:style>
  <w:style w:type="paragraph" w:styleId="Footer">
    <w:name w:val="footer"/>
    <w:basedOn w:val="Normal"/>
    <w:link w:val="FooterChar"/>
    <w:uiPriority w:val="99"/>
    <w:unhideWhenUsed/>
    <w:rsid w:val="005D67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676F"/>
  </w:style>
  <w:style w:type="paragraph" w:styleId="NoSpacing">
    <w:name w:val="No Spacing"/>
    <w:link w:val="NoSpacingChar"/>
    <w:uiPriority w:val="1"/>
    <w:qFormat/>
    <w:rsid w:val="005D676F"/>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5D676F"/>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erald.com/sej/article/15/3/376/351847/Why-social-enterprises-pursue-growth-Analysis-of" TargetMode="External"/><Relationship Id="rId3" Type="http://schemas.openxmlformats.org/officeDocument/2006/relationships/webSettings" Target="webSettings.xml"/><Relationship Id="rId7" Type="http://schemas.openxmlformats.org/officeDocument/2006/relationships/hyperlink" Target="https://mpedigree.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07/s10551-021-05063-3"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38</TotalTime>
  <Pages>10</Pages>
  <Words>2105</Words>
  <Characters>12002</Characters>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dcterms:created xsi:type="dcterms:W3CDTF">2025-10-29T16:06:00Z</dcterms:created>
  <dcterms:modified xsi:type="dcterms:W3CDTF">2025-10-29T16:44:00Z</dcterms:modified>
</cp:coreProperties>
</file>