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8C6C31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4144A">
              <w:rPr>
                <w:b/>
                <w:color w:val="auto"/>
                <w:sz w:val="32"/>
              </w:rPr>
              <w:t xml:space="preserve">Guy Russell </w:t>
            </w:r>
            <w:r>
              <w:rPr>
                <w:b/>
                <w:color w:val="auto"/>
                <w:sz w:val="32"/>
              </w:rPr>
              <w:t>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pBdr>
                <w:bottom w:val="single" w:sz="12" w:space="1" w:color="auto"/>
              </w:pBd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1348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446B85B6" w14:textId="77777777" w:rsidR="00E21216" w:rsidRPr="00160D49" w:rsidRDefault="00E21216" w:rsidP="00E21216">
      <w:pPr>
        <w:spacing w:line="360" w:lineRule="auto"/>
        <w:jc w:val="both"/>
        <w:rPr>
          <w:rFonts w:asciiTheme="minorHAnsi" w:hAnsiTheme="minorHAnsi" w:cstheme="minorHAnsi"/>
          <w:sz w:val="24"/>
          <w:szCs w:val="24"/>
        </w:rPr>
      </w:pPr>
      <w:r w:rsidRPr="00160D49">
        <w:rPr>
          <w:rFonts w:asciiTheme="minorHAnsi" w:hAnsiTheme="minorHAnsi" w:cstheme="minorHAnsi"/>
          <w:sz w:val="24"/>
          <w:szCs w:val="24"/>
        </w:rPr>
        <w:t>Prior to the last 6 months I had not been in an environment where I needed to study since 2013 and knowing that in the initial 6-month period, I would be required to undertake two exams, I was, anxious and stressed</w:t>
      </w:r>
      <w:r w:rsidRPr="00B2023A">
        <w:rPr>
          <w:rFonts w:asciiTheme="minorHAnsi" w:hAnsiTheme="minorHAnsi" w:cstheme="minorHAnsi"/>
          <w:sz w:val="24"/>
          <w:szCs w:val="24"/>
        </w:rPr>
        <w:t>. Stress itself is a natural response to certain challenges and threats that we may face at some point in our lives, it is something that everyone will experience at some point. (World Health Organisation 2023).</w:t>
      </w:r>
      <w:r w:rsidRPr="00160D49">
        <w:rPr>
          <w:rFonts w:asciiTheme="minorHAnsi" w:hAnsiTheme="minorHAnsi" w:cstheme="minorHAnsi"/>
          <w:sz w:val="24"/>
          <w:szCs w:val="24"/>
        </w:rPr>
        <w:t xml:space="preserve"> People will deal with stress in their own way and use different methods to do so. I will be discussing and comparing some of the strategies that I used to develop resilience and minimise stress for myself during this period.</w:t>
      </w:r>
    </w:p>
    <w:p w14:paraId="6BF57D8B" w14:textId="77777777" w:rsidR="00E21216" w:rsidRPr="00160D49" w:rsidRDefault="00E21216" w:rsidP="00E21216">
      <w:pPr>
        <w:spacing w:line="360" w:lineRule="auto"/>
        <w:jc w:val="both"/>
        <w:rPr>
          <w:rFonts w:asciiTheme="minorHAnsi" w:hAnsiTheme="minorHAnsi" w:cstheme="minorHAnsi"/>
          <w:sz w:val="24"/>
          <w:szCs w:val="24"/>
        </w:rPr>
      </w:pPr>
    </w:p>
    <w:p w14:paraId="43DE22F3" w14:textId="77777777" w:rsidR="00E21216" w:rsidRPr="00160D49" w:rsidRDefault="00E21216" w:rsidP="00E21216">
      <w:pPr>
        <w:spacing w:line="360" w:lineRule="auto"/>
        <w:jc w:val="both"/>
        <w:rPr>
          <w:rFonts w:asciiTheme="minorHAnsi" w:hAnsiTheme="minorHAnsi" w:cstheme="minorHAnsi"/>
          <w:sz w:val="24"/>
          <w:szCs w:val="24"/>
        </w:rPr>
      </w:pPr>
      <w:r w:rsidRPr="00160D49">
        <w:rPr>
          <w:rFonts w:asciiTheme="minorHAnsi" w:hAnsiTheme="minorHAnsi" w:cstheme="minorHAnsi"/>
          <w:sz w:val="24"/>
          <w:szCs w:val="24"/>
        </w:rPr>
        <w:t xml:space="preserve">I am one to worry about failure, especially when I want to succeed and in the initial 6-months there was a lot of information to take in. </w:t>
      </w:r>
      <w:r w:rsidRPr="00B2023A">
        <w:rPr>
          <w:rFonts w:asciiTheme="minorHAnsi" w:hAnsiTheme="minorHAnsi" w:cstheme="minorHAnsi"/>
          <w:sz w:val="24"/>
          <w:szCs w:val="24"/>
        </w:rPr>
        <w:t>Lee &amp; Graham, (2001); firth-Cozens, (2001) state that when a person is being provided with a lot of information for education purposes, there is not a lot of time left for someone to relax and unwind, this can lead to sleep being affected</w:t>
      </w:r>
      <w:r w:rsidRPr="00B2023A">
        <w:rPr>
          <w:rFonts w:asciiTheme="minorHAnsi" w:hAnsiTheme="minorHAnsi" w:cstheme="minorHAnsi"/>
          <w:i/>
          <w:iCs/>
          <w:sz w:val="24"/>
          <w:szCs w:val="24"/>
        </w:rPr>
        <w:t xml:space="preserve">. </w:t>
      </w:r>
      <w:r w:rsidRPr="00160D49">
        <w:rPr>
          <w:rFonts w:asciiTheme="minorHAnsi" w:hAnsiTheme="minorHAnsi" w:cstheme="minorHAnsi"/>
          <w:sz w:val="24"/>
          <w:szCs w:val="24"/>
        </w:rPr>
        <w:t>This was the case for me, and I was struggling to manage my work/life balance I had to learn how to manage my time better and set aside some to carry on doing activities that make me feel better and less stressed</w:t>
      </w:r>
      <w:r w:rsidRPr="00B2023A">
        <w:rPr>
          <w:rFonts w:asciiTheme="minorHAnsi" w:hAnsiTheme="minorHAnsi" w:cstheme="minorHAnsi"/>
          <w:sz w:val="24"/>
          <w:szCs w:val="24"/>
        </w:rPr>
        <w:t>. Lazuras and Folkman (1984) noted that a person will change their behaviour to cope with and manage the levels of stress that they are facing.</w:t>
      </w:r>
      <w:r w:rsidRPr="00160D49">
        <w:rPr>
          <w:rFonts w:asciiTheme="minorHAnsi" w:hAnsiTheme="minorHAnsi" w:cstheme="minorHAnsi"/>
          <w:i/>
          <w:iCs/>
          <w:sz w:val="24"/>
          <w:szCs w:val="24"/>
        </w:rPr>
        <w:t xml:space="preserve"> </w:t>
      </w:r>
      <w:r w:rsidRPr="00160D49">
        <w:rPr>
          <w:rFonts w:asciiTheme="minorHAnsi" w:hAnsiTheme="minorHAnsi" w:cstheme="minorHAnsi"/>
          <w:sz w:val="24"/>
          <w:szCs w:val="24"/>
        </w:rPr>
        <w:t>This is something I did to reduce my stress levels and help me improve my sleep and wellbeing. I created a timetable, where I set aside time for revision after work and pencilled</w:t>
      </w:r>
      <w:r w:rsidRPr="00160D49">
        <w:rPr>
          <w:rFonts w:asciiTheme="minorHAnsi" w:hAnsiTheme="minorHAnsi" w:cstheme="minorHAnsi"/>
          <w:i/>
          <w:iCs/>
          <w:sz w:val="24"/>
          <w:szCs w:val="24"/>
        </w:rPr>
        <w:t xml:space="preserve"> </w:t>
      </w:r>
      <w:r w:rsidRPr="00160D49">
        <w:rPr>
          <w:rFonts w:asciiTheme="minorHAnsi" w:hAnsiTheme="minorHAnsi" w:cstheme="minorHAnsi"/>
          <w:sz w:val="24"/>
          <w:szCs w:val="24"/>
        </w:rPr>
        <w:t xml:space="preserve">in time for recreational activities. </w:t>
      </w:r>
    </w:p>
    <w:p w14:paraId="3BEF9C05" w14:textId="77777777" w:rsidR="00E21216" w:rsidRPr="00160D49" w:rsidRDefault="00E21216" w:rsidP="00E21216">
      <w:pPr>
        <w:spacing w:line="360" w:lineRule="auto"/>
        <w:jc w:val="both"/>
        <w:rPr>
          <w:rFonts w:asciiTheme="minorHAnsi" w:hAnsiTheme="minorHAnsi" w:cstheme="minorHAnsi"/>
          <w:sz w:val="24"/>
          <w:szCs w:val="24"/>
        </w:rPr>
      </w:pPr>
    </w:p>
    <w:p w14:paraId="72413A30" w14:textId="77777777" w:rsidR="00E21216" w:rsidRPr="00160D49" w:rsidRDefault="00E21216" w:rsidP="00E21216">
      <w:pPr>
        <w:spacing w:line="360" w:lineRule="auto"/>
        <w:jc w:val="both"/>
        <w:rPr>
          <w:rFonts w:asciiTheme="minorHAnsi" w:hAnsiTheme="minorHAnsi" w:cstheme="minorHAnsi"/>
          <w:sz w:val="24"/>
          <w:szCs w:val="24"/>
        </w:rPr>
      </w:pPr>
      <w:r w:rsidRPr="00B2023A">
        <w:rPr>
          <w:rFonts w:asciiTheme="minorHAnsi" w:hAnsiTheme="minorHAnsi" w:cstheme="minorHAnsi"/>
          <w:sz w:val="24"/>
          <w:szCs w:val="24"/>
        </w:rPr>
        <w:t>Generally, an Eastern approach to reducing stress levels but something now recognised globally as having benefits for managing stress and anxiety, is meditation</w:t>
      </w:r>
      <w:r w:rsidRPr="00160D49">
        <w:rPr>
          <w:rFonts w:asciiTheme="minorHAnsi" w:hAnsiTheme="minorHAnsi" w:cstheme="minorHAnsi"/>
          <w:i/>
          <w:iCs/>
          <w:sz w:val="24"/>
          <w:szCs w:val="24"/>
        </w:rPr>
        <w:t xml:space="preserve"> </w:t>
      </w:r>
      <w:r w:rsidRPr="00160D49">
        <w:rPr>
          <w:rFonts w:asciiTheme="minorHAnsi" w:hAnsiTheme="minorHAnsi" w:cstheme="minorHAnsi"/>
          <w:sz w:val="24"/>
          <w:szCs w:val="24"/>
        </w:rPr>
        <w:t xml:space="preserve">(Shapiro, 1985; Dimatteo and Martin 2012). This is something I was open too and tried in the past, but I felt that this method is not suited </w:t>
      </w:r>
      <w:r w:rsidRPr="00160D49">
        <w:rPr>
          <w:rFonts w:asciiTheme="minorHAnsi" w:hAnsiTheme="minorHAnsi" w:cstheme="minorHAnsi"/>
          <w:sz w:val="24"/>
          <w:szCs w:val="24"/>
        </w:rPr>
        <w:lastRenderedPageBreak/>
        <w:t>to me or vice versa, I don’t feel I can relax enough to receive the full benefits from it. There were a few methods that worked for me, those being, regular exercise, reading and listening to music. It was a combination of all of these that helped me deal with and manage the stress I was facing especially as I settled more into my new working role.</w:t>
      </w:r>
    </w:p>
    <w:p w14:paraId="4B62437D" w14:textId="77777777" w:rsidR="00E21216" w:rsidRPr="00160D49" w:rsidRDefault="00E21216" w:rsidP="00E21216">
      <w:pPr>
        <w:spacing w:line="360" w:lineRule="auto"/>
        <w:jc w:val="both"/>
        <w:rPr>
          <w:rFonts w:asciiTheme="minorHAnsi" w:hAnsiTheme="minorHAnsi" w:cstheme="minorHAnsi"/>
          <w:sz w:val="24"/>
          <w:szCs w:val="24"/>
        </w:rPr>
      </w:pPr>
    </w:p>
    <w:p w14:paraId="13C3FC96" w14:textId="77777777" w:rsidR="00E21216" w:rsidRPr="00160D49" w:rsidRDefault="00E21216" w:rsidP="00E21216">
      <w:pPr>
        <w:spacing w:line="360" w:lineRule="auto"/>
        <w:jc w:val="both"/>
        <w:rPr>
          <w:rFonts w:asciiTheme="minorHAnsi" w:hAnsiTheme="minorHAnsi" w:cstheme="minorHAnsi"/>
          <w:sz w:val="24"/>
          <w:szCs w:val="24"/>
        </w:rPr>
      </w:pPr>
      <w:r w:rsidRPr="00B2023A">
        <w:rPr>
          <w:rFonts w:asciiTheme="minorHAnsi" w:hAnsiTheme="minorHAnsi" w:cstheme="minorHAnsi"/>
          <w:sz w:val="24"/>
          <w:szCs w:val="24"/>
        </w:rPr>
        <w:t xml:space="preserve">Individuals that partake in regular exercise tend feel the benefits of having more energy, can have a better night’s sleep, feel more at ease and relaxed and have a better memory (HelpGuide.Org 2023). I do feel that improved my mental wellbeing and helped me to switch off a little from work, helped me focus on something else. However, despite being a form of stress relieve, exercise also comes has some negative elements surrounding mental health. In some cases, the benefits may have such an impact on a person that the person then becomes addicted to exercise and that unhealthy compulsion can have the opposite affect long term </w:t>
      </w:r>
      <w:r w:rsidRPr="00160D49">
        <w:rPr>
          <w:rFonts w:asciiTheme="minorHAnsi" w:hAnsiTheme="minorHAnsi" w:cstheme="minorHAnsi"/>
          <w:sz w:val="24"/>
          <w:szCs w:val="24"/>
        </w:rPr>
        <w:t>(Halse, 2011). I can confidently say that I am not addicted to exercise but if I do not go to the gym or do some form of exercise a few times a week I feel sluggish and have reduced energy levels. I find exercising very beneficial to me and regular exercise puts me in a good place both physically and mentally.</w:t>
      </w:r>
    </w:p>
    <w:p w14:paraId="60BDC8BA" w14:textId="77777777" w:rsidR="00E21216" w:rsidRPr="00160D49" w:rsidRDefault="00E21216" w:rsidP="00E21216">
      <w:pPr>
        <w:spacing w:line="360" w:lineRule="auto"/>
        <w:jc w:val="both"/>
        <w:rPr>
          <w:rFonts w:asciiTheme="minorHAnsi" w:hAnsiTheme="minorHAnsi" w:cstheme="minorHAnsi"/>
          <w:sz w:val="24"/>
          <w:szCs w:val="24"/>
        </w:rPr>
      </w:pPr>
    </w:p>
    <w:p w14:paraId="6BCA7749" w14:textId="77777777" w:rsidR="00E21216" w:rsidRPr="00160D49" w:rsidRDefault="00E21216" w:rsidP="00E21216">
      <w:pPr>
        <w:spacing w:line="360" w:lineRule="auto"/>
        <w:jc w:val="both"/>
        <w:rPr>
          <w:rFonts w:asciiTheme="minorHAnsi" w:hAnsiTheme="minorHAnsi" w:cstheme="minorHAnsi"/>
          <w:sz w:val="24"/>
          <w:szCs w:val="24"/>
        </w:rPr>
      </w:pPr>
      <w:r w:rsidRPr="00160D49">
        <w:rPr>
          <w:rFonts w:asciiTheme="minorHAnsi" w:hAnsiTheme="minorHAnsi" w:cstheme="minorHAnsi"/>
          <w:sz w:val="24"/>
          <w:szCs w:val="24"/>
        </w:rPr>
        <w:t xml:space="preserve">Studies have also shown that </w:t>
      </w:r>
      <w:r w:rsidRPr="00B2023A">
        <w:rPr>
          <w:rFonts w:asciiTheme="minorHAnsi" w:hAnsiTheme="minorHAnsi" w:cstheme="minorHAnsi"/>
          <w:sz w:val="24"/>
          <w:szCs w:val="24"/>
        </w:rPr>
        <w:t>music has a positive effect when it comes to lowering a persons stress and anxiety levels as well any emotions or feelings that could be deemed negative (Akin &amp; Iskender, Citation2011; Cohen et al., Citation1983; Pittman &amp; Kridli, Citation2011; Pritchard, Citation2009).</w:t>
      </w:r>
      <w:r w:rsidRPr="00160D49">
        <w:rPr>
          <w:rFonts w:asciiTheme="minorHAnsi" w:hAnsiTheme="minorHAnsi" w:cstheme="minorHAnsi"/>
          <w:sz w:val="24"/>
          <w:szCs w:val="24"/>
        </w:rPr>
        <w:t xml:space="preserve"> I can relate to this as I would listen to music as I exercised to help pick me up and carry on exercising, but I would also listen to music or podcasts before I went to sleep to help me relax. There are studies that show music manages activity in particular parts of the brain which affect the way we are emotionally and how motivated we get (Blood &amp; Zatorre, Citation2001; Koelsch, Citation2015; Koelsch et al., Citation2016, Citation2016; Levitin, Citation2009; Moore, Citation2013; Salimpoor et al., Citation2013; Zatorre, Citation2015). When I was studying for my exams in training, having music on in the background (quietly) helped me by keeping me focused on the task at hand but also relaxed.</w:t>
      </w:r>
    </w:p>
    <w:p w14:paraId="514F250D" w14:textId="77777777" w:rsidR="00E21216" w:rsidRPr="00160D49" w:rsidRDefault="00E21216" w:rsidP="00E21216">
      <w:pPr>
        <w:spacing w:line="360" w:lineRule="auto"/>
        <w:jc w:val="both"/>
        <w:rPr>
          <w:rFonts w:asciiTheme="minorHAnsi" w:hAnsiTheme="minorHAnsi" w:cstheme="minorHAnsi"/>
          <w:sz w:val="24"/>
          <w:szCs w:val="24"/>
        </w:rPr>
      </w:pPr>
    </w:p>
    <w:p w14:paraId="644D5589" w14:textId="363A49DF" w:rsidR="00E21216" w:rsidRPr="00160D49" w:rsidRDefault="00E21216" w:rsidP="00E21216">
      <w:pPr>
        <w:spacing w:line="360" w:lineRule="auto"/>
        <w:jc w:val="both"/>
        <w:rPr>
          <w:rFonts w:asciiTheme="minorHAnsi" w:hAnsiTheme="minorHAnsi" w:cstheme="minorHAnsi"/>
          <w:sz w:val="24"/>
          <w:szCs w:val="24"/>
        </w:rPr>
      </w:pPr>
      <w:r w:rsidRPr="00160D49">
        <w:rPr>
          <w:rFonts w:asciiTheme="minorHAnsi" w:hAnsiTheme="minorHAnsi" w:cstheme="minorHAnsi"/>
          <w:sz w:val="24"/>
          <w:szCs w:val="24"/>
        </w:rPr>
        <w:t xml:space="preserve">The last thing that helped me develop resilience, cope with, and reduce stress in training was reading literature. Research carried out by Dr David Lewis showed that if you were to read for only 6 minutes a day, your stress levels get reduced by 60%. Part of this thought to be down to reading providing an escapism from the reality of what is going on in the life of an individual that may be casing them stress (Timmins, 2018). I did not read as much as I would have liked to as I had to read a lot to revise </w:t>
      </w:r>
      <w:r w:rsidRPr="00160D49">
        <w:rPr>
          <w:rFonts w:asciiTheme="minorHAnsi" w:hAnsiTheme="minorHAnsi" w:cstheme="minorHAnsi"/>
          <w:sz w:val="24"/>
          <w:szCs w:val="24"/>
        </w:rPr>
        <w:lastRenderedPageBreak/>
        <w:t xml:space="preserve">for work, but I would read for 30 minutes every other day before bed instead of being in front of a computer, screen or on my phone and this helped me get a better </w:t>
      </w:r>
      <w:r w:rsidR="00B2023A" w:rsidRPr="00160D49">
        <w:rPr>
          <w:rFonts w:asciiTheme="minorHAnsi" w:hAnsiTheme="minorHAnsi" w:cstheme="minorHAnsi"/>
          <w:sz w:val="24"/>
          <w:szCs w:val="24"/>
        </w:rPr>
        <w:t>night’s</w:t>
      </w:r>
      <w:r w:rsidRPr="00160D49">
        <w:rPr>
          <w:rFonts w:asciiTheme="minorHAnsi" w:hAnsiTheme="minorHAnsi" w:cstheme="minorHAnsi"/>
          <w:sz w:val="24"/>
          <w:szCs w:val="24"/>
        </w:rPr>
        <w:t xml:space="preserve"> sleep. </w:t>
      </w:r>
    </w:p>
    <w:p w14:paraId="05D7659B" w14:textId="77777777" w:rsidR="00E21216" w:rsidRDefault="00E21216" w:rsidP="00E21216">
      <w:pPr>
        <w:spacing w:line="360" w:lineRule="auto"/>
        <w:jc w:val="both"/>
      </w:pPr>
    </w:p>
    <w:p w14:paraId="33618FF3" w14:textId="1F894611" w:rsidR="00E21216" w:rsidRPr="00160D49" w:rsidRDefault="00E21216" w:rsidP="00E21216">
      <w:pPr>
        <w:spacing w:line="360" w:lineRule="auto"/>
        <w:jc w:val="both"/>
        <w:rPr>
          <w:rFonts w:asciiTheme="minorHAnsi" w:hAnsiTheme="minorHAnsi" w:cstheme="minorHAnsi"/>
          <w:sz w:val="24"/>
          <w:szCs w:val="24"/>
        </w:rPr>
      </w:pPr>
      <w:r w:rsidRPr="00160D49">
        <w:rPr>
          <w:rFonts w:asciiTheme="minorHAnsi" w:hAnsiTheme="minorHAnsi" w:cstheme="minorHAnsi"/>
          <w:sz w:val="24"/>
          <w:szCs w:val="24"/>
        </w:rPr>
        <w:t xml:space="preserve">Reflecting on the last 6 months, I was stressed, main reason for this is because I want this job. I have wanted it since I have been able to work and </w:t>
      </w:r>
      <w:r w:rsidR="00B2023A" w:rsidRPr="00160D49">
        <w:rPr>
          <w:rFonts w:asciiTheme="minorHAnsi" w:hAnsiTheme="minorHAnsi" w:cstheme="minorHAnsi"/>
          <w:sz w:val="24"/>
          <w:szCs w:val="24"/>
        </w:rPr>
        <w:t>now,</w:t>
      </w:r>
      <w:r w:rsidRPr="00160D49">
        <w:rPr>
          <w:rFonts w:asciiTheme="minorHAnsi" w:hAnsiTheme="minorHAnsi" w:cstheme="minorHAnsi"/>
          <w:sz w:val="24"/>
          <w:szCs w:val="24"/>
        </w:rPr>
        <w:t xml:space="preserve"> I am finally in a position of where I want to be</w:t>
      </w:r>
      <w:r>
        <w:rPr>
          <w:rFonts w:asciiTheme="minorHAnsi" w:hAnsiTheme="minorHAnsi" w:cstheme="minorHAnsi"/>
          <w:sz w:val="24"/>
          <w:szCs w:val="24"/>
        </w:rPr>
        <w:t xml:space="preserve">, and because of this, I put a lot of pressure on myself to succeed. I will continue to use the methods discussed in the main body of this writing to de stress and cope with any pressure. For me, listening to music, reading and exercise are the most effective ways to do this. If I continue to do this, I am sure that I will never be free from </w:t>
      </w:r>
      <w:r w:rsidR="00B2023A">
        <w:rPr>
          <w:rFonts w:asciiTheme="minorHAnsi" w:hAnsiTheme="minorHAnsi" w:cstheme="minorHAnsi"/>
          <w:sz w:val="24"/>
          <w:szCs w:val="24"/>
        </w:rPr>
        <w:t>stress,</w:t>
      </w:r>
      <w:r>
        <w:rPr>
          <w:rFonts w:asciiTheme="minorHAnsi" w:hAnsiTheme="minorHAnsi" w:cstheme="minorHAnsi"/>
          <w:sz w:val="24"/>
          <w:szCs w:val="24"/>
        </w:rPr>
        <w:t xml:space="preserve"> but I will be able to manage it effectively. I may even give other methods of relaxation such as meditation, more of my time based on the information that I have found when carrying out my research. </w:t>
      </w:r>
    </w:p>
    <w:p w14:paraId="616003F9" w14:textId="77777777" w:rsidR="00FF7784" w:rsidRDefault="00FF7784" w:rsidP="00E6298B">
      <w:pPr>
        <w:ind w:right="107"/>
        <w:jc w:val="both"/>
        <w:rPr>
          <w:sz w:val="24"/>
          <w:szCs w:val="24"/>
        </w:rPr>
      </w:pPr>
    </w:p>
    <w:p w14:paraId="5ED0CF27" w14:textId="3C8825C0" w:rsidR="00BB715C" w:rsidRPr="00270EEB" w:rsidRDefault="00BB715C" w:rsidP="00E6298B">
      <w:pPr>
        <w:ind w:right="107"/>
        <w:jc w:val="both"/>
        <w:rPr>
          <w:sz w:val="24"/>
          <w:szCs w:val="24"/>
        </w:rPr>
      </w:pPr>
      <w:r>
        <w:rPr>
          <w:sz w:val="24"/>
          <w:szCs w:val="24"/>
        </w:rPr>
        <w:t>(word count for question 1027)</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86DE242" w14:textId="77777777" w:rsidR="00887AD4" w:rsidRDefault="00887AD4" w:rsidP="00887AD4">
      <w:pPr>
        <w:spacing w:line="360" w:lineRule="auto"/>
        <w:jc w:val="both"/>
        <w:rPr>
          <w:bCs/>
          <w:sz w:val="24"/>
          <w:szCs w:val="24"/>
        </w:rPr>
      </w:pPr>
      <w:r>
        <w:rPr>
          <w:bCs/>
          <w:sz w:val="24"/>
          <w:szCs w:val="24"/>
        </w:rPr>
        <w:t>During this question, I will be discussing a policing incident that I have attended which involved conflict, in which I played a significant role with the offender. I will also be critically assessing the incident, along with the social and legislative contexts that may have been present or used at the time. I will also be critically evaluating theories/models such as Betaris Box and The Drama Triangle which underpin the causes of conflict within policing interventions.</w:t>
      </w:r>
    </w:p>
    <w:p w14:paraId="2A8DFB1C" w14:textId="77777777" w:rsidR="00887AD4" w:rsidRDefault="00887AD4" w:rsidP="00887AD4">
      <w:pPr>
        <w:spacing w:line="360" w:lineRule="auto"/>
        <w:jc w:val="both"/>
        <w:rPr>
          <w:bCs/>
          <w:sz w:val="24"/>
          <w:szCs w:val="24"/>
        </w:rPr>
      </w:pPr>
      <w:r>
        <w:rPr>
          <w:bCs/>
          <w:sz w:val="24"/>
          <w:szCs w:val="24"/>
        </w:rPr>
        <w:t>I was on duty, a night shift, when a call came over the radio for a possible domestic incident. I attached myself to the call, along with my tutor. The incident was the first domestic related incident I was going to be involved in. On route to the incident, I was nervous, thinking back to my training and considering my powers of entry to a premises at my disposal such as Section 17 of the Police and Criminal Evidence Act 1984. My mind was racing as I was trying to formulate a plan of action before arrival, which is not a wise thing to do. Overthinking what can happen or trying to plan for different scenarios can leave you open to a feeling of failure, if things don’t happen as you expected. Even if there is a successful outcome (Wilding, M. (2021). I turned to my tutor and asked about potential scenarios, and she advised me that, whilst good to be thinking about my powers, we do not know what we will be facing when we get there, so wait and see what the situation is when we arrive.</w:t>
      </w:r>
    </w:p>
    <w:p w14:paraId="23E721D6" w14:textId="77777777" w:rsidR="00887AD4" w:rsidRDefault="00887AD4" w:rsidP="00887AD4">
      <w:pPr>
        <w:spacing w:line="360" w:lineRule="auto"/>
        <w:jc w:val="both"/>
        <w:rPr>
          <w:bCs/>
          <w:sz w:val="24"/>
          <w:szCs w:val="24"/>
        </w:rPr>
      </w:pPr>
      <w:r>
        <w:rPr>
          <w:bCs/>
          <w:sz w:val="24"/>
          <w:szCs w:val="24"/>
        </w:rPr>
        <w:lastRenderedPageBreak/>
        <w:t>In the time it took to get to the scene, we were passed information of the victim and the suspect. I noticed that there were pervious domestic incidents reported at the address and that the suspect suffered from mental health episodes. The suspect had also been known to be violent/resistant towards police officers in the past. Mentally, even before arriving, I was prepared for there to be some form of conflict. Conflict does not necessarily mean that would involve physical contact, conflict can occur between two or more people who disagree on things such as values and interests. They may also share different goals, understand or interpret things differently to each other (tyonote 2021). Bartos and Wehr (2002) state that when two or more people want different things, there will be conflict between them, and it will form part of the relationship between those individuals. This was made clear to me shortly after arrival on scene.</w:t>
      </w:r>
    </w:p>
    <w:p w14:paraId="7509DF36" w14:textId="77777777" w:rsidR="00887AD4" w:rsidRDefault="00887AD4" w:rsidP="00887AD4">
      <w:pPr>
        <w:spacing w:line="360" w:lineRule="auto"/>
        <w:jc w:val="both"/>
        <w:rPr>
          <w:bCs/>
          <w:sz w:val="24"/>
          <w:szCs w:val="24"/>
        </w:rPr>
      </w:pPr>
      <w:r>
        <w:rPr>
          <w:bCs/>
          <w:sz w:val="24"/>
          <w:szCs w:val="24"/>
        </w:rPr>
        <w:t>As our vehicle entered the street of the reported call, I turned on my Police issued body worn camera in readiness, training and protocol was still very much on my mind. As we pulled up outside the address, I could see a male in the front garden and a female in one of the windows upstairs. It was at this point that my training kicked in furthermore. I started thinking of the National Decision-Making Model (NDM) framework used by Police forces throughout Britain. Subconsciously, it is something I do every day with most calls. However, as this was the first domestic that I had attended, I was more conscious of going through the motions.</w:t>
      </w:r>
    </w:p>
    <w:p w14:paraId="16C51DF8" w14:textId="72B4356C" w:rsidR="00887AD4" w:rsidRDefault="00887AD4" w:rsidP="00887AD4">
      <w:pPr>
        <w:spacing w:line="360" w:lineRule="auto"/>
        <w:jc w:val="both"/>
        <w:rPr>
          <w:bCs/>
          <w:sz w:val="24"/>
          <w:szCs w:val="24"/>
        </w:rPr>
      </w:pPr>
      <w:r>
        <w:rPr>
          <w:bCs/>
          <w:sz w:val="24"/>
          <w:szCs w:val="24"/>
        </w:rPr>
        <w:t>The NDM process is made up</w:t>
      </w:r>
      <w:r w:rsidR="0050644F">
        <w:rPr>
          <w:bCs/>
          <w:sz w:val="24"/>
          <w:szCs w:val="24"/>
        </w:rPr>
        <w:t xml:space="preserve"> </w:t>
      </w:r>
      <w:r>
        <w:rPr>
          <w:bCs/>
          <w:sz w:val="24"/>
          <w:szCs w:val="24"/>
        </w:rPr>
        <w:t>of 5 stages and has the Police code of ethics at it’s heart, stage 1 is where you gather information and intelligence. I got some of it on route, I knew the suspect and victims name, I knew there were previous domestic incidents reported between the two and that the suspect suffered with their mental health. However, I needed to know what was going on in this instance and to do so I needed to engage with those involved. As soon as I got out of the vehicle, I called out to the male, introduced myself and began to engage with him. He was visibly upset but was engaging with me as more of my colleagues started to arrive. Whilst engaging with the male I was still running through the NDM, assessing the threat, risk and harm, and thinking about my powers and contingencies and what actions I should be taking. Making sure I was going through all the stages and then finally assessing and revaluating my decisions.</w:t>
      </w:r>
    </w:p>
    <w:p w14:paraId="231B769B" w14:textId="77777777" w:rsidR="00887AD4" w:rsidRDefault="00887AD4" w:rsidP="00887AD4">
      <w:pPr>
        <w:spacing w:line="360" w:lineRule="auto"/>
        <w:jc w:val="both"/>
        <w:rPr>
          <w:bCs/>
          <w:sz w:val="24"/>
          <w:szCs w:val="24"/>
        </w:rPr>
      </w:pPr>
      <w:r>
        <w:rPr>
          <w:bCs/>
          <w:sz w:val="24"/>
          <w:szCs w:val="24"/>
        </w:rPr>
        <w:t xml:space="preserve">Whilst talking to the male, I made sure that there was enough distance so that we had our own space and that it was a more relaxed environment. </w:t>
      </w:r>
      <w:r w:rsidRPr="00C86F0B">
        <w:rPr>
          <w:bCs/>
          <w:sz w:val="24"/>
          <w:szCs w:val="24"/>
        </w:rPr>
        <w:t>Jurczyk</w:t>
      </w:r>
      <w:r>
        <w:rPr>
          <w:bCs/>
          <w:sz w:val="24"/>
          <w:szCs w:val="24"/>
        </w:rPr>
        <w:t xml:space="preserve"> (2022) writes that the area in which we are situated when we are talking to someone regarding distance is important, as it is part of the relationship that is formed at the time. If you move to close to the other person you could come across as intimidating, move too far and you could be seen as being </w:t>
      </w:r>
      <w:r>
        <w:rPr>
          <w:bCs/>
          <w:sz w:val="24"/>
          <w:szCs w:val="24"/>
        </w:rPr>
        <w:lastRenderedPageBreak/>
        <w:t>disrespectful. During the time I was speaking to the male, I made sure that I maintained a respectable amount of distance. There were two colleagues either side of me, we were all in a stance that would allow us to react if the male changed his body language or behaviour. He did just that after I told him that he wasn’t going to be allowed in the house that night.  He stepped into my personal space and so I stretched my arm out and asked him to step back, which he did.</w:t>
      </w:r>
    </w:p>
    <w:p w14:paraId="6FA1E508" w14:textId="77777777" w:rsidR="00887AD4" w:rsidRDefault="00887AD4" w:rsidP="00887AD4">
      <w:pPr>
        <w:spacing w:line="360" w:lineRule="auto"/>
        <w:jc w:val="both"/>
        <w:rPr>
          <w:bCs/>
          <w:sz w:val="24"/>
          <w:szCs w:val="24"/>
        </w:rPr>
      </w:pPr>
      <w:r>
        <w:rPr>
          <w:bCs/>
          <w:sz w:val="24"/>
          <w:szCs w:val="24"/>
        </w:rPr>
        <w:t>My aim in this situation was to prevent anything from escalating, calm the male down and resolve the situation by getting him to leave. Part of my strategy to do this was to use elements of the Thomas -Kilmann Conflict Mode Instrument (TKI). The (TKI) mode has been used over a 30-year period in conflict situations to help people understand how best to deal with them (</w:t>
      </w:r>
      <w:r w:rsidRPr="00C86F0B">
        <w:rPr>
          <w:bCs/>
          <w:sz w:val="24"/>
          <w:szCs w:val="24"/>
        </w:rPr>
        <w:t>Jurczyk</w:t>
      </w:r>
      <w:r>
        <w:rPr>
          <w:bCs/>
          <w:sz w:val="24"/>
          <w:szCs w:val="24"/>
        </w:rPr>
        <w:t xml:space="preserve"> 2022). The one area of focus from the (TKI) mode that I focused on, in the situation I found myself in was, collaborating. This is where separate parties’ needs are relevant but are initially avoided and the focus for those involved is the situation at hand and how they can find common ground to avoid conflict (</w:t>
      </w:r>
      <w:r>
        <w:t>Khan et all 2015)</w:t>
      </w:r>
    </w:p>
    <w:p w14:paraId="30DC641C" w14:textId="6D6D6029" w:rsidR="00887AD4" w:rsidRDefault="00887AD4" w:rsidP="00887AD4">
      <w:pPr>
        <w:spacing w:line="360" w:lineRule="auto"/>
        <w:jc w:val="both"/>
        <w:rPr>
          <w:bCs/>
          <w:sz w:val="24"/>
          <w:szCs w:val="24"/>
        </w:rPr>
      </w:pPr>
      <w:r>
        <w:rPr>
          <w:bCs/>
          <w:sz w:val="24"/>
          <w:szCs w:val="24"/>
        </w:rPr>
        <w:t>It was also a way</w:t>
      </w:r>
      <w:r w:rsidR="0050644F">
        <w:rPr>
          <w:bCs/>
          <w:sz w:val="24"/>
          <w:szCs w:val="24"/>
        </w:rPr>
        <w:t xml:space="preserve"> </w:t>
      </w:r>
      <w:r>
        <w:rPr>
          <w:bCs/>
          <w:sz w:val="24"/>
          <w:szCs w:val="24"/>
        </w:rPr>
        <w:t>of me implementing another theory into practice, a theory known as the Betaris Box model. The Betaris Box model focuses on our behaviours and attitudes and how other peoples can affect us and vice versa (Revolution Learning and Development 2023). As stated by Fielding (2005), conflict can be dealt with when one person stops for a moment and sees the situation in a different light, or when more than one person agrees to end the conflict and come to a resolution.</w:t>
      </w:r>
    </w:p>
    <w:p w14:paraId="11F957EC" w14:textId="1C120F90" w:rsidR="00887AD4" w:rsidRDefault="00887AD4" w:rsidP="00887AD4">
      <w:pPr>
        <w:spacing w:line="360" w:lineRule="auto"/>
        <w:jc w:val="both"/>
        <w:rPr>
          <w:bCs/>
          <w:sz w:val="24"/>
          <w:szCs w:val="24"/>
        </w:rPr>
      </w:pPr>
      <w:r>
        <w:rPr>
          <w:bCs/>
          <w:sz w:val="24"/>
          <w:szCs w:val="24"/>
        </w:rPr>
        <w:t>My approach of using the NDM model, Betaris Box Model and TKI was working, the suspect was engaging but he still had his own agenda, to get in the house. I was important for me to remain calm and use my communication skills to my advantage. Some officers communicate with the public in a way that can come across rude or arrogant and sometimes they can abuse their powers, this can be damaging for the organisation’s reputation (Nurnisya 2002).  In a social context the public have lose confidence and trust in the police, if there is large media coverage of an event that paints police in a negative light (</w:t>
      </w:r>
      <w:r w:rsidRPr="007D3E74">
        <w:rPr>
          <w:bCs/>
          <w:sz w:val="24"/>
          <w:szCs w:val="24"/>
        </w:rPr>
        <w:t>Oberwittler</w:t>
      </w:r>
      <w:r>
        <w:rPr>
          <w:bCs/>
          <w:sz w:val="24"/>
          <w:szCs w:val="24"/>
        </w:rPr>
        <w:t xml:space="preserve"> et all 2019). For me as an officer, </w:t>
      </w:r>
      <w:r w:rsidR="0050644F">
        <w:rPr>
          <w:bCs/>
          <w:sz w:val="24"/>
          <w:szCs w:val="24"/>
        </w:rPr>
        <w:t>I</w:t>
      </w:r>
      <w:r>
        <w:rPr>
          <w:bCs/>
          <w:sz w:val="24"/>
          <w:szCs w:val="24"/>
        </w:rPr>
        <w:t xml:space="preserve"> want the people I serve to trust me. However, this can be</w:t>
      </w:r>
      <w:r w:rsidR="0050644F">
        <w:rPr>
          <w:bCs/>
          <w:sz w:val="24"/>
          <w:szCs w:val="24"/>
        </w:rPr>
        <w:t xml:space="preserve"> </w:t>
      </w:r>
      <w:r>
        <w:rPr>
          <w:bCs/>
          <w:sz w:val="24"/>
          <w:szCs w:val="24"/>
        </w:rPr>
        <w:t xml:space="preserve">impacted by peoples previous dealings with police officers, a communities negative view on police and police going against what they represent (Brown 2023). Due to the males’ previous dealings with police for domestic and mental health related issues, he could have been more confrontational. </w:t>
      </w:r>
    </w:p>
    <w:p w14:paraId="25AEB2BB" w14:textId="77777777" w:rsidR="00887AD4" w:rsidRDefault="00887AD4" w:rsidP="00887AD4">
      <w:pPr>
        <w:spacing w:line="360" w:lineRule="auto"/>
        <w:jc w:val="both"/>
        <w:rPr>
          <w:bCs/>
          <w:sz w:val="24"/>
          <w:szCs w:val="24"/>
        </w:rPr>
      </w:pPr>
      <w:r>
        <w:rPr>
          <w:bCs/>
          <w:sz w:val="24"/>
          <w:szCs w:val="24"/>
        </w:rPr>
        <w:t xml:space="preserve">The male began engaging in a conversation with me and tell me that he found out that his partner had been having an affair, so he is upset and angry. It was at this point that I was empathetic with his situation and began to reason with him. Using Betaris Box model, I spoke </w:t>
      </w:r>
      <w:r>
        <w:rPr>
          <w:bCs/>
          <w:sz w:val="24"/>
          <w:szCs w:val="24"/>
        </w:rPr>
        <w:lastRenderedPageBreak/>
        <w:t>to him in a way that he would relate to and said that it was rubbish. I used his name a lot and responded to him talking to me by nodding my head and maintaining eye contact to show him I was listening. This was helping distract him from trying to get inside the house and allowed me to integrate my own agenda into conversation.</w:t>
      </w:r>
    </w:p>
    <w:p w14:paraId="3A0B7A0A" w14:textId="77777777" w:rsidR="00887AD4" w:rsidRDefault="00887AD4" w:rsidP="00887AD4">
      <w:pPr>
        <w:spacing w:line="360" w:lineRule="auto"/>
        <w:jc w:val="both"/>
        <w:rPr>
          <w:bCs/>
          <w:sz w:val="24"/>
          <w:szCs w:val="24"/>
        </w:rPr>
      </w:pPr>
      <w:r>
        <w:rPr>
          <w:bCs/>
          <w:sz w:val="24"/>
          <w:szCs w:val="24"/>
        </w:rPr>
        <w:t xml:space="preserve">By being assertive inline with the TKI model, Betaris Box and the NDM I was attempting to get the male to meet me and my colleagues halfway. I advised him that, based on what he found out, does he think is in the right state to have a reasonable conversation and that does he think it would be better to leave the property, cool down and come back another day. I tried in essence to make him conclude that it would be best for him to leave the situation before it got any worse. No offences had been committed at this point; the female just wanted him to go away for the evening. </w:t>
      </w:r>
    </w:p>
    <w:p w14:paraId="65559DC2" w14:textId="77777777" w:rsidR="00887AD4" w:rsidRPr="005A1084" w:rsidRDefault="00887AD4" w:rsidP="00887AD4">
      <w:pPr>
        <w:spacing w:line="360" w:lineRule="auto"/>
        <w:jc w:val="both"/>
        <w:rPr>
          <w:sz w:val="24"/>
          <w:szCs w:val="24"/>
        </w:rPr>
      </w:pPr>
      <w:r>
        <w:rPr>
          <w:bCs/>
          <w:sz w:val="24"/>
          <w:szCs w:val="24"/>
        </w:rPr>
        <w:t xml:space="preserve">The situation I found myself in could be broken down and explained using what is known as the Drama Triangle, described in 1961 by Stephen Karpman. The Drama Triangle is a term used in psychology and it is used to describe three roles, the roles are victims, persecutors, and rescuers. However, a person may not present as just one role, they can change and therefore it can become a never-ending cycle (Blumenfield 2018). Initially I was seen as the rescuer, as it is my job to help people, the female called the police to help her so appeared as the victim and we turned up. The </w:t>
      </w:r>
      <w:r w:rsidRPr="005A1084">
        <w:rPr>
          <w:bCs/>
          <w:sz w:val="24"/>
          <w:szCs w:val="24"/>
        </w:rPr>
        <w:t>persecutor appeared to be the male, trying to get into the house from the front garden and refusing to leave. However, after talking to him and hearing that he found out his partner had been cheating, he also appeared to be a victim of some sort. As a result, I could then be seen as the prosecutor seen to forcing the male or pressurising him (as a victim) to leave (</w:t>
      </w:r>
      <w:r w:rsidRPr="005A1084">
        <w:rPr>
          <w:sz w:val="24"/>
          <w:szCs w:val="24"/>
        </w:rPr>
        <w:t>Shmelev 2015). It was important for me in this situation to be fair but also effective.</w:t>
      </w:r>
    </w:p>
    <w:p w14:paraId="20920A4C" w14:textId="77777777" w:rsidR="00887AD4" w:rsidRDefault="00887AD4" w:rsidP="00887AD4">
      <w:pPr>
        <w:spacing w:line="360" w:lineRule="auto"/>
        <w:jc w:val="both"/>
        <w:rPr>
          <w:sz w:val="24"/>
          <w:szCs w:val="24"/>
        </w:rPr>
      </w:pPr>
      <w:r w:rsidRPr="005A1084">
        <w:rPr>
          <w:sz w:val="24"/>
          <w:szCs w:val="24"/>
        </w:rPr>
        <w:t>Skogan and Frydl (2004) found from a study carried out that perception of police can be improved or worsen based on the officer’s behaviour</w:t>
      </w:r>
      <w:r>
        <w:rPr>
          <w:sz w:val="24"/>
          <w:szCs w:val="24"/>
        </w:rPr>
        <w:t xml:space="preserve"> (Maguire 2010). It was important that I was seen to take positive action during this incident. After being empathetic and understanding with the male and explaining that the female did not want him in the house that night and after listening to what he had to say, I advised him to leave. He did not want to, but he realised that he was not going to get passed me and my colleagues. He began to pace and get a little irate but I maintained communication and continued to talk to him. Again, sympathising and advising him to take time to think and clear his head, calm down and that the female would be happy to have a phone call off him the next day. Eventually I advised him that if he failed to leave he could be arrested for Breach of the Peace, a public order </w:t>
      </w:r>
      <w:r>
        <w:rPr>
          <w:sz w:val="24"/>
          <w:szCs w:val="24"/>
        </w:rPr>
        <w:lastRenderedPageBreak/>
        <w:t>offence. He did not like it but at the mention of this (as a last resort) as part of my tactical communication, he left the vicinity.</w:t>
      </w:r>
    </w:p>
    <w:p w14:paraId="1DA1D1E4" w14:textId="77777777" w:rsidR="00887AD4" w:rsidRDefault="00887AD4" w:rsidP="00887AD4">
      <w:pPr>
        <w:spacing w:line="360" w:lineRule="auto"/>
        <w:jc w:val="both"/>
        <w:rPr>
          <w:sz w:val="24"/>
          <w:szCs w:val="24"/>
        </w:rPr>
      </w:pPr>
      <w:r>
        <w:rPr>
          <w:sz w:val="24"/>
          <w:szCs w:val="24"/>
        </w:rPr>
        <w:t xml:space="preserve">During the incident I put attempted to put theory into practice to deal with the conflict present in the situation that I was facing. I found the Betaris Box model effective in conjunction with the </w:t>
      </w:r>
      <w:r>
        <w:rPr>
          <w:bCs/>
          <w:sz w:val="24"/>
          <w:szCs w:val="24"/>
        </w:rPr>
        <w:t>Thomas -Kilmann Conflict Mode Instrument. These two assisted me in containing the conflict and by utilizing these theories, I did not have to resort to using any force to deal with the conflict. The NDM also helped me assess the situation in a more constructed manner, it helped me formulate my next steps and reassess if needed. Understanding the Drama Triangle also assisted in me dealing with the male, as it helped me understand the different roles that people hold within conflict situations. I understood how roles could change throughout the situation, including my own and how I may need to adapt my approach when dealing with conflict. It was a combination of all these that helped me resolve the situation with positive action and no negative outcomes, no one was hurt, no arrests or complaints were made, and the victim was safe.</w:t>
      </w:r>
    </w:p>
    <w:p w14:paraId="63FDC7DB" w14:textId="77777777" w:rsidR="00887AD4" w:rsidRDefault="00887AD4" w:rsidP="00887AD4">
      <w:r>
        <w:t>(Total word Count for this question 2074)</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13CA3CF"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t>Victims of crime and the way in which they are dealt with and supported are an important part of policing strategy and the CJS. Victims support itself is not new, but it has been developed and come long way from when it would respond to the local needs of victims. Being something that was more reactive than proactive (Simmonds 2013). Support for victims in relation to the CJS process. Victim Support is itself and organisation and in 2000 the organisation developed its own Codes of Practice. These helped identify the types of crimes and victims that exist and allowed the organisation to improve its service delivery (Victim Support 2000). In 2018 the UK Government created their Victim Strategy. The government committed to increase funding to services that provide help for victims of crime and therefore improving the support that they receive (HM Inspectorate of Probation 2021).</w:t>
      </w:r>
    </w:p>
    <w:p w14:paraId="7E65101E" w14:textId="77777777" w:rsidR="00611A50" w:rsidRDefault="00611A50" w:rsidP="00611A50">
      <w:pPr>
        <w:spacing w:line="360" w:lineRule="auto"/>
        <w:jc w:val="both"/>
        <w:rPr>
          <w:rFonts w:ascii="Calibri" w:hAnsi="Calibri" w:cs="Calibri"/>
          <w:sz w:val="24"/>
          <w:szCs w:val="24"/>
        </w:rPr>
      </w:pPr>
    </w:p>
    <w:p w14:paraId="06283986"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t xml:space="preserve">The changes by the UK government also mean that there were changes within the Police force to. In 2021 the College of Policing introduced their own Victims Code. The code is made of 12 individual rights that the victim is entitled to, and they must be provided to a victim of crime as a bare minimum (College of Policing 2021). As a Police Officer and as part of my role, I must abide by the Victims Code and ensure that any victim of crime that I deal with is provided with the best possible service. Failure to do so would be result in the not only the service failing them but me failing them too. I feel that </w:t>
      </w:r>
      <w:r>
        <w:rPr>
          <w:rFonts w:ascii="Calibri" w:hAnsi="Calibri" w:cs="Calibri"/>
          <w:sz w:val="24"/>
          <w:szCs w:val="24"/>
        </w:rPr>
        <w:lastRenderedPageBreak/>
        <w:t xml:space="preserve">the incident I have chosen to discuss was a complicated case, but I felt I provided the best possible service I could to the victim. </w:t>
      </w:r>
    </w:p>
    <w:p w14:paraId="50338F70" w14:textId="77777777" w:rsidR="00611A50" w:rsidRDefault="00611A50" w:rsidP="00611A50">
      <w:pPr>
        <w:spacing w:line="360" w:lineRule="auto"/>
        <w:jc w:val="both"/>
        <w:rPr>
          <w:rFonts w:ascii="Calibri" w:hAnsi="Calibri" w:cs="Calibri"/>
          <w:sz w:val="24"/>
          <w:szCs w:val="24"/>
        </w:rPr>
      </w:pPr>
    </w:p>
    <w:p w14:paraId="651299A5"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t>A call had been made the day prior to my involvement, where a female had reported receiving malicious communications and had been subject to stalking and harassment and coercive controlling behaviour. The female had also mentioned that she had been subjected to assaults in the past from the same perpetrator. As a result of this information, I was tasked with carrying out a welfare check at her address. On arrival at the address, a female had answered the door, it turned out to be the victim’s mother, the victim was not home. Without going into too much detail I advised that we needed to speak to the victim, so her mother called her and then passed the phone to me. I spoke to the victim and asked if we could meet but she was reluctant to do so and did not want to speak to us.</w:t>
      </w:r>
    </w:p>
    <w:p w14:paraId="159D469B" w14:textId="77777777" w:rsidR="00611A50" w:rsidRDefault="00611A50" w:rsidP="00611A50">
      <w:pPr>
        <w:spacing w:line="360" w:lineRule="auto"/>
        <w:jc w:val="both"/>
        <w:rPr>
          <w:rFonts w:ascii="Calibri" w:hAnsi="Calibri" w:cs="Calibri"/>
          <w:sz w:val="24"/>
          <w:szCs w:val="24"/>
        </w:rPr>
      </w:pPr>
    </w:p>
    <w:p w14:paraId="4DAA5EDB" w14:textId="77777777" w:rsidR="00611A50" w:rsidRDefault="00611A50" w:rsidP="00611A50">
      <w:pPr>
        <w:spacing w:line="360" w:lineRule="auto"/>
        <w:jc w:val="both"/>
        <w:rPr>
          <w:rFonts w:ascii="Calibri" w:hAnsi="Calibri" w:cs="Calibri"/>
          <w:sz w:val="24"/>
          <w:szCs w:val="24"/>
        </w:rPr>
      </w:pPr>
    </w:p>
    <w:p w14:paraId="1C05DA64"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t>In circumstances where a female has an intimate connection with another person and they are then subjected to physical or psychological abuse, it can cause them a lot of distress (Waldrop et al 2004). It can be the case that some people have become the subject to the abuse for a long period and get used to it and build up their own barriers as excuses to remain in the situation (Payne et al 2009). Research has also shown that statistically one in four women will be subject to intimate/domestic violence and report it to police at some point in their lifetime (Breiding et al., 2014; CDC, 2019). Despite being reluctant to speak to us, the female was still a victim of crime so I was going to make sure that I did all that I could for her, regarding what was reported.</w:t>
      </w:r>
    </w:p>
    <w:p w14:paraId="2797F836" w14:textId="77777777" w:rsidR="00611A50" w:rsidRDefault="00611A50" w:rsidP="00611A50">
      <w:pPr>
        <w:spacing w:line="360" w:lineRule="auto"/>
        <w:jc w:val="both"/>
        <w:rPr>
          <w:rFonts w:ascii="Calibri" w:hAnsi="Calibri" w:cs="Calibri"/>
          <w:sz w:val="24"/>
          <w:szCs w:val="24"/>
        </w:rPr>
      </w:pPr>
    </w:p>
    <w:p w14:paraId="0C19E6D8"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t xml:space="preserve">There were no communication barriers between me and the victim as we both spoke English fluently, if there were any, under ‘Right 1’ under the Victims Code I would have considered an interpreter. It was important that I avoided any abbreviations or terms that only officers would know when speaking to the victim over the phone. My tone of voice and way in which I was communicating had to be of a professional manner but not robotic, I empathised with the victim. She had told me that it is inconvenient to meet and that she is fine, I advised I understood and that I appreciate she may be busy, but we wanted to check that she was ok, along with her children. I told her that officers are only going to keep trying her address or contacting her until we can conduct the welfare check. In </w:t>
      </w:r>
      <w:r>
        <w:rPr>
          <w:rFonts w:ascii="Calibri" w:hAnsi="Calibri" w:cs="Calibri"/>
          <w:sz w:val="24"/>
          <w:szCs w:val="24"/>
        </w:rPr>
        <w:lastRenderedPageBreak/>
        <w:t>communicating effectively, I managed to arrange for the victim to attend the police station voluntarily so we could discuss the incident in more detail.</w:t>
      </w:r>
    </w:p>
    <w:p w14:paraId="58B99AEC" w14:textId="77777777" w:rsidR="00611A50" w:rsidRDefault="00611A50" w:rsidP="00611A50">
      <w:pPr>
        <w:spacing w:line="360" w:lineRule="auto"/>
        <w:jc w:val="both"/>
        <w:rPr>
          <w:rFonts w:ascii="Calibri" w:hAnsi="Calibri" w:cs="Calibri"/>
          <w:sz w:val="24"/>
          <w:szCs w:val="24"/>
        </w:rPr>
      </w:pPr>
    </w:p>
    <w:p w14:paraId="63794140"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t xml:space="preserve">Under the Victims Code, right 2 entitles the victim to have the crime recorded without delay. Right 3 entitles the victim to be provided with information when reporting it, this would include a crime reference number. The incident I was dealing with was categorised as a crime, prior to my first contact with the victim and she was already provided with the crime reference number. Right 4 of the Victims Code entitles ensures that a victim of crime is referred to services for support and that the service and support is tailored to them. I was responsible that the victim in this incident was provided with right 4 and the only way to do this was speaking to them in depth about what was reported. </w:t>
      </w:r>
    </w:p>
    <w:p w14:paraId="3DC91535" w14:textId="77777777" w:rsidR="00611A50" w:rsidRDefault="00611A50" w:rsidP="00611A50">
      <w:pPr>
        <w:spacing w:line="360" w:lineRule="auto"/>
        <w:jc w:val="both"/>
        <w:rPr>
          <w:rFonts w:ascii="Calibri" w:hAnsi="Calibri" w:cs="Calibri"/>
          <w:sz w:val="24"/>
          <w:szCs w:val="24"/>
        </w:rPr>
      </w:pPr>
    </w:p>
    <w:p w14:paraId="663F6DBD"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t xml:space="preserve">As part of my role and responsibilities I had to use the Domestic Abuse Stalking and Harassment model (DASH) to do this. The DASH model is utilised to identify the risk posed along with assessing and managing the risk by referring it to relevant agencies. In the UK any domestic violence cases reported require a multi-agency response, as a result Multi Agency Risk Assessment Conferences (MARAC’s) have been developed. MARAC assess and manage the risk and provide the right support to victims (Robbins et al 2014). </w:t>
      </w:r>
    </w:p>
    <w:p w14:paraId="2A61E38C" w14:textId="77777777" w:rsidR="00611A50" w:rsidRDefault="00611A50" w:rsidP="00611A50">
      <w:pPr>
        <w:spacing w:line="360" w:lineRule="auto"/>
        <w:jc w:val="both"/>
        <w:rPr>
          <w:rFonts w:ascii="Calibri" w:hAnsi="Calibri" w:cs="Calibri"/>
          <w:sz w:val="24"/>
          <w:szCs w:val="24"/>
        </w:rPr>
      </w:pPr>
    </w:p>
    <w:p w14:paraId="08633D51"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t xml:space="preserve">As part of this process, I completed what is known as Public Protection Notice (PPN) with the victim. A PPN consists of 29 questions and 18 of these are high risk, the answers of these questions determine the risk level, standard, medium or high and also determine how the risk is managed by all agencies involved. In this instance, based on talking to the victim the threat level as medium. </w:t>
      </w:r>
    </w:p>
    <w:p w14:paraId="6233FC87" w14:textId="77777777" w:rsidR="00611A50" w:rsidRDefault="00611A50" w:rsidP="00611A50">
      <w:pPr>
        <w:spacing w:line="360" w:lineRule="auto"/>
        <w:jc w:val="both"/>
        <w:rPr>
          <w:rFonts w:ascii="Calibri" w:hAnsi="Calibri" w:cs="Calibri"/>
          <w:sz w:val="24"/>
          <w:szCs w:val="24"/>
        </w:rPr>
      </w:pPr>
    </w:p>
    <w:p w14:paraId="7F6BB868"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t>The reason for this was because despite reporting an umbrella of offences such as coercive controlling behaviour, harassment and threats, the victim has made changes to their situation. They made me aware that they have gotten a decent job, they have chained their number so the perpetrator can’t contact them and moved addresses. They also informed me that the perpetrator lives in a different county and is due to move further away. When speaking to the victim I emphasised that it could not have been easy to make the changes but, she is strong in doing so and that she deserves to feel and be safe. I also made the victim aware that other agencies will be in touch to see what help and support would be beneficial to her, if any, off the back of the PPN being completed.</w:t>
      </w:r>
    </w:p>
    <w:p w14:paraId="628E672A" w14:textId="77777777" w:rsidR="00611A50" w:rsidRDefault="00611A50" w:rsidP="00611A50">
      <w:pPr>
        <w:spacing w:line="360" w:lineRule="auto"/>
        <w:jc w:val="both"/>
        <w:rPr>
          <w:rFonts w:ascii="Calibri" w:hAnsi="Calibri" w:cs="Calibri"/>
          <w:b/>
          <w:bCs/>
          <w:sz w:val="24"/>
          <w:szCs w:val="24"/>
          <w:u w:val="single"/>
        </w:rPr>
      </w:pPr>
    </w:p>
    <w:p w14:paraId="0C1899FE" w14:textId="77777777" w:rsidR="00611A50" w:rsidRDefault="00611A50" w:rsidP="00611A50">
      <w:pPr>
        <w:spacing w:line="360" w:lineRule="auto"/>
        <w:jc w:val="both"/>
        <w:rPr>
          <w:rFonts w:ascii="Calibri" w:hAnsi="Calibri" w:cs="Calibri"/>
          <w:b/>
          <w:bCs/>
          <w:sz w:val="24"/>
          <w:szCs w:val="24"/>
          <w:u w:val="single"/>
        </w:rPr>
      </w:pPr>
      <w:r>
        <w:rPr>
          <w:rFonts w:ascii="Calibri" w:hAnsi="Calibri" w:cs="Calibri"/>
          <w:b/>
          <w:bCs/>
          <w:sz w:val="24"/>
          <w:szCs w:val="24"/>
          <w:u w:val="single"/>
        </w:rPr>
        <w:t>Reflection</w:t>
      </w:r>
    </w:p>
    <w:p w14:paraId="26D84FAF" w14:textId="77777777" w:rsidR="00611A50" w:rsidRDefault="00611A50" w:rsidP="00611A50">
      <w:pPr>
        <w:spacing w:line="360" w:lineRule="auto"/>
        <w:jc w:val="both"/>
      </w:pPr>
      <w:r>
        <w:rPr>
          <w:rFonts w:ascii="Calibri" w:hAnsi="Calibri" w:cs="Calibri"/>
          <w:sz w:val="24"/>
          <w:szCs w:val="24"/>
        </w:rPr>
        <w:t>The remaining victims’ codes did not apply in this particular incident for the victim as she was not willing to attend court or support police prosecution. I was honest with the victim from start to finish and advised her that in some domestic cases that the perpetrator could still be charged and explained the criminal procedure. She was fine with this but did not want anything more to do with the police and just wanted to put the incident behind her. She did not want to make a full statement of the incident she reported and in fact wanted to redact it. I continued to reiterate that as a victim of crime, we are there for her and respect her decision and won’t look to force a policing agenda. I empathised with the victim and understood that she just wanted to get on with her life, away from the perpetrator.</w:t>
      </w:r>
    </w:p>
    <w:p w14:paraId="5375BF12" w14:textId="77777777" w:rsidR="00611A50" w:rsidRDefault="00611A50" w:rsidP="00611A50">
      <w:pPr>
        <w:spacing w:line="360" w:lineRule="auto"/>
        <w:jc w:val="both"/>
      </w:pPr>
      <w:r>
        <w:rPr>
          <w:rFonts w:ascii="Calibri" w:hAnsi="Calibri" w:cs="Calibri"/>
          <w:sz w:val="24"/>
          <w:szCs w:val="24"/>
        </w:rPr>
        <w:t>To reflect on the incident, I will be using the Gibbs Reflective Cycle. When dealing with the victim, ethically I was thinking that I wanted to protect them as best I could and ensure that were not subject to the abuse again by the perpetrator. I wanted them to take the complaint further but that was not my decision to make, their needs come first. During the DASH process and the PPN, it was good that the victim was engaging and open with me regarding what she had been through. I feel that I could have reviewed the questions of the PPN before reading them to the victim and have had a better understanding of the PPN. As it was my first time going through the form with a victim, I was a little nervous and got slightly confused with the wording of some of the questions. By meeting us despite not wanting to, the victim was just pleased to know we were satisfied her welfare was ok and we not call at her address again.</w:t>
      </w:r>
    </w:p>
    <w:p w14:paraId="672FEEDA" w14:textId="77777777" w:rsidR="00611A50" w:rsidRDefault="00611A50" w:rsidP="00611A50">
      <w:pPr>
        <w:spacing w:line="360" w:lineRule="auto"/>
        <w:jc w:val="both"/>
        <w:rPr>
          <w:rFonts w:ascii="Calibri" w:hAnsi="Calibri" w:cs="Calibri"/>
          <w:sz w:val="24"/>
          <w:szCs w:val="24"/>
        </w:rPr>
      </w:pPr>
    </w:p>
    <w:p w14:paraId="34EB0ED1"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t xml:space="preserve">I made the victim aware that we treat every victim with the same professionalism and make them aware of the rights that are available to them as victims of crime, no matter what. In the UK, every citizen has specific rights under the Human Rights Act 1998 (Equality and Human Rights Commission). Article 3 states that everyone has the right to live with freedom from degrading treatment, which they were subject to before removing themselves from the situation. They also have the right to private life under Article 8 of the Act. As the victim provided me with as much information as she was comfortable with, there was no need to engage with her further going forward unless she made contact again. </w:t>
      </w:r>
    </w:p>
    <w:p w14:paraId="38A437CD" w14:textId="77777777" w:rsidR="00611A50" w:rsidRDefault="00611A50" w:rsidP="00611A50">
      <w:pPr>
        <w:spacing w:line="360" w:lineRule="auto"/>
        <w:jc w:val="both"/>
        <w:rPr>
          <w:rFonts w:ascii="Calibri" w:hAnsi="Calibri" w:cs="Calibri"/>
          <w:sz w:val="24"/>
          <w:szCs w:val="24"/>
        </w:rPr>
      </w:pPr>
    </w:p>
    <w:p w14:paraId="0EFD7F14" w14:textId="77777777" w:rsidR="00611A50" w:rsidRDefault="00611A50" w:rsidP="00611A50">
      <w:pPr>
        <w:spacing w:line="360" w:lineRule="auto"/>
        <w:jc w:val="both"/>
        <w:rPr>
          <w:rFonts w:ascii="Calibri" w:hAnsi="Calibri" w:cs="Calibri"/>
          <w:sz w:val="24"/>
          <w:szCs w:val="24"/>
        </w:rPr>
      </w:pPr>
      <w:r>
        <w:rPr>
          <w:rFonts w:ascii="Calibri" w:hAnsi="Calibri" w:cs="Calibri"/>
          <w:sz w:val="24"/>
          <w:szCs w:val="24"/>
        </w:rPr>
        <w:lastRenderedPageBreak/>
        <w:t>In the example chosen for this piece of writing, the victim was dealt with in a professional manner, in line with the Victims Code.  The codes of practice were considered when dealing with the victim and she was made aware as to why we needed to see her and go through the DASH model. In this instance, the victim was on board with the prospect of receiving additional help additional services and welcomed the idea. However, despite being aware of her rights as a victim and the criminal justice procedure in relation to them, she did not want to pursue legal action. She made it clear that she has made changes in her life for the better and has removed herself from further incidents involving the perpetrator and wanted to move on from the ordeal.</w:t>
      </w:r>
    </w:p>
    <w:p w14:paraId="53D8D511" w14:textId="208CD795" w:rsidR="00112751" w:rsidRPr="00270EEB" w:rsidRDefault="00611A50" w:rsidP="00E6298B">
      <w:pPr>
        <w:ind w:right="107"/>
        <w:jc w:val="both"/>
        <w:rPr>
          <w:sz w:val="24"/>
          <w:szCs w:val="24"/>
        </w:rPr>
      </w:pPr>
      <w:r>
        <w:rPr>
          <w:sz w:val="24"/>
          <w:szCs w:val="24"/>
        </w:rPr>
        <w:t>(word count 1753)</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6E69AADC"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8280F63"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4"/>
          <w:szCs w:val="24"/>
          <w:lang w:eastAsia="en-US"/>
        </w:rPr>
      </w:pPr>
      <w:r w:rsidRPr="00611A50">
        <w:rPr>
          <w:rFonts w:ascii="Calibri" w:eastAsia="Calibri" w:hAnsi="Calibri" w:cs="Times New Roman"/>
          <w:color w:val="auto"/>
          <w:kern w:val="3"/>
          <w:sz w:val="24"/>
          <w:szCs w:val="24"/>
          <w:lang w:eastAsia="en-US"/>
        </w:rPr>
        <w:t>The following assessment will be focusing on a policing incident that I attended, involving a shoplift. I will be discussing the significant role that I played in the incident with the offender and will also reflect on the incident. I will also be reflecting on the actions that I took during the incident when using the National Decision-Making Model (NDM) and the Code of Ethics (COE). I will also be discussing my responsibilities regarding the Criminal Procedure Investigations Act (CPIA) as part of the investigation into the chosen incident.</w:t>
      </w:r>
    </w:p>
    <w:p w14:paraId="23E31744"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4"/>
          <w:szCs w:val="24"/>
          <w:lang w:eastAsia="en-US"/>
        </w:rPr>
      </w:pPr>
      <w:r w:rsidRPr="00611A50">
        <w:rPr>
          <w:rFonts w:ascii="Calibri" w:eastAsia="Calibri" w:hAnsi="Calibri" w:cs="Times New Roman"/>
          <w:color w:val="auto"/>
          <w:kern w:val="3"/>
          <w:sz w:val="24"/>
          <w:szCs w:val="24"/>
          <w:lang w:eastAsia="en-US"/>
        </w:rPr>
        <w:t>A call came in where it was reported that a shoplifter had been detained in the local supermarket by the store security, I called through the radio to attach myself and my tutor to the call. Prior to attending I looked at the incident number to obtain more details. The suspect was a known to us and is known as a prolific shoplifter. There was also another incident logged, with him listed as the suspect for another shop lift in the same store, a week prior to this one. For both incidents he was suspected of stealing over £600 worth of Pokemon Trading cards totalling £1200. There were no warning markers against him for me to be aware of for violence or weapons but there was one for him being a heroin user.</w:t>
      </w:r>
    </w:p>
    <w:p w14:paraId="5A005E6C"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4"/>
          <w:szCs w:val="24"/>
          <w:lang w:eastAsia="en-US"/>
        </w:rPr>
      </w:pPr>
      <w:r w:rsidRPr="00611A50">
        <w:rPr>
          <w:rFonts w:ascii="Calibri" w:eastAsia="Calibri" w:hAnsi="Calibri" w:cs="Times New Roman"/>
          <w:color w:val="auto"/>
          <w:kern w:val="3"/>
          <w:sz w:val="24"/>
          <w:szCs w:val="24"/>
          <w:lang w:eastAsia="en-US"/>
        </w:rPr>
        <w:lastRenderedPageBreak/>
        <w:t>On arrival at the store myself and my tutor were approached by the security guard, and he told us that the subject was detained in the office. The security guard provided us with the background as to what happened and then took us to the suspect. The suspect was sat down on a chair, with his head down and another security guard by the side of him. I introduced myself and the subject responded and engaged by telling me his name when I asked. I had already started thinking about how best I was going to deal with the individual and the situation. Shoplifting has been seen as a crime carried out by individuals who are afraid to carry a more serious offence (Eagan and Taylor 2010).</w:t>
      </w:r>
    </w:p>
    <w:p w14:paraId="5B334374"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4"/>
          <w:szCs w:val="24"/>
          <w:lang w:eastAsia="en-US"/>
        </w:rPr>
      </w:pPr>
      <w:r w:rsidRPr="00611A50">
        <w:rPr>
          <w:rFonts w:ascii="Calibri" w:eastAsia="Calibri" w:hAnsi="Calibri" w:cs="Times New Roman"/>
          <w:color w:val="auto"/>
          <w:kern w:val="3"/>
          <w:sz w:val="24"/>
          <w:szCs w:val="24"/>
          <w:lang w:eastAsia="en-US"/>
        </w:rPr>
        <w:t>Although not seen as a most serious crime, shoplifting has an impact on consumers as retailers increase the prices of items to counteract losses and improve their own security (Eagan and Taylor 2010). Although, this was not a major crime, I still had to investigate it fully, using the relevant training and procedures that I have been taught. As part of the investigation process, I had to consider the NDM, the police COE and the CPIA.</w:t>
      </w:r>
    </w:p>
    <w:p w14:paraId="58AF9A65"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2"/>
          <w:szCs w:val="22"/>
          <w:lang w:eastAsia="en-US"/>
        </w:rPr>
      </w:pPr>
      <w:r w:rsidRPr="00611A50">
        <w:rPr>
          <w:rFonts w:ascii="Calibri" w:eastAsia="Calibri" w:hAnsi="Calibri" w:cs="Times New Roman"/>
          <w:color w:val="auto"/>
          <w:kern w:val="3"/>
          <w:sz w:val="24"/>
          <w:szCs w:val="24"/>
          <w:lang w:eastAsia="en-US"/>
        </w:rPr>
        <w:t>Often, the role of a police officer is one where things can change very quickly, and it can be hard to separate certain thoughts if there is a lot going on at one time. The NDM is designed to structure an officer’s thinking and thought process and it should be used in every situation (College of Policing, 2014). The NDM is made up 6 separate areas:</w:t>
      </w:r>
      <w:r w:rsidRPr="00611A50">
        <w:rPr>
          <w:rFonts w:ascii="Calibri" w:eastAsia="Calibri" w:hAnsi="Calibri" w:cs="Times New Roman"/>
          <w:noProof/>
          <w:color w:val="auto"/>
          <w:kern w:val="3"/>
          <w:sz w:val="24"/>
          <w:szCs w:val="24"/>
          <w:lang w:eastAsia="en-US"/>
        </w:rPr>
        <w:drawing>
          <wp:inline distT="0" distB="0" distL="0" distR="0" wp14:anchorId="3F7D8EF5" wp14:editId="4EE219A8">
            <wp:extent cx="3905639" cy="1296955"/>
            <wp:effectExtent l="0" t="0" r="0" b="0"/>
            <wp:docPr id="178413063" name="Picture 1" descr="A white background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927886" cy="1304343"/>
                    </a:xfrm>
                    <a:prstGeom prst="rect">
                      <a:avLst/>
                    </a:prstGeom>
                    <a:noFill/>
                    <a:ln>
                      <a:noFill/>
                      <a:prstDash/>
                    </a:ln>
                  </pic:spPr>
                </pic:pic>
              </a:graphicData>
            </a:graphic>
          </wp:inline>
        </w:drawing>
      </w:r>
      <w:r w:rsidRPr="00611A50">
        <w:rPr>
          <w:rFonts w:ascii="Calibri" w:eastAsia="Calibri" w:hAnsi="Calibri" w:cs="Times New Roman"/>
          <w:color w:val="auto"/>
          <w:kern w:val="3"/>
          <w:sz w:val="24"/>
          <w:szCs w:val="24"/>
          <w:lang w:eastAsia="en-US"/>
        </w:rPr>
        <w:t>(College of Policing 2014)</w:t>
      </w:r>
    </w:p>
    <w:p w14:paraId="63C30C0D"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4"/>
          <w:szCs w:val="24"/>
          <w:lang w:eastAsia="en-US"/>
        </w:rPr>
      </w:pPr>
      <w:r w:rsidRPr="00611A50">
        <w:rPr>
          <w:rFonts w:ascii="Calibri" w:eastAsia="Calibri" w:hAnsi="Calibri" w:cs="Times New Roman"/>
          <w:color w:val="auto"/>
          <w:kern w:val="3"/>
          <w:sz w:val="24"/>
          <w:szCs w:val="24"/>
          <w:lang w:eastAsia="en-US"/>
        </w:rPr>
        <w:t>At the heart of the NDM is the code of ethics. Honman (1991) writes that ethics help justify what is considered a normal way of behaviour and quality of service provided by an individual or organisation (Butler 2002). In my role as a Police Constable, I am expected to act and conduct my work in line with the code of ethics of the organisation which I am part of. They are made up of the following policing principles:</w:t>
      </w:r>
    </w:p>
    <w:p w14:paraId="4CB23620"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4"/>
          <w:szCs w:val="24"/>
          <w:lang w:eastAsia="en-US"/>
        </w:rPr>
      </w:pPr>
      <w:r w:rsidRPr="00611A50">
        <w:rPr>
          <w:rFonts w:ascii="Calibri" w:eastAsia="Calibri" w:hAnsi="Calibri" w:cs="Times New Roman"/>
          <w:noProof/>
          <w:color w:val="auto"/>
          <w:kern w:val="3"/>
          <w:sz w:val="24"/>
          <w:szCs w:val="24"/>
          <w:lang w:eastAsia="en-US"/>
        </w:rPr>
        <w:lastRenderedPageBreak/>
        <w:drawing>
          <wp:inline distT="0" distB="0" distL="0" distR="0" wp14:anchorId="52FF14E7" wp14:editId="1ED1B7B7">
            <wp:extent cx="1067572" cy="2230016"/>
            <wp:effectExtent l="0" t="0" r="0" b="0"/>
            <wp:docPr id="2024235689" name="Picture 2"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075584" cy="2246751"/>
                    </a:xfrm>
                    <a:prstGeom prst="rect">
                      <a:avLst/>
                    </a:prstGeom>
                    <a:noFill/>
                    <a:ln>
                      <a:noFill/>
                      <a:prstDash/>
                    </a:ln>
                  </pic:spPr>
                </pic:pic>
              </a:graphicData>
            </a:graphic>
          </wp:inline>
        </w:drawing>
      </w:r>
      <w:r w:rsidRPr="00611A50">
        <w:rPr>
          <w:rFonts w:ascii="Calibri" w:eastAsia="Calibri" w:hAnsi="Calibri" w:cs="Times New Roman"/>
          <w:color w:val="auto"/>
          <w:kern w:val="3"/>
          <w:sz w:val="24"/>
          <w:szCs w:val="24"/>
          <w:lang w:eastAsia="en-US"/>
        </w:rPr>
        <w:t xml:space="preserve"> (College of Policing)</w:t>
      </w:r>
    </w:p>
    <w:p w14:paraId="6BD33693"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4"/>
          <w:szCs w:val="24"/>
          <w:lang w:eastAsia="en-US"/>
        </w:rPr>
      </w:pPr>
      <w:r w:rsidRPr="00611A50">
        <w:rPr>
          <w:rFonts w:ascii="Calibri" w:eastAsia="Calibri" w:hAnsi="Calibri" w:cs="Times New Roman"/>
          <w:color w:val="auto"/>
          <w:kern w:val="3"/>
          <w:sz w:val="24"/>
          <w:szCs w:val="24"/>
          <w:lang w:eastAsia="en-US"/>
        </w:rPr>
        <w:t>As with any incident I attend, I make sure that I act within the code of Ethics of South Wales Police, this incident involving the shoplifting was no different. After I had introduced myself to the suspect and he provided me with his name, I asked him what had happened? The security guard had told me, but I wanted to hear it from the suspects point of view. By doing so, I was being open and transparent and showing the suspect respect by listening to what he had to say. I was also being honest with the subject, I advised him that we had a call regarding him committing the offence and that I am going to speak to the security guard further, regarding the matter. The suspect was advising me that he did not do anything wrong, the security guard advised me that it was captured on CCTV for both occasions the suspect had been accused of shoplifting. Again, in line with the core principles of the COE and the NDM, I was being impartial by listening to both parties, whilst at the same time planning what I was going to do next.</w:t>
      </w:r>
    </w:p>
    <w:p w14:paraId="20E19426"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4"/>
          <w:szCs w:val="24"/>
          <w:lang w:eastAsia="en-US"/>
        </w:rPr>
      </w:pPr>
      <w:r w:rsidRPr="00611A50">
        <w:rPr>
          <w:rFonts w:ascii="Calibri" w:eastAsia="Calibri" w:hAnsi="Calibri" w:cs="Times New Roman"/>
          <w:color w:val="auto"/>
          <w:kern w:val="3"/>
          <w:sz w:val="24"/>
          <w:szCs w:val="24"/>
          <w:lang w:eastAsia="en-US"/>
        </w:rPr>
        <w:t xml:space="preserve">The next step I took was to gather information and intelligence as well as evidence regarding the suspected theft from the store. I did this by viewing the CCTV footage of the suspect on from both occasions. Both incidents were captured in full and, the suspects face was clearly visible throughout. The footage showed him placing the items in a rucksack, before making his way to the front of the store and exiting. At this point, using the NDM I had already assessed that the subject did not pose any threat or risk. I had decided that I would be arresting on two counts of shoplifting. I went back to the security office and advised the suspect that he was being placed under arrest for two counts of shoplifting. I then searched the suspect before I placed him in the police vehicle and then conveyed him to custody to book him in. I used discretion and decided not to place the subject in handcuffs as he was compliant and did not pose a threat to me and my colleagues. I then reviewed the incident </w:t>
      </w:r>
      <w:r w:rsidRPr="00611A50">
        <w:rPr>
          <w:rFonts w:ascii="Calibri" w:eastAsia="Calibri" w:hAnsi="Calibri" w:cs="Times New Roman"/>
          <w:color w:val="auto"/>
          <w:kern w:val="3"/>
          <w:sz w:val="24"/>
          <w:szCs w:val="24"/>
          <w:lang w:eastAsia="en-US"/>
        </w:rPr>
        <w:lastRenderedPageBreak/>
        <w:t>and prepared material to carry out an interview with the suspect. The interview enabled the suspect to relay his version of events and for me to ask questions around the offence and the points to prove.</w:t>
      </w:r>
    </w:p>
    <w:p w14:paraId="08FD3B44"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4"/>
          <w:szCs w:val="24"/>
          <w:lang w:eastAsia="en-US"/>
        </w:rPr>
      </w:pPr>
      <w:r w:rsidRPr="00611A50">
        <w:rPr>
          <w:rFonts w:ascii="Calibri" w:eastAsia="Calibri" w:hAnsi="Calibri" w:cs="Times New Roman"/>
          <w:color w:val="auto"/>
          <w:kern w:val="3"/>
          <w:sz w:val="24"/>
          <w:szCs w:val="24"/>
          <w:lang w:eastAsia="en-US"/>
        </w:rPr>
        <w:t>From the moment I turned up at the incident, right until the incident was closed, I remained professional and acted in accordance with the NDM and policing code of ethics. I was fair to the suspect, and I was open and honest with him as to why I was there, and I was respectful towards him. I remained objective and was always open with everyone involved so they knew exactly what was happening. I also showed leadership by being accountable for my actions, deciding to act the way I did, and made sure that the choice that I made in the end, was the right one. I say with confidence that I followed the NDM to the best of my ability throughout the incident. I had followed the process, investigated a crime that had taken place, gathered evidence and took witness statements from the store security guards. Regarding this incident, I was able to carry out my role to the best of my ability and make effective decisions and choices by using the NDM and having the code of ethics at the forefront of my mind.</w:t>
      </w:r>
    </w:p>
    <w:p w14:paraId="75D761C9"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b/>
          <w:bCs/>
          <w:color w:val="auto"/>
          <w:kern w:val="3"/>
          <w:sz w:val="24"/>
          <w:szCs w:val="24"/>
          <w:u w:val="single"/>
          <w:lang w:eastAsia="en-US"/>
        </w:rPr>
      </w:pPr>
    </w:p>
    <w:p w14:paraId="62CF642A"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b/>
          <w:bCs/>
          <w:color w:val="auto"/>
          <w:kern w:val="3"/>
          <w:sz w:val="24"/>
          <w:szCs w:val="24"/>
          <w:u w:val="single"/>
          <w:lang w:eastAsia="en-US"/>
        </w:rPr>
      </w:pPr>
    </w:p>
    <w:p w14:paraId="49427ABF"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b/>
          <w:bCs/>
          <w:color w:val="auto"/>
          <w:kern w:val="3"/>
          <w:sz w:val="24"/>
          <w:szCs w:val="24"/>
          <w:u w:val="single"/>
          <w:lang w:eastAsia="en-US"/>
        </w:rPr>
      </w:pPr>
    </w:p>
    <w:p w14:paraId="166BC2E9"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b/>
          <w:bCs/>
          <w:color w:val="auto"/>
          <w:kern w:val="3"/>
          <w:sz w:val="24"/>
          <w:szCs w:val="24"/>
          <w:u w:val="single"/>
          <w:lang w:eastAsia="en-US"/>
        </w:rPr>
      </w:pPr>
      <w:r w:rsidRPr="00611A50">
        <w:rPr>
          <w:rFonts w:ascii="Calibri" w:eastAsia="Calibri" w:hAnsi="Calibri" w:cs="Times New Roman"/>
          <w:b/>
          <w:bCs/>
          <w:color w:val="auto"/>
          <w:kern w:val="3"/>
          <w:sz w:val="24"/>
          <w:szCs w:val="24"/>
          <w:u w:val="single"/>
          <w:lang w:eastAsia="en-US"/>
        </w:rPr>
        <w:t>Critical Review of Criminal Procedure Investigations Act 1996 (CPIA)</w:t>
      </w:r>
    </w:p>
    <w:p w14:paraId="3F213019"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4"/>
          <w:szCs w:val="24"/>
          <w:lang w:eastAsia="en-US"/>
        </w:rPr>
      </w:pPr>
      <w:r w:rsidRPr="00611A50">
        <w:rPr>
          <w:rFonts w:ascii="Calibri" w:eastAsia="Calibri" w:hAnsi="Calibri" w:cs="Times New Roman"/>
          <w:color w:val="auto"/>
          <w:kern w:val="3"/>
          <w:sz w:val="24"/>
          <w:szCs w:val="24"/>
          <w:lang w:eastAsia="en-US"/>
        </w:rPr>
        <w:t>When a crime is a reported, I as a police officer, will carry out a criminal investigation. This type of investigation is completed by police officers with the idea that person would face criminal charges for what they have done. By investigating, an officer will attempt to ascertain if a crime has been committed and if an arrest would be carried. Officers will record any information and evidence obtained accordingly (Ministry of Justice 2020). The CPIA was created to set out universal guidelines for police officers to follow when recording and gathering investigation material that may have significance to the criminal investigation. As well as what gets disclosed to the defence for defendants and what gets labelled as not relevant to the investigation (Ministry of Justice 2020). However, there is a consensus that material classed as unused under the CPIA Act 1996 or not relevant to the investigation, can sometimes be labelled incorrectly. Therefore, evidence that should be presented to the defence is not. Whether this is in error or not (Taylor 2002).</w:t>
      </w:r>
    </w:p>
    <w:p w14:paraId="773F058C" w14:textId="77777777" w:rsidR="00611A50" w:rsidRPr="00611A50" w:rsidRDefault="00611A50" w:rsidP="00611A50">
      <w:pPr>
        <w:suppressAutoHyphens/>
        <w:overflowPunct/>
        <w:autoSpaceDE/>
        <w:adjustRightInd/>
        <w:spacing w:after="160" w:line="360" w:lineRule="auto"/>
        <w:jc w:val="both"/>
        <w:textAlignment w:val="auto"/>
        <w:rPr>
          <w:rFonts w:ascii="Calibri" w:eastAsia="Calibri" w:hAnsi="Calibri" w:cs="Times New Roman"/>
          <w:color w:val="auto"/>
          <w:kern w:val="3"/>
          <w:sz w:val="22"/>
          <w:szCs w:val="22"/>
          <w:lang w:eastAsia="en-US"/>
        </w:rPr>
      </w:pPr>
      <w:r w:rsidRPr="00611A50">
        <w:rPr>
          <w:rFonts w:ascii="Calibri" w:eastAsia="Calibri" w:hAnsi="Calibri" w:cs="Times New Roman"/>
          <w:color w:val="auto"/>
          <w:kern w:val="3"/>
          <w:sz w:val="24"/>
          <w:szCs w:val="24"/>
          <w:lang w:eastAsia="en-US"/>
        </w:rPr>
        <w:lastRenderedPageBreak/>
        <w:t>I was the officer in charge of the investigation in this case. Regarding evidence and information being gathered, all I had was the statement from the security guard and the CCTV. I also attached my arrest statement to the case file as well as a detailed update as to what actions I took and a rationale as to why. The CPIA 1996 was put in place to make sure that crimes are investigated fairy, thoroughly and those investigating remain impartial. Doing so should result in a person receiving a fair trial in court (Anderson et al 2021). In House of Lords, R v H and C (2004) it was stated that investigative material needs to be disclosed to the defence, regardless of whether it strengthens the defence. Failure to do so may result in a miscarriage of justice (</w:t>
      </w:r>
      <w:r w:rsidRPr="00611A50">
        <w:rPr>
          <w:rFonts w:ascii="Merriweather Sans" w:eastAsia="Calibri" w:hAnsi="Merriweather Sans" w:cs="Times New Roman"/>
          <w:color w:val="222222"/>
          <w:kern w:val="3"/>
          <w:sz w:val="24"/>
          <w:szCs w:val="24"/>
          <w:shd w:val="clear" w:color="auto" w:fill="FFFFFF"/>
          <w:lang w:eastAsia="en-US"/>
        </w:rPr>
        <w:t>House of Lords, </w:t>
      </w:r>
      <w:r w:rsidRPr="00611A50">
        <w:rPr>
          <w:rFonts w:ascii="Merriweather Sans" w:eastAsia="Calibri" w:hAnsi="Merriweather Sans" w:cs="Times New Roman"/>
          <w:i/>
          <w:iCs/>
          <w:color w:val="222222"/>
          <w:kern w:val="3"/>
          <w:sz w:val="24"/>
          <w:szCs w:val="24"/>
          <w:shd w:val="clear" w:color="auto" w:fill="FFFFFF"/>
          <w:lang w:eastAsia="en-US"/>
        </w:rPr>
        <w:t>R v H and C</w:t>
      </w:r>
      <w:r w:rsidRPr="00611A50">
        <w:rPr>
          <w:rFonts w:ascii="Merriweather Sans" w:eastAsia="Calibri" w:hAnsi="Merriweather Sans" w:cs="Times New Roman"/>
          <w:color w:val="222222"/>
          <w:kern w:val="3"/>
          <w:sz w:val="24"/>
          <w:szCs w:val="24"/>
          <w:shd w:val="clear" w:color="auto" w:fill="FFFFFF"/>
          <w:lang w:eastAsia="en-US"/>
        </w:rPr>
        <w:t> 2004). Failure to present such materials would also go against the policing code of ethics that should be considered every day in the policing profession. It would also reduce confidence in the criminal justice system and the Police.</w:t>
      </w:r>
    </w:p>
    <w:p w14:paraId="47C4BD3A" w14:textId="77777777" w:rsidR="00611A50" w:rsidRPr="00611A50" w:rsidRDefault="00611A50" w:rsidP="00611A50">
      <w:pPr>
        <w:suppressAutoHyphens/>
        <w:overflowPunct/>
        <w:autoSpaceDE/>
        <w:adjustRightInd/>
        <w:spacing w:after="160" w:line="360" w:lineRule="auto"/>
        <w:jc w:val="both"/>
        <w:textAlignment w:val="auto"/>
        <w:rPr>
          <w:rFonts w:ascii="Merriweather Sans" w:eastAsia="Calibri" w:hAnsi="Merriweather Sans" w:cs="Times New Roman"/>
          <w:color w:val="222222"/>
          <w:kern w:val="3"/>
          <w:sz w:val="24"/>
          <w:szCs w:val="24"/>
          <w:shd w:val="clear" w:color="auto" w:fill="FFFFFF"/>
          <w:lang w:eastAsia="en-US"/>
        </w:rPr>
      </w:pPr>
      <w:r w:rsidRPr="00611A50">
        <w:rPr>
          <w:rFonts w:ascii="Merriweather Sans" w:eastAsia="Calibri" w:hAnsi="Merriweather Sans" w:cs="Times New Roman"/>
          <w:color w:val="222222"/>
          <w:kern w:val="3"/>
          <w:sz w:val="24"/>
          <w:szCs w:val="24"/>
          <w:shd w:val="clear" w:color="auto" w:fill="FFFFFF"/>
          <w:lang w:eastAsia="en-US"/>
        </w:rPr>
        <w:t>Trying to have a system in place that presents fairness throughout the whole criminal process is a constant battle. If mistakes are made and material is not disclosed, a person who is innocent could be convicted and a person who is guilty, set free (Plotnikoff et all 2001). Any suspected miscarriages of justice are referred to the Criminal Case Review Commission (CCRC). An independent body, that carries out criminal case reviews around, potential miscarriages of justice (Gov.UK 2019).  The CCRC see many cases referred to them because of non-disclosure, so much so that these cases make up for the third largest reason for referrals to them (Plotnikoff et all 2001). Despite the CPIA being implemented to ensure that the criminal procedures and investigations are fair, mistakes are still being made.  However, having the CPIA in place allows for a more effective criminal justice system in the United Kingdom overall.</w:t>
      </w:r>
    </w:p>
    <w:p w14:paraId="619C2D2A" w14:textId="77777777" w:rsidR="00611A50" w:rsidRPr="00611A50" w:rsidRDefault="00611A50" w:rsidP="00611A50">
      <w:pPr>
        <w:suppressAutoHyphens/>
        <w:overflowPunct/>
        <w:autoSpaceDE/>
        <w:adjustRightInd/>
        <w:spacing w:after="160" w:line="360" w:lineRule="auto"/>
        <w:jc w:val="both"/>
        <w:textAlignment w:val="auto"/>
        <w:rPr>
          <w:rFonts w:ascii="Merriweather Sans" w:eastAsia="Calibri" w:hAnsi="Merriweather Sans" w:cs="Times New Roman"/>
          <w:color w:val="222222"/>
          <w:kern w:val="3"/>
          <w:sz w:val="24"/>
          <w:szCs w:val="24"/>
          <w:shd w:val="clear" w:color="auto" w:fill="FFFFFF"/>
          <w:lang w:eastAsia="en-US"/>
        </w:rPr>
      </w:pPr>
      <w:r w:rsidRPr="00611A50">
        <w:rPr>
          <w:rFonts w:ascii="Merriweather Sans" w:eastAsia="Calibri" w:hAnsi="Merriweather Sans" w:cs="Times New Roman"/>
          <w:color w:val="222222"/>
          <w:kern w:val="3"/>
          <w:sz w:val="24"/>
          <w:szCs w:val="24"/>
          <w:shd w:val="clear" w:color="auto" w:fill="FFFFFF"/>
          <w:lang w:eastAsia="en-US"/>
        </w:rPr>
        <w:t xml:space="preserve">The NDM is an essential part of policing, for me, it helps me prioritise and formulate a plan of action when I am at an incident. It provides a structure and helps me to focus. It allows for investigations to be carried out effectively and, when used effectively can ensure that nothing of </w:t>
      </w:r>
      <w:r w:rsidRPr="00611A50">
        <w:rPr>
          <w:rFonts w:ascii="Merriweather Sans" w:eastAsia="Calibri" w:hAnsi="Merriweather Sans" w:cs="Times New Roman" w:hint="eastAsia"/>
          <w:color w:val="222222"/>
          <w:kern w:val="3"/>
          <w:sz w:val="24"/>
          <w:szCs w:val="24"/>
          <w:shd w:val="clear" w:color="auto" w:fill="FFFFFF"/>
          <w:lang w:eastAsia="en-US"/>
        </w:rPr>
        <w:t>important</w:t>
      </w:r>
      <w:r w:rsidRPr="00611A50">
        <w:rPr>
          <w:rFonts w:ascii="Merriweather Sans" w:eastAsia="Calibri" w:hAnsi="Merriweather Sans" w:cs="Times New Roman"/>
          <w:color w:val="222222"/>
          <w:kern w:val="3"/>
          <w:sz w:val="24"/>
          <w:szCs w:val="24"/>
          <w:shd w:val="clear" w:color="auto" w:fill="FFFFFF"/>
          <w:lang w:eastAsia="en-US"/>
        </w:rPr>
        <w:t xml:space="preserve"> is missed. I am still in the infancy of my career, but I know the </w:t>
      </w:r>
      <w:r w:rsidRPr="00611A50">
        <w:rPr>
          <w:rFonts w:ascii="Merriweather Sans" w:eastAsia="Calibri" w:hAnsi="Merriweather Sans" w:cs="Times New Roman" w:hint="eastAsia"/>
          <w:color w:val="222222"/>
          <w:kern w:val="3"/>
          <w:sz w:val="24"/>
          <w:szCs w:val="24"/>
          <w:shd w:val="clear" w:color="auto" w:fill="FFFFFF"/>
          <w:lang w:eastAsia="en-US"/>
        </w:rPr>
        <w:t>importance</w:t>
      </w:r>
      <w:r w:rsidRPr="00611A50">
        <w:rPr>
          <w:rFonts w:ascii="Merriweather Sans" w:eastAsia="Calibri" w:hAnsi="Merriweather Sans" w:cs="Times New Roman"/>
          <w:color w:val="222222"/>
          <w:kern w:val="3"/>
          <w:sz w:val="24"/>
          <w:szCs w:val="24"/>
          <w:shd w:val="clear" w:color="auto" w:fill="FFFFFF"/>
          <w:lang w:eastAsia="en-US"/>
        </w:rPr>
        <w:t xml:space="preserve"> of both the NDM and CPIA and why it is important for the latter that all </w:t>
      </w:r>
      <w:r w:rsidRPr="00611A50">
        <w:rPr>
          <w:rFonts w:ascii="Merriweather Sans" w:eastAsia="Calibri" w:hAnsi="Merriweather Sans" w:cs="Times New Roman" w:hint="eastAsia"/>
          <w:color w:val="222222"/>
          <w:kern w:val="3"/>
          <w:sz w:val="24"/>
          <w:szCs w:val="24"/>
          <w:shd w:val="clear" w:color="auto" w:fill="FFFFFF"/>
          <w:lang w:eastAsia="en-US"/>
        </w:rPr>
        <w:t>relevant</w:t>
      </w:r>
      <w:r w:rsidRPr="00611A50">
        <w:rPr>
          <w:rFonts w:ascii="Merriweather Sans" w:eastAsia="Calibri" w:hAnsi="Merriweather Sans" w:cs="Times New Roman"/>
          <w:color w:val="222222"/>
          <w:kern w:val="3"/>
          <w:sz w:val="24"/>
          <w:szCs w:val="24"/>
          <w:shd w:val="clear" w:color="auto" w:fill="FFFFFF"/>
          <w:lang w:eastAsia="en-US"/>
        </w:rPr>
        <w:t xml:space="preserve"> information is disclosed. As works towards making the </w:t>
      </w:r>
      <w:r w:rsidRPr="00611A50">
        <w:rPr>
          <w:rFonts w:ascii="Merriweather Sans" w:eastAsia="Calibri" w:hAnsi="Merriweather Sans" w:cs="Times New Roman" w:hint="eastAsia"/>
          <w:color w:val="222222"/>
          <w:kern w:val="3"/>
          <w:sz w:val="24"/>
          <w:szCs w:val="24"/>
          <w:shd w:val="clear" w:color="auto" w:fill="FFFFFF"/>
          <w:lang w:eastAsia="en-US"/>
        </w:rPr>
        <w:t>legal</w:t>
      </w:r>
      <w:r w:rsidRPr="00611A50">
        <w:rPr>
          <w:rFonts w:ascii="Merriweather Sans" w:eastAsia="Calibri" w:hAnsi="Merriweather Sans" w:cs="Times New Roman"/>
          <w:color w:val="222222"/>
          <w:kern w:val="3"/>
          <w:sz w:val="24"/>
          <w:szCs w:val="24"/>
          <w:shd w:val="clear" w:color="auto" w:fill="FFFFFF"/>
          <w:lang w:eastAsia="en-US"/>
        </w:rPr>
        <w:t xml:space="preserve"> system a fair one. The NDM and CPIA were thought of in the incident I dealt with, and they will always be part of it, when dealing with perpetrators within the criminal justice system.</w:t>
      </w:r>
    </w:p>
    <w:p w14:paraId="363979F9" w14:textId="5DBE3410" w:rsidR="006C7CA5" w:rsidRPr="00270EEB" w:rsidRDefault="00611A50" w:rsidP="00E6298B">
      <w:pPr>
        <w:ind w:right="107"/>
        <w:jc w:val="both"/>
        <w:rPr>
          <w:sz w:val="24"/>
          <w:szCs w:val="24"/>
        </w:rPr>
      </w:pPr>
      <w:r>
        <w:rPr>
          <w:sz w:val="24"/>
          <w:szCs w:val="24"/>
        </w:rPr>
        <w:t>(word count 1820)</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02EAE6B" w14:textId="635AA4FF" w:rsidR="005C1404" w:rsidRPr="00094976" w:rsidRDefault="005C1404" w:rsidP="005C1404">
      <w:pPr>
        <w:rPr>
          <w:rFonts w:ascii="Calibri" w:hAnsi="Calibri"/>
          <w:color w:val="auto"/>
        </w:rPr>
      </w:pPr>
      <w:r w:rsidRPr="00094976">
        <w:rPr>
          <w:rFonts w:ascii="Merriweather Sans" w:hAnsi="Merriweather Sans"/>
          <w:color w:val="222222"/>
          <w:shd w:val="clear" w:color="auto" w:fill="FFFFFF"/>
        </w:rPr>
        <w:t>Anderson, P., Sampson, D. &amp; Gilroy, S. Digital investigations: relevance and confidence in disclosure. </w:t>
      </w:r>
      <w:r w:rsidRPr="00094976">
        <w:rPr>
          <w:rFonts w:ascii="Merriweather Sans" w:hAnsi="Merriweather Sans"/>
          <w:i/>
          <w:iCs/>
          <w:color w:val="222222"/>
          <w:shd w:val="clear" w:color="auto" w:fill="FFFFFF"/>
        </w:rPr>
        <w:t>ERA Forum</w:t>
      </w:r>
      <w:r w:rsidRPr="00094976">
        <w:rPr>
          <w:rFonts w:ascii="Merriweather Sans" w:hAnsi="Merriweather Sans"/>
          <w:color w:val="222222"/>
          <w:shd w:val="clear" w:color="auto" w:fill="FFFFFF"/>
        </w:rPr>
        <w:t> </w:t>
      </w:r>
      <w:r w:rsidRPr="00094976">
        <w:rPr>
          <w:rFonts w:ascii="Merriweather Sans" w:hAnsi="Merriweather Sans"/>
          <w:b/>
          <w:bCs/>
          <w:color w:val="222222"/>
          <w:shd w:val="clear" w:color="auto" w:fill="FFFFFF"/>
        </w:rPr>
        <w:t>22</w:t>
      </w:r>
      <w:r w:rsidRPr="00094976">
        <w:rPr>
          <w:rFonts w:ascii="Merriweather Sans" w:hAnsi="Merriweather Sans"/>
          <w:color w:val="222222"/>
          <w:shd w:val="clear" w:color="auto" w:fill="FFFFFF"/>
        </w:rPr>
        <w:t xml:space="preserve">, 587–599 (2021). </w:t>
      </w:r>
      <w:hyperlink r:id="rId22" w:history="1">
        <w:r w:rsidRPr="00094976">
          <w:rPr>
            <w:rStyle w:val="Hyperlink"/>
            <w:rFonts w:ascii="Merriweather Sans" w:hAnsi="Merriweather Sans"/>
            <w:shd w:val="clear" w:color="auto" w:fill="FFFFFF"/>
          </w:rPr>
          <w:t>https://doi.org/10.1007/s12027-021-00687-1</w:t>
        </w:r>
      </w:hyperlink>
      <w:r w:rsidRPr="00094976">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639D8729" w14:textId="77777777" w:rsidR="00874F8C" w:rsidRDefault="00874F8C" w:rsidP="005C1404">
      <w:pPr>
        <w:rPr>
          <w:rFonts w:ascii="Merriweather Sans" w:hAnsi="Merriweather Sans"/>
          <w:color w:val="222222"/>
          <w:shd w:val="clear" w:color="auto" w:fill="FFFFFF"/>
        </w:rPr>
      </w:pPr>
    </w:p>
    <w:p w14:paraId="29E625D3" w14:textId="5EAE9B6D"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Blumenfeld, R. (2018). </w:t>
      </w:r>
      <w:r w:rsidRPr="00094976">
        <w:rPr>
          <w:rFonts w:ascii="Merriweather Sans" w:hAnsi="Merriweather Sans"/>
          <w:i/>
          <w:iCs/>
          <w:color w:val="222222"/>
          <w:shd w:val="clear" w:color="auto" w:fill="FFFFFF"/>
        </w:rPr>
        <w:t>How To Escape The Dreaded Drama Triangle</w:t>
      </w:r>
      <w:r w:rsidRPr="00094976">
        <w:rPr>
          <w:rFonts w:ascii="Merriweather Sans" w:hAnsi="Merriweather Sans"/>
          <w:color w:val="222222"/>
          <w:shd w:val="clear" w:color="auto" w:fill="FFFFFF"/>
        </w:rPr>
        <w:t xml:space="preserve">. [online] Forbes. Available at: </w:t>
      </w:r>
      <w:hyperlink r:id="rId23" w:history="1">
        <w:r w:rsidRPr="00094976">
          <w:rPr>
            <w:rStyle w:val="Hyperlink"/>
            <w:rFonts w:ascii="Merriweather Sans" w:hAnsi="Merriweather Sans"/>
            <w:shd w:val="clear" w:color="auto" w:fill="FFFFFF"/>
          </w:rPr>
          <w:t>https://www.forbes.com/sites/remyblumenfeld/2018/12/07/how-to-transform-your-relationships-by-getting-creative/</w:t>
        </w:r>
      </w:hyperlink>
      <w:r w:rsidRPr="00094976">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34B0D7FF" w14:textId="77777777" w:rsidR="00874F8C" w:rsidRDefault="00874F8C" w:rsidP="005C1404">
      <w:pPr>
        <w:rPr>
          <w:rFonts w:ascii="Merriweather Sans" w:hAnsi="Merriweather Sans"/>
          <w:color w:val="222222"/>
          <w:shd w:val="clear" w:color="auto" w:fill="FFFFFF"/>
        </w:rPr>
      </w:pPr>
    </w:p>
    <w:p w14:paraId="7D45D927" w14:textId="2E244144"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Brown, R. (2023). Trust in the Police. </w:t>
      </w:r>
      <w:r w:rsidRPr="00094976">
        <w:rPr>
          <w:rFonts w:ascii="Merriweather Sans" w:hAnsi="Merriweather Sans"/>
          <w:i/>
          <w:iCs/>
          <w:color w:val="222222"/>
          <w:shd w:val="clear" w:color="auto" w:fill="FFFFFF"/>
        </w:rPr>
        <w:t>UK Parliament Post</w:t>
      </w:r>
      <w:r w:rsidRPr="00094976">
        <w:rPr>
          <w:rFonts w:ascii="Merriweather Sans" w:hAnsi="Merriweather Sans"/>
          <w:color w:val="222222"/>
          <w:shd w:val="clear" w:color="auto" w:fill="FFFFFF"/>
        </w:rPr>
        <w:t xml:space="preserve">, [online] 693, p.4. Available at: </w:t>
      </w:r>
      <w:hyperlink r:id="rId24" w:history="1">
        <w:r w:rsidRPr="00094976">
          <w:rPr>
            <w:rStyle w:val="Hyperlink"/>
            <w:rFonts w:ascii="Merriweather Sans" w:hAnsi="Merriweather Sans"/>
            <w:shd w:val="clear" w:color="auto" w:fill="FFFFFF"/>
          </w:rPr>
          <w:t>https://www.researchgate.net/profile/Richard-Brown-69/publication/370266238_Trust_in_the_police_-_POSTnote_693/links/6448ee70a57a53554f45d727/Trust-in-the-police-POSTnote-693.pdf</w:t>
        </w:r>
      </w:hyperlink>
      <w:r w:rsidRPr="00094976">
        <w:rPr>
          <w:rFonts w:ascii="Merriweather Sans" w:hAnsi="Merriweather Sans"/>
          <w:color w:val="222222"/>
          <w:shd w:val="clear" w:color="auto" w:fill="FFFFFF"/>
        </w:rPr>
        <w:t>.</w:t>
      </w:r>
      <w:r w:rsidR="00874F8C">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66F8765B" w14:textId="77777777" w:rsidR="00874F8C" w:rsidRDefault="00874F8C" w:rsidP="005C1404">
      <w:pPr>
        <w:rPr>
          <w:rFonts w:ascii="Merriweather Sans" w:hAnsi="Merriweather Sans"/>
          <w:color w:val="222222"/>
          <w:shd w:val="clear" w:color="auto" w:fill="FFFFFF"/>
        </w:rPr>
      </w:pPr>
    </w:p>
    <w:p w14:paraId="7BA8B4A3" w14:textId="59F4E23D"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Butler, I. (2002). A Code of Ethics for Social Work and Social Care Research. </w:t>
      </w:r>
      <w:r w:rsidRPr="00094976">
        <w:rPr>
          <w:rFonts w:ascii="Merriweather Sans" w:hAnsi="Merriweather Sans"/>
          <w:i/>
          <w:iCs/>
          <w:color w:val="222222"/>
          <w:shd w:val="clear" w:color="auto" w:fill="FFFFFF"/>
        </w:rPr>
        <w:t>British Journal of Social Work</w:t>
      </w:r>
      <w:r w:rsidRPr="00094976">
        <w:rPr>
          <w:rFonts w:ascii="Merriweather Sans" w:hAnsi="Merriweather Sans"/>
          <w:color w:val="222222"/>
          <w:shd w:val="clear" w:color="auto" w:fill="FFFFFF"/>
        </w:rPr>
        <w:t>, 32(2), pp.239–248. doi:https://doi.org/10.1093/bjsw/32.2.239.</w:t>
      </w:r>
      <w:r w:rsidR="00874F8C">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2EB43646" w14:textId="77777777" w:rsidR="00874F8C" w:rsidRDefault="00874F8C" w:rsidP="005C1404">
      <w:pPr>
        <w:rPr>
          <w:rFonts w:ascii="Merriweather Sans" w:hAnsi="Merriweather Sans"/>
          <w:color w:val="222222"/>
          <w:shd w:val="clear" w:color="auto" w:fill="FFFFFF"/>
        </w:rPr>
      </w:pPr>
    </w:p>
    <w:p w14:paraId="1226BAA4" w14:textId="22981E72"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College Of Policing (2014). </w:t>
      </w:r>
      <w:r w:rsidRPr="00094976">
        <w:rPr>
          <w:rFonts w:ascii="Merriweather Sans" w:hAnsi="Merriweather Sans"/>
          <w:i/>
          <w:iCs/>
          <w:color w:val="222222"/>
          <w:shd w:val="clear" w:color="auto" w:fill="FFFFFF"/>
        </w:rPr>
        <w:t>National Decision Model</w:t>
      </w:r>
      <w:r w:rsidRPr="00094976">
        <w:rPr>
          <w:rFonts w:ascii="Merriweather Sans" w:hAnsi="Merriweather Sans"/>
          <w:color w:val="222222"/>
          <w:shd w:val="clear" w:color="auto" w:fill="FFFFFF"/>
        </w:rPr>
        <w:t xml:space="preserve">. [online] College of Policing. Available at: </w:t>
      </w:r>
      <w:hyperlink r:id="rId25" w:history="1">
        <w:r w:rsidRPr="00094976">
          <w:rPr>
            <w:rStyle w:val="Hyperlink"/>
            <w:rFonts w:ascii="Merriweather Sans" w:hAnsi="Merriweather Sans"/>
            <w:shd w:val="clear" w:color="auto" w:fill="FFFFFF"/>
          </w:rPr>
          <w:t>https://www.college.police.uk/app/national-decision-model/national-decision-model</w:t>
        </w:r>
      </w:hyperlink>
      <w:r w:rsidRPr="00094976">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73302A85" w14:textId="77777777" w:rsidR="00874F8C" w:rsidRDefault="00874F8C" w:rsidP="005C1404">
      <w:pPr>
        <w:rPr>
          <w:rFonts w:ascii="Merriweather Sans" w:hAnsi="Merriweather Sans"/>
          <w:color w:val="222222"/>
          <w:shd w:val="clear" w:color="auto" w:fill="FFFFFF"/>
        </w:rPr>
      </w:pPr>
    </w:p>
    <w:p w14:paraId="72D2EEEE" w14:textId="40D4BE8D"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College of Policing (2021). </w:t>
      </w:r>
      <w:r w:rsidRPr="00094976">
        <w:rPr>
          <w:rFonts w:ascii="Merriweather Sans" w:hAnsi="Merriweather Sans"/>
          <w:i/>
          <w:iCs/>
          <w:color w:val="222222"/>
          <w:shd w:val="clear" w:color="auto" w:fill="FFFFFF"/>
        </w:rPr>
        <w:t>Victims’ Code for policing</w:t>
      </w:r>
      <w:r w:rsidRPr="00094976">
        <w:rPr>
          <w:rFonts w:ascii="Merriweather Sans" w:hAnsi="Merriweather Sans"/>
          <w:color w:val="222222"/>
          <w:shd w:val="clear" w:color="auto" w:fill="FFFFFF"/>
        </w:rPr>
        <w:t xml:space="preserve">. [online] College of Policing. Available at: </w:t>
      </w:r>
      <w:hyperlink r:id="rId26" w:history="1">
        <w:r w:rsidRPr="00094976">
          <w:rPr>
            <w:rStyle w:val="Hyperlink"/>
            <w:rFonts w:ascii="Merriweather Sans" w:hAnsi="Merriweather Sans"/>
            <w:shd w:val="clear" w:color="auto" w:fill="FFFFFF"/>
          </w:rPr>
          <w:t>https://www.college.police.uk/guidance/victims-code/victims-rights-policing</w:t>
        </w:r>
      </w:hyperlink>
      <w:r w:rsidRPr="00094976">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141AABE2" w14:textId="77777777" w:rsidR="00874F8C" w:rsidRDefault="00874F8C" w:rsidP="005C1404">
      <w:pPr>
        <w:rPr>
          <w:rFonts w:ascii="Merriweather Sans" w:hAnsi="Merriweather Sans"/>
          <w:color w:val="222222"/>
          <w:shd w:val="clear" w:color="auto" w:fill="FFFFFF"/>
        </w:rPr>
      </w:pPr>
    </w:p>
    <w:p w14:paraId="212519FF" w14:textId="3988A50A"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de Witte, M., Pinho, A. da S., Stams, G.-J., Moonen, X., Bos, A.E.R. and van Hooren, S. (2020). Music therapy for stress reduction: A systematic review and meta-analysis. </w:t>
      </w:r>
      <w:r w:rsidRPr="00094976">
        <w:rPr>
          <w:rFonts w:ascii="Merriweather Sans" w:hAnsi="Merriweather Sans"/>
          <w:i/>
          <w:iCs/>
          <w:color w:val="222222"/>
          <w:shd w:val="clear" w:color="auto" w:fill="FFFFFF"/>
        </w:rPr>
        <w:t>Health Psychology Review</w:t>
      </w:r>
      <w:r w:rsidRPr="00094976">
        <w:rPr>
          <w:rFonts w:ascii="Merriweather Sans" w:hAnsi="Merriweather Sans"/>
          <w:color w:val="222222"/>
          <w:shd w:val="clear" w:color="auto" w:fill="FFFFFF"/>
        </w:rPr>
        <w:t>, [online] 16(1), pp.1–26. doi:https://doi.org/10.1080/17437199.2020.1846580</w:t>
      </w:r>
      <w:r w:rsidR="00874F8C">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35EE55AB" w14:textId="77777777" w:rsidR="00874F8C" w:rsidRPr="00094976" w:rsidRDefault="00874F8C" w:rsidP="005C1404">
      <w:pPr>
        <w:rPr>
          <w:rFonts w:ascii="Merriweather Sans" w:hAnsi="Merriweather Sans"/>
          <w:color w:val="222222"/>
          <w:shd w:val="clear" w:color="auto" w:fill="FFFFFF"/>
        </w:rPr>
      </w:pPr>
    </w:p>
    <w:p w14:paraId="27631717" w14:textId="3824A6F6"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Dietrich Oberwittler and RochéS. (2019). </w:t>
      </w:r>
      <w:r w:rsidRPr="00094976">
        <w:rPr>
          <w:rFonts w:ascii="Merriweather Sans" w:hAnsi="Merriweather Sans"/>
          <w:i/>
          <w:iCs/>
          <w:color w:val="222222"/>
          <w:shd w:val="clear" w:color="auto" w:fill="FFFFFF"/>
        </w:rPr>
        <w:t>Police-citizen relations across the world : comparing sources and contexts of trust and legitimacy</w:t>
      </w:r>
      <w:r w:rsidRPr="00094976">
        <w:rPr>
          <w:rFonts w:ascii="Merriweather Sans" w:hAnsi="Merriweather Sans"/>
          <w:color w:val="222222"/>
          <w:shd w:val="clear" w:color="auto" w:fill="FFFFFF"/>
        </w:rPr>
        <w:t xml:space="preserve">. London: Routledge. </w:t>
      </w:r>
      <w:hyperlink r:id="rId27" w:history="1">
        <w:r w:rsidRPr="00094976">
          <w:rPr>
            <w:rStyle w:val="Hyperlink"/>
            <w:rFonts w:ascii="Merriweather Sans" w:hAnsi="Merriweather Sans"/>
            <w:shd w:val="clear" w:color="auto" w:fill="FFFFFF"/>
          </w:rPr>
          <w:t>Recent trends in police–citizen relations and police reform in the Uni (taylorfrancis.com)</w:t>
        </w:r>
      </w:hyperlink>
      <w:r w:rsidR="00874F8C">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440BA1D8" w14:textId="77777777" w:rsidR="00874F8C" w:rsidRPr="00094976" w:rsidRDefault="00874F8C" w:rsidP="005C1404">
      <w:pPr>
        <w:rPr>
          <w:rFonts w:ascii="Merriweather Sans" w:hAnsi="Merriweather Sans"/>
          <w:color w:val="222222"/>
          <w:shd w:val="clear" w:color="auto" w:fill="FFFFFF"/>
        </w:rPr>
      </w:pPr>
    </w:p>
    <w:p w14:paraId="1F79A3D3" w14:textId="57163CCB"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Egan, V. and Taylor, D. (2010). Shoplifting, unethical consumer behaviour, and personality. </w:t>
      </w:r>
      <w:r w:rsidRPr="00094976">
        <w:rPr>
          <w:rFonts w:ascii="Merriweather Sans" w:hAnsi="Merriweather Sans"/>
          <w:i/>
          <w:iCs/>
          <w:color w:val="222222"/>
          <w:shd w:val="clear" w:color="auto" w:fill="FFFFFF"/>
        </w:rPr>
        <w:t>Personality and Individual Differences</w:t>
      </w:r>
      <w:r w:rsidRPr="00094976">
        <w:rPr>
          <w:rFonts w:ascii="Merriweather Sans" w:hAnsi="Merriweather Sans"/>
          <w:color w:val="222222"/>
          <w:shd w:val="clear" w:color="auto" w:fill="FFFFFF"/>
        </w:rPr>
        <w:t>, 48(8), pp.878–883. doi:https://doi.org/10.1016/j.paid.2010.02.014.</w:t>
      </w:r>
      <w:r w:rsidR="00874F8C">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75B2AD68" w14:textId="77777777" w:rsidR="00874F8C" w:rsidRPr="00094976" w:rsidRDefault="00874F8C" w:rsidP="005C1404">
      <w:pPr>
        <w:rPr>
          <w:rFonts w:ascii="Merriweather Sans" w:hAnsi="Merriweather Sans"/>
          <w:color w:val="222222"/>
          <w:shd w:val="clear" w:color="auto" w:fill="FFFFFF"/>
        </w:rPr>
      </w:pPr>
    </w:p>
    <w:p w14:paraId="188EA0A9" w14:textId="0B270F31"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Equality and Human Rights Commission (2018). </w:t>
      </w:r>
      <w:r w:rsidRPr="00094976">
        <w:rPr>
          <w:rFonts w:ascii="Merriweather Sans" w:hAnsi="Merriweather Sans"/>
          <w:i/>
          <w:iCs/>
          <w:color w:val="222222"/>
          <w:shd w:val="clear" w:color="auto" w:fill="FFFFFF"/>
        </w:rPr>
        <w:t>The Human Rights Act</w:t>
      </w:r>
      <w:r w:rsidRPr="00094976">
        <w:rPr>
          <w:rFonts w:ascii="Merriweather Sans" w:hAnsi="Merriweather Sans"/>
          <w:color w:val="222222"/>
          <w:shd w:val="clear" w:color="auto" w:fill="FFFFFF"/>
        </w:rPr>
        <w:t xml:space="preserve">. [online] Equality and human rights commission. Available at: </w:t>
      </w:r>
      <w:hyperlink r:id="rId28" w:history="1">
        <w:r w:rsidR="00874F8C" w:rsidRPr="00094976">
          <w:rPr>
            <w:rStyle w:val="Hyperlink"/>
            <w:rFonts w:ascii="Merriweather Sans" w:hAnsi="Merriweather Sans"/>
            <w:shd w:val="clear" w:color="auto" w:fill="FFFFFF"/>
          </w:rPr>
          <w:t>https://www.equalityhumanrights.com/en/human-rights/human-rights-act</w:t>
        </w:r>
      </w:hyperlink>
      <w:r w:rsidRPr="00094976">
        <w:rPr>
          <w:rFonts w:ascii="Merriweather Sans" w:hAnsi="Merriweather Sans"/>
          <w:color w:val="222222"/>
          <w:shd w:val="clear" w:color="auto" w:fill="FFFFFF"/>
        </w:rPr>
        <w:t>.</w:t>
      </w:r>
      <w:r w:rsidR="00874F8C">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2E82560A" w14:textId="77777777" w:rsidR="00874F8C" w:rsidRDefault="00874F8C" w:rsidP="005C1404">
      <w:pPr>
        <w:rPr>
          <w:rFonts w:ascii="Merriweather Sans" w:hAnsi="Merriweather Sans"/>
          <w:color w:val="222222"/>
          <w:shd w:val="clear" w:color="auto" w:fill="FFFFFF"/>
        </w:rPr>
      </w:pPr>
    </w:p>
    <w:p w14:paraId="32B6200E" w14:textId="05587B64"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Fielding, N. (2005). </w:t>
      </w:r>
      <w:r w:rsidRPr="00094976">
        <w:rPr>
          <w:rFonts w:ascii="Merriweather Sans" w:hAnsi="Merriweather Sans"/>
          <w:i/>
          <w:iCs/>
          <w:color w:val="222222"/>
          <w:shd w:val="clear" w:color="auto" w:fill="FFFFFF"/>
        </w:rPr>
        <w:t>The police and social conflict</w:t>
      </w:r>
      <w:r w:rsidRPr="00094976">
        <w:rPr>
          <w:rFonts w:ascii="Merriweather Sans" w:hAnsi="Merriweather Sans"/>
          <w:color w:val="222222"/>
          <w:shd w:val="clear" w:color="auto" w:fill="FFFFFF"/>
        </w:rPr>
        <w:t xml:space="preserve">. London ; Portland, Or.: Glass House Press. PP5 </w:t>
      </w:r>
    </w:p>
    <w:p w14:paraId="4B93EF84" w14:textId="77777777" w:rsidR="00874F8C" w:rsidRDefault="00874F8C" w:rsidP="005C1404">
      <w:pPr>
        <w:rPr>
          <w:rFonts w:ascii="Merriweather Sans" w:hAnsi="Merriweather Sans"/>
          <w:color w:val="222222"/>
          <w:shd w:val="clear" w:color="auto" w:fill="FFFFFF"/>
        </w:rPr>
      </w:pPr>
    </w:p>
    <w:p w14:paraId="0FF87675" w14:textId="747E7D4D"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GOV.UK. (2019). </w:t>
      </w:r>
      <w:r w:rsidRPr="00094976">
        <w:rPr>
          <w:rFonts w:ascii="Merriweather Sans" w:hAnsi="Merriweather Sans"/>
          <w:i/>
          <w:iCs/>
          <w:color w:val="222222"/>
          <w:shd w:val="clear" w:color="auto" w:fill="FFFFFF"/>
        </w:rPr>
        <w:t>Criminal Cases Review Commission</w:t>
      </w:r>
      <w:r w:rsidRPr="00094976">
        <w:rPr>
          <w:rFonts w:ascii="Merriweather Sans" w:hAnsi="Merriweather Sans"/>
          <w:color w:val="222222"/>
          <w:shd w:val="clear" w:color="auto" w:fill="FFFFFF"/>
        </w:rPr>
        <w:t xml:space="preserve">. [online] Available at: </w:t>
      </w:r>
      <w:hyperlink r:id="rId29" w:history="1">
        <w:r w:rsidRPr="00094976">
          <w:rPr>
            <w:rStyle w:val="Hyperlink"/>
            <w:rFonts w:ascii="Merriweather Sans" w:hAnsi="Merriweather Sans"/>
            <w:shd w:val="clear" w:color="auto" w:fill="FFFFFF"/>
          </w:rPr>
          <w:t>https://www.gov.uk/government/organisations/criminal-cases-review-commission</w:t>
        </w:r>
      </w:hyperlink>
      <w:r w:rsidRPr="00094976">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3D8C16BF" w14:textId="77777777" w:rsidR="00874F8C" w:rsidRDefault="00874F8C" w:rsidP="005C1404">
      <w:pPr>
        <w:rPr>
          <w:rFonts w:ascii="Merriweather Sans" w:hAnsi="Merriweather Sans"/>
          <w:color w:val="222222"/>
          <w:shd w:val="clear" w:color="auto" w:fill="FFFFFF"/>
        </w:rPr>
      </w:pPr>
    </w:p>
    <w:p w14:paraId="49E510EA" w14:textId="30C5BD1E"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Halse, H. (2011). </w:t>
      </w:r>
      <w:r w:rsidRPr="00094976">
        <w:rPr>
          <w:rFonts w:ascii="Merriweather Sans" w:hAnsi="Merriweather Sans"/>
          <w:i/>
          <w:iCs/>
          <w:color w:val="222222"/>
          <w:shd w:val="clear" w:color="auto" w:fill="FFFFFF"/>
        </w:rPr>
        <w:t>Positive and Negative Effects of Exercise</w:t>
      </w:r>
      <w:r w:rsidRPr="00094976">
        <w:rPr>
          <w:rFonts w:ascii="Merriweather Sans" w:hAnsi="Merriweather Sans"/>
          <w:color w:val="222222"/>
          <w:shd w:val="clear" w:color="auto" w:fill="FFFFFF"/>
        </w:rPr>
        <w:t xml:space="preserve">. [online] LIVESTRONG.COM. Available at: </w:t>
      </w:r>
      <w:hyperlink r:id="rId30" w:history="1">
        <w:r w:rsidRPr="00094976">
          <w:rPr>
            <w:rStyle w:val="Hyperlink"/>
            <w:rFonts w:ascii="Merriweather Sans" w:hAnsi="Merriweather Sans"/>
            <w:shd w:val="clear" w:color="auto" w:fill="FFFFFF"/>
          </w:rPr>
          <w:t>https://www.livestrong.com/article/459374-positive-negative-effects-of-exercise/</w:t>
        </w:r>
      </w:hyperlink>
      <w:r w:rsidRPr="00094976">
        <w:rPr>
          <w:rFonts w:ascii="Merriweather Sans" w:hAnsi="Merriweather Sans"/>
          <w:color w:val="222222"/>
          <w:shd w:val="clear" w:color="auto" w:fill="FFFFFF"/>
        </w:rPr>
        <w:t>.</w:t>
      </w:r>
      <w:r w:rsidR="00874F8C">
        <w:rPr>
          <w:rFonts w:ascii="Merriweather Sans" w:hAnsi="Merriweather Sans"/>
          <w:color w:val="222222"/>
          <w:shd w:val="clear" w:color="auto" w:fill="FFFFFF"/>
        </w:rPr>
        <w:t xml:space="preserve"> </w:t>
      </w:r>
      <w:r w:rsidR="00874F8C">
        <w:rPr>
          <w:rFonts w:ascii="Merriweather Sans" w:hAnsi="Merriweather Sans"/>
          <w:color w:val="222222"/>
          <w:shd w:val="clear" w:color="auto" w:fill="FFFFFF"/>
        </w:rPr>
        <w:t>(Last accessed 25/09/23)</w:t>
      </w:r>
    </w:p>
    <w:p w14:paraId="518D2DCB" w14:textId="77777777" w:rsidR="00874F8C" w:rsidRPr="00094976" w:rsidRDefault="00874F8C" w:rsidP="005C1404">
      <w:pPr>
        <w:rPr>
          <w:rFonts w:ascii="Merriweather Sans" w:hAnsi="Merriweather Sans"/>
          <w:color w:val="222222"/>
          <w:shd w:val="clear" w:color="auto" w:fill="FFFFFF"/>
        </w:rPr>
      </w:pPr>
    </w:p>
    <w:p w14:paraId="73C6B380" w14:textId="10ED3C9D"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House of Lords, </w:t>
      </w:r>
      <w:r w:rsidRPr="00094976">
        <w:rPr>
          <w:rFonts w:ascii="Merriweather Sans" w:hAnsi="Merriweather Sans"/>
          <w:i/>
          <w:iCs/>
          <w:color w:val="222222"/>
          <w:shd w:val="clear" w:color="auto" w:fill="FFFFFF"/>
        </w:rPr>
        <w:t>R v H and C</w:t>
      </w:r>
      <w:r w:rsidRPr="00094976">
        <w:rPr>
          <w:rFonts w:ascii="Merriweather Sans" w:hAnsi="Merriweather Sans"/>
          <w:color w:val="222222"/>
          <w:shd w:val="clear" w:color="auto" w:fill="FFFFFF"/>
        </w:rPr>
        <w:t xml:space="preserve"> [2004] UKHL </w:t>
      </w:r>
      <w:hyperlink r:id="rId31" w:history="1">
        <w:r w:rsidR="00622A2F" w:rsidRPr="00094976">
          <w:rPr>
            <w:rStyle w:val="Hyperlink"/>
            <w:rFonts w:ascii="Merriweather Sans" w:hAnsi="Merriweather Sans"/>
            <w:shd w:val="clear" w:color="auto" w:fill="FFFFFF"/>
          </w:rPr>
          <w:t>https://publications.parliament.uk/pa/ld200304/ldjudgmt/jd040205/hc-1.htm</w:t>
        </w:r>
      </w:hyperlink>
      <w:r w:rsidR="00874F8C" w:rsidRPr="00094976">
        <w:rPr>
          <w:rFonts w:ascii="Merriweather Sans" w:hAnsi="Merriweather Sans"/>
          <w:color w:val="222222"/>
          <w:shd w:val="clear" w:color="auto" w:fill="FFFFFF"/>
        </w:rPr>
        <w:t>.</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33A102EF" w14:textId="77777777" w:rsidR="00874F8C" w:rsidRPr="00094976" w:rsidRDefault="00874F8C" w:rsidP="005C1404">
      <w:pPr>
        <w:rPr>
          <w:rFonts w:ascii="Merriweather Sans" w:hAnsi="Merriweather Sans"/>
          <w:color w:val="222222"/>
          <w:shd w:val="clear" w:color="auto" w:fill="FFFFFF"/>
        </w:rPr>
      </w:pPr>
    </w:p>
    <w:p w14:paraId="28E1352E" w14:textId="4738E5F9"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Jurczyk, M. (2002). Warszawa. </w:t>
      </w:r>
      <w:r w:rsidRPr="00094976">
        <w:rPr>
          <w:rFonts w:ascii="Merriweather Sans" w:hAnsi="Merriweather Sans"/>
          <w:i/>
          <w:iCs/>
          <w:color w:val="222222"/>
          <w:shd w:val="clear" w:color="auto" w:fill="FFFFFF"/>
        </w:rPr>
        <w:t>The Prison Systems Review</w:t>
      </w:r>
      <w:r w:rsidRPr="00094976">
        <w:rPr>
          <w:rFonts w:ascii="Merriweather Sans" w:hAnsi="Merriweather Sans"/>
          <w:color w:val="222222"/>
          <w:shd w:val="clear" w:color="auto" w:fill="FFFFFF"/>
        </w:rPr>
        <w:t xml:space="preserve">, [online] 116, pp.84–85. Available at: </w:t>
      </w:r>
      <w:hyperlink r:id="rId32" w:history="1">
        <w:r w:rsidR="00874F8C" w:rsidRPr="00094976">
          <w:rPr>
            <w:rStyle w:val="Hyperlink"/>
            <w:rFonts w:ascii="Merriweather Sans" w:hAnsi="Merriweather Sans"/>
            <w:shd w:val="clear" w:color="auto" w:fill="FFFFFF"/>
          </w:rPr>
          <w:t>https://www.researchgate.net/profile/Marcin-</w:t>
        </w:r>
      </w:hyperlink>
      <w:r w:rsidRPr="00094976">
        <w:rPr>
          <w:rFonts w:ascii="Merriweather Sans" w:hAnsi="Merriweather Sans"/>
          <w:color w:val="222222"/>
          <w:shd w:val="clear" w:color="auto" w:fill="FFFFFF"/>
        </w:rPr>
        <w:t xml:space="preserve">Jurczyk/publication/364311611_Security_as_a_superior_value_at_work_with_youth_offenders_a_new_perspective_for_institutional_social_rehabilitation_in_the_context_of_British_practice_approach/links/6345d3509cb4fe44f31d9886/Security-as-a-superior-value-at-work-with-youth-offenders-a-new-perspective-for-institutional-social-rehabilitation-in-the-context-of-British-practice-approach.pdf [Accessed 20 Aug. 2023]. </w:t>
      </w:r>
    </w:p>
    <w:p w14:paraId="1BE2DBDA" w14:textId="77777777" w:rsidR="00874F8C" w:rsidRPr="00094976" w:rsidRDefault="00874F8C" w:rsidP="005C1404">
      <w:pPr>
        <w:rPr>
          <w:rFonts w:ascii="Merriweather Sans" w:hAnsi="Merriweather Sans"/>
          <w:color w:val="222222"/>
          <w:shd w:val="clear" w:color="auto" w:fill="FFFFFF"/>
        </w:rPr>
      </w:pPr>
    </w:p>
    <w:p w14:paraId="62C1ECF7" w14:textId="0B16C588"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Karakurt, G., Koç, E., Katta, P., Jones, N. and Bolen, S.D. (2022). Treatments for Female Victims of Intimate Partner Violence: Systematic Review and Meta-Analysis. </w:t>
      </w:r>
      <w:r w:rsidRPr="00094976">
        <w:rPr>
          <w:rFonts w:ascii="Merriweather Sans" w:hAnsi="Merriweather Sans"/>
          <w:i/>
          <w:iCs/>
          <w:color w:val="222222"/>
          <w:shd w:val="clear" w:color="auto" w:fill="FFFFFF"/>
        </w:rPr>
        <w:t>Frontiers in Psychology</w:t>
      </w:r>
      <w:r w:rsidRPr="00094976">
        <w:rPr>
          <w:rFonts w:ascii="Merriweather Sans" w:hAnsi="Merriweather Sans"/>
          <w:color w:val="222222"/>
          <w:shd w:val="clear" w:color="auto" w:fill="FFFFFF"/>
        </w:rPr>
        <w:t>, 13. doi:https://doi.org/10.3389/fpsyg.2022.793021.</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515A349C" w14:textId="77777777" w:rsidR="00874F8C" w:rsidRPr="00094976" w:rsidRDefault="00874F8C" w:rsidP="005C1404">
      <w:pPr>
        <w:rPr>
          <w:rFonts w:ascii="Merriweather Sans" w:hAnsi="Merriweather Sans"/>
          <w:color w:val="222222"/>
          <w:shd w:val="clear" w:color="auto" w:fill="FFFFFF"/>
        </w:rPr>
      </w:pPr>
    </w:p>
    <w:p w14:paraId="44ACB5F8" w14:textId="77777777"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lastRenderedPageBreak/>
        <w:t>Khan, M., Langove, N., Shah, F. and Javid, M. (2015). The Modes of Conflicts and Managerial Leadership Styles of Managers. </w:t>
      </w:r>
      <w:r w:rsidRPr="00094976">
        <w:rPr>
          <w:rFonts w:ascii="Merriweather Sans" w:hAnsi="Merriweather Sans"/>
          <w:i/>
          <w:iCs/>
          <w:color w:val="222222"/>
          <w:shd w:val="clear" w:color="auto" w:fill="FFFFFF"/>
        </w:rPr>
        <w:t>Global Business and Management Research: An International Journal</w:t>
      </w:r>
      <w:r w:rsidRPr="00094976">
        <w:rPr>
          <w:rFonts w:ascii="Merriweather Sans" w:hAnsi="Merriweather Sans"/>
          <w:color w:val="222222"/>
          <w:shd w:val="clear" w:color="auto" w:fill="FFFFFF"/>
        </w:rPr>
        <w:t>, [online] 7(n), p.51. Available at: http://gbmrjournal.com/pdf/vol.%207%20no.%202/V7N2-6.pdf [Accessed 20 Aug. 2023].</w:t>
      </w:r>
    </w:p>
    <w:p w14:paraId="22653136" w14:textId="77777777" w:rsidR="00874F8C" w:rsidRPr="00094976" w:rsidRDefault="00874F8C" w:rsidP="005C1404">
      <w:pPr>
        <w:rPr>
          <w:rFonts w:ascii="Merriweather Sans" w:hAnsi="Merriweather Sans"/>
          <w:color w:val="222222"/>
          <w:shd w:val="clear" w:color="auto" w:fill="FFFFFF"/>
        </w:rPr>
      </w:pPr>
    </w:p>
    <w:p w14:paraId="30CDB6B3" w14:textId="61903D56" w:rsidR="005C1404" w:rsidRPr="00094976" w:rsidRDefault="005C1404" w:rsidP="005C1404">
      <w:pPr>
        <w:spacing w:after="160"/>
        <w:rPr>
          <w:rFonts w:ascii="Merriweather Sans" w:hAnsi="Merriweather Sans"/>
          <w:color w:val="222222"/>
          <w:shd w:val="clear" w:color="auto" w:fill="FFFFFF"/>
        </w:rPr>
      </w:pPr>
      <w:r w:rsidRPr="00094976">
        <w:rPr>
          <w:rFonts w:ascii="Merriweather Sans" w:hAnsi="Merriweather Sans"/>
          <w:color w:val="222222"/>
          <w:shd w:val="clear" w:color="auto" w:fill="FFFFFF"/>
        </w:rPr>
        <w:t>Maguire, E.R. and Johnson, D. (2010). Measuring public perceptions of the police. </w:t>
      </w:r>
      <w:r w:rsidRPr="00094976">
        <w:rPr>
          <w:rFonts w:ascii="Merriweather Sans" w:hAnsi="Merriweather Sans"/>
          <w:i/>
          <w:iCs/>
          <w:color w:val="222222"/>
          <w:shd w:val="clear" w:color="auto" w:fill="FFFFFF"/>
        </w:rPr>
        <w:t>Policing: An International Journal of Police Strategies &amp; Management</w:t>
      </w:r>
      <w:r w:rsidRPr="00094976">
        <w:rPr>
          <w:rFonts w:ascii="Merriweather Sans" w:hAnsi="Merriweather Sans"/>
          <w:color w:val="222222"/>
          <w:shd w:val="clear" w:color="auto" w:fill="FFFFFF"/>
        </w:rPr>
        <w:t>, 33(4), pp.703–730. doi:https://doi.org/10.1108/13639511011085097.</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5EE6AF11" w14:textId="62F0E092"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Ministry Of Justice (2020). </w:t>
      </w:r>
      <w:r w:rsidRPr="00094976">
        <w:rPr>
          <w:rFonts w:ascii="Merriweather Sans" w:hAnsi="Merriweather Sans"/>
          <w:i/>
          <w:iCs/>
          <w:color w:val="222222"/>
          <w:shd w:val="clear" w:color="auto" w:fill="FFFFFF"/>
        </w:rPr>
        <w:t>Criminal Procedure and Investigations Act 1996 (section 23(1)) Code of Practice Revised in accordance with section 25(4) of the Criminal Procedure and Investigations Act 1996 and presented to Parliament pursuant to section 25(2) of the Act</w:t>
      </w:r>
      <w:r w:rsidRPr="00094976">
        <w:rPr>
          <w:rFonts w:ascii="Merriweather Sans" w:hAnsi="Merriweather Sans"/>
          <w:color w:val="222222"/>
          <w:shd w:val="clear" w:color="auto" w:fill="FFFFFF"/>
        </w:rPr>
        <w:t xml:space="preserve">. [online] Available at: </w:t>
      </w:r>
      <w:hyperlink r:id="rId33" w:history="1">
        <w:r w:rsidRPr="00094976">
          <w:rPr>
            <w:rStyle w:val="Hyperlink"/>
            <w:rFonts w:ascii="Merriweather Sans" w:hAnsi="Merriweather Sans"/>
            <w:shd w:val="clear" w:color="auto" w:fill="FFFFFF"/>
          </w:rPr>
          <w:t>https://assets.publishing.service.gov.uk/government/uploads/system/uploads/attachment_data/file/931173/Criminal-procedure-and-investigations-act-1996.pdf</w:t>
        </w:r>
      </w:hyperlink>
      <w:r w:rsidRPr="00094976">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4DEFD5D4" w14:textId="77777777" w:rsidR="00874F8C" w:rsidRPr="00094976" w:rsidRDefault="00874F8C" w:rsidP="005C1404">
      <w:pPr>
        <w:rPr>
          <w:rFonts w:ascii="Merriweather Sans" w:hAnsi="Merriweather Sans"/>
          <w:color w:val="222222"/>
          <w:shd w:val="clear" w:color="auto" w:fill="FFFFFF"/>
        </w:rPr>
      </w:pPr>
    </w:p>
    <w:p w14:paraId="52D7084D" w14:textId="45B0DB56"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Nickerson, C. (2021). </w:t>
      </w:r>
      <w:r w:rsidRPr="00094976">
        <w:rPr>
          <w:rFonts w:ascii="Merriweather Sans" w:hAnsi="Merriweather Sans"/>
          <w:i/>
          <w:iCs/>
          <w:color w:val="222222"/>
          <w:shd w:val="clear" w:color="auto" w:fill="FFFFFF"/>
        </w:rPr>
        <w:t>Conflict Theory</w:t>
      </w:r>
      <w:r w:rsidRPr="00094976">
        <w:rPr>
          <w:rFonts w:ascii="Merriweather Sans" w:hAnsi="Merriweather Sans"/>
          <w:color w:val="222222"/>
          <w:shd w:val="clear" w:color="auto" w:fill="FFFFFF"/>
        </w:rPr>
        <w:t xml:space="preserve">. [online] Simply Psychology. Available at: </w:t>
      </w:r>
      <w:hyperlink r:id="rId34" w:history="1">
        <w:r w:rsidRPr="00094976">
          <w:rPr>
            <w:rStyle w:val="Hyperlink"/>
            <w:rFonts w:ascii="Merriweather Sans" w:hAnsi="Merriweather Sans"/>
            <w:shd w:val="clear" w:color="auto" w:fill="FFFFFF"/>
          </w:rPr>
          <w:t>https://www.simplypsychology.org/conflict-theory.html</w:t>
        </w:r>
      </w:hyperlink>
      <w:r w:rsidRPr="00094976">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47C9464C" w14:textId="77777777" w:rsidR="00874F8C" w:rsidRDefault="00874F8C" w:rsidP="005C1404">
      <w:pPr>
        <w:rPr>
          <w:rFonts w:ascii="Merriweather Sans" w:hAnsi="Merriweather Sans"/>
          <w:color w:val="222222"/>
          <w:shd w:val="clear" w:color="auto" w:fill="FFFFFF"/>
        </w:rPr>
      </w:pPr>
    </w:p>
    <w:p w14:paraId="1E6645BF" w14:textId="77777777"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Nurnisya, F.Y. (2002). CONTRIBUTION OF POLICE COMMUNICATION SKILL FOR NATIONAL REPUTATIO. </w:t>
      </w:r>
      <w:r w:rsidRPr="00094976">
        <w:rPr>
          <w:rFonts w:ascii="Merriweather Sans" w:hAnsi="Merriweather Sans"/>
          <w:i/>
          <w:iCs/>
          <w:color w:val="222222"/>
          <w:shd w:val="clear" w:color="auto" w:fill="FFFFFF"/>
        </w:rPr>
        <w:t>Asian Journal of Applied Communication</w:t>
      </w:r>
      <w:r w:rsidRPr="00094976">
        <w:rPr>
          <w:rFonts w:ascii="Merriweather Sans" w:hAnsi="Merriweather Sans"/>
          <w:color w:val="222222"/>
          <w:shd w:val="clear" w:color="auto" w:fill="FFFFFF"/>
        </w:rPr>
        <w:t>, (2), p.37. Special Issue 2, 2022 Asian Journal of Applied Communication e-ISSN: 2682-7506.</w:t>
      </w:r>
    </w:p>
    <w:p w14:paraId="548E66B5" w14:textId="77777777"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Payne, D. and Wermeling, L. (2009). Domestic Violence and the Female Victim: The Real Reason Women Stay! </w:t>
      </w:r>
      <w:r w:rsidRPr="00094976">
        <w:rPr>
          <w:rFonts w:ascii="Merriweather Sans" w:hAnsi="Merriweather Sans"/>
          <w:i/>
          <w:iCs/>
          <w:color w:val="222222"/>
          <w:shd w:val="clear" w:color="auto" w:fill="FFFFFF"/>
        </w:rPr>
        <w:t>Journal of Multicultural, Gender and Minority Studies</w:t>
      </w:r>
      <w:r w:rsidRPr="00094976">
        <w:rPr>
          <w:rFonts w:ascii="Merriweather Sans" w:hAnsi="Merriweather Sans"/>
          <w:color w:val="222222"/>
          <w:shd w:val="clear" w:color="auto" w:fill="FFFFFF"/>
        </w:rPr>
        <w:t xml:space="preserve">, 3(1), pp.1–6. </w:t>
      </w:r>
    </w:p>
    <w:p w14:paraId="7A460B86" w14:textId="77777777" w:rsidR="00874F8C" w:rsidRPr="00094976" w:rsidRDefault="00874F8C" w:rsidP="005C1404">
      <w:pPr>
        <w:rPr>
          <w:rFonts w:ascii="Merriweather Sans" w:hAnsi="Merriweather Sans"/>
          <w:color w:val="222222"/>
          <w:shd w:val="clear" w:color="auto" w:fill="FFFFFF"/>
        </w:rPr>
      </w:pPr>
    </w:p>
    <w:p w14:paraId="7607220A" w14:textId="77777777"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Plotnikoff, J. (2001). ‘A fair balance’? Evaluation of the operation of disclosure law. </w:t>
      </w:r>
      <w:r w:rsidRPr="00094976">
        <w:rPr>
          <w:rFonts w:ascii="Merriweather Sans" w:hAnsi="Merriweather Sans"/>
          <w:i/>
          <w:iCs/>
          <w:color w:val="222222"/>
          <w:shd w:val="clear" w:color="auto" w:fill="FFFFFF"/>
        </w:rPr>
        <w:t>RDS Occasional Paper </w:t>
      </w:r>
      <w:r w:rsidRPr="00094976">
        <w:rPr>
          <w:rFonts w:ascii="Merriweather Sans" w:hAnsi="Merriweather Sans"/>
          <w:color w:val="222222"/>
          <w:shd w:val="clear" w:color="auto" w:fill="FFFFFF"/>
        </w:rPr>
        <w:t xml:space="preserve">, [online] RDS Occasional Paper No 76, pp.1–154. Available at: https://www.researchgate.net/profile/Richard-Woolfson/publication/344208077_'A_fair_balance'_Evaluation_of_the_operation_of_disclosure_law/links/5f5bae4d299bf1d43cfab811/A-fair-balance-Evaluation-of-the-operation-of-disclosure-law.pdf [Accessed 21 Sep. 2023]. </w:t>
      </w:r>
    </w:p>
    <w:p w14:paraId="496E4C43" w14:textId="77777777" w:rsidR="00874F8C" w:rsidRPr="00094976" w:rsidRDefault="00874F8C" w:rsidP="005C1404">
      <w:pPr>
        <w:rPr>
          <w:rFonts w:ascii="Merriweather Sans" w:hAnsi="Merriweather Sans"/>
          <w:color w:val="222222"/>
          <w:shd w:val="clear" w:color="auto" w:fill="FFFFFF"/>
        </w:rPr>
      </w:pPr>
    </w:p>
    <w:p w14:paraId="0AB1D63E" w14:textId="76023C47" w:rsidR="005C1404" w:rsidRPr="00094976" w:rsidRDefault="005C1404" w:rsidP="005C1404">
      <w:pPr>
        <w:spacing w:after="160"/>
        <w:rPr>
          <w:rFonts w:ascii="Merriweather Sans" w:hAnsi="Merriweather Sans"/>
          <w:color w:val="222222"/>
          <w:shd w:val="clear" w:color="auto" w:fill="FFFFFF"/>
        </w:rPr>
      </w:pPr>
      <w:r w:rsidRPr="00094976">
        <w:rPr>
          <w:rFonts w:ascii="Merriweather Sans" w:hAnsi="Merriweather Sans"/>
          <w:color w:val="222222"/>
          <w:shd w:val="clear" w:color="auto" w:fill="FFFFFF"/>
        </w:rPr>
        <w:t>ResearchGate. (n.d.). </w:t>
      </w:r>
      <w:r w:rsidRPr="00094976">
        <w:rPr>
          <w:rFonts w:ascii="Merriweather Sans" w:hAnsi="Merriweather Sans"/>
          <w:i/>
          <w:iCs/>
          <w:color w:val="222222"/>
          <w:shd w:val="clear" w:color="auto" w:fill="FFFFFF"/>
        </w:rPr>
        <w:t>(PDF) Stress Management: Concept and Approaches</w:t>
      </w:r>
      <w:r w:rsidRPr="00094976">
        <w:rPr>
          <w:rFonts w:ascii="Merriweather Sans" w:hAnsi="Merriweather Sans"/>
          <w:color w:val="222222"/>
          <w:shd w:val="clear" w:color="auto" w:fill="FFFFFF"/>
        </w:rPr>
        <w:t xml:space="preserve">. [online] Available at: </w:t>
      </w:r>
      <w:hyperlink r:id="rId35" w:history="1">
        <w:r w:rsidRPr="00094976">
          <w:rPr>
            <w:rStyle w:val="Hyperlink"/>
            <w:rFonts w:ascii="Merriweather Sans" w:hAnsi="Merriweather Sans"/>
            <w:shd w:val="clear" w:color="auto" w:fill="FFFFFF"/>
          </w:rPr>
          <w:t>https://www.researchgate.net/publication/326681887_Stress_Management_Concept_and_Approaches</w:t>
        </w:r>
      </w:hyperlink>
      <w:r w:rsidRPr="00094976">
        <w:rPr>
          <w:rFonts w:ascii="Merriweather Sans" w:hAnsi="Merriweather Sans"/>
          <w:color w:val="222222"/>
          <w:shd w:val="clear" w:color="auto" w:fill="FFFFFF"/>
        </w:rPr>
        <w:t>.</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6374BEB2" w14:textId="77777777"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Revolution Learning and Development (2023). </w:t>
      </w:r>
      <w:r w:rsidRPr="00094976">
        <w:rPr>
          <w:rFonts w:ascii="Merriweather Sans" w:hAnsi="Merriweather Sans"/>
          <w:i/>
          <w:iCs/>
          <w:color w:val="222222"/>
          <w:shd w:val="clear" w:color="auto" w:fill="FFFFFF"/>
        </w:rPr>
        <w:t>The Betari Box Model - Wellbeing Articles</w:t>
      </w:r>
      <w:r w:rsidRPr="00094976">
        <w:rPr>
          <w:rFonts w:ascii="Merriweather Sans" w:hAnsi="Merriweather Sans"/>
          <w:color w:val="222222"/>
          <w:shd w:val="clear" w:color="auto" w:fill="FFFFFF"/>
        </w:rPr>
        <w:t xml:space="preserve">. [online] www.revolutionlearning.co.uk. Available at: </w:t>
      </w:r>
      <w:hyperlink r:id="rId36" w:history="1">
        <w:r w:rsidRPr="00094976">
          <w:rPr>
            <w:rStyle w:val="Hyperlink"/>
            <w:rFonts w:ascii="Merriweather Sans" w:hAnsi="Merriweather Sans"/>
            <w:shd w:val="clear" w:color="auto" w:fill="FFFFFF"/>
          </w:rPr>
          <w:t>https://www.revolutionlearning.co.uk/article/the-betari-box-model/</w:t>
        </w:r>
      </w:hyperlink>
      <w:r w:rsidRPr="00094976">
        <w:rPr>
          <w:rFonts w:ascii="Merriweather Sans" w:hAnsi="Merriweather Sans"/>
          <w:color w:val="222222"/>
          <w:shd w:val="clear" w:color="auto" w:fill="FFFFFF"/>
        </w:rPr>
        <w:t xml:space="preserve"> </w:t>
      </w:r>
    </w:p>
    <w:p w14:paraId="10C49905" w14:textId="0644E42E" w:rsidR="005C1404" w:rsidRPr="00094976" w:rsidRDefault="005C1404" w:rsidP="005C1404">
      <w:pPr>
        <w:spacing w:after="160"/>
        <w:rPr>
          <w:rFonts w:ascii="Merriweather Sans" w:hAnsi="Merriweather Sans"/>
          <w:color w:val="222222"/>
          <w:shd w:val="clear" w:color="auto" w:fill="FFFFFF"/>
        </w:rPr>
      </w:pPr>
      <w:r w:rsidRPr="00094976">
        <w:rPr>
          <w:rFonts w:ascii="Merriweather Sans" w:hAnsi="Merriweather Sans"/>
          <w:color w:val="222222"/>
          <w:shd w:val="clear" w:color="auto" w:fill="FFFFFF"/>
        </w:rPr>
        <w:t>Robbins, R., McLaughlin, H., Banks, C., Bellamy, C. and Thackray, D. (2014). Domestic violence and multi-agency risk assessment conferences (MARACs): a scoping review. </w:t>
      </w:r>
      <w:r w:rsidRPr="00094976">
        <w:rPr>
          <w:rFonts w:ascii="Merriweather Sans" w:hAnsi="Merriweather Sans"/>
          <w:i/>
          <w:iCs/>
          <w:color w:val="222222"/>
          <w:shd w:val="clear" w:color="auto" w:fill="FFFFFF"/>
        </w:rPr>
        <w:t>The Journal of Adult Protection</w:t>
      </w:r>
      <w:r w:rsidRPr="00094976">
        <w:rPr>
          <w:rFonts w:ascii="Merriweather Sans" w:hAnsi="Merriweather Sans"/>
          <w:color w:val="222222"/>
          <w:shd w:val="clear" w:color="auto" w:fill="FFFFFF"/>
        </w:rPr>
        <w:t xml:space="preserve">, 16(6), pp.389–398. doi:https://doi.org/10.1108/jap-03-2014-0012. </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612F0CF0" w14:textId="1BF27E66" w:rsidR="005C1404" w:rsidRPr="00094976" w:rsidRDefault="005C1404" w:rsidP="005C1404">
      <w:pPr>
        <w:spacing w:after="160"/>
        <w:rPr>
          <w:rFonts w:ascii="Merriweather Sans" w:hAnsi="Merriweather Sans"/>
          <w:color w:val="222222"/>
          <w:shd w:val="clear" w:color="auto" w:fill="FFFFFF"/>
        </w:rPr>
      </w:pPr>
      <w:r w:rsidRPr="00094976">
        <w:rPr>
          <w:rFonts w:ascii="Merriweather Sans" w:hAnsi="Merriweather Sans"/>
          <w:color w:val="222222"/>
          <w:shd w:val="clear" w:color="auto" w:fill="FFFFFF"/>
        </w:rPr>
        <w:t>Robinson, L., Segal, J. and Smith, M. (2023). </w:t>
      </w:r>
      <w:r w:rsidRPr="00094976">
        <w:rPr>
          <w:rFonts w:ascii="Merriweather Sans" w:hAnsi="Merriweather Sans"/>
          <w:i/>
          <w:iCs/>
          <w:color w:val="222222"/>
          <w:shd w:val="clear" w:color="auto" w:fill="FFFFFF"/>
        </w:rPr>
        <w:t>The mental health benefits of exercise</w:t>
      </w:r>
      <w:r w:rsidRPr="00094976">
        <w:rPr>
          <w:rFonts w:ascii="Merriweather Sans" w:hAnsi="Merriweather Sans"/>
          <w:color w:val="222222"/>
          <w:shd w:val="clear" w:color="auto" w:fill="FFFFFF"/>
        </w:rPr>
        <w:t xml:space="preserve">. [online] Help Guide. Available at: </w:t>
      </w:r>
      <w:hyperlink r:id="rId37" w:history="1">
        <w:r w:rsidRPr="00094976">
          <w:rPr>
            <w:rStyle w:val="Hyperlink"/>
            <w:rFonts w:ascii="Merriweather Sans" w:hAnsi="Merriweather Sans"/>
            <w:shd w:val="clear" w:color="auto" w:fill="FFFFFF"/>
          </w:rPr>
          <w:t>https://www.helpguide.org/articles/healthy-living/the-mental-health-benefits-of-exercise.htm</w:t>
        </w:r>
      </w:hyperlink>
      <w:r w:rsidRPr="00094976">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65102EE6" w14:textId="6372608D"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Shaikh, B., Kahloon, A., Kazmi, M., Khalid, H., Nawaz, K., Khan, N. and Khan, S. (2004). Students, Stress and Coping Strategies: A Case of Pakistani Medical School. </w:t>
      </w:r>
      <w:r w:rsidRPr="00094976">
        <w:rPr>
          <w:rFonts w:ascii="Merriweather Sans" w:hAnsi="Merriweather Sans"/>
          <w:i/>
          <w:iCs/>
          <w:color w:val="222222"/>
          <w:shd w:val="clear" w:color="auto" w:fill="FFFFFF"/>
        </w:rPr>
        <w:t>Education for Health: Change in Learning &amp; Practice</w:t>
      </w:r>
      <w:r w:rsidRPr="00094976">
        <w:rPr>
          <w:rFonts w:ascii="Merriweather Sans" w:hAnsi="Merriweather Sans"/>
          <w:color w:val="222222"/>
          <w:shd w:val="clear" w:color="auto" w:fill="FFFFFF"/>
        </w:rPr>
        <w:t xml:space="preserve">, [online] 17(3), pp.346–353. doi:https://doi.org/10.1080/13576280400002585. </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15B171FF" w14:textId="77777777" w:rsidR="00622A2F" w:rsidRPr="00094976" w:rsidRDefault="00622A2F" w:rsidP="005C1404">
      <w:pPr>
        <w:rPr>
          <w:rFonts w:ascii="Merriweather Sans" w:hAnsi="Merriweather Sans"/>
          <w:color w:val="222222"/>
          <w:shd w:val="clear" w:color="auto" w:fill="FFFFFF"/>
        </w:rPr>
      </w:pPr>
    </w:p>
    <w:p w14:paraId="38E413FB" w14:textId="77777777"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Shmelev, I. (2015). BEYOND THE DRAMA TRIANGLE: THE OVERCOMING SELF. </w:t>
      </w:r>
      <w:r w:rsidRPr="00094976">
        <w:rPr>
          <w:rFonts w:ascii="Merriweather Sans" w:hAnsi="Merriweather Sans"/>
          <w:i/>
          <w:iCs/>
          <w:color w:val="222222"/>
          <w:shd w:val="clear" w:color="auto" w:fill="FFFFFF"/>
        </w:rPr>
        <w:t>Psychology. Journal of the Higher School of Economics.</w:t>
      </w:r>
      <w:r w:rsidRPr="00094976">
        <w:rPr>
          <w:rFonts w:ascii="Merriweather Sans" w:hAnsi="Merriweather Sans"/>
          <w:color w:val="222222"/>
          <w:shd w:val="clear" w:color="auto" w:fill="FFFFFF"/>
        </w:rPr>
        <w:t>, [online] 12(2), p.134. Available at: https://psy-journal.hse.ru/data/2015/11/16/1081314107/PJHSE_2_2015_133_149.pdf [Accessed 20 Aug. 2023].</w:t>
      </w:r>
    </w:p>
    <w:p w14:paraId="3395D92A" w14:textId="77777777" w:rsidR="00874F8C" w:rsidRPr="00094976" w:rsidRDefault="00874F8C" w:rsidP="005C1404">
      <w:pPr>
        <w:rPr>
          <w:rFonts w:ascii="Merriweather Sans" w:hAnsi="Merriweather Sans"/>
          <w:color w:val="222222"/>
          <w:shd w:val="clear" w:color="auto" w:fill="FFFFFF"/>
        </w:rPr>
      </w:pPr>
    </w:p>
    <w:p w14:paraId="20DF69A4" w14:textId="2808FE78"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Simmonds, L. (2013). Lost in transition? The changing face of Victim Support. </w:t>
      </w:r>
      <w:r w:rsidRPr="00094976">
        <w:rPr>
          <w:rFonts w:ascii="Merriweather Sans" w:hAnsi="Merriweather Sans"/>
          <w:i/>
          <w:iCs/>
          <w:color w:val="222222"/>
          <w:shd w:val="clear" w:color="auto" w:fill="FFFFFF"/>
        </w:rPr>
        <w:t>International Review of Victimology</w:t>
      </w:r>
      <w:r w:rsidRPr="00094976">
        <w:rPr>
          <w:rFonts w:ascii="Merriweather Sans" w:hAnsi="Merriweather Sans"/>
          <w:color w:val="222222"/>
          <w:shd w:val="clear" w:color="auto" w:fill="FFFFFF"/>
        </w:rPr>
        <w:t>, 19(2), pp.201–217. doi:https://doi.org/10.1177/0269758012472776.</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657CD63C" w14:textId="77777777" w:rsidR="00874F8C" w:rsidRPr="00094976" w:rsidRDefault="00874F8C" w:rsidP="005C1404">
      <w:pPr>
        <w:rPr>
          <w:rFonts w:ascii="Merriweather Sans" w:hAnsi="Merriweather Sans"/>
          <w:color w:val="222222"/>
          <w:shd w:val="clear" w:color="auto" w:fill="FFFFFF"/>
        </w:rPr>
      </w:pPr>
    </w:p>
    <w:p w14:paraId="35E469CF" w14:textId="19A76F7D"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Taylor, Christopher William (2002) Detectives and disclosure: an analysis of the implementation of the disclosure provisions of the criminal procedure and investigations act 1996 by cm o</w:t>
      </w:r>
      <w:r w:rsidRPr="00094976">
        <w:rPr>
          <w:rFonts w:ascii="Merriweather Sans" w:hAnsi="Merriweather Sans"/>
          <w:color w:val="222222"/>
          <w:shd w:val="clear" w:color="auto" w:fill="FFFFFF"/>
        </w:rPr>
        <w:noBreakHyphen/>
        <w:t xml:space="preserve">cers, based on a study of operational procedure in two police force areas, Durham theses, Durham University. Available at Durham E-Theses Online: </w:t>
      </w:r>
      <w:hyperlink r:id="rId38" w:history="1">
        <w:r w:rsidRPr="00094976">
          <w:rPr>
            <w:rStyle w:val="Hyperlink"/>
            <w:rFonts w:ascii="Merriweather Sans" w:hAnsi="Merriweather Sans"/>
            <w:shd w:val="clear" w:color="auto" w:fill="FFFFFF"/>
          </w:rPr>
          <w:t>http://etheses.dur.ac.uk/4156</w:t>
        </w:r>
      </w:hyperlink>
      <w:r w:rsidRPr="00094976">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7E7560B1" w14:textId="77777777" w:rsidR="00874F8C" w:rsidRPr="00094976" w:rsidRDefault="00874F8C" w:rsidP="005C1404">
      <w:pPr>
        <w:rPr>
          <w:rFonts w:ascii="Merriweather Sans" w:hAnsi="Merriweather Sans"/>
          <w:color w:val="222222"/>
          <w:shd w:val="clear" w:color="auto" w:fill="FFFFFF"/>
        </w:rPr>
      </w:pPr>
    </w:p>
    <w:p w14:paraId="16BBEAA4" w14:textId="320676C2" w:rsidR="005C1404" w:rsidRPr="00094976" w:rsidRDefault="005C1404" w:rsidP="005C1404">
      <w:pPr>
        <w:spacing w:after="160"/>
        <w:rPr>
          <w:rFonts w:ascii="Merriweather Sans" w:hAnsi="Merriweather Sans"/>
          <w:color w:val="222222"/>
          <w:shd w:val="clear" w:color="auto" w:fill="FFFFFF"/>
        </w:rPr>
      </w:pPr>
      <w:r w:rsidRPr="00094976">
        <w:rPr>
          <w:rFonts w:ascii="Merriweather Sans" w:hAnsi="Merriweather Sans"/>
          <w:color w:val="222222"/>
          <w:shd w:val="clear" w:color="auto" w:fill="FFFFFF"/>
        </w:rPr>
        <w:t>Timmins, S. (2018). </w:t>
      </w:r>
      <w:r w:rsidRPr="00094976">
        <w:rPr>
          <w:rFonts w:ascii="Merriweather Sans" w:hAnsi="Merriweather Sans"/>
          <w:i/>
          <w:iCs/>
          <w:color w:val="222222"/>
          <w:shd w:val="clear" w:color="auto" w:fill="FFFFFF"/>
        </w:rPr>
        <w:t>Why reading can be good for mental health</w:t>
      </w:r>
      <w:r w:rsidRPr="00094976">
        <w:rPr>
          <w:rFonts w:ascii="Merriweather Sans" w:hAnsi="Merriweather Sans"/>
          <w:color w:val="222222"/>
          <w:shd w:val="clear" w:color="auto" w:fill="FFFFFF"/>
        </w:rPr>
        <w:t xml:space="preserve">. [online] MHFA Portal. Available at: </w:t>
      </w:r>
      <w:hyperlink r:id="rId39" w:history="1">
        <w:r w:rsidRPr="00094976">
          <w:rPr>
            <w:rStyle w:val="Hyperlink"/>
            <w:rFonts w:ascii="Merriweather Sans" w:hAnsi="Merriweather Sans"/>
            <w:shd w:val="clear" w:color="auto" w:fill="FFFFFF"/>
          </w:rPr>
          <w:t>https://mhfaengland.org/mhfa-centre/blog/reading-good-mental-health/</w:t>
        </w:r>
      </w:hyperlink>
      <w:r w:rsidRPr="00094976">
        <w:rPr>
          <w:rFonts w:ascii="Merriweather Sans" w:hAnsi="Merriweather Sans"/>
          <w:color w:val="222222"/>
          <w:shd w:val="clear" w:color="auto" w:fill="FFFFFF"/>
        </w:rPr>
        <w:t>.</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42255125" w14:textId="3D06CA2B" w:rsidR="005C1404" w:rsidRPr="00094976" w:rsidRDefault="005C1404" w:rsidP="005C1404">
      <w:pPr>
        <w:spacing w:after="160"/>
        <w:rPr>
          <w:rFonts w:ascii="Merriweather Sans" w:hAnsi="Merriweather Sans"/>
          <w:color w:val="222222"/>
          <w:shd w:val="clear" w:color="auto" w:fill="FFFFFF"/>
        </w:rPr>
      </w:pPr>
      <w:bookmarkStart w:id="0" w:name="_Hlk143271592"/>
      <w:r w:rsidRPr="00094976">
        <w:rPr>
          <w:rFonts w:ascii="Merriweather Sans" w:hAnsi="Merriweather Sans"/>
          <w:color w:val="222222"/>
          <w:shd w:val="clear" w:color="auto" w:fill="FFFFFF"/>
        </w:rPr>
        <w:lastRenderedPageBreak/>
        <w:t>tyonote. (2021)</w:t>
      </w:r>
      <w:bookmarkEnd w:id="0"/>
      <w:r w:rsidRPr="00094976">
        <w:rPr>
          <w:rFonts w:ascii="Merriweather Sans" w:hAnsi="Merriweather Sans"/>
          <w:color w:val="222222"/>
          <w:shd w:val="clear" w:color="auto" w:fill="FFFFFF"/>
        </w:rPr>
        <w:t>. </w:t>
      </w:r>
      <w:r w:rsidRPr="00094976">
        <w:rPr>
          <w:rFonts w:ascii="Merriweather Sans" w:hAnsi="Merriweather Sans"/>
          <w:i/>
          <w:iCs/>
          <w:color w:val="222222"/>
          <w:shd w:val="clear" w:color="auto" w:fill="FFFFFF"/>
        </w:rPr>
        <w:t>Conflict: Definition, Features, Views, Types, Causes (Explained)</w:t>
      </w:r>
      <w:r w:rsidRPr="00094976">
        <w:rPr>
          <w:rFonts w:ascii="Merriweather Sans" w:hAnsi="Merriweather Sans"/>
          <w:color w:val="222222"/>
          <w:shd w:val="clear" w:color="auto" w:fill="FFFFFF"/>
        </w:rPr>
        <w:t xml:space="preserve">. [online] Available at: </w:t>
      </w:r>
      <w:hyperlink r:id="rId40" w:history="1">
        <w:r w:rsidRPr="00094976">
          <w:rPr>
            <w:rStyle w:val="Hyperlink"/>
            <w:rFonts w:ascii="Merriweather Sans" w:hAnsi="Merriweather Sans"/>
            <w:shd w:val="clear" w:color="auto" w:fill="FFFFFF"/>
          </w:rPr>
          <w:t>https://tyonote.com/conflict/</w:t>
        </w:r>
      </w:hyperlink>
      <w:r w:rsidRPr="00094976">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2CA6E1CB" w14:textId="6E695FB0" w:rsidR="005C1404" w:rsidRPr="00094976" w:rsidRDefault="005C1404" w:rsidP="005C1404">
      <w:pPr>
        <w:spacing w:after="160"/>
        <w:rPr>
          <w:rFonts w:ascii="Merriweather Sans" w:hAnsi="Merriweather Sans"/>
          <w:color w:val="222222"/>
          <w:shd w:val="clear" w:color="auto" w:fill="FFFFFF"/>
        </w:rPr>
      </w:pPr>
      <w:r w:rsidRPr="00094976">
        <w:rPr>
          <w:rFonts w:ascii="Merriweather Sans" w:hAnsi="Merriweather Sans"/>
          <w:color w:val="222222"/>
          <w:shd w:val="clear" w:color="auto" w:fill="FFFFFF"/>
        </w:rPr>
        <w:t>Waldrop, A.E. and Resick, P.A. (2004). Coping Among Adult Female Victims of Domestic Violence. </w:t>
      </w:r>
      <w:r w:rsidRPr="00094976">
        <w:rPr>
          <w:rFonts w:ascii="Merriweather Sans" w:hAnsi="Merriweather Sans"/>
          <w:i/>
          <w:iCs/>
          <w:color w:val="222222"/>
          <w:shd w:val="clear" w:color="auto" w:fill="FFFFFF"/>
        </w:rPr>
        <w:t>Journal of Family Violence</w:t>
      </w:r>
      <w:r w:rsidRPr="00094976">
        <w:rPr>
          <w:rFonts w:ascii="Merriweather Sans" w:hAnsi="Merriweather Sans"/>
          <w:color w:val="222222"/>
          <w:shd w:val="clear" w:color="auto" w:fill="FFFFFF"/>
        </w:rPr>
        <w:t>, 19(5), pp.291–302. doi:https://doi.org/10.1023/b:jofv.0000042079.91846.68.</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1930EB0F" w14:textId="5B88D6C6" w:rsidR="005C1404" w:rsidRPr="00094976" w:rsidRDefault="005C1404" w:rsidP="005C1404">
      <w:pPr>
        <w:spacing w:after="160"/>
        <w:rPr>
          <w:rFonts w:ascii="Merriweather Sans" w:hAnsi="Merriweather Sans"/>
          <w:color w:val="222222"/>
          <w:shd w:val="clear" w:color="auto" w:fill="FFFFFF"/>
        </w:rPr>
      </w:pPr>
      <w:r w:rsidRPr="00094976">
        <w:rPr>
          <w:rFonts w:ascii="Merriweather Sans" w:hAnsi="Merriweather Sans"/>
          <w:color w:val="222222"/>
          <w:shd w:val="clear" w:color="auto" w:fill="FFFFFF"/>
        </w:rPr>
        <w:t>Wilding, M. (2021). </w:t>
      </w:r>
      <w:r w:rsidRPr="00094976">
        <w:rPr>
          <w:rFonts w:ascii="Merriweather Sans" w:hAnsi="Merriweather Sans"/>
          <w:i/>
          <w:iCs/>
          <w:color w:val="222222"/>
          <w:shd w:val="clear" w:color="auto" w:fill="FFFFFF"/>
        </w:rPr>
        <w:t>How to Stop Overthinking Everything</w:t>
      </w:r>
      <w:r w:rsidRPr="00094976">
        <w:rPr>
          <w:rFonts w:ascii="Merriweather Sans" w:hAnsi="Merriweather Sans"/>
          <w:color w:val="222222"/>
          <w:shd w:val="clear" w:color="auto" w:fill="FFFFFF"/>
        </w:rPr>
        <w:t xml:space="preserve">. [online] Harvard Business Review. Available at: </w:t>
      </w:r>
      <w:hyperlink r:id="rId41" w:history="1">
        <w:r w:rsidRPr="00094976">
          <w:rPr>
            <w:rStyle w:val="Hyperlink"/>
            <w:rFonts w:ascii="Merriweather Sans" w:hAnsi="Merriweather Sans"/>
            <w:shd w:val="clear" w:color="auto" w:fill="FFFFFF"/>
          </w:rPr>
          <w:t>https://hbr.org/2021/02/how-to-stop-overthinking-everything</w:t>
        </w:r>
      </w:hyperlink>
      <w:r w:rsidRPr="00094976">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04B66EC7" w14:textId="05E70B9D" w:rsidR="005C1404"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World Health Organization (2023). </w:t>
      </w:r>
      <w:r w:rsidRPr="00094976">
        <w:rPr>
          <w:rFonts w:ascii="Merriweather Sans" w:hAnsi="Merriweather Sans"/>
          <w:i/>
          <w:iCs/>
          <w:color w:val="222222"/>
          <w:shd w:val="clear" w:color="auto" w:fill="FFFFFF"/>
        </w:rPr>
        <w:t>Stress</w:t>
      </w:r>
      <w:r w:rsidRPr="00094976">
        <w:rPr>
          <w:rFonts w:ascii="Merriweather Sans" w:hAnsi="Merriweather Sans"/>
          <w:color w:val="222222"/>
          <w:shd w:val="clear" w:color="auto" w:fill="FFFFFF"/>
        </w:rPr>
        <w:t xml:space="preserve">. [online] www.who.int. Available at: </w:t>
      </w:r>
      <w:hyperlink r:id="rId42" w:history="1">
        <w:r w:rsidRPr="00094976">
          <w:rPr>
            <w:rStyle w:val="Hyperlink"/>
            <w:rFonts w:ascii="Merriweather Sans" w:hAnsi="Merriweather Sans"/>
            <w:shd w:val="clear" w:color="auto" w:fill="FFFFFF"/>
          </w:rPr>
          <w:t>https://www.who.int/news-room/questions-and-answers/item/stress</w:t>
        </w:r>
      </w:hyperlink>
      <w:r w:rsidRPr="00094976">
        <w:rPr>
          <w:rFonts w:ascii="Merriweather Sans" w:hAnsi="Merriweather Sans"/>
          <w:color w:val="222222"/>
          <w:shd w:val="clear" w:color="auto" w:fill="FFFFFF"/>
        </w:rPr>
        <w:t>.</w:t>
      </w:r>
      <w:r w:rsidR="00622A2F">
        <w:rPr>
          <w:rFonts w:ascii="Merriweather Sans" w:hAnsi="Merriweather Sans"/>
          <w:color w:val="222222"/>
          <w:shd w:val="clear" w:color="auto" w:fill="FFFFFF"/>
        </w:rPr>
        <w:t xml:space="preserve"> </w:t>
      </w:r>
      <w:r w:rsidR="00622A2F">
        <w:rPr>
          <w:rFonts w:ascii="Merriweather Sans" w:hAnsi="Merriweather Sans"/>
          <w:color w:val="222222"/>
          <w:shd w:val="clear" w:color="auto" w:fill="FFFFFF"/>
        </w:rPr>
        <w:t>(Last accessed 25/09/23)</w:t>
      </w:r>
    </w:p>
    <w:p w14:paraId="5C7FF7EC" w14:textId="77777777" w:rsidR="00622A2F" w:rsidRPr="00094976" w:rsidRDefault="00622A2F" w:rsidP="005C1404">
      <w:pPr>
        <w:rPr>
          <w:rFonts w:ascii="Merriweather Sans" w:hAnsi="Merriweather Sans"/>
          <w:color w:val="222222"/>
          <w:shd w:val="clear" w:color="auto" w:fill="FFFFFF"/>
        </w:rPr>
      </w:pPr>
    </w:p>
    <w:p w14:paraId="665D246A" w14:textId="77777777" w:rsidR="00874F8C"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www.justiceinspectorates.gov.uk. (n.d.). </w:t>
      </w:r>
      <w:r w:rsidRPr="00094976">
        <w:rPr>
          <w:rFonts w:ascii="Merriweather Sans" w:hAnsi="Merriweather Sans"/>
          <w:i/>
          <w:iCs/>
          <w:color w:val="222222"/>
          <w:shd w:val="clear" w:color="auto" w:fill="FFFFFF"/>
        </w:rPr>
        <w:t>Victim work</w:t>
      </w:r>
      <w:r w:rsidRPr="00094976">
        <w:rPr>
          <w:rFonts w:ascii="Merriweather Sans" w:hAnsi="Merriweather Sans"/>
          <w:color w:val="222222"/>
          <w:shd w:val="clear" w:color="auto" w:fill="FFFFFF"/>
        </w:rPr>
        <w:t xml:space="preserve">. [online] Available at: </w:t>
      </w:r>
    </w:p>
    <w:p w14:paraId="65C470FA" w14:textId="1E4AD48C" w:rsidR="005C1404" w:rsidRPr="00094976" w:rsidRDefault="005C1404" w:rsidP="005C1404">
      <w:pPr>
        <w:rPr>
          <w:rFonts w:ascii="Merriweather Sans" w:hAnsi="Merriweather Sans"/>
          <w:color w:val="222222"/>
          <w:shd w:val="clear" w:color="auto" w:fill="FFFFFF"/>
        </w:rPr>
      </w:pPr>
      <w:r w:rsidRPr="00094976">
        <w:rPr>
          <w:rFonts w:ascii="Merriweather Sans" w:hAnsi="Merriweather Sans"/>
          <w:color w:val="222222"/>
          <w:shd w:val="clear" w:color="auto" w:fill="FFFFFF"/>
        </w:rPr>
        <w:t xml:space="preserve">https://www.justiceinspectorates.gov.uk/hmiprobation/research/the-evidence-base-probation/specific-types-of-delivery/victim-work/#:~:text=The%20Government%E2%80%99s%20Victim%20Strategy%20%282018%29%20included%20commitments%20for [Accessed 22 Aug. 2023]. </w:t>
      </w:r>
    </w:p>
    <w:p w14:paraId="6706116D" w14:textId="77777777" w:rsidR="00390074" w:rsidRPr="005C1404" w:rsidRDefault="00390074" w:rsidP="00E6298B">
      <w:pPr>
        <w:ind w:right="107"/>
        <w:jc w:val="both"/>
        <w:rPr>
          <w:b/>
          <w:sz w:val="28"/>
          <w:szCs w:val="28"/>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10F258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51348A">
        <w:rPr>
          <w:rFonts w:eastAsia="Arial"/>
          <w:color w:val="000000" w:themeColor="text1"/>
          <w:sz w:val="24"/>
          <w:szCs w:val="24"/>
          <w:highlight w:val="yellow"/>
        </w:rPr>
        <w:t>Guy Russell</w:t>
      </w:r>
    </w:p>
    <w:p w14:paraId="5A951FC3" w14:textId="567E0F34" w:rsidR="641A9DDA" w:rsidRDefault="641A9DDA" w:rsidP="366F6C5C">
      <w:pPr>
        <w:jc w:val="both"/>
        <w:rPr>
          <w:color w:val="000000" w:themeColor="text1"/>
          <w:sz w:val="24"/>
          <w:szCs w:val="24"/>
          <w:highlight w:val="yellow"/>
        </w:rPr>
      </w:pPr>
    </w:p>
    <w:p w14:paraId="0C5B59A2" w14:textId="17DD9DB5"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51348A">
        <w:rPr>
          <w:rFonts w:eastAsia="Arial"/>
          <w:color w:val="000000" w:themeColor="text1"/>
          <w:sz w:val="24"/>
          <w:szCs w:val="24"/>
          <w:highlight w:val="yellow"/>
        </w:rPr>
        <w:t>25/09/23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7BD28" w14:textId="77777777" w:rsidR="001F3754" w:rsidRDefault="001F3754">
      <w:r>
        <w:separator/>
      </w:r>
    </w:p>
  </w:endnote>
  <w:endnote w:type="continuationSeparator" w:id="0">
    <w:p w14:paraId="6123B968" w14:textId="77777777" w:rsidR="001F3754" w:rsidRDefault="001F3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erriweather Sans">
    <w:charset w:val="00"/>
    <w:family w:val="auto"/>
    <w:pitch w:val="variable"/>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C9853" w14:textId="77777777" w:rsidR="001F3754" w:rsidRDefault="001F3754">
      <w:r>
        <w:separator/>
      </w:r>
    </w:p>
  </w:footnote>
  <w:footnote w:type="continuationSeparator" w:id="0">
    <w:p w14:paraId="05440FD1" w14:textId="77777777" w:rsidR="001F3754" w:rsidRDefault="001F3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4407034">
    <w:abstractNumId w:val="38"/>
  </w:num>
  <w:num w:numId="2" w16cid:durableId="1739858717">
    <w:abstractNumId w:val="31"/>
  </w:num>
  <w:num w:numId="3" w16cid:durableId="292757100">
    <w:abstractNumId w:val="23"/>
  </w:num>
  <w:num w:numId="4" w16cid:durableId="1385255663">
    <w:abstractNumId w:val="1"/>
    <w:lvlOverride w:ilvl="0">
      <w:lvl w:ilvl="0">
        <w:start w:val="1"/>
        <w:numFmt w:val="bullet"/>
        <w:lvlText w:val=""/>
        <w:lvlJc w:val="left"/>
        <w:pPr>
          <w:ind w:left="720" w:hanging="360"/>
        </w:pPr>
        <w:rPr>
          <w:rFonts w:ascii="Symbol" w:hAnsi="Symbol" w:hint="default"/>
        </w:rPr>
      </w:lvl>
    </w:lvlOverride>
  </w:num>
  <w:num w:numId="5" w16cid:durableId="171067011">
    <w:abstractNumId w:val="21"/>
  </w:num>
  <w:num w:numId="6" w16cid:durableId="1646931716">
    <w:abstractNumId w:val="45"/>
  </w:num>
  <w:num w:numId="7" w16cid:durableId="910237793">
    <w:abstractNumId w:val="47"/>
  </w:num>
  <w:num w:numId="8" w16cid:durableId="1188639655">
    <w:abstractNumId w:val="34"/>
  </w:num>
  <w:num w:numId="9" w16cid:durableId="54357515">
    <w:abstractNumId w:val="32"/>
  </w:num>
  <w:num w:numId="10" w16cid:durableId="901326945">
    <w:abstractNumId w:val="28"/>
  </w:num>
  <w:num w:numId="11" w16cid:durableId="86120907">
    <w:abstractNumId w:val="29"/>
  </w:num>
  <w:num w:numId="12" w16cid:durableId="539903852">
    <w:abstractNumId w:val="9"/>
  </w:num>
  <w:num w:numId="13" w16cid:durableId="73625223">
    <w:abstractNumId w:val="33"/>
  </w:num>
  <w:num w:numId="14" w16cid:durableId="1662002605">
    <w:abstractNumId w:val="16"/>
  </w:num>
  <w:num w:numId="15" w16cid:durableId="580455674">
    <w:abstractNumId w:val="15"/>
  </w:num>
  <w:num w:numId="16" w16cid:durableId="1304503750">
    <w:abstractNumId w:val="26"/>
  </w:num>
  <w:num w:numId="17" w16cid:durableId="202406346">
    <w:abstractNumId w:val="7"/>
  </w:num>
  <w:num w:numId="18" w16cid:durableId="1334719358">
    <w:abstractNumId w:val="25"/>
  </w:num>
  <w:num w:numId="19" w16cid:durableId="792021186">
    <w:abstractNumId w:val="14"/>
  </w:num>
  <w:num w:numId="20" w16cid:durableId="15665694">
    <w:abstractNumId w:val="12"/>
  </w:num>
  <w:num w:numId="21" w16cid:durableId="38799184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32669769">
    <w:abstractNumId w:val="22"/>
  </w:num>
  <w:num w:numId="23" w16cid:durableId="585311556">
    <w:abstractNumId w:val="17"/>
  </w:num>
  <w:num w:numId="24" w16cid:durableId="1976793209">
    <w:abstractNumId w:val="13"/>
  </w:num>
  <w:num w:numId="25" w16cid:durableId="456417239">
    <w:abstractNumId w:val="10"/>
  </w:num>
  <w:num w:numId="26" w16cid:durableId="44914740">
    <w:abstractNumId w:val="27"/>
  </w:num>
  <w:num w:numId="27" w16cid:durableId="1032389022">
    <w:abstractNumId w:val="18"/>
  </w:num>
  <w:num w:numId="28" w16cid:durableId="1088967750">
    <w:abstractNumId w:val="41"/>
  </w:num>
  <w:num w:numId="29" w16cid:durableId="2113280586">
    <w:abstractNumId w:val="35"/>
  </w:num>
  <w:num w:numId="30" w16cid:durableId="861625801">
    <w:abstractNumId w:val="40"/>
  </w:num>
  <w:num w:numId="31" w16cid:durableId="150566996">
    <w:abstractNumId w:val="19"/>
  </w:num>
  <w:num w:numId="32" w16cid:durableId="1294022981">
    <w:abstractNumId w:val="43"/>
  </w:num>
  <w:num w:numId="33" w16cid:durableId="213276747">
    <w:abstractNumId w:val="30"/>
  </w:num>
  <w:num w:numId="34" w16cid:durableId="2115586472">
    <w:abstractNumId w:val="11"/>
  </w:num>
  <w:num w:numId="35" w16cid:durableId="1360543416">
    <w:abstractNumId w:val="44"/>
  </w:num>
  <w:num w:numId="36" w16cid:durableId="1720664549">
    <w:abstractNumId w:val="39"/>
  </w:num>
  <w:num w:numId="37" w16cid:durableId="1945842199">
    <w:abstractNumId w:val="4"/>
  </w:num>
  <w:num w:numId="38" w16cid:durableId="825167127">
    <w:abstractNumId w:val="46"/>
  </w:num>
  <w:num w:numId="39" w16cid:durableId="1369066694">
    <w:abstractNumId w:val="42"/>
  </w:num>
  <w:num w:numId="40" w16cid:durableId="350647417">
    <w:abstractNumId w:val="36"/>
  </w:num>
  <w:num w:numId="41" w16cid:durableId="1744332335">
    <w:abstractNumId w:val="37"/>
  </w:num>
  <w:num w:numId="42" w16cid:durableId="959609307">
    <w:abstractNumId w:val="3"/>
  </w:num>
  <w:num w:numId="43" w16cid:durableId="1209994480">
    <w:abstractNumId w:val="5"/>
  </w:num>
  <w:num w:numId="44" w16cid:durableId="264848491">
    <w:abstractNumId w:val="24"/>
  </w:num>
  <w:num w:numId="45" w16cid:durableId="1744719629">
    <w:abstractNumId w:val="6"/>
  </w:num>
  <w:num w:numId="46" w16cid:durableId="672878255">
    <w:abstractNumId w:val="2"/>
  </w:num>
  <w:num w:numId="47" w16cid:durableId="526991879">
    <w:abstractNumId w:val="0"/>
  </w:num>
  <w:num w:numId="48" w16cid:durableId="201596618">
    <w:abstractNumId w:val="20"/>
  </w:num>
  <w:num w:numId="49" w16cid:durableId="846359113">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3754"/>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2AFC"/>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0644F"/>
    <w:rsid w:val="0051348A"/>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0A96"/>
    <w:rsid w:val="00581E0A"/>
    <w:rsid w:val="00586D89"/>
    <w:rsid w:val="005916B8"/>
    <w:rsid w:val="005A1B4C"/>
    <w:rsid w:val="005A545C"/>
    <w:rsid w:val="005C1404"/>
    <w:rsid w:val="005C1567"/>
    <w:rsid w:val="005C6CE5"/>
    <w:rsid w:val="005C6E3A"/>
    <w:rsid w:val="005D3F07"/>
    <w:rsid w:val="005D6686"/>
    <w:rsid w:val="005E13EA"/>
    <w:rsid w:val="00606E27"/>
    <w:rsid w:val="006108C9"/>
    <w:rsid w:val="00611A50"/>
    <w:rsid w:val="00616D7F"/>
    <w:rsid w:val="0062158D"/>
    <w:rsid w:val="00622A2F"/>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4F8C"/>
    <w:rsid w:val="00880539"/>
    <w:rsid w:val="008859E8"/>
    <w:rsid w:val="0088737B"/>
    <w:rsid w:val="00887AD4"/>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6753"/>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023A"/>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B715C"/>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144A"/>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21216"/>
    <w:rsid w:val="00E35BEC"/>
    <w:rsid w:val="00E50821"/>
    <w:rsid w:val="00E51F91"/>
    <w:rsid w:val="00E6298B"/>
    <w:rsid w:val="00E7086E"/>
    <w:rsid w:val="00E7374A"/>
    <w:rsid w:val="00E73AA3"/>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74F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victims-code/victims-rights-policing" TargetMode="External"/><Relationship Id="rId39" Type="http://schemas.openxmlformats.org/officeDocument/2006/relationships/hyperlink" Target="https://mhfaengland.org/mhfa-centre/blog/reading-good-mental-health/" TargetMode="External"/><Relationship Id="rId21" Type="http://schemas.openxmlformats.org/officeDocument/2006/relationships/image" Target="media/image3.png"/><Relationship Id="rId34" Type="http://schemas.openxmlformats.org/officeDocument/2006/relationships/hyperlink" Target="https://www.simplypsychology.org/conflict-theory.html" TargetMode="External"/><Relationship Id="rId42" Type="http://schemas.openxmlformats.org/officeDocument/2006/relationships/hyperlink" Target="https://www.who.int/news-room/questions-and-answers/item/stres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v.uk/government/organisations/criminal-cases-review-commiss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esearchgate.net/profile/Richard-Brown-69/publication/370266238_Trust_in_the_police_-_POSTnote_693/links/6448ee70a57a53554f45d727/Trust-in-the-police-POSTnote-693.pdf" TargetMode="External"/><Relationship Id="rId32" Type="http://schemas.openxmlformats.org/officeDocument/2006/relationships/hyperlink" Target="https://www.researchgate.net/profile/Marcin-" TargetMode="External"/><Relationship Id="rId37" Type="http://schemas.openxmlformats.org/officeDocument/2006/relationships/hyperlink" Target="https://www.helpguide.org/articles/healthy-living/the-mental-health-benefits-of-exercise.htm" TargetMode="External"/><Relationship Id="rId40" Type="http://schemas.openxmlformats.org/officeDocument/2006/relationships/hyperlink" Target="https://tyonote.com/conflict/"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forbes.com/sites/remyblumenfeld/2018/12/07/how-to-transform-your-relationships-by-getting-creative/" TargetMode="External"/><Relationship Id="rId28" Type="http://schemas.openxmlformats.org/officeDocument/2006/relationships/hyperlink" Target="https://www.equalityhumanrights.com/en/human-rights/human-rights-act" TargetMode="External"/><Relationship Id="rId36" Type="http://schemas.openxmlformats.org/officeDocument/2006/relationships/hyperlink" Target="https://www.revolutionlearning.co.uk/article/the-betari-box-model/"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ublications.parliament.uk/pa/ld200304/ldjudgmt/jd040205/hc-1.htm"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oi.org/10.1007/s12027-021-00687-1" TargetMode="External"/><Relationship Id="rId27" Type="http://schemas.openxmlformats.org/officeDocument/2006/relationships/hyperlink" Target="https://www.taylorfrancis.com/chapters/edit/10.4324/9781315406664-2/recent-trends-police&#8211;citizen-relations-police-reform-united-states-ronald-weitzer?context=ubx" TargetMode="External"/><Relationship Id="rId30" Type="http://schemas.openxmlformats.org/officeDocument/2006/relationships/hyperlink" Target="https://www.livestrong.com/article/459374-positive-negative-effects-of-exercise/" TargetMode="External"/><Relationship Id="rId35" Type="http://schemas.openxmlformats.org/officeDocument/2006/relationships/hyperlink" Target="https://www.researchgate.net/publication/326681887_Stress_Management_Concept_and_Approaches"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assets.publishing.service.gov.uk/government/uploads/system/uploads/attachment_data/file/931173/Criminal-procedure-and-investigations-act-1996.pdf" TargetMode="External"/><Relationship Id="rId38" Type="http://schemas.openxmlformats.org/officeDocument/2006/relationships/hyperlink" Target="http://etheses.dur.ac.uk/4156" TargetMode="External"/><Relationship Id="rId20" Type="http://schemas.openxmlformats.org/officeDocument/2006/relationships/image" Target="media/image2.png"/><Relationship Id="rId41" Type="http://schemas.openxmlformats.org/officeDocument/2006/relationships/hyperlink" Target="https://hbr.org/2021/02/how-to-stop-overthinking-everyt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31</Pages>
  <Words>8949</Words>
  <Characters>49527</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Russell,Guy swp8532</cp:lastModifiedBy>
  <cp:revision>13</cp:revision>
  <cp:lastPrinted>2019-08-13T11:47:00Z</cp:lastPrinted>
  <dcterms:created xsi:type="dcterms:W3CDTF">2023-07-02T12:09:00Z</dcterms:created>
  <dcterms:modified xsi:type="dcterms:W3CDTF">2023-09-25T15:12:00Z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2023-07-02T12:09:20Z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c21145b9-aa69-48e3-baee-ed30fa4ddc61</vt:lpwstr>
  </property>
  <property fmtid="{D5CDD505-2E9C-101B-9397-08002B2CF9AE}" pid="9" name="MSIP_Label_66cf8fe5-b7b7-4df7-b38d-1c61ac2f6639_ContentBits">
    <vt:lpwstr>0</vt:lpwstr>
  </property>
</Properties>
</file>