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F23F0" w14:textId="21DBDF8A" w:rsidR="00222D9C" w:rsidRDefault="004C7BBA" w:rsidP="00FB5F49">
      <w:pPr>
        <w:jc w:val="both"/>
        <w:rPr>
          <w:rFonts w:ascii="Times New Roman" w:hAnsi="Times New Roman" w:cs="Times New Roman"/>
          <w:b/>
          <w:sz w:val="24"/>
          <w:szCs w:val="24"/>
          <w:u w:val="single"/>
        </w:rPr>
      </w:pPr>
      <w:r w:rsidRPr="00D45F51">
        <w:rPr>
          <w:rFonts w:ascii="Times New Roman" w:hAnsi="Times New Roman" w:cs="Times New Roman"/>
          <w:b/>
          <w:sz w:val="24"/>
          <w:szCs w:val="24"/>
          <w:u w:val="single"/>
        </w:rPr>
        <w:t xml:space="preserve">The Social Value of </w:t>
      </w:r>
      <w:r w:rsidR="0006424F">
        <w:rPr>
          <w:rFonts w:ascii="Times New Roman" w:hAnsi="Times New Roman" w:cs="Times New Roman"/>
          <w:b/>
          <w:sz w:val="24"/>
          <w:szCs w:val="24"/>
          <w:u w:val="single"/>
        </w:rPr>
        <w:t xml:space="preserve">Purity and Pollution </w:t>
      </w:r>
      <w:r w:rsidR="00D45F51" w:rsidRPr="00D45F51">
        <w:rPr>
          <w:rFonts w:ascii="Times New Roman" w:hAnsi="Times New Roman" w:cs="Times New Roman"/>
          <w:b/>
          <w:sz w:val="24"/>
          <w:szCs w:val="24"/>
          <w:u w:val="single"/>
        </w:rPr>
        <w:t>Within Early Christian History.</w:t>
      </w:r>
    </w:p>
    <w:p w14:paraId="41EF38BE" w14:textId="4C28F6AB" w:rsidR="00D45F51" w:rsidRDefault="00291F52" w:rsidP="00FB5F49">
      <w:pPr>
        <w:jc w:val="both"/>
        <w:rPr>
          <w:rFonts w:ascii="Times New Roman" w:hAnsi="Times New Roman" w:cs="Times New Roman"/>
          <w:sz w:val="24"/>
          <w:szCs w:val="24"/>
        </w:rPr>
      </w:pPr>
      <w:r>
        <w:rPr>
          <w:rFonts w:ascii="Times New Roman" w:hAnsi="Times New Roman" w:cs="Times New Roman"/>
          <w:sz w:val="24"/>
          <w:szCs w:val="24"/>
        </w:rPr>
        <w:t xml:space="preserve">In this research paper I shall be exploring and arguing my case of the social value of purity and pollution in Early Christian History. The idea I would like to express is the role purity and pollution plays in the lives of both males and females. How </w:t>
      </w:r>
      <w:r w:rsidR="00D436F5">
        <w:rPr>
          <w:rFonts w:ascii="Times New Roman" w:hAnsi="Times New Roman" w:cs="Times New Roman"/>
          <w:sz w:val="24"/>
          <w:szCs w:val="24"/>
        </w:rPr>
        <w:t>i</w:t>
      </w:r>
      <w:r w:rsidR="00B54E67">
        <w:rPr>
          <w:rFonts w:ascii="Times New Roman" w:hAnsi="Times New Roman" w:cs="Times New Roman"/>
          <w:sz w:val="24"/>
          <w:szCs w:val="24"/>
        </w:rPr>
        <w:t xml:space="preserve">n some cases, </w:t>
      </w:r>
      <w:r>
        <w:rPr>
          <w:rFonts w:ascii="Times New Roman" w:hAnsi="Times New Roman" w:cs="Times New Roman"/>
          <w:sz w:val="24"/>
          <w:szCs w:val="24"/>
        </w:rPr>
        <w:t xml:space="preserve">manipulation and control can lead to the corruption and false-hope of </w:t>
      </w:r>
      <w:r w:rsidR="00AD5197">
        <w:rPr>
          <w:rFonts w:ascii="Times New Roman" w:hAnsi="Times New Roman" w:cs="Times New Roman"/>
          <w:sz w:val="24"/>
          <w:szCs w:val="24"/>
        </w:rPr>
        <w:t xml:space="preserve">somewhat </w:t>
      </w:r>
      <w:r>
        <w:rPr>
          <w:rFonts w:ascii="Times New Roman" w:hAnsi="Times New Roman" w:cs="Times New Roman"/>
          <w:sz w:val="24"/>
          <w:szCs w:val="24"/>
        </w:rPr>
        <w:t>deemed heroes</w:t>
      </w:r>
      <w:r w:rsidR="00AD5197">
        <w:rPr>
          <w:rFonts w:ascii="Times New Roman" w:hAnsi="Times New Roman" w:cs="Times New Roman"/>
          <w:sz w:val="24"/>
          <w:szCs w:val="24"/>
        </w:rPr>
        <w:t>. With</w:t>
      </w:r>
      <w:r>
        <w:rPr>
          <w:rFonts w:ascii="Times New Roman" w:hAnsi="Times New Roman" w:cs="Times New Roman"/>
          <w:sz w:val="24"/>
          <w:szCs w:val="24"/>
        </w:rPr>
        <w:t xml:space="preserve"> Thecla and Pelagia being examples of this and what I will explore within this research paper</w:t>
      </w:r>
      <w:r w:rsidR="00B54E67">
        <w:rPr>
          <w:rFonts w:ascii="Times New Roman" w:hAnsi="Times New Roman" w:cs="Times New Roman"/>
          <w:sz w:val="24"/>
          <w:szCs w:val="24"/>
        </w:rPr>
        <w:t>, and other cases where early Christianity was an open gateway for many women (especially of the upper-class) to express themselves and have a feeling of an upper-status within society.</w:t>
      </w:r>
      <w:r w:rsidR="00B15C55">
        <w:rPr>
          <w:rFonts w:ascii="Times New Roman" w:hAnsi="Times New Roman" w:cs="Times New Roman"/>
          <w:sz w:val="24"/>
          <w:szCs w:val="24"/>
        </w:rPr>
        <w:t xml:space="preserve"> I shall </w:t>
      </w:r>
      <w:r w:rsidR="00F56C1C">
        <w:rPr>
          <w:rFonts w:ascii="Times New Roman" w:hAnsi="Times New Roman" w:cs="Times New Roman"/>
          <w:sz w:val="24"/>
          <w:szCs w:val="24"/>
        </w:rPr>
        <w:t xml:space="preserve">analyse and give argumentative exploration between the view of purity/pollution gender during the time of early Christianity, whilst also inputting my personal views on the matter. </w:t>
      </w:r>
      <w:r w:rsidR="00253169">
        <w:rPr>
          <w:rFonts w:ascii="Times New Roman" w:hAnsi="Times New Roman" w:cs="Times New Roman"/>
          <w:sz w:val="24"/>
          <w:szCs w:val="24"/>
        </w:rPr>
        <w:t xml:space="preserve">I will be doing this, to express how Christian men and women were treated during this time and to explore different views and interpretations on this subject whilst also linking further purity and pollution laws throughout this essay. </w:t>
      </w:r>
    </w:p>
    <w:p w14:paraId="2D600E5B" w14:textId="34AEC5FF" w:rsidR="00966871" w:rsidRDefault="0008001E" w:rsidP="00FB5F49">
      <w:pPr>
        <w:jc w:val="both"/>
        <w:rPr>
          <w:rFonts w:ascii="Times New Roman" w:hAnsi="Times New Roman" w:cs="Times New Roman"/>
          <w:sz w:val="24"/>
          <w:szCs w:val="24"/>
        </w:rPr>
      </w:pPr>
      <w:r>
        <w:rPr>
          <w:rFonts w:ascii="Times New Roman" w:hAnsi="Times New Roman" w:cs="Times New Roman"/>
          <w:sz w:val="24"/>
          <w:szCs w:val="24"/>
        </w:rPr>
        <w:t>I shall begin by looking at the De</w:t>
      </w:r>
      <w:r w:rsidR="00C87198">
        <w:rPr>
          <w:rFonts w:ascii="Times New Roman" w:hAnsi="Times New Roman" w:cs="Times New Roman"/>
          <w:sz w:val="24"/>
          <w:szCs w:val="24"/>
        </w:rPr>
        <w:t>Silva text in terms of purity and pollution</w:t>
      </w:r>
      <w:r w:rsidR="001A1F41">
        <w:rPr>
          <w:rFonts w:ascii="Times New Roman" w:hAnsi="Times New Roman" w:cs="Times New Roman"/>
          <w:sz w:val="24"/>
          <w:szCs w:val="24"/>
        </w:rPr>
        <w:t>. This text was written by DeSilva, to inform and explore the different social values. One being purity and pollution.</w:t>
      </w:r>
      <w:r w:rsidR="00C87198">
        <w:rPr>
          <w:rFonts w:ascii="Times New Roman" w:hAnsi="Times New Roman" w:cs="Times New Roman"/>
          <w:sz w:val="24"/>
          <w:szCs w:val="24"/>
        </w:rPr>
        <w:t xml:space="preserve"> It is described in the DeSilva text as being </w:t>
      </w:r>
      <w:r w:rsidR="00C87198">
        <w:rPr>
          <w:rStyle w:val="FootnoteReference"/>
          <w:rFonts w:ascii="Times New Roman" w:hAnsi="Times New Roman" w:cs="Times New Roman"/>
          <w:sz w:val="24"/>
          <w:szCs w:val="24"/>
        </w:rPr>
        <w:footnoteReference w:id="1"/>
      </w:r>
      <w:r w:rsidR="00C87198">
        <w:rPr>
          <w:rFonts w:ascii="Times New Roman" w:hAnsi="Times New Roman" w:cs="Times New Roman"/>
          <w:sz w:val="24"/>
          <w:szCs w:val="24"/>
        </w:rPr>
        <w:t>’frequently encounter[ed] words like holy, clean, pure, undefiled, unblemished, sanctified, saints, unholy, unclean, defiled, common’. These words embody what purity and pollution laws were back in early Christian society.</w:t>
      </w:r>
      <w:r w:rsidR="00EB09BD">
        <w:rPr>
          <w:rFonts w:ascii="Times New Roman" w:hAnsi="Times New Roman" w:cs="Times New Roman"/>
          <w:sz w:val="24"/>
          <w:szCs w:val="24"/>
        </w:rPr>
        <w:t xml:space="preserve"> Being certain object and people within society being out of place.</w:t>
      </w:r>
      <w:r w:rsidR="00C87198">
        <w:rPr>
          <w:rFonts w:ascii="Times New Roman" w:hAnsi="Times New Roman" w:cs="Times New Roman"/>
          <w:sz w:val="24"/>
          <w:szCs w:val="24"/>
        </w:rPr>
        <w:t xml:space="preserve"> The DeSilva text does have</w:t>
      </w:r>
      <w:r w:rsidR="003009BB">
        <w:rPr>
          <w:rFonts w:ascii="Times New Roman" w:hAnsi="Times New Roman" w:cs="Times New Roman"/>
          <w:sz w:val="24"/>
          <w:szCs w:val="24"/>
        </w:rPr>
        <w:t xml:space="preserve"> few</w:t>
      </w:r>
      <w:r w:rsidR="00C87198">
        <w:rPr>
          <w:rFonts w:ascii="Times New Roman" w:hAnsi="Times New Roman" w:cs="Times New Roman"/>
          <w:sz w:val="24"/>
          <w:szCs w:val="24"/>
        </w:rPr>
        <w:t xml:space="preserve"> examples of purity and pollution laws when it comes to gender.</w:t>
      </w:r>
      <w:r w:rsidR="003009BB">
        <w:rPr>
          <w:rFonts w:ascii="Times New Roman" w:hAnsi="Times New Roman" w:cs="Times New Roman"/>
          <w:sz w:val="24"/>
          <w:szCs w:val="24"/>
        </w:rPr>
        <w:t xml:space="preserve"> One example being when it’s a death of a community member. Despite, the body and the house the body is situated in is deemed as polluted, </w:t>
      </w:r>
      <w:r w:rsidR="003009BB">
        <w:rPr>
          <w:rStyle w:val="FootnoteReference"/>
          <w:rFonts w:ascii="Times New Roman" w:hAnsi="Times New Roman" w:cs="Times New Roman"/>
          <w:sz w:val="24"/>
          <w:szCs w:val="24"/>
        </w:rPr>
        <w:footnoteReference w:id="2"/>
      </w:r>
      <w:r w:rsidR="00CD78E0">
        <w:rPr>
          <w:rFonts w:ascii="Times New Roman" w:hAnsi="Times New Roman" w:cs="Times New Roman"/>
          <w:sz w:val="24"/>
          <w:szCs w:val="24"/>
        </w:rPr>
        <w:t xml:space="preserve">’sweating, crying, urinating, defecating [and] even bleeding from a cut are not regarded as polluting, [however,] all discharges related to the sexual apertures and reproductive processes are’. This is only one example of how difficult it was for women during this time within early Jewish and Christian society. </w:t>
      </w:r>
      <w:r w:rsidR="003A2275">
        <w:rPr>
          <w:rFonts w:ascii="Times New Roman" w:hAnsi="Times New Roman" w:cs="Times New Roman"/>
          <w:sz w:val="24"/>
          <w:szCs w:val="24"/>
        </w:rPr>
        <w:t xml:space="preserve">Evidence to support this can also be seen in the DeSilva text as it states </w:t>
      </w:r>
      <w:r w:rsidR="003A2275">
        <w:rPr>
          <w:rStyle w:val="FootnoteReference"/>
          <w:rFonts w:ascii="Times New Roman" w:hAnsi="Times New Roman" w:cs="Times New Roman"/>
          <w:sz w:val="24"/>
          <w:szCs w:val="24"/>
        </w:rPr>
        <w:footnoteReference w:id="3"/>
      </w:r>
      <w:r w:rsidR="003A2275">
        <w:rPr>
          <w:rFonts w:ascii="Times New Roman" w:hAnsi="Times New Roman" w:cs="Times New Roman"/>
          <w:sz w:val="24"/>
          <w:szCs w:val="24"/>
        </w:rPr>
        <w:t xml:space="preserve">’Israelite women are unclean one </w:t>
      </w:r>
      <w:r w:rsidR="003A2275">
        <w:rPr>
          <w:rFonts w:ascii="Times New Roman" w:hAnsi="Times New Roman" w:cs="Times New Roman"/>
          <w:sz w:val="24"/>
          <w:szCs w:val="24"/>
        </w:rPr>
        <w:lastRenderedPageBreak/>
        <w:t xml:space="preserve">quarter of their adult lives on account of menstruation, with the result to their access to the holy places [being] even more limited’. This </w:t>
      </w:r>
      <w:r w:rsidR="00BE75A8">
        <w:rPr>
          <w:rFonts w:ascii="Times New Roman" w:hAnsi="Times New Roman" w:cs="Times New Roman"/>
          <w:sz w:val="24"/>
          <w:szCs w:val="24"/>
        </w:rPr>
        <w:t>gives a clear overview into the struggle for women during this time. Especially, due to women who were pregnant, menstruating, widowed or recently had childbirth were deemed the most polluted at times in society it made women much more marginalised from the Jewish Temple and later the early Christian churches</w:t>
      </w:r>
      <w:r w:rsidR="00D7600F">
        <w:rPr>
          <w:rFonts w:ascii="Times New Roman" w:hAnsi="Times New Roman" w:cs="Times New Roman"/>
          <w:sz w:val="24"/>
          <w:szCs w:val="24"/>
        </w:rPr>
        <w:t>.</w:t>
      </w:r>
      <w:r w:rsidR="00466468">
        <w:rPr>
          <w:rFonts w:ascii="Times New Roman" w:hAnsi="Times New Roman" w:cs="Times New Roman"/>
          <w:sz w:val="24"/>
          <w:szCs w:val="24"/>
        </w:rPr>
        <w:t xml:space="preserve"> </w:t>
      </w:r>
      <w:r w:rsidR="00466468">
        <w:rPr>
          <w:rStyle w:val="FootnoteReference"/>
          <w:rFonts w:ascii="Times New Roman" w:hAnsi="Times New Roman" w:cs="Times New Roman"/>
          <w:sz w:val="24"/>
          <w:szCs w:val="24"/>
        </w:rPr>
        <w:footnoteReference w:id="4"/>
      </w:r>
      <w:r w:rsidR="00466468">
        <w:rPr>
          <w:rFonts w:ascii="Times New Roman" w:hAnsi="Times New Roman" w:cs="Times New Roman"/>
          <w:sz w:val="24"/>
          <w:szCs w:val="24"/>
        </w:rPr>
        <w:t>’It is essential to contain and eliminate pollution before entering the presence of the divine’. (As seen in Leviticus)</w:t>
      </w:r>
      <w:r w:rsidR="00CE29BA">
        <w:rPr>
          <w:rFonts w:ascii="Times New Roman" w:hAnsi="Times New Roman" w:cs="Times New Roman"/>
          <w:sz w:val="24"/>
          <w:szCs w:val="24"/>
        </w:rPr>
        <w:t xml:space="preserve"> Furthermore, looking at dietary</w:t>
      </w:r>
      <w:r w:rsidR="00664B72">
        <w:rPr>
          <w:rFonts w:ascii="Times New Roman" w:hAnsi="Times New Roman" w:cs="Times New Roman"/>
          <w:sz w:val="24"/>
          <w:szCs w:val="24"/>
        </w:rPr>
        <w:t xml:space="preserve"> and household</w:t>
      </w:r>
      <w:r w:rsidR="00CE29BA">
        <w:rPr>
          <w:rFonts w:ascii="Times New Roman" w:hAnsi="Times New Roman" w:cs="Times New Roman"/>
          <w:sz w:val="24"/>
          <w:szCs w:val="24"/>
        </w:rPr>
        <w:t xml:space="preserve"> laws</w:t>
      </w:r>
      <w:r w:rsidR="00664B72">
        <w:rPr>
          <w:rFonts w:ascii="Times New Roman" w:hAnsi="Times New Roman" w:cs="Times New Roman"/>
          <w:sz w:val="24"/>
          <w:szCs w:val="24"/>
        </w:rPr>
        <w:t xml:space="preserve">, in </w:t>
      </w:r>
      <w:r w:rsidR="00CE29BA">
        <w:rPr>
          <w:rFonts w:ascii="Times New Roman" w:hAnsi="Times New Roman" w:cs="Times New Roman"/>
          <w:sz w:val="24"/>
          <w:szCs w:val="24"/>
        </w:rPr>
        <w:t xml:space="preserve">terms of food and cooking. </w:t>
      </w:r>
      <w:r w:rsidR="009E6EDC">
        <w:rPr>
          <w:rFonts w:ascii="Times New Roman" w:hAnsi="Times New Roman" w:cs="Times New Roman"/>
          <w:sz w:val="24"/>
          <w:szCs w:val="24"/>
        </w:rPr>
        <w:t>Besides animal sacrifice,</w:t>
      </w:r>
      <w:r w:rsidR="00CE29BA">
        <w:rPr>
          <w:rFonts w:ascii="Times New Roman" w:hAnsi="Times New Roman" w:cs="Times New Roman"/>
          <w:sz w:val="24"/>
          <w:szCs w:val="24"/>
        </w:rPr>
        <w:t xml:space="preserve"> women tended to do most of the cooking, cleaning and raising the children.</w:t>
      </w:r>
      <w:r w:rsidR="006804DE">
        <w:rPr>
          <w:rFonts w:ascii="Times New Roman" w:hAnsi="Times New Roman" w:cs="Times New Roman"/>
          <w:sz w:val="24"/>
          <w:szCs w:val="24"/>
        </w:rPr>
        <w:t xml:space="preserve"> </w:t>
      </w:r>
      <w:r w:rsidR="006804DE">
        <w:rPr>
          <w:rStyle w:val="FootnoteReference"/>
          <w:rFonts w:ascii="Times New Roman" w:hAnsi="Times New Roman" w:cs="Times New Roman"/>
          <w:sz w:val="24"/>
          <w:szCs w:val="24"/>
        </w:rPr>
        <w:footnoteReference w:id="5"/>
      </w:r>
      <w:r w:rsidR="00905FE6">
        <w:rPr>
          <w:rFonts w:ascii="Times New Roman" w:hAnsi="Times New Roman" w:cs="Times New Roman"/>
          <w:sz w:val="24"/>
          <w:szCs w:val="24"/>
        </w:rPr>
        <w:t>’ [</w:t>
      </w:r>
      <w:r w:rsidR="006804DE">
        <w:rPr>
          <w:rFonts w:ascii="Times New Roman" w:hAnsi="Times New Roman" w:cs="Times New Roman"/>
          <w:sz w:val="24"/>
          <w:szCs w:val="24"/>
        </w:rPr>
        <w:t>Things</w:t>
      </w:r>
      <w:r w:rsidR="00813568">
        <w:rPr>
          <w:rFonts w:ascii="Times New Roman" w:hAnsi="Times New Roman" w:cs="Times New Roman"/>
          <w:sz w:val="24"/>
          <w:szCs w:val="24"/>
        </w:rPr>
        <w:t xml:space="preserve"> that are]</w:t>
      </w:r>
      <w:r w:rsidR="006804DE">
        <w:rPr>
          <w:rFonts w:ascii="Times New Roman" w:hAnsi="Times New Roman" w:cs="Times New Roman"/>
          <w:sz w:val="24"/>
          <w:szCs w:val="24"/>
        </w:rPr>
        <w:t xml:space="preserve"> in its proper place at the proper time </w:t>
      </w:r>
      <w:r w:rsidR="00813568">
        <w:rPr>
          <w:rFonts w:ascii="Times New Roman" w:hAnsi="Times New Roman" w:cs="Times New Roman"/>
          <w:sz w:val="24"/>
          <w:szCs w:val="24"/>
        </w:rPr>
        <w:t xml:space="preserve">is “pure” or “clean”; that which is “out of place” is a polluting presence’. </w:t>
      </w:r>
      <w:r w:rsidR="00905FE6">
        <w:rPr>
          <w:rFonts w:ascii="Times New Roman" w:hAnsi="Times New Roman" w:cs="Times New Roman"/>
          <w:sz w:val="24"/>
          <w:szCs w:val="24"/>
        </w:rPr>
        <w:t xml:space="preserve">My interpretation from these examples from the text show me that these times must have been very difficult for women and even men on occasion. This is due to women not being able to control their bodily functions such as menstruation, pregnancy and childbirth. Especially, since it was </w:t>
      </w:r>
      <w:r w:rsidR="00B732CF">
        <w:rPr>
          <w:rFonts w:ascii="Times New Roman" w:hAnsi="Times New Roman" w:cs="Times New Roman"/>
          <w:sz w:val="24"/>
          <w:szCs w:val="24"/>
        </w:rPr>
        <w:t>accustoming</w:t>
      </w:r>
      <w:r w:rsidR="00905FE6">
        <w:rPr>
          <w:rFonts w:ascii="Times New Roman" w:hAnsi="Times New Roman" w:cs="Times New Roman"/>
          <w:sz w:val="24"/>
          <w:szCs w:val="24"/>
        </w:rPr>
        <w:t xml:space="preserve"> for all Christian, Jewish and Pagan women to have children and get married and be financially reliant upon a man.</w:t>
      </w:r>
      <w:r w:rsidR="00B732CF">
        <w:rPr>
          <w:rFonts w:ascii="Times New Roman" w:hAnsi="Times New Roman" w:cs="Times New Roman"/>
          <w:sz w:val="24"/>
          <w:szCs w:val="24"/>
        </w:rPr>
        <w:t xml:space="preserve"> These ‘impure’ restrictions would have limited the actions of religious women. Not being able to express their own religion and instead be held to these purity laws and restrictions that would be eventually used by early </w:t>
      </w:r>
      <w:r w:rsidR="00667CF8">
        <w:rPr>
          <w:rFonts w:ascii="Times New Roman" w:hAnsi="Times New Roman" w:cs="Times New Roman"/>
          <w:sz w:val="24"/>
          <w:szCs w:val="24"/>
        </w:rPr>
        <w:t xml:space="preserve">Christianity. </w:t>
      </w:r>
      <w:r w:rsidR="00CD79BB">
        <w:rPr>
          <w:rFonts w:ascii="Times New Roman" w:hAnsi="Times New Roman" w:cs="Times New Roman"/>
          <w:sz w:val="24"/>
          <w:szCs w:val="24"/>
        </w:rPr>
        <w:t xml:space="preserve">Especially, throughout Israel and the Greco-Roman Society. </w:t>
      </w:r>
    </w:p>
    <w:p w14:paraId="2FEE9351" w14:textId="7ED396D7" w:rsidR="00BA5AE1" w:rsidRDefault="006D66C9" w:rsidP="00FB5F49">
      <w:pPr>
        <w:jc w:val="both"/>
        <w:rPr>
          <w:rFonts w:ascii="Times New Roman" w:hAnsi="Times New Roman" w:cs="Times New Roman"/>
          <w:sz w:val="24"/>
          <w:szCs w:val="24"/>
        </w:rPr>
      </w:pPr>
      <w:r>
        <w:rPr>
          <w:rFonts w:ascii="Times New Roman" w:hAnsi="Times New Roman" w:cs="Times New Roman"/>
          <w:sz w:val="24"/>
          <w:szCs w:val="24"/>
        </w:rPr>
        <w:t xml:space="preserve">The next source I shall </w:t>
      </w:r>
      <w:r w:rsidR="000447AB">
        <w:rPr>
          <w:rFonts w:ascii="Times New Roman" w:hAnsi="Times New Roman" w:cs="Times New Roman"/>
          <w:sz w:val="24"/>
          <w:szCs w:val="24"/>
        </w:rPr>
        <w:t xml:space="preserve">be looking at is my selected source from the Bart D. Ehrman text. Chapter 13: Tertullian: To His Wife (399 – 404). Here, Tertullian is attempted to persuade and give argumentative reasons why his wife should never remarry after his death and clear instructions on other things his wife must do after he dies. </w:t>
      </w:r>
      <w:r w:rsidR="00383AEF">
        <w:rPr>
          <w:rFonts w:ascii="Times New Roman" w:hAnsi="Times New Roman" w:cs="Times New Roman"/>
          <w:sz w:val="24"/>
          <w:szCs w:val="24"/>
        </w:rPr>
        <w:t xml:space="preserve">After </w:t>
      </w:r>
      <w:r w:rsidR="00F277CE">
        <w:rPr>
          <w:rFonts w:ascii="Times New Roman" w:hAnsi="Times New Roman" w:cs="Times New Roman"/>
          <w:sz w:val="24"/>
          <w:szCs w:val="24"/>
        </w:rPr>
        <w:t>talking about his wife renouncing marriage and discussing the fact that all women belong to God. One quote I find particularly interesting is</w:t>
      </w:r>
      <w:r w:rsidR="00612FE6">
        <w:rPr>
          <w:rFonts w:ascii="Times New Roman" w:hAnsi="Times New Roman" w:cs="Times New Roman"/>
          <w:sz w:val="24"/>
          <w:szCs w:val="24"/>
        </w:rPr>
        <w:t>:</w:t>
      </w:r>
    </w:p>
    <w:p w14:paraId="164EB2F0" w14:textId="37B364F1" w:rsidR="00612FE6" w:rsidRDefault="00612FE6" w:rsidP="00FB5F49">
      <w:pPr>
        <w:jc w:val="both"/>
        <w:rPr>
          <w:rFonts w:ascii="Times New Roman" w:hAnsi="Times New Roman" w:cs="Times New Roman"/>
          <w:sz w:val="24"/>
          <w:szCs w:val="24"/>
        </w:rPr>
      </w:pPr>
      <w:r>
        <w:rPr>
          <w:rStyle w:val="FootnoteReference"/>
          <w:rFonts w:ascii="Times New Roman" w:hAnsi="Times New Roman" w:cs="Times New Roman"/>
          <w:sz w:val="24"/>
          <w:szCs w:val="24"/>
        </w:rPr>
        <w:footnoteReference w:id="6"/>
      </w:r>
      <w:r>
        <w:rPr>
          <w:rFonts w:ascii="Times New Roman" w:hAnsi="Times New Roman" w:cs="Times New Roman"/>
          <w:sz w:val="24"/>
          <w:szCs w:val="24"/>
        </w:rPr>
        <w:t>‘We do not reject the union of man and woman in marriage. It is an institution blessed by God for the reproduction of the human race’</w:t>
      </w:r>
    </w:p>
    <w:p w14:paraId="7B36125C" w14:textId="75F5FABA" w:rsidR="00BD5720" w:rsidRDefault="00612FE6" w:rsidP="00FB5F4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To me, this highlights what was said within the DeSilva text when it comes to a woman’s pollution within early religious society. That women only exist to be child bearers to men and for the ‘reproduction of the human race’. Tertullian has not yet so far in his text shown much affection towards his wife, but instead somewhat continuously compares her to all other women during this time such as Tertullian’s worry if his wife </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’Remain[ed] [as] as a widow because [he] fear[s] [she will] suffer hardship if [she] fail[s] to preserve </w:t>
      </w:r>
      <w:r w:rsidR="006855CE">
        <w:rPr>
          <w:rFonts w:ascii="Times New Roman" w:hAnsi="Times New Roman" w:cs="Times New Roman"/>
          <w:sz w:val="24"/>
          <w:szCs w:val="24"/>
        </w:rPr>
        <w:t>[her] person inviolate[ing] [Tertullian]’.</w:t>
      </w:r>
      <w:r w:rsidR="006200F9">
        <w:rPr>
          <w:rFonts w:ascii="Times New Roman" w:hAnsi="Times New Roman" w:cs="Times New Roman"/>
          <w:sz w:val="24"/>
          <w:szCs w:val="24"/>
        </w:rPr>
        <w:t xml:space="preserve"> This gives clear evidence into how both genders were treated </w:t>
      </w:r>
      <w:proofErr w:type="spellStart"/>
      <w:r w:rsidR="006200F9">
        <w:rPr>
          <w:rFonts w:ascii="Times New Roman" w:hAnsi="Times New Roman" w:cs="Times New Roman"/>
          <w:sz w:val="24"/>
          <w:szCs w:val="24"/>
        </w:rPr>
        <w:t>so</w:t>
      </w:r>
      <w:proofErr w:type="spellEnd"/>
      <w:r w:rsidR="006200F9">
        <w:rPr>
          <w:rFonts w:ascii="Times New Roman" w:hAnsi="Times New Roman" w:cs="Times New Roman"/>
          <w:sz w:val="24"/>
          <w:szCs w:val="24"/>
        </w:rPr>
        <w:t xml:space="preserve"> differently when it came to purity values during this time. Tertullian’s wife would not be able to move on with her life after her husband’s death and she would still be controlled by her husband, even after his death. As remarriage, sex outside of marriage, widows and older unmarried women were seen as impure and polluting during this time. Whereas, circumstances would have been different for Men as they had the opportunities to have another wife and still be fully redeemed and pure a lot easier than any women could.</w:t>
      </w:r>
      <w:r w:rsidR="00C249DC">
        <w:rPr>
          <w:rFonts w:ascii="Times New Roman" w:hAnsi="Times New Roman" w:cs="Times New Roman"/>
          <w:sz w:val="24"/>
          <w:szCs w:val="24"/>
        </w:rPr>
        <w:t xml:space="preserve"> </w:t>
      </w:r>
      <w:r w:rsidR="00C249DC">
        <w:rPr>
          <w:rStyle w:val="FootnoteReference"/>
          <w:rFonts w:ascii="Times New Roman" w:hAnsi="Times New Roman" w:cs="Times New Roman"/>
          <w:sz w:val="24"/>
          <w:szCs w:val="24"/>
        </w:rPr>
        <w:footnoteReference w:id="8"/>
      </w:r>
      <w:r w:rsidR="00C249DC">
        <w:rPr>
          <w:rFonts w:ascii="Times New Roman" w:hAnsi="Times New Roman" w:cs="Times New Roman"/>
          <w:sz w:val="24"/>
          <w:szCs w:val="24"/>
        </w:rPr>
        <w:t xml:space="preserve">’Adam was the only husband that Eve </w:t>
      </w:r>
      <w:r w:rsidR="004E426F">
        <w:rPr>
          <w:rFonts w:ascii="Times New Roman" w:hAnsi="Times New Roman" w:cs="Times New Roman"/>
          <w:sz w:val="24"/>
          <w:szCs w:val="24"/>
        </w:rPr>
        <w:t>had,</w:t>
      </w:r>
      <w:r w:rsidR="00C249DC">
        <w:rPr>
          <w:rFonts w:ascii="Times New Roman" w:hAnsi="Times New Roman" w:cs="Times New Roman"/>
          <w:sz w:val="24"/>
          <w:szCs w:val="24"/>
        </w:rPr>
        <w:t xml:space="preserve"> and Eve was his only wife; one rib, one woman’. After reading through Tertullian’s explanations of marriage in the gospel and by the Apostle Paul. The next point by Tertullian which I find interesting is </w:t>
      </w:r>
      <w:r w:rsidR="002E5884">
        <w:rPr>
          <w:rStyle w:val="FootnoteReference"/>
          <w:rFonts w:ascii="Times New Roman" w:hAnsi="Times New Roman" w:cs="Times New Roman"/>
          <w:sz w:val="24"/>
          <w:szCs w:val="24"/>
        </w:rPr>
        <w:footnoteReference w:id="9"/>
      </w:r>
      <w:r w:rsidR="002E5884">
        <w:rPr>
          <w:rFonts w:ascii="Times New Roman" w:hAnsi="Times New Roman" w:cs="Times New Roman"/>
          <w:sz w:val="24"/>
          <w:szCs w:val="24"/>
        </w:rPr>
        <w:t>’</w:t>
      </w:r>
      <w:r w:rsidR="006155FC">
        <w:rPr>
          <w:rFonts w:ascii="Times New Roman" w:hAnsi="Times New Roman" w:cs="Times New Roman"/>
          <w:sz w:val="24"/>
          <w:szCs w:val="24"/>
        </w:rPr>
        <w:t xml:space="preserve">The unmarried woman… thinks on the things of the Lord, that she may be holy both I body and in spirit. But she </w:t>
      </w:r>
      <w:r w:rsidR="005935F1">
        <w:rPr>
          <w:rFonts w:ascii="Times New Roman" w:hAnsi="Times New Roman" w:cs="Times New Roman"/>
          <w:sz w:val="24"/>
          <w:szCs w:val="24"/>
        </w:rPr>
        <w:t xml:space="preserve">that is married is solicitous… how she may please her husband’. This is followed by the details of the concupiscence’s of the flesh and of the world. Being that women should not fall into love or ambition when meeting other men after the death of a previous husband. Once again, these emotions are seen as polluting within social value contexts. A woman would be seen as impure if they had sexual activity/intercourse with another man after the death of a previous husband or if they have never been married. The role of a woman to Tertullian is to be the supporter of the man and the man protects her name from ugly gossip in return. </w:t>
      </w:r>
      <w:r w:rsidR="00483918">
        <w:rPr>
          <w:rFonts w:ascii="Times New Roman" w:hAnsi="Times New Roman" w:cs="Times New Roman"/>
          <w:sz w:val="24"/>
          <w:szCs w:val="24"/>
        </w:rPr>
        <w:t>One last quote I find interesting in this passage is</w:t>
      </w:r>
      <w:r w:rsidR="004A1E50">
        <w:rPr>
          <w:rFonts w:ascii="Times New Roman" w:hAnsi="Times New Roman" w:cs="Times New Roman"/>
          <w:sz w:val="24"/>
          <w:szCs w:val="24"/>
        </w:rPr>
        <w:t>:</w:t>
      </w:r>
    </w:p>
    <w:p w14:paraId="78344398" w14:textId="646B3F64" w:rsidR="00612FE6" w:rsidRDefault="00483918" w:rsidP="00FB5F49">
      <w:pPr>
        <w:jc w:val="both"/>
        <w:rPr>
          <w:rFonts w:ascii="Times New Roman" w:hAnsi="Times New Roman" w:cs="Times New Roman"/>
          <w:sz w:val="24"/>
          <w:szCs w:val="24"/>
        </w:rPr>
      </w:pPr>
      <w:r>
        <w:rPr>
          <w:rStyle w:val="FootnoteReference"/>
          <w:rFonts w:ascii="Times New Roman" w:hAnsi="Times New Roman" w:cs="Times New Roman"/>
          <w:sz w:val="24"/>
          <w:szCs w:val="24"/>
        </w:rPr>
        <w:lastRenderedPageBreak/>
        <w:footnoteReference w:id="10"/>
      </w:r>
      <w:r>
        <w:rPr>
          <w:rFonts w:ascii="Times New Roman" w:hAnsi="Times New Roman" w:cs="Times New Roman"/>
          <w:sz w:val="24"/>
          <w:szCs w:val="24"/>
        </w:rPr>
        <w:t xml:space="preserve">’What we were unable to do in marriage we will be able to do in bereavement [and] the law of the church and the precept of the apostle </w:t>
      </w:r>
      <w:r w:rsidR="004D0AD3">
        <w:rPr>
          <w:rFonts w:ascii="Times New Roman" w:hAnsi="Times New Roman" w:cs="Times New Roman"/>
          <w:sz w:val="24"/>
          <w:szCs w:val="24"/>
        </w:rPr>
        <w:t>show clearly how prejudicial second marriages are to the faith and how great an obstacle to holiness’.</w:t>
      </w:r>
    </w:p>
    <w:p w14:paraId="016BD5CB" w14:textId="20F586E5" w:rsidR="00BD5720" w:rsidRDefault="00BD5720" w:rsidP="00FB5F49">
      <w:pPr>
        <w:jc w:val="both"/>
        <w:rPr>
          <w:rFonts w:ascii="Times New Roman" w:hAnsi="Times New Roman" w:cs="Times New Roman"/>
          <w:sz w:val="24"/>
          <w:szCs w:val="24"/>
        </w:rPr>
      </w:pPr>
    </w:p>
    <w:p w14:paraId="0644B0E0" w14:textId="0BFA8972" w:rsidR="00BD5720" w:rsidRDefault="00BD5720" w:rsidP="00FB5F49">
      <w:pPr>
        <w:jc w:val="both"/>
        <w:rPr>
          <w:rFonts w:ascii="Times New Roman" w:hAnsi="Times New Roman" w:cs="Times New Roman"/>
          <w:sz w:val="24"/>
          <w:szCs w:val="24"/>
        </w:rPr>
      </w:pPr>
      <w:r>
        <w:rPr>
          <w:rFonts w:ascii="Times New Roman" w:hAnsi="Times New Roman" w:cs="Times New Roman"/>
          <w:sz w:val="24"/>
          <w:szCs w:val="24"/>
        </w:rPr>
        <w:t xml:space="preserve">This passage from the Ehrman book is a prime example of what life was like during early Christianity. Tertullian also describes Pagan women as also not remarrying due to honouring the memory of their late husbands. Therefore, it can be argued that Tertullian did in fact, possibly believe that women that were to remarry or find a new partner were polluting to Christianity and not acceptable in a relationship with God. </w:t>
      </w:r>
      <w:r w:rsidR="00ED2FE4">
        <w:rPr>
          <w:rFonts w:ascii="Times New Roman" w:hAnsi="Times New Roman" w:cs="Times New Roman"/>
          <w:sz w:val="24"/>
          <w:szCs w:val="24"/>
        </w:rPr>
        <w:t xml:space="preserve">In my personal view of this letter from Tertullian to his wife. It clearly shows how religious purity laws held so much control over family life and relationships between husbands and wives. </w:t>
      </w:r>
      <w:r w:rsidR="00E448E1">
        <w:rPr>
          <w:rFonts w:ascii="Times New Roman" w:hAnsi="Times New Roman" w:cs="Times New Roman"/>
          <w:sz w:val="24"/>
          <w:szCs w:val="24"/>
        </w:rPr>
        <w:t xml:space="preserve">Growing religions would establish somewhat strict rules on how followers should live their lives, and in my opinion, wipe away their individual identity and act only to how the church wants them to act. </w:t>
      </w:r>
      <w:r w:rsidR="003437F5">
        <w:rPr>
          <w:rFonts w:ascii="Times New Roman" w:hAnsi="Times New Roman" w:cs="Times New Roman"/>
          <w:sz w:val="24"/>
          <w:szCs w:val="24"/>
        </w:rPr>
        <w:t>Arguably</w:t>
      </w:r>
      <w:r w:rsidR="00E448E1">
        <w:rPr>
          <w:rFonts w:ascii="Times New Roman" w:hAnsi="Times New Roman" w:cs="Times New Roman"/>
          <w:sz w:val="24"/>
          <w:szCs w:val="24"/>
        </w:rPr>
        <w:t xml:space="preserve">, what the media does today. Making humans act and think in a certain way that meets </w:t>
      </w:r>
      <w:r w:rsidR="00CF51B6">
        <w:rPr>
          <w:rFonts w:ascii="Times New Roman" w:hAnsi="Times New Roman" w:cs="Times New Roman"/>
          <w:sz w:val="24"/>
          <w:szCs w:val="24"/>
        </w:rPr>
        <w:t>what is acceptable to the religions at the time.</w:t>
      </w:r>
      <w:r w:rsidR="0041197B">
        <w:rPr>
          <w:rFonts w:ascii="Times New Roman" w:hAnsi="Times New Roman" w:cs="Times New Roman"/>
          <w:sz w:val="24"/>
          <w:szCs w:val="24"/>
        </w:rPr>
        <w:t xml:space="preserve"> In this case being marriage.</w:t>
      </w:r>
      <w:r w:rsidR="00CF51B6">
        <w:rPr>
          <w:rFonts w:ascii="Times New Roman" w:hAnsi="Times New Roman" w:cs="Times New Roman"/>
          <w:sz w:val="24"/>
          <w:szCs w:val="24"/>
        </w:rPr>
        <w:t xml:space="preserve"> Paganism, Judaism and Christianity as prime examples</w:t>
      </w:r>
      <w:r w:rsidR="0041197B">
        <w:rPr>
          <w:rFonts w:ascii="Times New Roman" w:hAnsi="Times New Roman" w:cs="Times New Roman"/>
          <w:sz w:val="24"/>
          <w:szCs w:val="24"/>
        </w:rPr>
        <w:t>.</w:t>
      </w:r>
      <w:r w:rsidR="007576EE">
        <w:rPr>
          <w:rFonts w:ascii="Times New Roman" w:hAnsi="Times New Roman" w:cs="Times New Roman"/>
          <w:sz w:val="24"/>
          <w:szCs w:val="24"/>
        </w:rPr>
        <w:t xml:space="preserve"> Despite this, there are arguments against my views that are seen in ‘The Rise of Christianity’ by Rodney Stark. </w:t>
      </w:r>
      <w:r w:rsidR="004A3A90">
        <w:rPr>
          <w:rFonts w:ascii="Times New Roman" w:hAnsi="Times New Roman" w:cs="Times New Roman"/>
          <w:sz w:val="24"/>
          <w:szCs w:val="24"/>
        </w:rPr>
        <w:t>Women seemed to have add huge beneficial roles</w:t>
      </w:r>
      <w:r w:rsidR="00AD4949">
        <w:rPr>
          <w:rFonts w:ascii="Times New Roman" w:hAnsi="Times New Roman" w:cs="Times New Roman"/>
          <w:sz w:val="24"/>
          <w:szCs w:val="24"/>
        </w:rPr>
        <w:t xml:space="preserve"> in the growth of the early Christian church.</w:t>
      </w:r>
      <w:r w:rsidR="00F24AC6">
        <w:rPr>
          <w:rFonts w:ascii="Times New Roman" w:hAnsi="Times New Roman" w:cs="Times New Roman"/>
          <w:sz w:val="24"/>
          <w:szCs w:val="24"/>
        </w:rPr>
        <w:t xml:space="preserve"> Also, early Christianity condemned marital infidelity, incest and marriage at an early age. With 48% of Christian women marrying over the age of 18. Additionally, fertility birth rates were open to women, as well as the </w:t>
      </w:r>
      <w:r w:rsidR="00BB4F15">
        <w:rPr>
          <w:rFonts w:ascii="Times New Roman" w:hAnsi="Times New Roman" w:cs="Times New Roman"/>
          <w:sz w:val="24"/>
          <w:szCs w:val="24"/>
        </w:rPr>
        <w:t>aforementioned</w:t>
      </w:r>
      <w:r w:rsidR="00F24AC6">
        <w:rPr>
          <w:rFonts w:ascii="Times New Roman" w:hAnsi="Times New Roman" w:cs="Times New Roman"/>
          <w:sz w:val="24"/>
          <w:szCs w:val="24"/>
        </w:rPr>
        <w:t xml:space="preserve"> new roles such as becoming a deaconess (Phoebe). Christianity opened so many new prospects for women despite these purity laws against them in place</w:t>
      </w:r>
    </w:p>
    <w:p w14:paraId="0CA156D5" w14:textId="77777777" w:rsidR="00FB5F49" w:rsidRDefault="00953787" w:rsidP="00FB5F49">
      <w:pPr>
        <w:jc w:val="both"/>
        <w:rPr>
          <w:rFonts w:ascii="Times New Roman" w:hAnsi="Times New Roman" w:cs="Times New Roman"/>
          <w:sz w:val="24"/>
          <w:szCs w:val="24"/>
        </w:rPr>
      </w:pPr>
      <w:r>
        <w:rPr>
          <w:rFonts w:ascii="Times New Roman" w:hAnsi="Times New Roman" w:cs="Times New Roman"/>
          <w:sz w:val="24"/>
          <w:szCs w:val="24"/>
        </w:rPr>
        <w:t>T</w:t>
      </w:r>
      <w:r w:rsidR="004526DC">
        <w:rPr>
          <w:rFonts w:ascii="Times New Roman" w:hAnsi="Times New Roman" w:cs="Times New Roman"/>
          <w:sz w:val="24"/>
          <w:szCs w:val="24"/>
        </w:rPr>
        <w:t>he next text I will analyse is of the life of Pelagia. Discussing this story in class. To me, it is about a tragic woman. Overwhelmed by the forced conversion and influence of Christianity</w:t>
      </w:r>
      <w:r w:rsidR="00242CE0">
        <w:rPr>
          <w:rFonts w:ascii="Times New Roman" w:hAnsi="Times New Roman" w:cs="Times New Roman"/>
          <w:sz w:val="24"/>
          <w:szCs w:val="24"/>
        </w:rPr>
        <w:t xml:space="preserve">. Deemed as impure, a disgrace and polluting to the church. She is deemed holy and a genderless model near the end of the </w:t>
      </w:r>
      <w:r w:rsidR="00C07D29">
        <w:rPr>
          <w:rFonts w:ascii="Times New Roman" w:hAnsi="Times New Roman" w:cs="Times New Roman"/>
          <w:sz w:val="24"/>
          <w:szCs w:val="24"/>
        </w:rPr>
        <w:t>story,</w:t>
      </w:r>
      <w:r w:rsidR="00242CE0">
        <w:rPr>
          <w:rFonts w:ascii="Times New Roman" w:hAnsi="Times New Roman" w:cs="Times New Roman"/>
          <w:sz w:val="24"/>
          <w:szCs w:val="24"/>
        </w:rPr>
        <w:t xml:space="preserve"> but I believe she is only but a shadow of her former self. Being nothing of what she once was and losing her own individual identity</w:t>
      </w:r>
      <w:r w:rsidR="00F25E1E">
        <w:rPr>
          <w:rFonts w:ascii="Times New Roman" w:hAnsi="Times New Roman" w:cs="Times New Roman"/>
          <w:sz w:val="24"/>
          <w:szCs w:val="24"/>
        </w:rPr>
        <w:t xml:space="preserve"> to the establishment of Christianity</w:t>
      </w:r>
      <w:r w:rsidR="00167F52">
        <w:rPr>
          <w:rFonts w:ascii="Times New Roman" w:hAnsi="Times New Roman" w:cs="Times New Roman"/>
          <w:sz w:val="24"/>
          <w:szCs w:val="24"/>
        </w:rPr>
        <w:t xml:space="preserve"> and asceticism</w:t>
      </w:r>
      <w:r w:rsidR="00F25E1E">
        <w:rPr>
          <w:rFonts w:ascii="Times New Roman" w:hAnsi="Times New Roman" w:cs="Times New Roman"/>
          <w:sz w:val="24"/>
          <w:szCs w:val="24"/>
        </w:rPr>
        <w:t xml:space="preserve">. </w:t>
      </w:r>
      <w:r w:rsidR="00667F9F">
        <w:rPr>
          <w:rFonts w:ascii="Times New Roman" w:hAnsi="Times New Roman" w:cs="Times New Roman"/>
          <w:sz w:val="24"/>
          <w:szCs w:val="24"/>
        </w:rPr>
        <w:t xml:space="preserve">My </w:t>
      </w:r>
      <w:r w:rsidR="00667F9F">
        <w:rPr>
          <w:rFonts w:ascii="Times New Roman" w:hAnsi="Times New Roman" w:cs="Times New Roman"/>
          <w:sz w:val="24"/>
          <w:szCs w:val="24"/>
        </w:rPr>
        <w:lastRenderedPageBreak/>
        <w:t xml:space="preserve">arguments for this are that the whole story is written by the </w:t>
      </w:r>
      <w:r w:rsidR="00667F9F">
        <w:rPr>
          <w:rStyle w:val="FootnoteReference"/>
          <w:rFonts w:ascii="Times New Roman" w:hAnsi="Times New Roman" w:cs="Times New Roman"/>
          <w:sz w:val="24"/>
          <w:szCs w:val="24"/>
        </w:rPr>
        <w:footnoteReference w:id="11"/>
      </w:r>
      <w:r w:rsidR="00667F9F">
        <w:rPr>
          <w:rFonts w:ascii="Times New Roman" w:hAnsi="Times New Roman" w:cs="Times New Roman"/>
          <w:sz w:val="24"/>
          <w:szCs w:val="24"/>
        </w:rPr>
        <w:t>’Sinful deacon Jacob to the spiritual believers of God’.</w:t>
      </w:r>
      <w:r w:rsidR="00F661E8">
        <w:rPr>
          <w:rFonts w:ascii="Times New Roman" w:hAnsi="Times New Roman" w:cs="Times New Roman"/>
          <w:sz w:val="24"/>
          <w:szCs w:val="24"/>
        </w:rPr>
        <w:t xml:space="preserve"> Despite critiquing himself, the life of Pelagia is not actually taken from the point of view of Pelagia herself. This can be seen in other stories related to Christianity such as </w:t>
      </w:r>
      <w:r w:rsidR="000F5BBB">
        <w:rPr>
          <w:rFonts w:ascii="Times New Roman" w:hAnsi="Times New Roman" w:cs="Times New Roman"/>
          <w:sz w:val="24"/>
          <w:szCs w:val="24"/>
        </w:rPr>
        <w:t xml:space="preserve">‘The Acts of Thecla’. A woman </w:t>
      </w:r>
      <w:r w:rsidR="00D1782E">
        <w:rPr>
          <w:rFonts w:ascii="Times New Roman" w:hAnsi="Times New Roman" w:cs="Times New Roman"/>
          <w:sz w:val="24"/>
          <w:szCs w:val="24"/>
        </w:rPr>
        <w:t xml:space="preserve">living in Iconium </w:t>
      </w:r>
      <w:r w:rsidR="000F5BBB">
        <w:rPr>
          <w:rFonts w:ascii="Times New Roman" w:hAnsi="Times New Roman" w:cs="Times New Roman"/>
          <w:sz w:val="24"/>
          <w:szCs w:val="24"/>
        </w:rPr>
        <w:t xml:space="preserve">pushed away by old beliefs and morals and becomes mesmerised by the words and teachings of St Paul. Who is known to teach key beliefs such as women being of the rib of man </w:t>
      </w:r>
      <w:r w:rsidR="008E0236">
        <w:rPr>
          <w:rFonts w:ascii="Times New Roman" w:hAnsi="Times New Roman" w:cs="Times New Roman"/>
          <w:sz w:val="24"/>
          <w:szCs w:val="24"/>
        </w:rPr>
        <w:t xml:space="preserve">and of generally being second class to men. </w:t>
      </w:r>
      <w:r w:rsidR="00625CB8">
        <w:rPr>
          <w:rFonts w:ascii="Times New Roman" w:hAnsi="Times New Roman" w:cs="Times New Roman"/>
          <w:sz w:val="24"/>
          <w:szCs w:val="24"/>
        </w:rPr>
        <w:t xml:space="preserve">Pelagia is written to have been a the most beautiful of women with </w:t>
      </w:r>
      <w:r w:rsidR="00625CB8">
        <w:rPr>
          <w:rStyle w:val="FootnoteReference"/>
          <w:rFonts w:ascii="Times New Roman" w:hAnsi="Times New Roman" w:cs="Times New Roman"/>
          <w:sz w:val="24"/>
          <w:szCs w:val="24"/>
        </w:rPr>
        <w:footnoteReference w:id="12"/>
      </w:r>
      <w:r w:rsidR="00625CB8">
        <w:rPr>
          <w:rFonts w:ascii="Times New Roman" w:hAnsi="Times New Roman" w:cs="Times New Roman"/>
          <w:sz w:val="24"/>
          <w:szCs w:val="24"/>
        </w:rPr>
        <w:t xml:space="preserve">’Gold ornaments, pearls, and all sorts of precious stones, resplendent in luxurious and expensive clothes’. It seems that Pelagia had a wealthy and good quality of life. However, despite influencing Bishop Nonnos to the point of him weeping, the most interesting quote I find in this whole story comes when Bishop Nonnos says </w:t>
      </w:r>
      <w:r w:rsidR="00625CB8">
        <w:rPr>
          <w:rStyle w:val="FootnoteReference"/>
          <w:rFonts w:ascii="Times New Roman" w:hAnsi="Times New Roman" w:cs="Times New Roman"/>
          <w:sz w:val="24"/>
          <w:szCs w:val="24"/>
        </w:rPr>
        <w:footnoteReference w:id="13"/>
      </w:r>
      <w:r w:rsidR="00560EA9">
        <w:rPr>
          <w:rFonts w:ascii="Times New Roman" w:hAnsi="Times New Roman" w:cs="Times New Roman"/>
          <w:sz w:val="24"/>
          <w:szCs w:val="24"/>
        </w:rPr>
        <w:t xml:space="preserve">’Up to the present [Pelagia] has been a snare and a stumbling block for mankind; she has lived her life in the world in the vain pursuit of adorning herself, causing harm to many’. </w:t>
      </w:r>
      <w:r w:rsidR="001E005D">
        <w:rPr>
          <w:rFonts w:ascii="Times New Roman" w:hAnsi="Times New Roman" w:cs="Times New Roman"/>
          <w:sz w:val="24"/>
          <w:szCs w:val="24"/>
        </w:rPr>
        <w:t xml:space="preserve">After being moved by Bishop Nonnos’ homily words within the congregation and weeping and sprawling at Bishop Nonnos’ feet. It is seen that she becomes fully consumed by the Christian establishment and my interpretation of this is that she is no longer the person she once was. The ‘sinful woman’ or the ‘disciple of Satan’ as the story proclaims. </w:t>
      </w:r>
      <w:r w:rsidR="000E5352">
        <w:rPr>
          <w:rStyle w:val="FootnoteReference"/>
          <w:rFonts w:ascii="Times New Roman" w:hAnsi="Times New Roman" w:cs="Times New Roman"/>
          <w:sz w:val="24"/>
          <w:szCs w:val="24"/>
        </w:rPr>
        <w:footnoteReference w:id="14"/>
      </w:r>
      <w:r w:rsidR="000E5352">
        <w:rPr>
          <w:rFonts w:ascii="Times New Roman" w:hAnsi="Times New Roman" w:cs="Times New Roman"/>
          <w:sz w:val="24"/>
          <w:szCs w:val="24"/>
        </w:rPr>
        <w:t xml:space="preserve">’I failed to recognize [Pelagia] because she had lost those good looks I used to know; her astounding beauty had all faded away, her laughing and bright face that I had known had become ugly, her pretty eyes had become hollow and cavernous’. To me, this description does not detail someone who must have been happy with her own life. Despite seeming content, the additional depictions of Pelagia looking and sounding more like a man and living in tight and strict conditions as a monk gives me the thoughts that she has been somewhat brainwashed and overwhelmed by the hatred she received earlier in this story. She was arguably, forced to change her way of life in which this story, not written or interpreted by Pelagia herself; seems to glorify her transformation as the ‘daughter of </w:t>
      </w:r>
      <w:r w:rsidR="000E5352">
        <w:rPr>
          <w:rFonts w:ascii="Times New Roman" w:hAnsi="Times New Roman" w:cs="Times New Roman"/>
          <w:sz w:val="24"/>
          <w:szCs w:val="24"/>
        </w:rPr>
        <w:lastRenderedPageBreak/>
        <w:t>Christ’. Linking this story to my social value, she seems to have been purified by the transformation she has made, suiting the ideals of the establishment and not her own. Additionally, her becoming more manlike once again indicates that Men were above Women in Christianity during this time</w:t>
      </w:r>
      <w:r w:rsidR="00A02552">
        <w:rPr>
          <w:rFonts w:ascii="Times New Roman" w:hAnsi="Times New Roman" w:cs="Times New Roman"/>
          <w:sz w:val="24"/>
          <w:szCs w:val="24"/>
        </w:rPr>
        <w:t>.</w:t>
      </w:r>
    </w:p>
    <w:p w14:paraId="34ED7592" w14:textId="18CD0764" w:rsidR="00A02552" w:rsidRDefault="00A02552" w:rsidP="00FB5F49">
      <w:pPr>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951FD8">
        <w:rPr>
          <w:rFonts w:ascii="Times New Roman" w:hAnsi="Times New Roman" w:cs="Times New Roman"/>
          <w:sz w:val="24"/>
          <w:szCs w:val="24"/>
        </w:rPr>
        <w:t xml:space="preserve">purity and pollution plays a huge role in how both genders were treated during early Christianity. </w:t>
      </w:r>
      <w:r w:rsidR="005F72A3">
        <w:rPr>
          <w:rFonts w:ascii="Times New Roman" w:hAnsi="Times New Roman" w:cs="Times New Roman"/>
          <w:sz w:val="24"/>
          <w:szCs w:val="24"/>
        </w:rPr>
        <w:t xml:space="preserve">The law that the Christian church placed over its followers was one of manipulation, expectation and psychological control. </w:t>
      </w:r>
      <w:r w:rsidR="003C5171">
        <w:rPr>
          <w:rFonts w:ascii="Times New Roman" w:hAnsi="Times New Roman" w:cs="Times New Roman"/>
          <w:sz w:val="24"/>
          <w:szCs w:val="24"/>
        </w:rPr>
        <w:t>However, this was the beginning of Christianity which was completely different to what we know today. Despite, few gender differences still being present</w:t>
      </w:r>
      <w:r w:rsidR="00E61A95">
        <w:rPr>
          <w:rFonts w:ascii="Times New Roman" w:hAnsi="Times New Roman" w:cs="Times New Roman"/>
          <w:sz w:val="24"/>
          <w:szCs w:val="24"/>
        </w:rPr>
        <w:t>. An example being</w:t>
      </w:r>
      <w:r w:rsidR="003C5171">
        <w:rPr>
          <w:rFonts w:ascii="Times New Roman" w:hAnsi="Times New Roman" w:cs="Times New Roman"/>
          <w:sz w:val="24"/>
          <w:szCs w:val="24"/>
        </w:rPr>
        <w:t xml:space="preserve"> male priests only within Catholicism</w:t>
      </w:r>
      <w:r w:rsidR="00E61A95">
        <w:rPr>
          <w:rFonts w:ascii="Times New Roman" w:hAnsi="Times New Roman" w:cs="Times New Roman"/>
          <w:sz w:val="24"/>
          <w:szCs w:val="24"/>
        </w:rPr>
        <w:t xml:space="preserve">. However, followers of Christianity in its founding would have had a completely different mindset to what I think/believe. What they are doing is right and will lead them to Christ. </w:t>
      </w:r>
      <w:r w:rsidR="009353D5">
        <w:rPr>
          <w:rFonts w:ascii="Times New Roman" w:hAnsi="Times New Roman" w:cs="Times New Roman"/>
          <w:sz w:val="24"/>
          <w:szCs w:val="24"/>
        </w:rPr>
        <w:t>Subsequently, it would have been interesting to see actual accounts of early Christian law by individual followers themselves, and not written by a member of the Christian church. Like deacon Jacob writing the account of the Life of Pelagia. Overall, Christianity evolved over centuries to learn and change its laws for the good of all males and females of the church. Which is now Christianity we have today.</w:t>
      </w:r>
    </w:p>
    <w:p w14:paraId="272D91F3" w14:textId="4E347C26" w:rsidR="009353D5" w:rsidRDefault="009353D5" w:rsidP="00FB5F49">
      <w:pPr>
        <w:jc w:val="both"/>
        <w:rPr>
          <w:rFonts w:ascii="Times New Roman" w:hAnsi="Times New Roman" w:cs="Times New Roman"/>
          <w:sz w:val="24"/>
          <w:szCs w:val="24"/>
        </w:rPr>
      </w:pPr>
      <w:r>
        <w:rPr>
          <w:rFonts w:ascii="Times New Roman" w:hAnsi="Times New Roman" w:cs="Times New Roman"/>
          <w:sz w:val="24"/>
          <w:szCs w:val="24"/>
        </w:rPr>
        <w:t>Luca Horton</w:t>
      </w:r>
    </w:p>
    <w:p w14:paraId="5EA0CCB3" w14:textId="77777777" w:rsidR="00552647" w:rsidRDefault="00552647" w:rsidP="00FB5F49">
      <w:pPr>
        <w:jc w:val="both"/>
        <w:rPr>
          <w:rFonts w:ascii="Times New Roman" w:hAnsi="Times New Roman" w:cs="Times New Roman"/>
          <w:b/>
          <w:sz w:val="24"/>
          <w:szCs w:val="24"/>
          <w:u w:val="single"/>
        </w:rPr>
      </w:pPr>
    </w:p>
    <w:p w14:paraId="12C240E9" w14:textId="77777777" w:rsidR="00552647" w:rsidRDefault="00552647" w:rsidP="00FB5F49">
      <w:pPr>
        <w:jc w:val="both"/>
        <w:rPr>
          <w:rFonts w:ascii="Times New Roman" w:hAnsi="Times New Roman" w:cs="Times New Roman"/>
          <w:b/>
          <w:sz w:val="24"/>
          <w:szCs w:val="24"/>
          <w:u w:val="single"/>
        </w:rPr>
      </w:pPr>
    </w:p>
    <w:p w14:paraId="715F53E1" w14:textId="77777777" w:rsidR="00552647" w:rsidRDefault="00552647" w:rsidP="00FB5F49">
      <w:pPr>
        <w:jc w:val="both"/>
        <w:rPr>
          <w:rFonts w:ascii="Times New Roman" w:hAnsi="Times New Roman" w:cs="Times New Roman"/>
          <w:b/>
          <w:sz w:val="24"/>
          <w:szCs w:val="24"/>
          <w:u w:val="single"/>
        </w:rPr>
      </w:pPr>
    </w:p>
    <w:p w14:paraId="3864B87A" w14:textId="77777777" w:rsidR="00552647" w:rsidRDefault="00552647" w:rsidP="00FB5F49">
      <w:pPr>
        <w:jc w:val="both"/>
        <w:rPr>
          <w:rFonts w:ascii="Times New Roman" w:hAnsi="Times New Roman" w:cs="Times New Roman"/>
          <w:b/>
          <w:sz w:val="24"/>
          <w:szCs w:val="24"/>
          <w:u w:val="single"/>
        </w:rPr>
      </w:pPr>
    </w:p>
    <w:p w14:paraId="7BD9F0EA" w14:textId="77777777" w:rsidR="00552647" w:rsidRDefault="00552647" w:rsidP="00FB5F49">
      <w:pPr>
        <w:jc w:val="both"/>
        <w:rPr>
          <w:rFonts w:ascii="Times New Roman" w:hAnsi="Times New Roman" w:cs="Times New Roman"/>
          <w:b/>
          <w:sz w:val="24"/>
          <w:szCs w:val="24"/>
          <w:u w:val="single"/>
        </w:rPr>
      </w:pPr>
    </w:p>
    <w:p w14:paraId="4F846736" w14:textId="77777777" w:rsidR="00552647" w:rsidRDefault="00552647" w:rsidP="00FB5F49">
      <w:pPr>
        <w:jc w:val="both"/>
        <w:rPr>
          <w:rFonts w:ascii="Times New Roman" w:hAnsi="Times New Roman" w:cs="Times New Roman"/>
          <w:b/>
          <w:sz w:val="24"/>
          <w:szCs w:val="24"/>
          <w:u w:val="single"/>
        </w:rPr>
      </w:pPr>
    </w:p>
    <w:p w14:paraId="182067EB" w14:textId="77777777" w:rsidR="00552647" w:rsidRDefault="00552647" w:rsidP="00FB5F49">
      <w:pPr>
        <w:jc w:val="both"/>
        <w:rPr>
          <w:rFonts w:ascii="Times New Roman" w:hAnsi="Times New Roman" w:cs="Times New Roman"/>
          <w:b/>
          <w:sz w:val="24"/>
          <w:szCs w:val="24"/>
          <w:u w:val="single"/>
        </w:rPr>
      </w:pPr>
    </w:p>
    <w:p w14:paraId="4DF2C155" w14:textId="77777777" w:rsidR="00552647" w:rsidRDefault="00552647" w:rsidP="00FB5F49">
      <w:pPr>
        <w:jc w:val="both"/>
        <w:rPr>
          <w:rFonts w:ascii="Times New Roman" w:hAnsi="Times New Roman" w:cs="Times New Roman"/>
          <w:b/>
          <w:sz w:val="24"/>
          <w:szCs w:val="24"/>
          <w:u w:val="single"/>
        </w:rPr>
      </w:pPr>
    </w:p>
    <w:p w14:paraId="01B25F89" w14:textId="77777777" w:rsidR="00FB5F49" w:rsidRDefault="00FB5F49" w:rsidP="00FB5F49">
      <w:pPr>
        <w:jc w:val="both"/>
        <w:rPr>
          <w:rFonts w:ascii="Times New Roman" w:hAnsi="Times New Roman" w:cs="Times New Roman"/>
          <w:b/>
          <w:sz w:val="24"/>
          <w:szCs w:val="24"/>
          <w:u w:val="single"/>
        </w:rPr>
      </w:pPr>
    </w:p>
    <w:p w14:paraId="4D872CA0" w14:textId="77777777" w:rsidR="00FB5F49" w:rsidRDefault="00FB5F49" w:rsidP="00FB5F49">
      <w:pPr>
        <w:jc w:val="both"/>
        <w:rPr>
          <w:rFonts w:ascii="Times New Roman" w:hAnsi="Times New Roman" w:cs="Times New Roman"/>
          <w:b/>
          <w:sz w:val="24"/>
          <w:szCs w:val="24"/>
          <w:u w:val="single"/>
        </w:rPr>
      </w:pPr>
    </w:p>
    <w:p w14:paraId="6FB84EEC" w14:textId="77777777" w:rsidR="00FB5F49" w:rsidRDefault="00FB5F49" w:rsidP="00FB5F49">
      <w:pPr>
        <w:jc w:val="both"/>
        <w:rPr>
          <w:rFonts w:ascii="Times New Roman" w:hAnsi="Times New Roman" w:cs="Times New Roman"/>
          <w:b/>
          <w:sz w:val="24"/>
          <w:szCs w:val="24"/>
          <w:u w:val="single"/>
        </w:rPr>
      </w:pPr>
    </w:p>
    <w:p w14:paraId="4E8B97F1" w14:textId="55C7DEB9" w:rsidR="009353D5" w:rsidRDefault="008528EA" w:rsidP="00FB5F49">
      <w:pPr>
        <w:jc w:val="both"/>
        <w:rPr>
          <w:rFonts w:ascii="Times New Roman" w:hAnsi="Times New Roman" w:cs="Times New Roman"/>
          <w:b/>
          <w:sz w:val="24"/>
          <w:szCs w:val="24"/>
          <w:u w:val="single"/>
        </w:rPr>
      </w:pPr>
      <w:bookmarkStart w:id="1" w:name="_GoBack"/>
      <w:bookmarkEnd w:id="1"/>
      <w:r>
        <w:rPr>
          <w:rFonts w:ascii="Times New Roman" w:hAnsi="Times New Roman" w:cs="Times New Roman"/>
          <w:b/>
          <w:sz w:val="24"/>
          <w:szCs w:val="24"/>
          <w:u w:val="single"/>
        </w:rPr>
        <w:lastRenderedPageBreak/>
        <w:t>Bibliography</w:t>
      </w:r>
    </w:p>
    <w:p w14:paraId="33BC4EAD" w14:textId="3FD4080B" w:rsidR="008528EA" w:rsidRDefault="008528EA" w:rsidP="00FB5F49">
      <w:pPr>
        <w:jc w:val="both"/>
        <w:rPr>
          <w:rFonts w:ascii="Times New Roman" w:hAnsi="Times New Roman" w:cs="Times New Roman"/>
          <w:sz w:val="24"/>
          <w:szCs w:val="24"/>
        </w:rPr>
      </w:pPr>
      <w:r>
        <w:rPr>
          <w:rFonts w:ascii="Times New Roman" w:hAnsi="Times New Roman" w:cs="Times New Roman"/>
          <w:sz w:val="24"/>
          <w:szCs w:val="24"/>
        </w:rPr>
        <w:t xml:space="preserve">Ehrman, Bart D. </w:t>
      </w:r>
      <w:r>
        <w:rPr>
          <w:rFonts w:ascii="Times New Roman" w:hAnsi="Times New Roman" w:cs="Times New Roman"/>
          <w:i/>
          <w:sz w:val="24"/>
          <w:szCs w:val="24"/>
        </w:rPr>
        <w:t>After the New Testament</w:t>
      </w:r>
      <w:r>
        <w:rPr>
          <w:rFonts w:ascii="Times New Roman" w:hAnsi="Times New Roman" w:cs="Times New Roman"/>
          <w:sz w:val="24"/>
          <w:szCs w:val="24"/>
        </w:rPr>
        <w:t>, 1</w:t>
      </w:r>
      <w:r w:rsidRPr="008528EA">
        <w:rPr>
          <w:rFonts w:ascii="Times New Roman" w:hAnsi="Times New Roman" w:cs="Times New Roman"/>
          <w:sz w:val="24"/>
          <w:szCs w:val="24"/>
          <w:vertAlign w:val="superscript"/>
        </w:rPr>
        <w:t>st</w:t>
      </w:r>
      <w:r>
        <w:rPr>
          <w:rFonts w:ascii="Times New Roman" w:hAnsi="Times New Roman" w:cs="Times New Roman"/>
          <w:sz w:val="24"/>
          <w:szCs w:val="24"/>
        </w:rPr>
        <w:t xml:space="preserve"> ed. 198 Madison Avenue, New York, 10016, Oxford University Press Inc.; 1999</w:t>
      </w:r>
    </w:p>
    <w:p w14:paraId="44457207" w14:textId="2433DB0B" w:rsidR="008528EA" w:rsidRDefault="008528EA" w:rsidP="00FB5F49">
      <w:pPr>
        <w:jc w:val="both"/>
        <w:rPr>
          <w:rFonts w:ascii="Times New Roman" w:hAnsi="Times New Roman" w:cs="Times New Roman"/>
          <w:sz w:val="24"/>
          <w:szCs w:val="24"/>
        </w:rPr>
      </w:pPr>
      <w:r w:rsidRPr="008528EA">
        <w:rPr>
          <w:rFonts w:ascii="Times New Roman" w:hAnsi="Times New Roman" w:cs="Times New Roman"/>
          <w:sz w:val="24"/>
          <w:szCs w:val="24"/>
        </w:rPr>
        <w:t>David DeSilva (2004) An Introduction to the New Testament: Contexts, Methods &amp; Ministry Formation, Leicester: IVP Academic</w:t>
      </w:r>
    </w:p>
    <w:p w14:paraId="7467005F" w14:textId="7B7015D2" w:rsidR="00352F6A" w:rsidRDefault="00352F6A" w:rsidP="00FB5F49">
      <w:pPr>
        <w:jc w:val="both"/>
        <w:rPr>
          <w:rFonts w:ascii="Times New Roman" w:hAnsi="Times New Roman" w:cs="Times New Roman"/>
          <w:sz w:val="24"/>
          <w:szCs w:val="24"/>
        </w:rPr>
      </w:pPr>
      <w:r>
        <w:rPr>
          <w:rFonts w:ascii="Times New Roman" w:hAnsi="Times New Roman" w:cs="Times New Roman"/>
          <w:sz w:val="24"/>
          <w:szCs w:val="24"/>
        </w:rPr>
        <w:t xml:space="preserve">Lynch, Joseph H. </w:t>
      </w:r>
      <w:r>
        <w:rPr>
          <w:rFonts w:ascii="Times New Roman" w:hAnsi="Times New Roman" w:cs="Times New Roman"/>
          <w:i/>
          <w:sz w:val="24"/>
          <w:szCs w:val="24"/>
        </w:rPr>
        <w:t>Early Christianity: A Brief History</w:t>
      </w:r>
      <w:bookmarkStart w:id="2" w:name="_Hlk514859470"/>
      <w:r>
        <w:rPr>
          <w:rFonts w:ascii="Times New Roman" w:hAnsi="Times New Roman" w:cs="Times New Roman"/>
          <w:i/>
          <w:sz w:val="24"/>
          <w:szCs w:val="24"/>
        </w:rPr>
        <w:t xml:space="preserve">, </w:t>
      </w:r>
      <w:r>
        <w:rPr>
          <w:rFonts w:ascii="Times New Roman" w:hAnsi="Times New Roman" w:cs="Times New Roman"/>
          <w:sz w:val="24"/>
          <w:szCs w:val="24"/>
        </w:rPr>
        <w:t>198 Madison Avenue, New York, 10016</w:t>
      </w:r>
      <w:bookmarkEnd w:id="2"/>
      <w:r>
        <w:rPr>
          <w:rFonts w:ascii="Times New Roman" w:hAnsi="Times New Roman" w:cs="Times New Roman"/>
          <w:sz w:val="24"/>
          <w:szCs w:val="24"/>
        </w:rPr>
        <w:t>: Oxford University Press; 2010</w:t>
      </w:r>
    </w:p>
    <w:p w14:paraId="16021C57" w14:textId="74EFB98F" w:rsidR="0004412F" w:rsidRDefault="0004412F" w:rsidP="00FB5F49">
      <w:pPr>
        <w:jc w:val="both"/>
        <w:rPr>
          <w:rFonts w:ascii="Times New Roman" w:hAnsi="Times New Roman" w:cs="Times New Roman"/>
          <w:sz w:val="24"/>
          <w:szCs w:val="24"/>
        </w:rPr>
      </w:pPr>
      <w:r w:rsidRPr="0004412F">
        <w:rPr>
          <w:rFonts w:ascii="Times New Roman" w:hAnsi="Times New Roman" w:cs="Times New Roman"/>
          <w:sz w:val="24"/>
          <w:szCs w:val="24"/>
        </w:rPr>
        <w:t xml:space="preserve">Jacobs, Andrew S. and Ehrman, Bart D., (2004) Christianity in Late Antiquity 300-450 </w:t>
      </w:r>
      <w:r w:rsidR="00552647" w:rsidRPr="0004412F">
        <w:rPr>
          <w:rFonts w:ascii="Times New Roman" w:hAnsi="Times New Roman" w:cs="Times New Roman"/>
          <w:sz w:val="24"/>
          <w:szCs w:val="24"/>
        </w:rPr>
        <w:t>C.E,</w:t>
      </w:r>
      <w:r w:rsidRPr="0004412F">
        <w:rPr>
          <w:rFonts w:ascii="Times New Roman" w:hAnsi="Times New Roman" w:cs="Times New Roman"/>
          <w:sz w:val="24"/>
          <w:szCs w:val="24"/>
        </w:rPr>
        <w:t xml:space="preserve"> 198 Madison Avenue, New York, 10016</w:t>
      </w:r>
      <w:r>
        <w:rPr>
          <w:rFonts w:ascii="Times New Roman" w:hAnsi="Times New Roman" w:cs="Times New Roman"/>
          <w:sz w:val="24"/>
          <w:szCs w:val="24"/>
        </w:rPr>
        <w:t>,</w:t>
      </w:r>
      <w:r w:rsidRPr="0004412F">
        <w:rPr>
          <w:rFonts w:ascii="Times New Roman" w:hAnsi="Times New Roman" w:cs="Times New Roman"/>
          <w:sz w:val="24"/>
          <w:szCs w:val="24"/>
        </w:rPr>
        <w:t xml:space="preserve"> Oxford University Press</w:t>
      </w:r>
      <w:r>
        <w:rPr>
          <w:rFonts w:ascii="Times New Roman" w:hAnsi="Times New Roman" w:cs="Times New Roman"/>
          <w:sz w:val="24"/>
          <w:szCs w:val="24"/>
        </w:rPr>
        <w:t>; 2004</w:t>
      </w:r>
    </w:p>
    <w:p w14:paraId="2BAEA16E" w14:textId="59A2C743" w:rsidR="00552647" w:rsidRPr="00552647" w:rsidRDefault="00552647" w:rsidP="00FB5F49">
      <w:pPr>
        <w:jc w:val="both"/>
        <w:rPr>
          <w:rFonts w:ascii="Times New Roman" w:hAnsi="Times New Roman" w:cs="Times New Roman"/>
          <w:sz w:val="24"/>
          <w:szCs w:val="24"/>
        </w:rPr>
      </w:pPr>
      <w:r>
        <w:rPr>
          <w:rFonts w:ascii="Times New Roman" w:hAnsi="Times New Roman" w:cs="Times New Roman"/>
          <w:sz w:val="24"/>
          <w:szCs w:val="24"/>
        </w:rPr>
        <w:t xml:space="preserve">Stark, </w:t>
      </w:r>
      <w:r w:rsidR="00E53F03">
        <w:rPr>
          <w:rFonts w:ascii="Times New Roman" w:hAnsi="Times New Roman" w:cs="Times New Roman"/>
          <w:sz w:val="24"/>
          <w:szCs w:val="24"/>
        </w:rPr>
        <w:t>Rodney,</w:t>
      </w:r>
      <w:r>
        <w:rPr>
          <w:rFonts w:ascii="Times New Roman" w:hAnsi="Times New Roman" w:cs="Times New Roman"/>
          <w:sz w:val="24"/>
          <w:szCs w:val="24"/>
        </w:rPr>
        <w:t xml:space="preserve"> (1996), </w:t>
      </w:r>
      <w:r>
        <w:rPr>
          <w:rFonts w:ascii="Times New Roman" w:hAnsi="Times New Roman" w:cs="Times New Roman"/>
          <w:i/>
          <w:sz w:val="24"/>
          <w:szCs w:val="24"/>
        </w:rPr>
        <w:t xml:space="preserve">The Rise of Christianity, </w:t>
      </w:r>
      <w:proofErr w:type="spellStart"/>
      <w:r w:rsidRPr="00552647">
        <w:rPr>
          <w:rFonts w:ascii="Times New Roman" w:hAnsi="Times New Roman" w:cs="Times New Roman"/>
          <w:sz w:val="24"/>
          <w:szCs w:val="24"/>
        </w:rPr>
        <w:t>HarperOne</w:t>
      </w:r>
      <w:proofErr w:type="spellEnd"/>
      <w:r w:rsidRPr="00552647">
        <w:rPr>
          <w:rFonts w:ascii="Times New Roman" w:hAnsi="Times New Roman" w:cs="Times New Roman"/>
          <w:sz w:val="24"/>
          <w:szCs w:val="24"/>
        </w:rPr>
        <w:t xml:space="preserve">; 1st HarperCollins </w:t>
      </w:r>
      <w:proofErr w:type="spellStart"/>
      <w:r w:rsidRPr="00552647">
        <w:rPr>
          <w:rFonts w:ascii="Times New Roman" w:hAnsi="Times New Roman" w:cs="Times New Roman"/>
          <w:sz w:val="24"/>
          <w:szCs w:val="24"/>
        </w:rPr>
        <w:t>Pbk</w:t>
      </w:r>
      <w:proofErr w:type="spellEnd"/>
      <w:r w:rsidRPr="00552647">
        <w:rPr>
          <w:rFonts w:ascii="Times New Roman" w:hAnsi="Times New Roman" w:cs="Times New Roman"/>
          <w:sz w:val="24"/>
          <w:szCs w:val="24"/>
        </w:rPr>
        <w:t>. Ed edition</w:t>
      </w:r>
      <w:r>
        <w:rPr>
          <w:rFonts w:ascii="Times New Roman" w:hAnsi="Times New Roman" w:cs="Times New Roman"/>
          <w:sz w:val="24"/>
          <w:szCs w:val="24"/>
        </w:rPr>
        <w:t>; 1996</w:t>
      </w:r>
    </w:p>
    <w:p w14:paraId="548A38AE" w14:textId="74D42328" w:rsidR="00552647" w:rsidRDefault="00552647" w:rsidP="00FB5F49">
      <w:pPr>
        <w:jc w:val="both"/>
        <w:rPr>
          <w:rFonts w:ascii="Times New Roman" w:hAnsi="Times New Roman" w:cs="Times New Roman"/>
          <w:sz w:val="24"/>
          <w:szCs w:val="24"/>
        </w:rPr>
      </w:pPr>
    </w:p>
    <w:p w14:paraId="7D95D39C" w14:textId="77777777" w:rsidR="00462FB4" w:rsidRDefault="00462FB4" w:rsidP="00FB5F49">
      <w:pPr>
        <w:jc w:val="both"/>
        <w:rPr>
          <w:rFonts w:ascii="Times New Roman" w:hAnsi="Times New Roman" w:cs="Times New Roman"/>
          <w:sz w:val="24"/>
          <w:szCs w:val="24"/>
        </w:rPr>
      </w:pPr>
    </w:p>
    <w:p w14:paraId="73247A94" w14:textId="77777777" w:rsidR="0004412F" w:rsidRPr="00352F6A" w:rsidRDefault="0004412F" w:rsidP="00FB5F49">
      <w:pPr>
        <w:jc w:val="both"/>
        <w:rPr>
          <w:rFonts w:ascii="Times New Roman" w:hAnsi="Times New Roman" w:cs="Times New Roman"/>
          <w:sz w:val="24"/>
          <w:szCs w:val="24"/>
        </w:rPr>
      </w:pPr>
    </w:p>
    <w:p w14:paraId="33052C51" w14:textId="77777777" w:rsidR="008528EA" w:rsidRDefault="008528EA" w:rsidP="00FB5F49">
      <w:pPr>
        <w:jc w:val="both"/>
        <w:rPr>
          <w:rFonts w:ascii="Times New Roman" w:hAnsi="Times New Roman" w:cs="Times New Roman"/>
          <w:sz w:val="24"/>
          <w:szCs w:val="24"/>
        </w:rPr>
      </w:pPr>
    </w:p>
    <w:p w14:paraId="0551AC05" w14:textId="77777777" w:rsidR="008528EA" w:rsidRPr="008528EA" w:rsidRDefault="008528EA" w:rsidP="00FB5F49">
      <w:pPr>
        <w:jc w:val="both"/>
        <w:rPr>
          <w:rFonts w:ascii="Times New Roman" w:hAnsi="Times New Roman" w:cs="Times New Roman"/>
          <w:sz w:val="24"/>
          <w:szCs w:val="24"/>
        </w:rPr>
      </w:pPr>
    </w:p>
    <w:sectPr w:rsidR="008528EA" w:rsidRPr="008528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3BDED" w14:textId="77777777" w:rsidR="00326752" w:rsidRDefault="00326752" w:rsidP="00C87198">
      <w:pPr>
        <w:spacing w:after="0" w:line="240" w:lineRule="auto"/>
      </w:pPr>
      <w:r>
        <w:separator/>
      </w:r>
    </w:p>
  </w:endnote>
  <w:endnote w:type="continuationSeparator" w:id="0">
    <w:p w14:paraId="422B393E" w14:textId="77777777" w:rsidR="00326752" w:rsidRDefault="00326752" w:rsidP="00C87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552C0" w14:textId="77777777" w:rsidR="00326752" w:rsidRDefault="00326752" w:rsidP="00C87198">
      <w:pPr>
        <w:spacing w:after="0" w:line="240" w:lineRule="auto"/>
      </w:pPr>
      <w:r>
        <w:separator/>
      </w:r>
    </w:p>
  </w:footnote>
  <w:footnote w:type="continuationSeparator" w:id="0">
    <w:p w14:paraId="05BC5C81" w14:textId="77777777" w:rsidR="00326752" w:rsidRDefault="00326752" w:rsidP="00C87198">
      <w:pPr>
        <w:spacing w:after="0" w:line="240" w:lineRule="auto"/>
      </w:pPr>
      <w:r>
        <w:continuationSeparator/>
      </w:r>
    </w:p>
  </w:footnote>
  <w:footnote w:id="1">
    <w:p w14:paraId="5B696BCD" w14:textId="515AAE3D" w:rsidR="00C07D29" w:rsidRDefault="00C07D29">
      <w:pPr>
        <w:pStyle w:val="FootnoteText"/>
      </w:pPr>
      <w:r>
        <w:rPr>
          <w:rStyle w:val="FootnoteReference"/>
        </w:rPr>
        <w:footnoteRef/>
      </w:r>
      <w:r>
        <w:t xml:space="preserve"> </w:t>
      </w:r>
      <w:bookmarkStart w:id="0" w:name="_Hlk514846021"/>
      <w:r w:rsidR="00AE3079">
        <w:t xml:space="preserve">David DeSilva (2004) </w:t>
      </w:r>
      <w:r w:rsidR="00AE3079">
        <w:rPr>
          <w:i/>
        </w:rPr>
        <w:t xml:space="preserve">An Introduction to the New Testament: Contexts, Methods &amp; Ministry Formation, </w:t>
      </w:r>
      <w:r w:rsidR="00AE3079">
        <w:t>Leicester: IVP Academic: pp</w:t>
      </w:r>
      <w:r w:rsidR="00AE3079">
        <w:rPr>
          <w:i/>
        </w:rPr>
        <w:t xml:space="preserve"> </w:t>
      </w:r>
      <w:bookmarkEnd w:id="0"/>
      <w:r w:rsidR="009A3F5A">
        <w:t>11</w:t>
      </w:r>
      <w:r w:rsidR="008A4FB0">
        <w:t>2</w:t>
      </w:r>
    </w:p>
  </w:footnote>
  <w:footnote w:id="2">
    <w:p w14:paraId="0BC57095" w14:textId="2A8FD798" w:rsidR="00C07D29" w:rsidRDefault="00C07D29">
      <w:pPr>
        <w:pStyle w:val="FootnoteText"/>
      </w:pPr>
      <w:r>
        <w:rPr>
          <w:rStyle w:val="FootnoteReference"/>
        </w:rPr>
        <w:footnoteRef/>
      </w:r>
      <w:r>
        <w:t xml:space="preserve"> </w:t>
      </w:r>
      <w:r w:rsidR="00AE3079" w:rsidRPr="00AE3079">
        <w:t xml:space="preserve">David DeSilva (2004) An Introduction to the New Testament: Contexts, Methods &amp; Ministry Formation, Leicester: IVP Academic: pp </w:t>
      </w:r>
      <w:r>
        <w:t>12</w:t>
      </w:r>
      <w:r w:rsidR="009A3F5A">
        <w:t>4</w:t>
      </w:r>
    </w:p>
  </w:footnote>
  <w:footnote w:id="3">
    <w:p w14:paraId="646F5122" w14:textId="68694BDA" w:rsidR="00C07D29" w:rsidRDefault="00C07D29" w:rsidP="00D7600F">
      <w:pPr>
        <w:pStyle w:val="FootnoteText"/>
        <w:tabs>
          <w:tab w:val="left" w:pos="1987"/>
        </w:tabs>
      </w:pPr>
      <w:r>
        <w:rPr>
          <w:rStyle w:val="FootnoteReference"/>
        </w:rPr>
        <w:footnoteRef/>
      </w:r>
      <w:r w:rsidR="00AE3079">
        <w:t xml:space="preserve"> </w:t>
      </w:r>
      <w:r w:rsidR="00AE3079" w:rsidRPr="00AE3079">
        <w:t>David DeSilva (2004) An Introduction to the New Testament: Contexts, Methods &amp; Ministry Formation, Leicester: IVP Academic: pp</w:t>
      </w:r>
      <w:r>
        <w:t xml:space="preserve"> </w:t>
      </w:r>
      <w:r w:rsidR="009A3F5A">
        <w:t>11</w:t>
      </w:r>
      <w:r>
        <w:t>9</w:t>
      </w:r>
      <w:r>
        <w:tab/>
      </w:r>
    </w:p>
  </w:footnote>
  <w:footnote w:id="4">
    <w:p w14:paraId="587B38A4" w14:textId="25807522" w:rsidR="00C07D29" w:rsidRDefault="00C07D29">
      <w:pPr>
        <w:pStyle w:val="FootnoteText"/>
      </w:pPr>
      <w:r>
        <w:rPr>
          <w:rStyle w:val="FootnoteReference"/>
        </w:rPr>
        <w:footnoteRef/>
      </w:r>
      <w:r w:rsidR="002F655C">
        <w:t xml:space="preserve"> </w:t>
      </w:r>
      <w:r w:rsidR="00AE3079" w:rsidRPr="00AE3079">
        <w:t>David DeSilva (2004) An Introduction to the New Testament: Contexts, Methods &amp; Ministry Formation, Leicester: IVP Academic: pp</w:t>
      </w:r>
      <w:r w:rsidR="002F655C">
        <w:t xml:space="preserve"> 11</w:t>
      </w:r>
      <w:r>
        <w:t>4</w:t>
      </w:r>
    </w:p>
  </w:footnote>
  <w:footnote w:id="5">
    <w:p w14:paraId="3816C72F" w14:textId="5A7C208C" w:rsidR="00C07D29" w:rsidRDefault="00C07D29">
      <w:pPr>
        <w:pStyle w:val="FootnoteText"/>
      </w:pPr>
      <w:r>
        <w:rPr>
          <w:rStyle w:val="FootnoteReference"/>
        </w:rPr>
        <w:footnoteRef/>
      </w:r>
      <w:r>
        <w:t xml:space="preserve"> </w:t>
      </w:r>
      <w:r w:rsidR="00AE3079" w:rsidRPr="00AE3079">
        <w:t xml:space="preserve">David DeSilva (2004) An Introduction to the New Testament: Contexts, Methods &amp; Ministry Formation, Leicester: IVP Academic: pp </w:t>
      </w:r>
      <w:r w:rsidR="002F655C">
        <w:t>11</w:t>
      </w:r>
      <w:r>
        <w:t>2</w:t>
      </w:r>
    </w:p>
  </w:footnote>
  <w:footnote w:id="6">
    <w:p w14:paraId="23D02691" w14:textId="2F199D75" w:rsidR="00C07D29" w:rsidRDefault="00C07D29">
      <w:pPr>
        <w:pStyle w:val="FootnoteText"/>
      </w:pPr>
      <w:r>
        <w:rPr>
          <w:rStyle w:val="FootnoteReference"/>
        </w:rPr>
        <w:footnoteRef/>
      </w:r>
      <w:r>
        <w:t xml:space="preserve"> </w:t>
      </w:r>
      <w:r w:rsidR="001B4B0C">
        <w:t>Ehrman</w:t>
      </w:r>
      <w:r w:rsidR="00167F52">
        <w:t xml:space="preserve">, Bart D. (1999) After the New Testament, Oxford University Press, pp 399-404 </w:t>
      </w:r>
    </w:p>
  </w:footnote>
  <w:footnote w:id="7">
    <w:p w14:paraId="75062E1A" w14:textId="2E8237BB" w:rsidR="00C07D29" w:rsidRDefault="00C07D29">
      <w:pPr>
        <w:pStyle w:val="FootnoteText"/>
      </w:pPr>
      <w:r>
        <w:rPr>
          <w:rStyle w:val="FootnoteReference"/>
        </w:rPr>
        <w:footnoteRef/>
      </w:r>
      <w:r>
        <w:t xml:space="preserve"> </w:t>
      </w:r>
      <w:r w:rsidR="00167F52" w:rsidRPr="00167F52">
        <w:t>Ehrman, Bart D. (1999) After the New Testament, Oxford University Press, pp 399-404</w:t>
      </w:r>
    </w:p>
  </w:footnote>
  <w:footnote w:id="8">
    <w:p w14:paraId="01AD62D6" w14:textId="29092852" w:rsidR="00C07D29" w:rsidRDefault="00C07D29">
      <w:pPr>
        <w:pStyle w:val="FootnoteText"/>
      </w:pPr>
      <w:r>
        <w:rPr>
          <w:rStyle w:val="FootnoteReference"/>
        </w:rPr>
        <w:footnoteRef/>
      </w:r>
      <w:r>
        <w:t xml:space="preserve"> </w:t>
      </w:r>
      <w:r w:rsidR="00167F52" w:rsidRPr="00167F52">
        <w:t>Ehrman, Bart D. (1999) After the New Testament, Oxford University Press, pp 399-404</w:t>
      </w:r>
    </w:p>
  </w:footnote>
  <w:footnote w:id="9">
    <w:p w14:paraId="46B4889D" w14:textId="4D864F94" w:rsidR="00C07D29" w:rsidRDefault="00C07D29">
      <w:pPr>
        <w:pStyle w:val="FootnoteText"/>
      </w:pPr>
      <w:r>
        <w:rPr>
          <w:rStyle w:val="FootnoteReference"/>
        </w:rPr>
        <w:footnoteRef/>
      </w:r>
      <w:r>
        <w:t xml:space="preserve"> </w:t>
      </w:r>
      <w:r w:rsidR="00167F52" w:rsidRPr="00167F52">
        <w:t>Ehrman, Bart D. (1999) After the New Testament, Oxford University Press, pp 399-404</w:t>
      </w:r>
    </w:p>
  </w:footnote>
  <w:footnote w:id="10">
    <w:p w14:paraId="4C413A8C" w14:textId="6F079C34" w:rsidR="00C07D29" w:rsidRDefault="00C07D29">
      <w:pPr>
        <w:pStyle w:val="FootnoteText"/>
      </w:pPr>
      <w:r>
        <w:rPr>
          <w:rStyle w:val="FootnoteReference"/>
        </w:rPr>
        <w:footnoteRef/>
      </w:r>
      <w:r>
        <w:t xml:space="preserve"> </w:t>
      </w:r>
      <w:r w:rsidR="00167F52" w:rsidRPr="00167F52">
        <w:t>Ehrman, Bart D. (1999) After the New Testament, Oxford University Press, pp 399-404</w:t>
      </w:r>
    </w:p>
  </w:footnote>
  <w:footnote w:id="11">
    <w:p w14:paraId="36CFBD37" w14:textId="3D4BE8B4" w:rsidR="00667F9F" w:rsidRDefault="00667F9F">
      <w:pPr>
        <w:pStyle w:val="FootnoteText"/>
      </w:pPr>
      <w:r>
        <w:rPr>
          <w:rStyle w:val="FootnoteReference"/>
        </w:rPr>
        <w:footnoteRef/>
      </w:r>
      <w:r>
        <w:t xml:space="preserve"> </w:t>
      </w:r>
      <w:r w:rsidR="006A4EF6">
        <w:t xml:space="preserve">Jacobs, Andrew S. and </w:t>
      </w:r>
      <w:r w:rsidR="00167F52">
        <w:t>Ehrman, Bart D.,</w:t>
      </w:r>
      <w:r w:rsidR="006A4EF6">
        <w:t xml:space="preserve"> (2004)</w:t>
      </w:r>
      <w:r w:rsidR="00167F52">
        <w:t xml:space="preserve"> Christianity in Late Antiquity 300-450 C.E</w:t>
      </w:r>
      <w:r w:rsidR="00B60C45">
        <w:t>, Oxford University Press, pp 404-316</w:t>
      </w:r>
    </w:p>
  </w:footnote>
  <w:footnote w:id="12">
    <w:p w14:paraId="428481CC" w14:textId="10B4A53E" w:rsidR="00625CB8" w:rsidRDefault="00625CB8">
      <w:pPr>
        <w:pStyle w:val="FootnoteText"/>
      </w:pPr>
      <w:r>
        <w:rPr>
          <w:rStyle w:val="FootnoteReference"/>
        </w:rPr>
        <w:footnoteRef/>
      </w:r>
      <w:r>
        <w:t xml:space="preserve"> </w:t>
      </w:r>
      <w:r w:rsidR="00B60C45" w:rsidRPr="00B60C45">
        <w:t>Jacobs, Andrew S. and Ehrman, Bart D., (2004) Christianity in Late Antiquity 300-450 C.E, Oxford University Press, pp 404-316</w:t>
      </w:r>
    </w:p>
  </w:footnote>
  <w:footnote w:id="13">
    <w:p w14:paraId="317996EF" w14:textId="6C773810" w:rsidR="00625CB8" w:rsidRDefault="00625CB8">
      <w:pPr>
        <w:pStyle w:val="FootnoteText"/>
      </w:pPr>
      <w:r>
        <w:rPr>
          <w:rStyle w:val="FootnoteReference"/>
        </w:rPr>
        <w:footnoteRef/>
      </w:r>
      <w:r>
        <w:t xml:space="preserve"> </w:t>
      </w:r>
      <w:r w:rsidR="00B60C45" w:rsidRPr="00B60C45">
        <w:t>Jacobs, Andrew S. and Ehrman, Bart D., (2004) Christianity in Late Antiquity 300-450 C.E, Oxford University Press, pp 404-316</w:t>
      </w:r>
    </w:p>
  </w:footnote>
  <w:footnote w:id="14">
    <w:p w14:paraId="06A38FB3" w14:textId="2580260B" w:rsidR="000E5352" w:rsidRDefault="000E5352">
      <w:pPr>
        <w:pStyle w:val="FootnoteText"/>
      </w:pPr>
      <w:r>
        <w:rPr>
          <w:rStyle w:val="FootnoteReference"/>
        </w:rPr>
        <w:footnoteRef/>
      </w:r>
      <w:r>
        <w:t xml:space="preserve"> </w:t>
      </w:r>
      <w:r w:rsidR="00B60C45" w:rsidRPr="00B60C45">
        <w:t>Jacobs, Andrew S. and Ehrman, Bart D., (2004) Christianity in Late Antiquity 300-450 C.E, Oxford University Press, pp 404-316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A2D"/>
    <w:rsid w:val="0004412F"/>
    <w:rsid w:val="000447AB"/>
    <w:rsid w:val="0006424F"/>
    <w:rsid w:val="0008001E"/>
    <w:rsid w:val="000E5352"/>
    <w:rsid w:val="000F5BBB"/>
    <w:rsid w:val="00167F52"/>
    <w:rsid w:val="001A1F41"/>
    <w:rsid w:val="001B4B0C"/>
    <w:rsid w:val="001E005D"/>
    <w:rsid w:val="00222D9C"/>
    <w:rsid w:val="00242CE0"/>
    <w:rsid w:val="00253169"/>
    <w:rsid w:val="00291F52"/>
    <w:rsid w:val="002E5884"/>
    <w:rsid w:val="002F655C"/>
    <w:rsid w:val="003009BB"/>
    <w:rsid w:val="00326752"/>
    <w:rsid w:val="003437F5"/>
    <w:rsid w:val="00352F6A"/>
    <w:rsid w:val="00383AEF"/>
    <w:rsid w:val="003A2275"/>
    <w:rsid w:val="003C5171"/>
    <w:rsid w:val="0041197B"/>
    <w:rsid w:val="004526DC"/>
    <w:rsid w:val="00462FB4"/>
    <w:rsid w:val="00466468"/>
    <w:rsid w:val="00483918"/>
    <w:rsid w:val="004A1E50"/>
    <w:rsid w:val="004A3A90"/>
    <w:rsid w:val="004C7BBA"/>
    <w:rsid w:val="004D0AD3"/>
    <w:rsid w:val="004E426F"/>
    <w:rsid w:val="0052154A"/>
    <w:rsid w:val="00552647"/>
    <w:rsid w:val="00560EA9"/>
    <w:rsid w:val="00592FAC"/>
    <w:rsid w:val="005935F1"/>
    <w:rsid w:val="005C39E5"/>
    <w:rsid w:val="005F72A3"/>
    <w:rsid w:val="00612FE6"/>
    <w:rsid w:val="006155FC"/>
    <w:rsid w:val="006200F9"/>
    <w:rsid w:val="00625CB8"/>
    <w:rsid w:val="00664B72"/>
    <w:rsid w:val="00667CF8"/>
    <w:rsid w:val="00667F9F"/>
    <w:rsid w:val="006804DE"/>
    <w:rsid w:val="006855CE"/>
    <w:rsid w:val="006A4EF6"/>
    <w:rsid w:val="006D66C9"/>
    <w:rsid w:val="007576EE"/>
    <w:rsid w:val="00793AEE"/>
    <w:rsid w:val="00813568"/>
    <w:rsid w:val="008375ED"/>
    <w:rsid w:val="008528EA"/>
    <w:rsid w:val="008A4FB0"/>
    <w:rsid w:val="008E0236"/>
    <w:rsid w:val="00905FE6"/>
    <w:rsid w:val="009353D5"/>
    <w:rsid w:val="00941032"/>
    <w:rsid w:val="00951FD8"/>
    <w:rsid w:val="00953787"/>
    <w:rsid w:val="00966871"/>
    <w:rsid w:val="009A3F5A"/>
    <w:rsid w:val="009E6EDC"/>
    <w:rsid w:val="00A02552"/>
    <w:rsid w:val="00A63E53"/>
    <w:rsid w:val="00A85A2D"/>
    <w:rsid w:val="00AD4949"/>
    <w:rsid w:val="00AD5197"/>
    <w:rsid w:val="00AE3079"/>
    <w:rsid w:val="00B15C55"/>
    <w:rsid w:val="00B54E67"/>
    <w:rsid w:val="00B60C45"/>
    <w:rsid w:val="00B732CF"/>
    <w:rsid w:val="00BA5AE1"/>
    <w:rsid w:val="00BB4F15"/>
    <w:rsid w:val="00BD5720"/>
    <w:rsid w:val="00BE75A8"/>
    <w:rsid w:val="00C07D29"/>
    <w:rsid w:val="00C249DC"/>
    <w:rsid w:val="00C87198"/>
    <w:rsid w:val="00CD78E0"/>
    <w:rsid w:val="00CD79BB"/>
    <w:rsid w:val="00CE29BA"/>
    <w:rsid w:val="00CF51B6"/>
    <w:rsid w:val="00D1782E"/>
    <w:rsid w:val="00D436F5"/>
    <w:rsid w:val="00D45F51"/>
    <w:rsid w:val="00D7204D"/>
    <w:rsid w:val="00D7600F"/>
    <w:rsid w:val="00E448E1"/>
    <w:rsid w:val="00E53F03"/>
    <w:rsid w:val="00E61A95"/>
    <w:rsid w:val="00E96CFB"/>
    <w:rsid w:val="00EA511F"/>
    <w:rsid w:val="00EB09BD"/>
    <w:rsid w:val="00ED2FE4"/>
    <w:rsid w:val="00F24AC6"/>
    <w:rsid w:val="00F25E1E"/>
    <w:rsid w:val="00F277CE"/>
    <w:rsid w:val="00F56C1C"/>
    <w:rsid w:val="00F661E8"/>
    <w:rsid w:val="00FA74B3"/>
    <w:rsid w:val="00FB5F49"/>
    <w:rsid w:val="00FE7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3992A"/>
  <w15:chartTrackingRefBased/>
  <w15:docId w15:val="{92E0176C-1BA2-4441-BD57-15F61A22A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871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7198"/>
    <w:rPr>
      <w:sz w:val="20"/>
      <w:szCs w:val="20"/>
    </w:rPr>
  </w:style>
  <w:style w:type="character" w:styleId="FootnoteReference">
    <w:name w:val="footnote reference"/>
    <w:basedOn w:val="DefaultParagraphFont"/>
    <w:uiPriority w:val="99"/>
    <w:semiHidden/>
    <w:unhideWhenUsed/>
    <w:rsid w:val="00C8719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716AE6-A9C4-4B69-AB50-52B0EFB8A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3</cp:revision>
  <dcterms:created xsi:type="dcterms:W3CDTF">2018-05-23T16:35:00Z</dcterms:created>
  <dcterms:modified xsi:type="dcterms:W3CDTF">2018-05-23T16:38:00Z</dcterms:modified>
</cp:coreProperties>
</file>