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C3A479" w14:textId="40D45CE6" w:rsidR="003F1EB4" w:rsidRDefault="003F1EB4"/>
    <w:p w14:paraId="7194E35D" w14:textId="2DFCC111" w:rsidR="003F1EB4" w:rsidRPr="0009282B" w:rsidRDefault="003F1EB4" w:rsidP="003F1EB4">
      <w:pPr>
        <w:pStyle w:val="Header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B7F4CF3" wp14:editId="27EE3083">
            <wp:simplePos x="0" y="0"/>
            <wp:positionH relativeFrom="column">
              <wp:posOffset>3666490</wp:posOffset>
            </wp:positionH>
            <wp:positionV relativeFrom="paragraph">
              <wp:posOffset>4445</wp:posOffset>
            </wp:positionV>
            <wp:extent cx="2037715" cy="953770"/>
            <wp:effectExtent l="0" t="0" r="635" b="0"/>
            <wp:wrapThrough wrapText="bothSides">
              <wp:wrapPolygon edited="0">
                <wp:start x="0" y="431"/>
                <wp:lineTo x="0" y="12943"/>
                <wp:lineTo x="202" y="17688"/>
                <wp:lineTo x="2625" y="19414"/>
                <wp:lineTo x="5654" y="20277"/>
                <wp:lineTo x="17568" y="20277"/>
                <wp:lineTo x="17770" y="19414"/>
                <wp:lineTo x="21405" y="15100"/>
                <wp:lineTo x="21405" y="12080"/>
                <wp:lineTo x="18982" y="8197"/>
                <wp:lineTo x="19991" y="2589"/>
                <wp:lineTo x="19184" y="1294"/>
                <wp:lineTo x="15347" y="431"/>
                <wp:lineTo x="0" y="431"/>
              </wp:wrapPolygon>
            </wp:wrapThrough>
            <wp:docPr id="176574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7715" cy="9537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9282B">
        <w:rPr>
          <w:rFonts w:asciiTheme="majorBidi" w:hAnsiTheme="majorBidi" w:cstheme="majorBidi"/>
          <w:b/>
          <w:bCs/>
          <w:sz w:val="32"/>
          <w:szCs w:val="32"/>
        </w:rPr>
        <w:t>Action Plan</w:t>
      </w:r>
      <w:r>
        <w:rPr>
          <w:rFonts w:asciiTheme="majorBidi" w:hAnsiTheme="majorBidi" w:cstheme="majorBidi"/>
          <w:b/>
          <w:bCs/>
          <w:sz w:val="32"/>
          <w:szCs w:val="32"/>
        </w:rPr>
        <w:t xml:space="preserve"> for Future Development</w:t>
      </w:r>
    </w:p>
    <w:p w14:paraId="77E366D6" w14:textId="77777777" w:rsidR="003F1EB4" w:rsidRPr="0009282B" w:rsidRDefault="003F1EB4" w:rsidP="003F1EB4">
      <w:pPr>
        <w:pStyle w:val="Header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 w:rsidRPr="0009282B">
        <w:rPr>
          <w:rFonts w:asciiTheme="majorBidi" w:hAnsiTheme="majorBidi" w:cstheme="majorBidi"/>
          <w:b/>
          <w:bCs/>
          <w:sz w:val="32"/>
          <w:szCs w:val="32"/>
        </w:rPr>
        <w:t>Najem Boumtiri</w:t>
      </w:r>
    </w:p>
    <w:p w14:paraId="064CFE2A" w14:textId="77777777" w:rsidR="003F1EB4" w:rsidRDefault="003F1EB4" w:rsidP="003F1EB4">
      <w:pPr>
        <w:pStyle w:val="Header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69ED09EA" w14:textId="7BAF11DB" w:rsidR="003F1EB4" w:rsidRPr="00944748" w:rsidRDefault="003F1EB4" w:rsidP="003F1EB4">
      <w:pPr>
        <w:pStyle w:val="Header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 w:rsidRPr="0009282B">
        <w:rPr>
          <w:rFonts w:asciiTheme="majorBidi" w:hAnsiTheme="majorBidi" w:cstheme="majorBidi"/>
          <w:b/>
          <w:bCs/>
          <w:sz w:val="32"/>
          <w:szCs w:val="32"/>
        </w:rPr>
        <w:t>1150231</w:t>
      </w:r>
    </w:p>
    <w:p w14:paraId="45565E67" w14:textId="77777777" w:rsidR="003F1EB4" w:rsidRDefault="003F1EB4"/>
    <w:p w14:paraId="49C59A7A" w14:textId="77777777" w:rsidR="003F1EB4" w:rsidRDefault="003F1EB4"/>
    <w:p w14:paraId="3E3C00E6" w14:textId="77777777" w:rsidR="003F1EB4" w:rsidRDefault="003F1EB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1"/>
        <w:gridCol w:w="1709"/>
        <w:gridCol w:w="2159"/>
        <w:gridCol w:w="1572"/>
        <w:gridCol w:w="1745"/>
      </w:tblGrid>
      <w:tr w:rsidR="003F1EB4" w:rsidRPr="001F33CE" w14:paraId="0BE1FAC9" w14:textId="77777777" w:rsidTr="00C74E5D">
        <w:tc>
          <w:tcPr>
            <w:tcW w:w="1831" w:type="dxa"/>
          </w:tcPr>
          <w:p w14:paraId="18ACE605" w14:textId="77777777" w:rsidR="003F1EB4" w:rsidRPr="001F33CE" w:rsidRDefault="003F1EB4" w:rsidP="00C74E5D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Area for Development</w:t>
            </w:r>
          </w:p>
        </w:tc>
        <w:tc>
          <w:tcPr>
            <w:tcW w:w="1709" w:type="dxa"/>
          </w:tcPr>
          <w:p w14:paraId="3C011646" w14:textId="77777777" w:rsidR="003F1EB4" w:rsidRPr="001F33CE" w:rsidRDefault="003F1EB4" w:rsidP="00C74E5D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Proposed Action</w:t>
            </w:r>
          </w:p>
        </w:tc>
        <w:tc>
          <w:tcPr>
            <w:tcW w:w="2159" w:type="dxa"/>
          </w:tcPr>
          <w:p w14:paraId="10C047B6" w14:textId="77777777" w:rsidR="003F1EB4" w:rsidRPr="001F33CE" w:rsidRDefault="003F1EB4" w:rsidP="00C74E5D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Resources/Support Required</w:t>
            </w:r>
          </w:p>
        </w:tc>
        <w:tc>
          <w:tcPr>
            <w:tcW w:w="1572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93"/>
            </w:tblGrid>
            <w:tr w:rsidR="003F1EB4" w:rsidRPr="001F33CE" w14:paraId="7B7D92D6" w14:textId="77777777" w:rsidTr="00C74E5D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3B8BC126" w14:textId="77777777" w:rsidR="003F1EB4" w:rsidRPr="001F33CE" w:rsidRDefault="003F1EB4" w:rsidP="00C74E5D">
                  <w:pPr>
                    <w:spacing w:after="0" w:line="240" w:lineRule="auto"/>
                    <w:jc w:val="center"/>
                    <w:rPr>
                      <w:rFonts w:asciiTheme="majorBidi" w:hAnsiTheme="majorBidi" w:cstheme="majorBidi"/>
                      <w:b/>
                      <w:bCs/>
                      <w:sz w:val="24"/>
                      <w:szCs w:val="24"/>
                    </w:rPr>
                  </w:pPr>
                  <w:r w:rsidRPr="001F33CE">
                    <w:rPr>
                      <w:rFonts w:asciiTheme="majorBidi" w:hAnsiTheme="majorBidi" w:cstheme="majorBidi"/>
                      <w:b/>
                      <w:bCs/>
                      <w:sz w:val="24"/>
                      <w:szCs w:val="24"/>
                    </w:rPr>
                    <w:t>Timeline</w:t>
                  </w:r>
                </w:p>
              </w:tc>
            </w:tr>
          </w:tbl>
          <w:p w14:paraId="1B771940" w14:textId="77777777" w:rsidR="003F1EB4" w:rsidRPr="001F33CE" w:rsidRDefault="003F1EB4" w:rsidP="00C74E5D">
            <w:pPr>
              <w:rPr>
                <w:rFonts w:asciiTheme="majorBidi" w:eastAsia="Times New Roman" w:hAnsiTheme="majorBidi" w:cstheme="majorBidi"/>
                <w:vanish/>
                <w:kern w:val="0"/>
                <w:sz w:val="24"/>
                <w:szCs w:val="24"/>
                <w:lang w:eastAsia="en-GB"/>
                <w14:ligatures w14:val="none"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3F1EB4" w:rsidRPr="001F33CE" w14:paraId="67A523B0" w14:textId="77777777" w:rsidTr="00C74E5D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43106951" w14:textId="77777777" w:rsidR="003F1EB4" w:rsidRPr="001F33CE" w:rsidRDefault="003F1EB4" w:rsidP="00C74E5D">
                  <w:pPr>
                    <w:spacing w:after="0" w:line="240" w:lineRule="auto"/>
                    <w:rPr>
                      <w:rFonts w:asciiTheme="majorBidi" w:eastAsia="Times New Roman" w:hAnsiTheme="majorBidi" w:cstheme="majorBidi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</w:tr>
          </w:tbl>
          <w:p w14:paraId="4556F9EB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1745" w:type="dxa"/>
          </w:tcPr>
          <w:p w14:paraId="34BE8430" w14:textId="77777777" w:rsidR="003F1EB4" w:rsidRPr="001F33CE" w:rsidRDefault="003F1EB4" w:rsidP="00C74E5D">
            <w:pP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Success Indicators</w:t>
            </w:r>
          </w:p>
        </w:tc>
      </w:tr>
      <w:tr w:rsidR="003F1EB4" w:rsidRPr="001F33CE" w14:paraId="52A0ED1D" w14:textId="77777777" w:rsidTr="00C74E5D">
        <w:tc>
          <w:tcPr>
            <w:tcW w:w="1831" w:type="dxa"/>
          </w:tcPr>
          <w:p w14:paraId="775EA039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Address Neurodivergent Learner Needs</w:t>
            </w:r>
          </w:p>
        </w:tc>
        <w:tc>
          <w:tcPr>
            <w:tcW w:w="1709" w:type="dxa"/>
          </w:tcPr>
          <w:p w14:paraId="0435952F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Minimize distractions such as background music. Use clear visuals and varied teaching strategies.</w:t>
            </w:r>
          </w:p>
        </w:tc>
        <w:tc>
          <w:tcPr>
            <w:tcW w:w="2159" w:type="dxa"/>
          </w:tcPr>
          <w:p w14:paraId="16A8E3E6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Guidance on inclusive practices; student feedback on adaptations.</w:t>
            </w:r>
          </w:p>
        </w:tc>
        <w:tc>
          <w:tcPr>
            <w:tcW w:w="1572" w:type="dxa"/>
          </w:tcPr>
          <w:p w14:paraId="683BAE64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Over the next two months.</w:t>
            </w:r>
          </w:p>
        </w:tc>
        <w:tc>
          <w:tcPr>
            <w:tcW w:w="1745" w:type="dxa"/>
          </w:tcPr>
          <w:p w14:paraId="549E293D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Improved engagement and feedback from neurodivergent learners.</w:t>
            </w:r>
          </w:p>
        </w:tc>
      </w:tr>
      <w:tr w:rsidR="003F1EB4" w:rsidRPr="001F33CE" w14:paraId="047973D0" w14:textId="77777777" w:rsidTr="00C74E5D">
        <w:tc>
          <w:tcPr>
            <w:tcW w:w="1831" w:type="dxa"/>
          </w:tcPr>
          <w:p w14:paraId="02B55738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Enhance Classroom Resources</w:t>
            </w:r>
          </w:p>
        </w:tc>
        <w:tc>
          <w:tcPr>
            <w:tcW w:w="1709" w:type="dxa"/>
          </w:tcPr>
          <w:p w14:paraId="01DF9F1E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Bring personal whiteboard markers to ensure visibility. Develop additional handouts with varied difficulty levels.</w:t>
            </w:r>
          </w:p>
        </w:tc>
        <w:tc>
          <w:tcPr>
            <w:tcW w:w="2159" w:type="dxa"/>
          </w:tcPr>
          <w:p w14:paraId="7AE7F5F9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Purchase of supplies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</w:tc>
        <w:tc>
          <w:tcPr>
            <w:tcW w:w="1572" w:type="dxa"/>
          </w:tcPr>
          <w:p w14:paraId="2FD44B83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 xml:space="preserve">For the next </w:t>
            </w:r>
            <w:proofErr w:type="spellStart"/>
            <w:r>
              <w:rPr>
                <w:rFonts w:asciiTheme="majorBidi" w:hAnsiTheme="majorBidi" w:cstheme="majorBidi"/>
                <w:sz w:val="24"/>
                <w:szCs w:val="24"/>
              </w:rPr>
              <w:t>Esol</w:t>
            </w:r>
            <w:proofErr w:type="spellEnd"/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1F33CE">
              <w:rPr>
                <w:rFonts w:asciiTheme="majorBidi" w:hAnsiTheme="majorBidi" w:cstheme="majorBidi"/>
                <w:sz w:val="24"/>
                <w:szCs w:val="24"/>
              </w:rPr>
              <w:t>session.</w:t>
            </w:r>
          </w:p>
        </w:tc>
        <w:tc>
          <w:tcPr>
            <w:tcW w:w="1745" w:type="dxa"/>
          </w:tcPr>
          <w:p w14:paraId="7E61AEBD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Resources are clear and effective; students use them without difficulty.</w:t>
            </w:r>
          </w:p>
        </w:tc>
      </w:tr>
      <w:tr w:rsidR="003F1EB4" w:rsidRPr="001F33CE" w14:paraId="7701FA20" w14:textId="77777777" w:rsidTr="00C74E5D">
        <w:tc>
          <w:tcPr>
            <w:tcW w:w="1831" w:type="dxa"/>
          </w:tcPr>
          <w:p w14:paraId="425C9C73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Foster Continuous Self-Reflection</w:t>
            </w:r>
          </w:p>
        </w:tc>
        <w:tc>
          <w:tcPr>
            <w:tcW w:w="1709" w:type="dxa"/>
          </w:tcPr>
          <w:p w14:paraId="75EAAFDB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Use Gibbs' Reflective Cycle after each session to evaluate strengths, areas for improvement, and learner outcomes.</w:t>
            </w:r>
          </w:p>
        </w:tc>
        <w:tc>
          <w:tcPr>
            <w:tcW w:w="2159" w:type="dxa"/>
          </w:tcPr>
          <w:p w14:paraId="47695AB8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Ask for feedback on my teaching and integrate other reflective practice accounts</w:t>
            </w:r>
          </w:p>
        </w:tc>
        <w:tc>
          <w:tcPr>
            <w:tcW w:w="1572" w:type="dxa"/>
          </w:tcPr>
          <w:p w14:paraId="2FCA2FEB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Ongoing after every lesson.</w:t>
            </w:r>
          </w:p>
        </w:tc>
        <w:tc>
          <w:tcPr>
            <w:tcW w:w="1745" w:type="dxa"/>
          </w:tcPr>
          <w:p w14:paraId="7A9D137F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Detailed reflections and action points generated after each teaching session.</w:t>
            </w:r>
          </w:p>
        </w:tc>
      </w:tr>
      <w:tr w:rsidR="003F1EB4" w:rsidRPr="001F33CE" w14:paraId="1618148D" w14:textId="77777777" w:rsidTr="00C74E5D">
        <w:tc>
          <w:tcPr>
            <w:tcW w:w="1831" w:type="dxa"/>
          </w:tcPr>
          <w:p w14:paraId="21E59BBB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Improve Accessibility of Visual Materials</w:t>
            </w:r>
          </w:p>
        </w:tc>
        <w:tc>
          <w:tcPr>
            <w:tcW w:w="1709" w:type="dxa"/>
          </w:tcPr>
          <w:p w14:paraId="00942363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 xml:space="preserve">Ensure slides use dark text on a light background; increase font size for </w:t>
            </w:r>
            <w:r w:rsidRPr="001F33CE">
              <w:rPr>
                <w:rFonts w:asciiTheme="majorBidi" w:hAnsiTheme="majorBidi" w:cstheme="majorBidi"/>
                <w:sz w:val="24"/>
                <w:szCs w:val="24"/>
              </w:rPr>
              <w:lastRenderedPageBreak/>
              <w:t>readability. Avoid red-green combinations.</w:t>
            </w:r>
          </w:p>
        </w:tc>
        <w:tc>
          <w:tcPr>
            <w:tcW w:w="2159" w:type="dxa"/>
          </w:tcPr>
          <w:p w14:paraId="4E1E4742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lastRenderedPageBreak/>
              <w:t>Presentation guidelines; peer review before delivery.</w:t>
            </w:r>
          </w:p>
        </w:tc>
        <w:tc>
          <w:tcPr>
            <w:tcW w:w="1572" w:type="dxa"/>
          </w:tcPr>
          <w:p w14:paraId="7AA094F4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Before next teaching session.</w:t>
            </w:r>
          </w:p>
        </w:tc>
        <w:tc>
          <w:tcPr>
            <w:tcW w:w="1745" w:type="dxa"/>
          </w:tcPr>
          <w:p w14:paraId="7D7F421C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 xml:space="preserve">Slides are readable and accessible for all learners, confirmed </w:t>
            </w:r>
            <w:r w:rsidRPr="001F33CE">
              <w:rPr>
                <w:rFonts w:asciiTheme="majorBidi" w:hAnsiTheme="majorBidi" w:cstheme="majorBidi"/>
                <w:sz w:val="24"/>
                <w:szCs w:val="24"/>
              </w:rPr>
              <w:lastRenderedPageBreak/>
              <w:t>through feedback.</w:t>
            </w:r>
          </w:p>
        </w:tc>
      </w:tr>
      <w:tr w:rsidR="003F1EB4" w:rsidRPr="001F33CE" w14:paraId="6ABCEF68" w14:textId="77777777" w:rsidTr="00C74E5D">
        <w:tc>
          <w:tcPr>
            <w:tcW w:w="1831" w:type="dxa"/>
          </w:tcPr>
          <w:p w14:paraId="34D919C0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lastRenderedPageBreak/>
              <w:t>Refine Timing and Pacing</w:t>
            </w:r>
          </w:p>
        </w:tc>
        <w:tc>
          <w:tcPr>
            <w:tcW w:w="1709" w:type="dxa"/>
          </w:tcPr>
          <w:p w14:paraId="07BD9AE4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Practice lessons to ensure smooth transitions and appropriate time allocation for activities.</w:t>
            </w:r>
          </w:p>
        </w:tc>
        <w:tc>
          <w:tcPr>
            <w:tcW w:w="2159" w:type="dxa"/>
          </w:tcPr>
          <w:p w14:paraId="0FEBE2E4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Practice sessions; feedback from colleagues</w:t>
            </w:r>
          </w:p>
        </w:tc>
        <w:tc>
          <w:tcPr>
            <w:tcW w:w="1572" w:type="dxa"/>
          </w:tcPr>
          <w:p w14:paraId="676BF1EF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One month before future observed teaching sessions</w:t>
            </w:r>
          </w:p>
        </w:tc>
        <w:tc>
          <w:tcPr>
            <w:tcW w:w="1745" w:type="dxa"/>
          </w:tcPr>
          <w:p w14:paraId="332D4500" w14:textId="77777777" w:rsidR="003F1EB4" w:rsidRPr="001F33CE" w:rsidRDefault="003F1EB4" w:rsidP="00C74E5D">
            <w:pPr>
              <w:rPr>
                <w:rFonts w:asciiTheme="majorBidi" w:hAnsiTheme="majorBidi" w:cstheme="majorBidi"/>
                <w:sz w:val="24"/>
                <w:szCs w:val="24"/>
              </w:rPr>
            </w:pPr>
            <w:r w:rsidRPr="001F33CE">
              <w:rPr>
                <w:rFonts w:asciiTheme="majorBidi" w:hAnsiTheme="majorBidi" w:cstheme="majorBidi"/>
                <w:sz w:val="24"/>
                <w:szCs w:val="24"/>
              </w:rPr>
              <w:t>Lessons run smoothly within allocated timeframes; positive feedback on pacing.</w:t>
            </w:r>
          </w:p>
        </w:tc>
      </w:tr>
    </w:tbl>
    <w:p w14:paraId="7AD10685" w14:textId="77777777" w:rsidR="003F1EB4" w:rsidRDefault="003F1EB4"/>
    <w:sectPr w:rsidR="003F1E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EB4"/>
    <w:rsid w:val="000F2A2A"/>
    <w:rsid w:val="001F3121"/>
    <w:rsid w:val="003F1EB4"/>
    <w:rsid w:val="0083533A"/>
    <w:rsid w:val="00A23C65"/>
    <w:rsid w:val="00D56495"/>
    <w:rsid w:val="00F52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A12C5B6"/>
  <w15:chartTrackingRefBased/>
  <w15:docId w15:val="{A3013BAD-7220-4ACA-B30E-56040E223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1EB4"/>
  </w:style>
  <w:style w:type="paragraph" w:styleId="Heading1">
    <w:name w:val="heading 1"/>
    <w:basedOn w:val="Normal"/>
    <w:next w:val="Normal"/>
    <w:link w:val="Heading1Char"/>
    <w:uiPriority w:val="9"/>
    <w:qFormat/>
    <w:rsid w:val="003F1E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1E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EB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E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EB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E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E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E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E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EB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1E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EB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EB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EB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E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E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E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E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E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E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E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E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E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E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E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EB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EB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EB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EB4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3F1E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1E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E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250</Words>
  <Characters>1426</Characters>
  <Application>Microsoft Office Word</Application>
  <DocSecurity>0</DocSecurity>
  <Lines>11</Lines>
  <Paragraphs>3</Paragraphs>
  <ScaleCrop>false</ScaleCrop>
  <Company/>
  <LinksUpToDate>false</LinksUpToDate>
  <CharactersWithSpaces>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najem boumtiri</dc:creator>
  <cp:keywords/>
  <dc:description/>
  <cp:lastModifiedBy>najem boumtiri</cp:lastModifiedBy>
  <cp:revision>1</cp:revision>
  <dcterms:created xsi:type="dcterms:W3CDTF">2024-12-06T10:43:00Z</dcterms:created>
  <dcterms:modified xsi:type="dcterms:W3CDTF">2024-12-06T10:45:00Z</dcterms:modified>
</cp:coreProperties>
</file>