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336B9" w:rsidRDefault="00090BD9" w:rsidP="00C55400">
      <w:pPr>
        <w:jc w:val="both"/>
        <w:rPr>
          <w:b/>
          <w:u w:val="single"/>
        </w:rPr>
      </w:pPr>
      <w:r>
        <w:rPr>
          <w:b/>
          <w:u w:val="single"/>
        </w:rPr>
        <w:t xml:space="preserve">Word Count </w:t>
      </w:r>
      <w:r w:rsidR="00362575">
        <w:rPr>
          <w:b/>
          <w:u w:val="single"/>
        </w:rPr>
        <w:t xml:space="preserve">– </w:t>
      </w:r>
      <w:r w:rsidR="00C55704">
        <w:rPr>
          <w:b/>
          <w:u w:val="single"/>
        </w:rPr>
        <w:t>4262</w:t>
      </w:r>
    </w:p>
    <w:p w:rsidR="003E7F68" w:rsidRDefault="003E7F68" w:rsidP="00C55400">
      <w:pPr>
        <w:jc w:val="both"/>
        <w:rPr>
          <w:b/>
          <w:u w:val="single"/>
        </w:rPr>
      </w:pPr>
    </w:p>
    <w:p w:rsidR="004631AA" w:rsidRDefault="004631AA" w:rsidP="00C55400">
      <w:pPr>
        <w:jc w:val="both"/>
        <w:rPr>
          <w:b/>
          <w:u w:val="single"/>
        </w:rPr>
      </w:pPr>
      <w:r>
        <w:rPr>
          <w:b/>
          <w:u w:val="single"/>
        </w:rPr>
        <w:t xml:space="preserve">Scenario </w:t>
      </w:r>
    </w:p>
    <w:p w:rsidR="004631AA" w:rsidRPr="004631AA" w:rsidRDefault="004631AA" w:rsidP="004631AA">
      <w:pPr>
        <w:pStyle w:val="Nornal"/>
        <w:jc w:val="both"/>
        <w:rPr>
          <w:rFonts w:asciiTheme="minorHAnsi" w:hAnsiTheme="minorHAnsi" w:cstheme="minorHAnsi"/>
        </w:rPr>
      </w:pPr>
      <w:r w:rsidRPr="004631AA">
        <w:rPr>
          <w:rFonts w:asciiTheme="minorHAnsi" w:hAnsiTheme="minorHAnsi" w:cstheme="minorHAnsi"/>
        </w:rPr>
        <w:t xml:space="preserve">Eco-Insulate UK is a medium sized private sector organisation that manufactures eco-friendly thermal insulation in the UK. The Managing Director (MD), who started the company in the mid-1970s has set up a meeting with you to discuss concerns regarding increased turnover of skilled and non-skilled employees. </w:t>
      </w:r>
    </w:p>
    <w:p w:rsidR="004631AA" w:rsidRPr="004631AA" w:rsidRDefault="004631AA" w:rsidP="004631AA">
      <w:pPr>
        <w:pStyle w:val="Nornal"/>
        <w:jc w:val="both"/>
        <w:rPr>
          <w:rFonts w:asciiTheme="minorHAnsi" w:hAnsiTheme="minorHAnsi" w:cstheme="minorHAnsi"/>
        </w:rPr>
      </w:pPr>
      <w:r w:rsidRPr="004631AA">
        <w:rPr>
          <w:rFonts w:asciiTheme="minorHAnsi" w:hAnsiTheme="minorHAnsi" w:cstheme="minorHAnsi"/>
        </w:rPr>
        <w:t xml:space="preserve">During the meeting you are made aware that there is no incentive scheme in operation and there is an expected level of performance broadly related to the notion of measured day work. Standard times exist and are maintained by the Finance and Administration Department. </w:t>
      </w:r>
    </w:p>
    <w:p w:rsidR="004631AA" w:rsidRPr="004631AA" w:rsidRDefault="004631AA" w:rsidP="004631AA">
      <w:pPr>
        <w:pStyle w:val="Nornal"/>
        <w:jc w:val="both"/>
        <w:rPr>
          <w:rFonts w:asciiTheme="minorHAnsi" w:hAnsiTheme="minorHAnsi" w:cstheme="minorHAnsi"/>
        </w:rPr>
      </w:pPr>
      <w:r w:rsidRPr="004631AA">
        <w:rPr>
          <w:rFonts w:asciiTheme="minorHAnsi" w:hAnsiTheme="minorHAnsi" w:cstheme="minorHAnsi"/>
        </w:rPr>
        <w:t xml:space="preserve">Most employees receive 28 days paid holidays per year. All employees are included in the non-contributory pension scheme however, it’s generally known that special schemes operate for senior staff only. </w:t>
      </w:r>
    </w:p>
    <w:p w:rsidR="004631AA" w:rsidRPr="004631AA" w:rsidRDefault="004631AA" w:rsidP="004631AA">
      <w:pPr>
        <w:pStyle w:val="Nornal"/>
        <w:jc w:val="both"/>
        <w:rPr>
          <w:rFonts w:asciiTheme="minorHAnsi" w:hAnsiTheme="minorHAnsi" w:cstheme="minorHAnsi"/>
        </w:rPr>
      </w:pPr>
      <w:r w:rsidRPr="004631AA">
        <w:rPr>
          <w:rFonts w:asciiTheme="minorHAnsi" w:hAnsiTheme="minorHAnsi" w:cstheme="minorHAnsi"/>
        </w:rPr>
        <w:t xml:space="preserve">The MD is aware that the overall culture and performance of the company is quite negative and that it’s time to look at offering forms of reward incentives, benefits and recognition to stimulate positive change. </w:t>
      </w:r>
    </w:p>
    <w:p w:rsidR="004631AA" w:rsidRPr="004631AA" w:rsidRDefault="004631AA" w:rsidP="004631AA">
      <w:pPr>
        <w:pStyle w:val="Nornal"/>
        <w:jc w:val="both"/>
        <w:rPr>
          <w:rFonts w:asciiTheme="minorHAnsi" w:hAnsiTheme="minorHAnsi" w:cstheme="minorHAnsi"/>
        </w:rPr>
      </w:pPr>
      <w:r w:rsidRPr="004631AA">
        <w:rPr>
          <w:rFonts w:asciiTheme="minorHAnsi" w:hAnsiTheme="minorHAnsi" w:cstheme="minorHAnsi"/>
        </w:rPr>
        <w:t>In your capacity as a reward specialist practitioner, he asks you to put together a report for the senior management team that will give them knowledge and understanding of the principles and components of reward and pay, including how these might influence organisational, psychological and cultural factors. In addition, he would also like them to gain an understanding of job evaluation and market rates.</w:t>
      </w:r>
    </w:p>
    <w:p w:rsidR="004631AA" w:rsidRDefault="004631AA" w:rsidP="004631AA">
      <w:pPr>
        <w:pStyle w:val="Description"/>
        <w:rPr>
          <w:rFonts w:ascii="Calibri" w:hAnsi="Calibri" w:cs="Calibri"/>
        </w:rPr>
      </w:pPr>
    </w:p>
    <w:p w:rsidR="004631AA" w:rsidRDefault="004631AA" w:rsidP="004631AA">
      <w:pPr>
        <w:pStyle w:val="Description"/>
        <w:rPr>
          <w:rFonts w:ascii="Calibri" w:hAnsi="Calibri" w:cs="Calibri"/>
          <w:b/>
          <w:u w:val="single"/>
        </w:rPr>
      </w:pPr>
      <w:r w:rsidRPr="004631AA">
        <w:rPr>
          <w:rFonts w:ascii="Calibri" w:hAnsi="Calibri" w:cs="Calibri"/>
          <w:b/>
          <w:u w:val="single"/>
        </w:rPr>
        <w:t>Report</w:t>
      </w:r>
    </w:p>
    <w:p w:rsidR="004631AA" w:rsidRDefault="004631AA" w:rsidP="004631AA">
      <w:pPr>
        <w:pStyle w:val="Description"/>
        <w:rPr>
          <w:rFonts w:ascii="Calibri" w:hAnsi="Calibri" w:cs="Calibri"/>
          <w:b/>
          <w:u w:val="single"/>
        </w:rPr>
      </w:pPr>
    </w:p>
    <w:p w:rsidR="004631AA" w:rsidRPr="008E7938" w:rsidRDefault="004631AA" w:rsidP="004631AA">
      <w:pPr>
        <w:pStyle w:val="Nornal"/>
        <w:jc w:val="both"/>
        <w:rPr>
          <w:rFonts w:ascii="Calibri" w:hAnsi="Calibri" w:cs="Calibri"/>
        </w:rPr>
      </w:pPr>
      <w:r w:rsidRPr="008E7938">
        <w:rPr>
          <w:rFonts w:ascii="Calibri" w:hAnsi="Calibri" w:cs="Calibri"/>
        </w:rPr>
        <w:t xml:space="preserve">To complete the report, you should include written responses to each of the </w:t>
      </w:r>
      <w:r w:rsidRPr="008E7938">
        <w:rPr>
          <w:rFonts w:ascii="Calibri" w:hAnsi="Calibri" w:cs="Calibri"/>
          <w:b/>
        </w:rPr>
        <w:t>10</w:t>
      </w:r>
      <w:r w:rsidRPr="008E7938">
        <w:rPr>
          <w:rFonts w:ascii="Calibri" w:hAnsi="Calibri" w:cs="Calibri"/>
        </w:rPr>
        <w:t xml:space="preserve"> points below, making appropriate use of academic literature, legislation, surveys, data intelligence, research and good practical examples to substantiate your response and illustrate key points.  Please ensure that you use reputable sources as indicated on the unit reading list and that all cited sources are correctly acknowledged and presented in full in a bibliography at the end of your report.</w:t>
      </w:r>
    </w:p>
    <w:p w:rsidR="004631AA" w:rsidRDefault="004631AA" w:rsidP="004631AA">
      <w:pPr>
        <w:pStyle w:val="Nornal"/>
        <w:jc w:val="both"/>
        <w:rPr>
          <w:rFonts w:ascii="Calibri" w:hAnsi="Calibri" w:cs="Calibri"/>
        </w:rPr>
      </w:pPr>
      <w:r w:rsidRPr="008E7938">
        <w:rPr>
          <w:rFonts w:ascii="Calibri" w:hAnsi="Calibri" w:cs="Calibri"/>
        </w:rPr>
        <w:t>With reference to the above scenario:</w:t>
      </w:r>
    </w:p>
    <w:p w:rsidR="004631AA" w:rsidRPr="00CC6A5B" w:rsidRDefault="004631AA" w:rsidP="004631AA">
      <w:pPr>
        <w:pStyle w:val="Nornal"/>
        <w:numPr>
          <w:ilvl w:val="0"/>
          <w:numId w:val="29"/>
        </w:numPr>
        <w:jc w:val="both"/>
        <w:rPr>
          <w:rFonts w:ascii="Calibri" w:hAnsi="Calibri" w:cs="Calibri"/>
          <w:b/>
        </w:rPr>
      </w:pPr>
      <w:r w:rsidRPr="00CC6A5B">
        <w:rPr>
          <w:rFonts w:ascii="Calibri" w:hAnsi="Calibri" w:cs="Calibri"/>
          <w:b/>
        </w:rPr>
        <w:t>Explain the principles of reward and its importance to organisational culture and performance management. (AC 1.1)</w:t>
      </w:r>
      <w:r w:rsidR="006D0E4A">
        <w:rPr>
          <w:rFonts w:ascii="Calibri" w:hAnsi="Calibri" w:cs="Calibri"/>
          <w:b/>
        </w:rPr>
        <w:t xml:space="preserve"> </w:t>
      </w:r>
    </w:p>
    <w:p w:rsidR="00B04C63" w:rsidRDefault="005D3112" w:rsidP="00C1641A">
      <w:pPr>
        <w:ind w:left="720"/>
        <w:jc w:val="both"/>
        <w:rPr>
          <w:rFonts w:eastAsia="Times New Roman" w:cstheme="minorHAnsi"/>
          <w:lang w:eastAsia="en-GB"/>
        </w:rPr>
      </w:pPr>
      <w:r w:rsidRPr="000A786E">
        <w:rPr>
          <w:rFonts w:cstheme="minorHAnsi"/>
        </w:rPr>
        <w:t>Reward is an important factor in attracting, retaining</w:t>
      </w:r>
      <w:r w:rsidR="000A786E" w:rsidRPr="000A786E">
        <w:rPr>
          <w:rFonts w:cstheme="minorHAnsi"/>
        </w:rPr>
        <w:t>, motivating</w:t>
      </w:r>
      <w:r w:rsidRPr="000A786E">
        <w:rPr>
          <w:rFonts w:cstheme="minorHAnsi"/>
        </w:rPr>
        <w:t xml:space="preserve"> </w:t>
      </w:r>
      <w:r w:rsidR="000A786E" w:rsidRPr="000A786E">
        <w:rPr>
          <w:rFonts w:cstheme="minorHAnsi"/>
        </w:rPr>
        <w:t>and driving performance (</w:t>
      </w:r>
      <w:r w:rsidR="000A786E">
        <w:rPr>
          <w:rFonts w:eastAsia="Times New Roman" w:cstheme="minorHAnsi"/>
          <w:lang w:eastAsia="en-GB"/>
        </w:rPr>
        <w:t>Waite et al., 2021)</w:t>
      </w:r>
      <w:r w:rsidR="00D5191C">
        <w:rPr>
          <w:rFonts w:eastAsia="Times New Roman" w:cstheme="minorHAnsi"/>
          <w:lang w:eastAsia="en-GB"/>
        </w:rPr>
        <w:t xml:space="preserve">.  </w:t>
      </w:r>
      <w:r w:rsidR="00B2142B">
        <w:rPr>
          <w:rFonts w:eastAsia="Times New Roman" w:cstheme="minorHAnsi"/>
          <w:lang w:eastAsia="en-GB"/>
        </w:rPr>
        <w:t xml:space="preserve">According to Armstrong </w:t>
      </w:r>
      <w:r w:rsidR="00B04C63">
        <w:rPr>
          <w:rFonts w:eastAsia="Times New Roman" w:cstheme="minorHAnsi"/>
          <w:lang w:eastAsia="en-GB"/>
        </w:rPr>
        <w:t xml:space="preserve">and Brown </w:t>
      </w:r>
      <w:r w:rsidR="00B2142B">
        <w:rPr>
          <w:rFonts w:eastAsia="Times New Roman" w:cstheme="minorHAnsi"/>
          <w:lang w:eastAsia="en-GB"/>
        </w:rPr>
        <w:t>(</w:t>
      </w:r>
      <w:r w:rsidR="009008A4">
        <w:rPr>
          <w:rFonts w:eastAsia="Times New Roman" w:cstheme="minorHAnsi"/>
          <w:lang w:eastAsia="en-GB"/>
        </w:rPr>
        <w:t>2023),</w:t>
      </w:r>
      <w:r w:rsidR="00B04C63">
        <w:rPr>
          <w:rFonts w:eastAsia="Times New Roman" w:cstheme="minorHAnsi"/>
          <w:lang w:eastAsia="en-GB"/>
        </w:rPr>
        <w:t xml:space="preserve"> t</w:t>
      </w:r>
      <w:r w:rsidR="00B2142B">
        <w:rPr>
          <w:rFonts w:eastAsia="Times New Roman" w:cstheme="minorHAnsi"/>
          <w:lang w:eastAsia="en-GB"/>
        </w:rPr>
        <w:t>he principles of reward can be broken down into four factors</w:t>
      </w:r>
      <w:r w:rsidR="00B04C63">
        <w:rPr>
          <w:rFonts w:eastAsia="Times New Roman" w:cstheme="minorHAnsi"/>
          <w:lang w:eastAsia="en-GB"/>
        </w:rPr>
        <w:t>:</w:t>
      </w:r>
    </w:p>
    <w:p w:rsidR="00B04C63" w:rsidRDefault="00B04C63" w:rsidP="00B04C63">
      <w:pPr>
        <w:pStyle w:val="ListParagraph"/>
        <w:numPr>
          <w:ilvl w:val="0"/>
          <w:numId w:val="30"/>
        </w:numPr>
        <w:jc w:val="both"/>
        <w:rPr>
          <w:rFonts w:eastAsia="Times New Roman" w:cstheme="minorHAnsi"/>
          <w:lang w:eastAsia="en-GB"/>
        </w:rPr>
      </w:pPr>
      <w:r w:rsidRPr="00B04C63">
        <w:rPr>
          <w:rFonts w:eastAsia="Times New Roman" w:cstheme="minorHAnsi"/>
          <w:lang w:eastAsia="en-GB"/>
        </w:rPr>
        <w:t xml:space="preserve">To </w:t>
      </w:r>
      <w:r w:rsidR="00AA491C">
        <w:rPr>
          <w:rFonts w:eastAsia="Times New Roman" w:cstheme="minorHAnsi"/>
          <w:lang w:eastAsia="en-GB"/>
        </w:rPr>
        <w:t>align and</w:t>
      </w:r>
      <w:r w:rsidRPr="00B04C63">
        <w:rPr>
          <w:rFonts w:eastAsia="Times New Roman" w:cstheme="minorHAnsi"/>
          <w:lang w:eastAsia="en-GB"/>
        </w:rPr>
        <w:t xml:space="preserve"> reflect the organisations goals, values</w:t>
      </w:r>
      <w:r w:rsidR="00AA491C">
        <w:rPr>
          <w:rFonts w:eastAsia="Times New Roman" w:cstheme="minorHAnsi"/>
          <w:lang w:eastAsia="en-GB"/>
        </w:rPr>
        <w:t xml:space="preserve"> and objectives ensuring employees</w:t>
      </w:r>
      <w:r w:rsidR="0022666F">
        <w:rPr>
          <w:rFonts w:eastAsia="Times New Roman" w:cstheme="minorHAnsi"/>
          <w:lang w:eastAsia="en-GB"/>
        </w:rPr>
        <w:t xml:space="preserve"> remain </w:t>
      </w:r>
      <w:r w:rsidR="00AA491C">
        <w:rPr>
          <w:rFonts w:eastAsia="Times New Roman" w:cstheme="minorHAnsi"/>
          <w:lang w:eastAsia="en-GB"/>
        </w:rPr>
        <w:t xml:space="preserve">engaged and further reinforcing the organisational culture.  </w:t>
      </w:r>
    </w:p>
    <w:p w:rsidR="00B04C63" w:rsidRDefault="00B04C63" w:rsidP="00B04C63">
      <w:pPr>
        <w:pStyle w:val="ListParagraph"/>
        <w:numPr>
          <w:ilvl w:val="0"/>
          <w:numId w:val="30"/>
        </w:numPr>
        <w:jc w:val="both"/>
        <w:rPr>
          <w:rFonts w:eastAsia="Times New Roman" w:cstheme="minorHAnsi"/>
          <w:lang w:eastAsia="en-GB"/>
        </w:rPr>
      </w:pPr>
      <w:r>
        <w:rPr>
          <w:rFonts w:eastAsia="Times New Roman" w:cstheme="minorHAnsi"/>
          <w:lang w:eastAsia="en-GB"/>
        </w:rPr>
        <w:t>Meeting the diverse needs of employees to drive performance, motivation and engagement.</w:t>
      </w:r>
    </w:p>
    <w:p w:rsidR="00B04C63" w:rsidRDefault="00B04C63" w:rsidP="00B04C63">
      <w:pPr>
        <w:pStyle w:val="ListParagraph"/>
        <w:numPr>
          <w:ilvl w:val="0"/>
          <w:numId w:val="30"/>
        </w:numPr>
        <w:jc w:val="both"/>
        <w:rPr>
          <w:rFonts w:eastAsia="Times New Roman" w:cstheme="minorHAnsi"/>
          <w:lang w:eastAsia="en-GB"/>
        </w:rPr>
      </w:pPr>
      <w:r>
        <w:rPr>
          <w:rFonts w:eastAsia="Times New Roman" w:cstheme="minorHAnsi"/>
          <w:lang w:eastAsia="en-GB"/>
        </w:rPr>
        <w:lastRenderedPageBreak/>
        <w:t xml:space="preserve">Offering competitive rewards to increase </w:t>
      </w:r>
      <w:r w:rsidR="00FC2D8A">
        <w:rPr>
          <w:rFonts w:eastAsia="Times New Roman" w:cstheme="minorHAnsi"/>
          <w:lang w:eastAsia="en-GB"/>
        </w:rPr>
        <w:t>retention</w:t>
      </w:r>
      <w:r>
        <w:rPr>
          <w:rFonts w:eastAsia="Times New Roman" w:cstheme="minorHAnsi"/>
          <w:lang w:eastAsia="en-GB"/>
        </w:rPr>
        <w:t xml:space="preserve"> attract talent and </w:t>
      </w:r>
      <w:r w:rsidR="00FC2D8A">
        <w:rPr>
          <w:rFonts w:eastAsia="Times New Roman" w:cstheme="minorHAnsi"/>
          <w:lang w:eastAsia="en-GB"/>
        </w:rPr>
        <w:t xml:space="preserve">perceived </w:t>
      </w:r>
      <w:r>
        <w:rPr>
          <w:rFonts w:eastAsia="Times New Roman" w:cstheme="minorHAnsi"/>
          <w:lang w:eastAsia="en-GB"/>
        </w:rPr>
        <w:t>as an employer of choice.</w:t>
      </w:r>
    </w:p>
    <w:p w:rsidR="00B04C63" w:rsidRDefault="00FC2D8A" w:rsidP="00B04C63">
      <w:pPr>
        <w:pStyle w:val="ListParagraph"/>
        <w:numPr>
          <w:ilvl w:val="0"/>
          <w:numId w:val="30"/>
        </w:numPr>
        <w:jc w:val="both"/>
        <w:rPr>
          <w:rFonts w:eastAsia="Times New Roman" w:cstheme="minorHAnsi"/>
          <w:lang w:eastAsia="en-GB"/>
        </w:rPr>
      </w:pPr>
      <w:r>
        <w:rPr>
          <w:rFonts w:eastAsia="Times New Roman" w:cstheme="minorHAnsi"/>
          <w:lang w:eastAsia="en-GB"/>
        </w:rPr>
        <w:t>To consider the environmental, social and governance matters as outlined by the ESG ratings (</w:t>
      </w:r>
      <w:r w:rsidR="00672469">
        <w:rPr>
          <w:rFonts w:eastAsia="Times New Roman" w:cstheme="minorHAnsi"/>
          <w:lang w:eastAsia="en-GB"/>
        </w:rPr>
        <w:t>Gov.uk</w:t>
      </w:r>
      <w:r w:rsidR="00AA491C">
        <w:rPr>
          <w:rFonts w:eastAsia="Times New Roman" w:cstheme="minorHAnsi"/>
          <w:lang w:eastAsia="en-GB"/>
        </w:rPr>
        <w:t>, 2023</w:t>
      </w:r>
      <w:r w:rsidR="00672469">
        <w:rPr>
          <w:rFonts w:eastAsia="Times New Roman" w:cstheme="minorHAnsi"/>
          <w:lang w:eastAsia="en-GB"/>
        </w:rPr>
        <w:t>c</w:t>
      </w:r>
      <w:r>
        <w:rPr>
          <w:rFonts w:eastAsia="Times New Roman" w:cstheme="minorHAnsi"/>
          <w:lang w:eastAsia="en-GB"/>
        </w:rPr>
        <w:t>)</w:t>
      </w:r>
      <w:r w:rsidR="00AA491C">
        <w:rPr>
          <w:rFonts w:eastAsia="Times New Roman" w:cstheme="minorHAnsi"/>
          <w:lang w:eastAsia="en-GB"/>
        </w:rPr>
        <w:t xml:space="preserve"> and to approach reward in a transparent, equitable, fair and collective manner.</w:t>
      </w:r>
    </w:p>
    <w:p w:rsidR="00E9002C" w:rsidRDefault="008724C1" w:rsidP="00B8745B">
      <w:pPr>
        <w:spacing w:after="100" w:afterAutospacing="1"/>
        <w:ind w:left="720"/>
        <w:jc w:val="both"/>
        <w:rPr>
          <w:rFonts w:eastAsia="Times New Roman" w:cstheme="minorHAnsi"/>
          <w:lang w:eastAsia="en-GB"/>
        </w:rPr>
      </w:pPr>
      <w:r w:rsidRPr="00E9002C">
        <w:rPr>
          <w:rFonts w:eastAsia="Times New Roman" w:cstheme="minorHAnsi"/>
          <w:lang w:eastAsia="en-GB"/>
        </w:rPr>
        <w:t>All employees should be recognised for their efforts and not just the high performers with those who are deserving having the ability to progress in the pay scales</w:t>
      </w:r>
      <w:r w:rsidR="00C510FF">
        <w:rPr>
          <w:rFonts w:eastAsia="Times New Roman" w:cstheme="minorHAnsi"/>
          <w:lang w:eastAsia="en-GB"/>
        </w:rPr>
        <w:t xml:space="preserve"> (Cotton, 2024</w:t>
      </w:r>
      <w:r w:rsidR="003304BA">
        <w:rPr>
          <w:rFonts w:eastAsia="Times New Roman" w:cstheme="minorHAnsi"/>
          <w:lang w:eastAsia="en-GB"/>
        </w:rPr>
        <w:t>c</w:t>
      </w:r>
      <w:r w:rsidR="00C510FF">
        <w:rPr>
          <w:rFonts w:eastAsia="Times New Roman" w:cstheme="minorHAnsi"/>
          <w:lang w:eastAsia="en-GB"/>
        </w:rPr>
        <w:t>)</w:t>
      </w:r>
      <w:r w:rsidRPr="00E9002C">
        <w:rPr>
          <w:rFonts w:eastAsia="Times New Roman" w:cstheme="minorHAnsi"/>
          <w:lang w:eastAsia="en-GB"/>
        </w:rPr>
        <w:t>.  Employees should feel they are being treated fairly and that the rewards reflect their contributions and are in line with those who do similar work or work to the same value.  The reward structure should also be transparent so that all employees understand how the rewards are measured and reviewed and what is required of them collectively and individually to achieve the rewards.</w:t>
      </w:r>
      <w:r w:rsidR="00713313">
        <w:rPr>
          <w:rFonts w:eastAsia="Times New Roman" w:cstheme="minorHAnsi"/>
          <w:lang w:eastAsia="en-GB"/>
        </w:rPr>
        <w:t xml:space="preserve">  Without </w:t>
      </w:r>
      <w:r w:rsidR="00C510FF">
        <w:rPr>
          <w:rFonts w:eastAsia="Times New Roman" w:cstheme="minorHAnsi"/>
          <w:lang w:eastAsia="en-GB"/>
        </w:rPr>
        <w:t>transparency,</w:t>
      </w:r>
      <w:r w:rsidR="00713313">
        <w:rPr>
          <w:rFonts w:eastAsia="Times New Roman" w:cstheme="minorHAnsi"/>
          <w:lang w:eastAsia="en-GB"/>
        </w:rPr>
        <w:t xml:space="preserve"> organisations run the risk of employees thinking reward is based on other factors and not performance, which can demotivate and frustrate the workforce having a detrimental effect on morale and culture (REBA 2021).  </w:t>
      </w:r>
      <w:r w:rsidRPr="00E9002C">
        <w:rPr>
          <w:rFonts w:eastAsia="Times New Roman" w:cstheme="minorHAnsi"/>
          <w:lang w:eastAsia="en-GB"/>
        </w:rPr>
        <w:t>Employers need to consider the financial wellbeing of their employees and ensure that lower paid employees are still able to live reasonably.  In line with the E</w:t>
      </w:r>
      <w:r w:rsidR="00637967" w:rsidRPr="00E9002C">
        <w:rPr>
          <w:rFonts w:eastAsia="Times New Roman" w:cstheme="minorHAnsi"/>
          <w:lang w:eastAsia="en-GB"/>
        </w:rPr>
        <w:t>quality A</w:t>
      </w:r>
      <w:r w:rsidRPr="00E9002C">
        <w:rPr>
          <w:rFonts w:eastAsia="Times New Roman" w:cstheme="minorHAnsi"/>
          <w:lang w:eastAsia="en-GB"/>
        </w:rPr>
        <w:t>ct</w:t>
      </w:r>
      <w:r w:rsidR="00637967" w:rsidRPr="00E9002C">
        <w:rPr>
          <w:rFonts w:eastAsia="Times New Roman" w:cstheme="minorHAnsi"/>
          <w:lang w:eastAsia="en-GB"/>
        </w:rPr>
        <w:t xml:space="preserve"> (2010) all employees should be treated equally with equal pay with the aim to reduce any pay gaps</w:t>
      </w:r>
      <w:r w:rsidR="00E9002C" w:rsidRPr="00E9002C">
        <w:rPr>
          <w:rFonts w:eastAsia="Times New Roman" w:cstheme="minorHAnsi"/>
          <w:lang w:eastAsia="en-GB"/>
        </w:rPr>
        <w:t xml:space="preserve"> and also being cautious as to not create a pay disparity, which can create resentment and increase</w:t>
      </w:r>
      <w:r w:rsidRPr="00E9002C">
        <w:rPr>
          <w:rFonts w:eastAsia="Times New Roman" w:cstheme="minorHAnsi"/>
          <w:lang w:eastAsia="en-GB"/>
        </w:rPr>
        <w:t xml:space="preserve"> </w:t>
      </w:r>
      <w:r w:rsidR="00E9002C" w:rsidRPr="00E9002C">
        <w:rPr>
          <w:rFonts w:eastAsia="Times New Roman" w:cstheme="minorHAnsi"/>
          <w:lang w:eastAsia="en-GB"/>
        </w:rPr>
        <w:t>absenteeism through avoidance of the workplace (Breza, Kaur and Shamdasani, 2016)</w:t>
      </w:r>
      <w:r w:rsidR="00E9002C">
        <w:rPr>
          <w:rFonts w:eastAsia="Times New Roman" w:cstheme="minorHAnsi"/>
          <w:lang w:eastAsia="en-GB"/>
        </w:rPr>
        <w:t>.</w:t>
      </w:r>
    </w:p>
    <w:p w:rsidR="00C74DF2" w:rsidRDefault="00C510FF" w:rsidP="00B8745B">
      <w:pPr>
        <w:spacing w:after="100" w:afterAutospacing="1"/>
        <w:ind w:left="720"/>
        <w:jc w:val="both"/>
        <w:rPr>
          <w:rFonts w:eastAsia="Times New Roman" w:cstheme="minorHAnsi"/>
          <w:lang w:eastAsia="en-GB"/>
        </w:rPr>
      </w:pPr>
      <w:r>
        <w:rPr>
          <w:rFonts w:eastAsia="Times New Roman" w:cstheme="minorHAnsi"/>
          <w:lang w:eastAsia="en-GB"/>
        </w:rPr>
        <w:t>Strategic reward is looking at the long-term view developing reward policies and practices that are beneficial to both employees and the organisation (Cotton, 2024</w:t>
      </w:r>
      <w:r w:rsidR="003304BA">
        <w:rPr>
          <w:rFonts w:eastAsia="Times New Roman" w:cstheme="minorHAnsi"/>
          <w:lang w:eastAsia="en-GB"/>
        </w:rPr>
        <w:t>c</w:t>
      </w:r>
      <w:r>
        <w:rPr>
          <w:rFonts w:eastAsia="Times New Roman" w:cstheme="minorHAnsi"/>
          <w:lang w:eastAsia="en-GB"/>
        </w:rPr>
        <w:t xml:space="preserve">).  </w:t>
      </w:r>
      <w:r w:rsidR="00E07947">
        <w:rPr>
          <w:rFonts w:eastAsia="Times New Roman" w:cstheme="minorHAnsi"/>
          <w:lang w:eastAsia="en-GB"/>
        </w:rPr>
        <w:t>Creating a reward strategy should involve a statement of reward development proposed, a business case for reward, guiding principles definition and plan implementation (Armstrong and Brown, 2023).</w:t>
      </w:r>
      <w:r w:rsidR="00E07947" w:rsidRPr="00E07947">
        <w:rPr>
          <w:rFonts w:eastAsia="Times New Roman" w:cstheme="minorHAnsi"/>
          <w:lang w:eastAsia="en-GB"/>
        </w:rPr>
        <w:t xml:space="preserve"> </w:t>
      </w:r>
      <w:r w:rsidR="00C74DF2">
        <w:rPr>
          <w:rFonts w:eastAsia="Times New Roman" w:cstheme="minorHAnsi"/>
          <w:lang w:eastAsia="en-GB"/>
        </w:rPr>
        <w:t>An approach to reward strategy includes t</w:t>
      </w:r>
      <w:r w:rsidR="00E07947">
        <w:rPr>
          <w:rFonts w:eastAsia="Times New Roman" w:cstheme="minorHAnsi"/>
          <w:lang w:eastAsia="en-GB"/>
        </w:rPr>
        <w:t>otal reward</w:t>
      </w:r>
      <w:r w:rsidR="00C74DF2">
        <w:rPr>
          <w:rFonts w:eastAsia="Times New Roman" w:cstheme="minorHAnsi"/>
          <w:lang w:eastAsia="en-GB"/>
        </w:rPr>
        <w:t>, which</w:t>
      </w:r>
      <w:r w:rsidR="00E07947">
        <w:rPr>
          <w:rFonts w:eastAsia="Times New Roman" w:cstheme="minorHAnsi"/>
          <w:lang w:eastAsia="en-GB"/>
        </w:rPr>
        <w:t xml:space="preserve"> incorporates both tangible and intangible, financial and non-financial rewards to form a ‘whole package’ (Waite et al.,2021).  </w:t>
      </w:r>
    </w:p>
    <w:p w:rsidR="00CA31FE" w:rsidRDefault="00C510FF" w:rsidP="00B8745B">
      <w:pPr>
        <w:spacing w:after="100" w:afterAutospacing="1"/>
        <w:ind w:left="720"/>
        <w:jc w:val="both"/>
        <w:rPr>
          <w:rFonts w:eastAsia="Times New Roman" w:cstheme="minorHAnsi"/>
          <w:lang w:eastAsia="en-GB"/>
        </w:rPr>
      </w:pPr>
      <w:r>
        <w:rPr>
          <w:rFonts w:eastAsia="Times New Roman" w:cstheme="minorHAnsi"/>
          <w:lang w:eastAsia="en-GB"/>
        </w:rPr>
        <w:t>Eco-Insulate UK should develop their reward strategy</w:t>
      </w:r>
      <w:r w:rsidR="001A5377">
        <w:rPr>
          <w:rFonts w:eastAsia="Times New Roman" w:cstheme="minorHAnsi"/>
          <w:lang w:eastAsia="en-GB"/>
        </w:rPr>
        <w:t xml:space="preserve"> in a total reward approach, which will be fundamental to improving and shaping their organisational culture and enhance their performance management system.</w:t>
      </w:r>
    </w:p>
    <w:p w:rsidR="004631AA" w:rsidRPr="00CC6A5B" w:rsidRDefault="004631AA" w:rsidP="006A2FBE">
      <w:pPr>
        <w:pStyle w:val="Nornal"/>
        <w:numPr>
          <w:ilvl w:val="0"/>
          <w:numId w:val="29"/>
        </w:numPr>
        <w:jc w:val="both"/>
        <w:rPr>
          <w:rFonts w:ascii="Calibri" w:hAnsi="Calibri" w:cs="Calibri"/>
          <w:b/>
        </w:rPr>
      </w:pPr>
      <w:r w:rsidRPr="00CC6A5B">
        <w:rPr>
          <w:rFonts w:ascii="Calibri" w:hAnsi="Calibri" w:cs="Calibri"/>
          <w:b/>
        </w:rPr>
        <w:t xml:space="preserve">Assess the contribution of extrinsic and intrinsic rewards to improving employee contribution and sustained organisational performance. </w:t>
      </w:r>
      <w:r w:rsidRPr="00CC6A5B">
        <w:rPr>
          <w:rFonts w:ascii="Calibri" w:hAnsi="Calibri" w:cs="Calibri"/>
          <w:b/>
          <w:color w:val="000000" w:themeColor="text1"/>
        </w:rPr>
        <w:t>(AC 1.2)</w:t>
      </w:r>
      <w:r w:rsidR="006D0E4A">
        <w:rPr>
          <w:rFonts w:ascii="Calibri" w:hAnsi="Calibri" w:cs="Calibri"/>
          <w:b/>
          <w:color w:val="000000" w:themeColor="text1"/>
        </w:rPr>
        <w:t xml:space="preserve"> </w:t>
      </w:r>
    </w:p>
    <w:p w:rsidR="00B86742" w:rsidRDefault="00AE183B" w:rsidP="00B8745B">
      <w:pPr>
        <w:spacing w:after="100" w:afterAutospacing="1"/>
        <w:ind w:left="720"/>
        <w:jc w:val="both"/>
        <w:rPr>
          <w:rFonts w:cstheme="minorHAnsi"/>
        </w:rPr>
      </w:pPr>
      <w:r w:rsidRPr="00CA3560">
        <w:rPr>
          <w:rFonts w:cstheme="minorHAnsi"/>
        </w:rPr>
        <w:t>Taylor and Woodhams (2022</w:t>
      </w:r>
      <w:r w:rsidR="00417B41">
        <w:rPr>
          <w:rFonts w:cstheme="minorHAnsi"/>
        </w:rPr>
        <w:t>a</w:t>
      </w:r>
      <w:r w:rsidRPr="00CA3560">
        <w:rPr>
          <w:rFonts w:cstheme="minorHAnsi"/>
        </w:rPr>
        <w:t xml:space="preserve">) advise that </w:t>
      </w:r>
      <w:r w:rsidR="00B238D6">
        <w:rPr>
          <w:rFonts w:cstheme="minorHAnsi"/>
        </w:rPr>
        <w:t>in</w:t>
      </w:r>
      <w:r w:rsidRPr="00CA3560">
        <w:rPr>
          <w:rFonts w:cstheme="minorHAnsi"/>
        </w:rPr>
        <w:t xml:space="preserve">trinsic rewards are intangible and are generated internally by the employee such as a sense of meaningfulness, sense of challenge and the opportunities to learn, develop skills and further their career.  Furthermore, </w:t>
      </w:r>
      <w:r w:rsidR="00CA3560" w:rsidRPr="00CA3560">
        <w:rPr>
          <w:rFonts w:cstheme="minorHAnsi"/>
        </w:rPr>
        <w:t xml:space="preserve">important aspects of intrinsic reward include autonomy, a sense of job satisfaction, a feeling of purpose and receiving recognition in the form of praise and acknowledgement of ones efforts.  </w:t>
      </w:r>
    </w:p>
    <w:p w:rsidR="00947FB8" w:rsidRDefault="00B86742" w:rsidP="00B8745B">
      <w:pPr>
        <w:spacing w:after="100" w:afterAutospacing="1"/>
        <w:ind w:left="720"/>
        <w:jc w:val="both"/>
        <w:rPr>
          <w:rFonts w:eastAsia="Times New Roman" w:cstheme="minorHAnsi"/>
          <w:lang w:eastAsia="en-GB"/>
        </w:rPr>
      </w:pPr>
      <w:r>
        <w:rPr>
          <w:rFonts w:cstheme="minorHAnsi"/>
        </w:rPr>
        <w:t xml:space="preserve">Cotton, </w:t>
      </w:r>
      <w:r w:rsidR="002474E8">
        <w:rPr>
          <w:rFonts w:cstheme="minorHAnsi"/>
        </w:rPr>
        <w:t>Gifford and Young (2022)</w:t>
      </w:r>
      <w:r w:rsidR="002474E8" w:rsidRPr="00CA3560">
        <w:rPr>
          <w:rFonts w:cstheme="minorHAnsi"/>
        </w:rPr>
        <w:t xml:space="preserve"> found that non –financial rewards and recognition positiv</w:t>
      </w:r>
      <w:r w:rsidR="002474E8">
        <w:rPr>
          <w:rFonts w:cstheme="minorHAnsi"/>
        </w:rPr>
        <w:t>ely a</w:t>
      </w:r>
      <w:r w:rsidR="002474E8" w:rsidRPr="00CA3560">
        <w:rPr>
          <w:rFonts w:cstheme="minorHAnsi"/>
        </w:rPr>
        <w:t>ffect intrinsic motivation and performance with recognition having wider ranging impact on attendance, retention, engagement, commitment and work satisfaction</w:t>
      </w:r>
      <w:r w:rsidR="002474E8">
        <w:rPr>
          <w:rFonts w:cstheme="minorHAnsi"/>
        </w:rPr>
        <w:t xml:space="preserve"> not just for the employee but for the wider team</w:t>
      </w:r>
      <w:r w:rsidR="002474E8">
        <w:rPr>
          <w:rFonts w:eastAsia="Times New Roman" w:cstheme="minorHAnsi"/>
          <w:lang w:eastAsia="en-GB"/>
        </w:rPr>
        <w:t xml:space="preserve">.  </w:t>
      </w:r>
      <w:r w:rsidR="00B238D6">
        <w:rPr>
          <w:rFonts w:eastAsia="Times New Roman" w:cstheme="minorHAnsi"/>
          <w:lang w:eastAsia="en-GB"/>
        </w:rPr>
        <w:t>This can partly be explained by Festingers (1954) Social Comparison Theory that individuals are naturally driven to compare with their peers and compete to be on the same level or better than them.</w:t>
      </w:r>
    </w:p>
    <w:p w:rsidR="0075529B" w:rsidRPr="00CA31FE" w:rsidRDefault="00947FB8" w:rsidP="00B8745B">
      <w:pPr>
        <w:spacing w:after="100" w:afterAutospacing="1"/>
        <w:ind w:left="720"/>
        <w:jc w:val="both"/>
        <w:rPr>
          <w:rFonts w:eastAsia="Times New Roman" w:cstheme="minorHAnsi"/>
          <w:lang w:eastAsia="en-GB"/>
        </w:rPr>
      </w:pPr>
      <w:r w:rsidRPr="00947FB8">
        <w:rPr>
          <w:rFonts w:eastAsia="Times New Roman" w:cstheme="minorHAnsi"/>
          <w:lang w:eastAsia="en-GB"/>
        </w:rPr>
        <w:lastRenderedPageBreak/>
        <w:t>Organisational performan</w:t>
      </w:r>
      <w:r w:rsidR="00344CBF">
        <w:rPr>
          <w:rFonts w:eastAsia="Times New Roman" w:cstheme="minorHAnsi"/>
          <w:lang w:eastAsia="en-GB"/>
        </w:rPr>
        <w:t xml:space="preserve">ce is </w:t>
      </w:r>
      <w:r w:rsidRPr="00947FB8">
        <w:rPr>
          <w:rFonts w:eastAsia="Times New Roman" w:cstheme="minorHAnsi"/>
          <w:lang w:eastAsia="en-GB"/>
        </w:rPr>
        <w:t>positively affected by intrinsic rewards, as outlined by (Ben-Hur and Kinley, 2016)</w:t>
      </w:r>
      <w:r>
        <w:rPr>
          <w:rFonts w:eastAsia="Times New Roman" w:cstheme="minorHAnsi"/>
          <w:lang w:eastAsia="en-GB"/>
        </w:rPr>
        <w:t xml:space="preserve"> who found that the impact of intrinsic motivation has a long-term and sustained effect on productivity.  It also creates a more positive culture and intrinsic rewards </w:t>
      </w:r>
      <w:r w:rsidRPr="00CA31FE">
        <w:rPr>
          <w:rFonts w:eastAsia="Times New Roman" w:cstheme="minorHAnsi"/>
          <w:lang w:eastAsia="en-GB"/>
        </w:rPr>
        <w:t>attract talent driven by meaningful work, thus building a better organisational reputation.</w:t>
      </w:r>
    </w:p>
    <w:p w:rsidR="00680D72" w:rsidRPr="00CA31FE" w:rsidRDefault="0075529B" w:rsidP="00B8745B">
      <w:pPr>
        <w:spacing w:after="100" w:afterAutospacing="1"/>
        <w:ind w:left="720"/>
        <w:jc w:val="both"/>
        <w:rPr>
          <w:rFonts w:eastAsia="Times New Roman" w:cstheme="minorHAnsi"/>
          <w:lang w:eastAsia="en-GB"/>
        </w:rPr>
      </w:pPr>
      <w:r w:rsidRPr="00CA31FE">
        <w:rPr>
          <w:rFonts w:eastAsia="Times New Roman" w:cstheme="minorHAnsi"/>
          <w:lang w:eastAsia="en-GB"/>
        </w:rPr>
        <w:t xml:space="preserve">Extrinsic rewards are the opposite of intrinsic in that they are tangible, external rewards usually material or monetary but can also be actions.  Examples of extrinsic rewards are salary/pay, bonuses, benefits, </w:t>
      </w:r>
      <w:r w:rsidRPr="00CA31FE">
        <w:rPr>
          <w:rFonts w:cstheme="minorHAnsi"/>
          <w:color w:val="111111"/>
          <w:shd w:val="clear" w:color="auto" w:fill="FFFFFF"/>
        </w:rPr>
        <w:t>perquisites</w:t>
      </w:r>
      <w:r w:rsidRPr="00CA31FE">
        <w:rPr>
          <w:rFonts w:eastAsia="Times New Roman" w:cstheme="minorHAnsi"/>
          <w:lang w:eastAsia="en-GB"/>
        </w:rPr>
        <w:t xml:space="preserve"> and promotions</w:t>
      </w:r>
      <w:r w:rsidR="00680D72" w:rsidRPr="00CA31FE">
        <w:rPr>
          <w:rFonts w:eastAsia="Times New Roman" w:cstheme="minorHAnsi"/>
          <w:lang w:eastAsia="en-GB"/>
        </w:rPr>
        <w:t xml:space="preserve"> (Hajduk, 2017).  Competitive extrinsic </w:t>
      </w:r>
      <w:r w:rsidR="00964D6F" w:rsidRPr="00CA31FE">
        <w:rPr>
          <w:rFonts w:eastAsia="Times New Roman" w:cstheme="minorHAnsi"/>
          <w:lang w:eastAsia="en-GB"/>
        </w:rPr>
        <w:t>rewards work well to motivate employees to</w:t>
      </w:r>
      <w:r w:rsidR="00F370AB" w:rsidRPr="00CA31FE">
        <w:rPr>
          <w:rFonts w:eastAsia="Times New Roman" w:cstheme="minorHAnsi"/>
          <w:lang w:eastAsia="en-GB"/>
        </w:rPr>
        <w:t xml:space="preserve"> reach a short-</w:t>
      </w:r>
      <w:r w:rsidR="00964D6F" w:rsidRPr="00CA31FE">
        <w:rPr>
          <w:rFonts w:eastAsia="Times New Roman" w:cstheme="minorHAnsi"/>
          <w:lang w:eastAsia="en-GB"/>
        </w:rPr>
        <w:t>term goal, enhance productivity and improve performance and they have an immediate but not long lasting affect (</w:t>
      </w:r>
      <w:r w:rsidR="00F370AB" w:rsidRPr="00CA31FE">
        <w:rPr>
          <w:rFonts w:eastAsia="Times New Roman" w:cstheme="minorHAnsi"/>
          <w:lang w:eastAsia="en-GB"/>
        </w:rPr>
        <w:t>Armstrong and Brown, 2023</w:t>
      </w:r>
      <w:r w:rsidR="00964D6F" w:rsidRPr="00CA31FE">
        <w:rPr>
          <w:rFonts w:eastAsia="Times New Roman" w:cstheme="minorHAnsi"/>
          <w:lang w:eastAsia="en-GB"/>
        </w:rPr>
        <w:t>).</w:t>
      </w:r>
      <w:r w:rsidR="00F370AB" w:rsidRPr="00CA31FE">
        <w:rPr>
          <w:rFonts w:eastAsia="Times New Roman" w:cstheme="minorHAnsi"/>
          <w:lang w:eastAsia="en-GB"/>
        </w:rPr>
        <w:t xml:space="preserve">  Therefore, they are a good tool to align employee’s contributions to the organisational goals</w:t>
      </w:r>
      <w:r w:rsidR="00CA31FE" w:rsidRPr="00CA31FE">
        <w:rPr>
          <w:rFonts w:eastAsia="Times New Roman" w:cstheme="minorHAnsi"/>
          <w:lang w:eastAsia="en-GB"/>
        </w:rPr>
        <w:t xml:space="preserve">, which is further supported by Pessiglione et al. (2007) who found that </w:t>
      </w:r>
      <w:r w:rsidR="00CA31FE">
        <w:rPr>
          <w:rFonts w:eastAsia="Times New Roman" w:cstheme="minorHAnsi"/>
          <w:lang w:eastAsia="en-GB"/>
        </w:rPr>
        <w:t>the promise of financial reward for effort led to increased performance.  Having an a</w:t>
      </w:r>
      <w:r w:rsidR="00F370AB" w:rsidRPr="00CA31FE">
        <w:rPr>
          <w:rFonts w:eastAsia="Times New Roman" w:cstheme="minorHAnsi"/>
          <w:lang w:eastAsia="en-GB"/>
        </w:rPr>
        <w:t xml:space="preserve">ttractive and competitive extrinsic reward packages also help to attract and retain talent, giving the organisation an advantage over competitors.  </w:t>
      </w:r>
    </w:p>
    <w:p w:rsidR="00CA31FE" w:rsidRPr="00CA31FE" w:rsidRDefault="00472D04" w:rsidP="00B8745B">
      <w:pPr>
        <w:spacing w:after="100" w:afterAutospacing="1"/>
        <w:ind w:left="720"/>
        <w:jc w:val="both"/>
        <w:rPr>
          <w:rFonts w:eastAsia="Times New Roman" w:cstheme="minorHAnsi"/>
          <w:lang w:eastAsia="en-GB"/>
        </w:rPr>
      </w:pPr>
      <w:r>
        <w:rPr>
          <w:rFonts w:eastAsia="Times New Roman" w:cstheme="minorHAnsi"/>
          <w:lang w:eastAsia="en-GB"/>
        </w:rPr>
        <w:t>Waite et al. (2021) point out that individuals are all motivated by different things</w:t>
      </w:r>
      <w:r w:rsidR="00344CBF">
        <w:rPr>
          <w:rFonts w:eastAsia="Times New Roman" w:cstheme="minorHAnsi"/>
          <w:lang w:eastAsia="en-GB"/>
        </w:rPr>
        <w:t xml:space="preserve"> and therefore Eco-Insulate UK should have a balance of both intrinsic and extrinsic rewards in their reward strategy with extrinsic rewards reinforcing positive behaviours and driving initial motivation and intrinsic rewards foster long term engagement and loyalty.</w:t>
      </w:r>
    </w:p>
    <w:p w:rsidR="004631AA" w:rsidRPr="005B2738" w:rsidRDefault="004631AA" w:rsidP="006A2FBE">
      <w:pPr>
        <w:pStyle w:val="Nornal"/>
        <w:numPr>
          <w:ilvl w:val="0"/>
          <w:numId w:val="29"/>
        </w:numPr>
        <w:jc w:val="both"/>
        <w:rPr>
          <w:rFonts w:ascii="Calibri" w:hAnsi="Calibri" w:cs="Calibri"/>
          <w:b/>
        </w:rPr>
      </w:pPr>
      <w:r w:rsidRPr="005B2738">
        <w:rPr>
          <w:rFonts w:ascii="Calibri" w:hAnsi="Calibri" w:cs="Calibri"/>
          <w:b/>
          <w:color w:val="000000" w:themeColor="text1"/>
        </w:rPr>
        <w:t>Explain the differences between types of grade and pay structures. (AC 2.1)</w:t>
      </w:r>
      <w:r w:rsidR="006D0E4A">
        <w:rPr>
          <w:rFonts w:ascii="Calibri" w:hAnsi="Calibri" w:cs="Calibri"/>
          <w:b/>
          <w:color w:val="000000" w:themeColor="text1"/>
        </w:rPr>
        <w:t xml:space="preserve"> </w:t>
      </w:r>
    </w:p>
    <w:p w:rsidR="00A23A0B" w:rsidRPr="00A23A0B" w:rsidRDefault="00EF1EF7" w:rsidP="00A23A0B">
      <w:pPr>
        <w:ind w:left="720"/>
        <w:jc w:val="both"/>
        <w:rPr>
          <w:rFonts w:eastAsia="Times New Roman" w:cstheme="minorHAnsi"/>
          <w:lang w:eastAsia="en-GB"/>
        </w:rPr>
      </w:pPr>
      <w:r w:rsidRPr="00A23A0B">
        <w:rPr>
          <w:rFonts w:cstheme="minorHAnsi"/>
        </w:rPr>
        <w:t>Base pay is paid to employees</w:t>
      </w:r>
      <w:r w:rsidR="00404331">
        <w:rPr>
          <w:rFonts w:cstheme="minorHAnsi"/>
        </w:rPr>
        <w:t xml:space="preserve"> irrespective of performance, </w:t>
      </w:r>
      <w:r w:rsidR="00021263">
        <w:rPr>
          <w:rFonts w:cstheme="minorHAnsi"/>
        </w:rPr>
        <w:t xml:space="preserve">usually </w:t>
      </w:r>
      <w:r w:rsidRPr="00A23A0B">
        <w:rPr>
          <w:rFonts w:cstheme="minorHAnsi"/>
        </w:rPr>
        <w:t xml:space="preserve">hourly rate or annual salary.  </w:t>
      </w:r>
      <w:r w:rsidR="00A23A0B" w:rsidRPr="00A23A0B">
        <w:rPr>
          <w:rFonts w:eastAsia="Times New Roman" w:cstheme="minorHAnsi"/>
          <w:lang w:eastAsia="en-GB"/>
        </w:rPr>
        <w:t>Mar</w:t>
      </w:r>
      <w:r w:rsidR="00A23A0B">
        <w:rPr>
          <w:rFonts w:eastAsia="Times New Roman" w:cstheme="minorHAnsi"/>
          <w:lang w:eastAsia="en-GB"/>
        </w:rPr>
        <w:t>riott, Perkins and Cotton (2019) state the most common me</w:t>
      </w:r>
      <w:r w:rsidR="002531C0">
        <w:rPr>
          <w:rFonts w:eastAsia="Times New Roman" w:cstheme="minorHAnsi"/>
          <w:lang w:eastAsia="en-GB"/>
        </w:rPr>
        <w:t xml:space="preserve">thod of paying base rate is </w:t>
      </w:r>
      <w:r w:rsidR="00A23A0B">
        <w:rPr>
          <w:rFonts w:eastAsia="Times New Roman" w:cstheme="minorHAnsi"/>
          <w:lang w:eastAsia="en-GB"/>
        </w:rPr>
        <w:t>a pay structure, with 67% of employers choosing this method.</w:t>
      </w:r>
    </w:p>
    <w:p w:rsidR="00532039" w:rsidRDefault="00A23A0B" w:rsidP="00A23A0B">
      <w:pPr>
        <w:pStyle w:val="Nornal"/>
        <w:ind w:left="720"/>
        <w:jc w:val="both"/>
        <w:rPr>
          <w:rFonts w:asciiTheme="minorHAnsi" w:hAnsiTheme="minorHAnsi" w:cstheme="minorHAnsi"/>
        </w:rPr>
      </w:pPr>
      <w:r>
        <w:rPr>
          <w:rFonts w:asciiTheme="minorHAnsi" w:hAnsiTheme="minorHAnsi" w:cstheme="minorHAnsi"/>
        </w:rPr>
        <w:t>Cotton</w:t>
      </w:r>
      <w:r w:rsidR="00532039" w:rsidRPr="00A23A0B">
        <w:rPr>
          <w:rFonts w:asciiTheme="minorHAnsi" w:hAnsiTheme="minorHAnsi" w:cstheme="minorHAnsi"/>
        </w:rPr>
        <w:t xml:space="preserve"> (</w:t>
      </w:r>
      <w:r>
        <w:rPr>
          <w:rFonts w:asciiTheme="minorHAnsi" w:hAnsiTheme="minorHAnsi" w:cstheme="minorHAnsi"/>
        </w:rPr>
        <w:t>2022</w:t>
      </w:r>
      <w:r w:rsidR="009F5501">
        <w:rPr>
          <w:rFonts w:asciiTheme="minorHAnsi" w:hAnsiTheme="minorHAnsi" w:cstheme="minorHAnsi"/>
        </w:rPr>
        <w:t>a</w:t>
      </w:r>
      <w:r w:rsidR="00532039" w:rsidRPr="00A23A0B">
        <w:rPr>
          <w:rFonts w:asciiTheme="minorHAnsi" w:hAnsiTheme="minorHAnsi" w:cstheme="minorHAnsi"/>
        </w:rPr>
        <w:t>) outline</w:t>
      </w:r>
      <w:r>
        <w:rPr>
          <w:rFonts w:asciiTheme="minorHAnsi" w:hAnsiTheme="minorHAnsi" w:cstheme="minorHAnsi"/>
        </w:rPr>
        <w:t>s</w:t>
      </w:r>
      <w:r w:rsidR="00532039" w:rsidRPr="00A23A0B">
        <w:rPr>
          <w:rFonts w:asciiTheme="minorHAnsi" w:hAnsiTheme="minorHAnsi" w:cstheme="minorHAnsi"/>
        </w:rPr>
        <w:t xml:space="preserve"> that g</w:t>
      </w:r>
      <w:r w:rsidR="00EF1EF7" w:rsidRPr="00A23A0B">
        <w:rPr>
          <w:rFonts w:asciiTheme="minorHAnsi" w:hAnsiTheme="minorHAnsi" w:cstheme="minorHAnsi"/>
        </w:rPr>
        <w:t xml:space="preserve">rade and pay structures </w:t>
      </w:r>
      <w:r w:rsidR="00532039" w:rsidRPr="00A23A0B">
        <w:rPr>
          <w:rFonts w:asciiTheme="minorHAnsi" w:hAnsiTheme="minorHAnsi" w:cstheme="minorHAnsi"/>
        </w:rPr>
        <w:t>a</w:t>
      </w:r>
      <w:r>
        <w:rPr>
          <w:rFonts w:asciiTheme="minorHAnsi" w:hAnsiTheme="minorHAnsi" w:cstheme="minorHAnsi"/>
        </w:rPr>
        <w:t>re a</w:t>
      </w:r>
      <w:r w:rsidR="00532039" w:rsidRPr="00A23A0B">
        <w:rPr>
          <w:rFonts w:asciiTheme="minorHAnsi" w:hAnsiTheme="minorHAnsi" w:cstheme="minorHAnsi"/>
        </w:rPr>
        <w:t xml:space="preserve"> framework </w:t>
      </w:r>
      <w:r w:rsidR="002531C0">
        <w:rPr>
          <w:rFonts w:asciiTheme="minorHAnsi" w:hAnsiTheme="minorHAnsi" w:cstheme="minorHAnsi"/>
        </w:rPr>
        <w:t>allowing</w:t>
      </w:r>
      <w:r w:rsidR="00532039" w:rsidRPr="00A23A0B">
        <w:rPr>
          <w:rFonts w:asciiTheme="minorHAnsi" w:hAnsiTheme="minorHAnsi" w:cstheme="minorHAnsi"/>
        </w:rPr>
        <w:t xml:space="preserve"> for creation of reward </w:t>
      </w:r>
      <w:r>
        <w:rPr>
          <w:rFonts w:asciiTheme="minorHAnsi" w:hAnsiTheme="minorHAnsi" w:cstheme="minorHAnsi"/>
        </w:rPr>
        <w:t>policies/</w:t>
      </w:r>
      <w:r w:rsidR="00532039" w:rsidRPr="00A23A0B">
        <w:rPr>
          <w:rFonts w:asciiTheme="minorHAnsi" w:hAnsiTheme="minorHAnsi" w:cstheme="minorHAnsi"/>
        </w:rPr>
        <w:t>strat</w:t>
      </w:r>
      <w:r w:rsidR="002531C0">
        <w:rPr>
          <w:rFonts w:asciiTheme="minorHAnsi" w:hAnsiTheme="minorHAnsi" w:cstheme="minorHAnsi"/>
        </w:rPr>
        <w:t>egies to</w:t>
      </w:r>
      <w:r w:rsidR="00532039" w:rsidRPr="00A23A0B">
        <w:rPr>
          <w:rFonts w:asciiTheme="minorHAnsi" w:hAnsiTheme="minorHAnsi" w:cstheme="minorHAnsi"/>
        </w:rPr>
        <w:t>:</w:t>
      </w:r>
    </w:p>
    <w:p w:rsidR="00A23A0B" w:rsidRDefault="00BA3EEE" w:rsidP="00B11BB3">
      <w:pPr>
        <w:pStyle w:val="Nornal"/>
        <w:numPr>
          <w:ilvl w:val="0"/>
          <w:numId w:val="31"/>
        </w:numPr>
        <w:spacing w:after="100" w:afterAutospacing="1"/>
        <w:jc w:val="both"/>
        <w:rPr>
          <w:rFonts w:asciiTheme="minorHAnsi" w:hAnsiTheme="minorHAnsi" w:cstheme="minorHAnsi"/>
        </w:rPr>
      </w:pPr>
      <w:r>
        <w:rPr>
          <w:rFonts w:asciiTheme="minorHAnsi" w:hAnsiTheme="minorHAnsi" w:cstheme="minorHAnsi"/>
        </w:rPr>
        <w:t>To avoid u</w:t>
      </w:r>
      <w:r w:rsidR="006F4D27">
        <w:rPr>
          <w:rFonts w:asciiTheme="minorHAnsi" w:hAnsiTheme="minorHAnsi" w:cstheme="minorHAnsi"/>
        </w:rPr>
        <w:t>nfairness and breach of the law/</w:t>
      </w:r>
      <w:r>
        <w:rPr>
          <w:rFonts w:asciiTheme="minorHAnsi" w:hAnsiTheme="minorHAnsi" w:cstheme="minorHAnsi"/>
        </w:rPr>
        <w:t>re</w:t>
      </w:r>
      <w:r w:rsidR="006F4D27">
        <w:rPr>
          <w:rFonts w:asciiTheme="minorHAnsi" w:hAnsiTheme="minorHAnsi" w:cstheme="minorHAnsi"/>
        </w:rPr>
        <w:t>gulations e.g.</w:t>
      </w:r>
      <w:r>
        <w:rPr>
          <w:rFonts w:asciiTheme="minorHAnsi" w:hAnsiTheme="minorHAnsi" w:cstheme="minorHAnsi"/>
        </w:rPr>
        <w:t xml:space="preserve"> equal pay</w:t>
      </w:r>
    </w:p>
    <w:p w:rsidR="00BA3EEE" w:rsidRDefault="00BA3EEE" w:rsidP="00B11BB3">
      <w:pPr>
        <w:pStyle w:val="Nornal"/>
        <w:numPr>
          <w:ilvl w:val="0"/>
          <w:numId w:val="31"/>
        </w:numPr>
        <w:spacing w:after="100" w:afterAutospacing="1"/>
        <w:jc w:val="both"/>
        <w:rPr>
          <w:rFonts w:asciiTheme="minorHAnsi" w:hAnsiTheme="minorHAnsi" w:cstheme="minorHAnsi"/>
        </w:rPr>
      </w:pPr>
      <w:r>
        <w:rPr>
          <w:rFonts w:asciiTheme="minorHAnsi" w:hAnsiTheme="minorHAnsi" w:cstheme="minorHAnsi"/>
        </w:rPr>
        <w:t xml:space="preserve">Give structure to pay progression, pay rises and career development </w:t>
      </w:r>
    </w:p>
    <w:p w:rsidR="00532039" w:rsidRPr="00B11BB3" w:rsidRDefault="00021263" w:rsidP="00B8745B">
      <w:pPr>
        <w:pStyle w:val="Nornal"/>
        <w:numPr>
          <w:ilvl w:val="0"/>
          <w:numId w:val="31"/>
        </w:numPr>
        <w:spacing w:after="100" w:afterAutospacing="1"/>
        <w:jc w:val="both"/>
        <w:rPr>
          <w:rFonts w:ascii="Calibri" w:hAnsi="Calibri" w:cs="Calibri"/>
        </w:rPr>
      </w:pPr>
      <w:r>
        <w:rPr>
          <w:rFonts w:asciiTheme="minorHAnsi" w:hAnsiTheme="minorHAnsi" w:cstheme="minorHAnsi"/>
        </w:rPr>
        <w:t>Promote</w:t>
      </w:r>
      <w:r w:rsidR="00BA3EEE" w:rsidRPr="00B11BB3">
        <w:rPr>
          <w:rFonts w:asciiTheme="minorHAnsi" w:hAnsiTheme="minorHAnsi" w:cstheme="minorHAnsi"/>
        </w:rPr>
        <w:t xml:space="preserve"> desired behaviours</w:t>
      </w:r>
      <w:r w:rsidR="00B11BB3" w:rsidRPr="00B11BB3">
        <w:rPr>
          <w:rFonts w:asciiTheme="minorHAnsi" w:hAnsiTheme="minorHAnsi" w:cstheme="minorHAnsi"/>
        </w:rPr>
        <w:t>/performance</w:t>
      </w:r>
      <w:r w:rsidR="006F4D27">
        <w:rPr>
          <w:rFonts w:asciiTheme="minorHAnsi" w:hAnsiTheme="minorHAnsi" w:cstheme="minorHAnsi"/>
        </w:rPr>
        <w:t xml:space="preserve"> of</w:t>
      </w:r>
      <w:r w:rsidR="00BA3EEE" w:rsidRPr="00B11BB3">
        <w:rPr>
          <w:rFonts w:asciiTheme="minorHAnsi" w:hAnsiTheme="minorHAnsi" w:cstheme="minorHAnsi"/>
        </w:rPr>
        <w:t xml:space="preserve"> employee</w:t>
      </w:r>
      <w:r w:rsidR="006F4D27">
        <w:rPr>
          <w:rFonts w:asciiTheme="minorHAnsi" w:hAnsiTheme="minorHAnsi" w:cstheme="minorHAnsi"/>
        </w:rPr>
        <w:t>s</w:t>
      </w:r>
      <w:r w:rsidR="00BA3EEE" w:rsidRPr="00B11BB3">
        <w:rPr>
          <w:rFonts w:asciiTheme="minorHAnsi" w:hAnsiTheme="minorHAnsi" w:cstheme="minorHAnsi"/>
        </w:rPr>
        <w:t xml:space="preserve"> </w:t>
      </w:r>
      <w:r w:rsidR="00B11BB3" w:rsidRPr="00B11BB3">
        <w:rPr>
          <w:rFonts w:asciiTheme="minorHAnsi" w:hAnsiTheme="minorHAnsi" w:cstheme="minorHAnsi"/>
        </w:rPr>
        <w:t xml:space="preserve">in line with </w:t>
      </w:r>
      <w:r w:rsidR="006F4D27">
        <w:rPr>
          <w:rFonts w:asciiTheme="minorHAnsi" w:hAnsiTheme="minorHAnsi" w:cstheme="minorHAnsi"/>
        </w:rPr>
        <w:t>organisational</w:t>
      </w:r>
      <w:r w:rsidR="00B11BB3" w:rsidRPr="00B11BB3">
        <w:rPr>
          <w:rFonts w:asciiTheme="minorHAnsi" w:hAnsiTheme="minorHAnsi" w:cstheme="minorHAnsi"/>
        </w:rPr>
        <w:t xml:space="preserve"> culture, strategy and goals</w:t>
      </w:r>
    </w:p>
    <w:p w:rsidR="006F4D27" w:rsidRDefault="00B11BB3" w:rsidP="00B8745B">
      <w:pPr>
        <w:pStyle w:val="Nornal"/>
        <w:spacing w:before="100" w:beforeAutospacing="1" w:after="100" w:afterAutospacing="1"/>
        <w:ind w:left="720"/>
        <w:jc w:val="both"/>
        <w:rPr>
          <w:rFonts w:ascii="Calibri" w:hAnsi="Calibri" w:cs="Calibri"/>
        </w:rPr>
      </w:pPr>
      <w:r>
        <w:rPr>
          <w:rFonts w:ascii="Calibri" w:hAnsi="Calibri" w:cs="Calibri"/>
        </w:rPr>
        <w:t>Pay structures ca</w:t>
      </w:r>
      <w:r w:rsidR="00171D29">
        <w:rPr>
          <w:rFonts w:ascii="Calibri" w:hAnsi="Calibri" w:cs="Calibri"/>
        </w:rPr>
        <w:t>n be formal with clear pay hierarchy or informal with no</w:t>
      </w:r>
      <w:r w:rsidR="0040224E">
        <w:rPr>
          <w:rFonts w:ascii="Calibri" w:hAnsi="Calibri" w:cs="Calibri"/>
        </w:rPr>
        <w:t xml:space="preserve"> set progression structure.  E</w:t>
      </w:r>
      <w:r w:rsidR="00171D29">
        <w:rPr>
          <w:rFonts w:ascii="Calibri" w:hAnsi="Calibri" w:cs="Calibri"/>
        </w:rPr>
        <w:t>xample</w:t>
      </w:r>
      <w:r w:rsidR="0040224E">
        <w:rPr>
          <w:rFonts w:ascii="Calibri" w:hAnsi="Calibri" w:cs="Calibri"/>
        </w:rPr>
        <w:t xml:space="preserve">s of </w:t>
      </w:r>
      <w:r w:rsidR="00171D29">
        <w:rPr>
          <w:rFonts w:ascii="Calibri" w:hAnsi="Calibri" w:cs="Calibri"/>
        </w:rPr>
        <w:t>informal pay structure</w:t>
      </w:r>
      <w:r w:rsidR="0040224E">
        <w:rPr>
          <w:rFonts w:ascii="Calibri" w:hAnsi="Calibri" w:cs="Calibri"/>
        </w:rPr>
        <w:t>s</w:t>
      </w:r>
      <w:r w:rsidR="00171D29">
        <w:rPr>
          <w:rFonts w:ascii="Calibri" w:hAnsi="Calibri" w:cs="Calibri"/>
        </w:rPr>
        <w:t xml:space="preserve"> would be individual spot/pay/salary rates whereby there is one se</w:t>
      </w:r>
      <w:r w:rsidR="00021263">
        <w:rPr>
          <w:rFonts w:ascii="Calibri" w:hAnsi="Calibri" w:cs="Calibri"/>
        </w:rPr>
        <w:t>t amount for each role</w:t>
      </w:r>
      <w:r w:rsidR="00C3298A">
        <w:rPr>
          <w:rFonts w:ascii="Calibri" w:hAnsi="Calibri" w:cs="Calibri"/>
        </w:rPr>
        <w:t>, which is beneficial in its simplicity</w:t>
      </w:r>
      <w:r w:rsidR="00021263">
        <w:rPr>
          <w:rFonts w:ascii="Calibri" w:hAnsi="Calibri" w:cs="Calibri"/>
        </w:rPr>
        <w:t xml:space="preserve"> and clarity</w:t>
      </w:r>
      <w:r w:rsidR="002531C0">
        <w:rPr>
          <w:rFonts w:ascii="Calibri" w:hAnsi="Calibri" w:cs="Calibri"/>
        </w:rPr>
        <w:t xml:space="preserve"> (Waite et al, 2021).  It</w:t>
      </w:r>
      <w:r w:rsidR="00C3298A">
        <w:rPr>
          <w:rFonts w:ascii="Calibri" w:hAnsi="Calibri" w:cs="Calibri"/>
        </w:rPr>
        <w:t xml:space="preserve"> </w:t>
      </w:r>
      <w:r w:rsidR="00F26DAE">
        <w:rPr>
          <w:rFonts w:ascii="Calibri" w:hAnsi="Calibri" w:cs="Calibri"/>
        </w:rPr>
        <w:t>puts emphasis on the overall</w:t>
      </w:r>
      <w:r w:rsidR="00C3298A">
        <w:rPr>
          <w:rFonts w:ascii="Calibri" w:hAnsi="Calibri" w:cs="Calibri"/>
        </w:rPr>
        <w:t xml:space="preserve"> package of benefits offered for attraction, retention and motivation.</w:t>
      </w:r>
      <w:r w:rsidR="00F26DAE">
        <w:rPr>
          <w:rFonts w:ascii="Calibri" w:hAnsi="Calibri" w:cs="Calibri"/>
        </w:rPr>
        <w:t xml:space="preserve">  Typically, employees will not achieve a pay increase unless promoted t</w:t>
      </w:r>
      <w:r w:rsidR="006F4D27">
        <w:rPr>
          <w:rFonts w:ascii="Calibri" w:hAnsi="Calibri" w:cs="Calibri"/>
        </w:rPr>
        <w:t>o a different</w:t>
      </w:r>
      <w:r w:rsidR="002531C0">
        <w:rPr>
          <w:rFonts w:ascii="Calibri" w:hAnsi="Calibri" w:cs="Calibri"/>
        </w:rPr>
        <w:t xml:space="preserve"> role</w:t>
      </w:r>
      <w:r w:rsidR="006F4D27">
        <w:rPr>
          <w:rFonts w:ascii="Calibri" w:hAnsi="Calibri" w:cs="Calibri"/>
        </w:rPr>
        <w:t xml:space="preserve">, which </w:t>
      </w:r>
      <w:r w:rsidR="00F26DAE">
        <w:rPr>
          <w:rFonts w:ascii="Calibri" w:hAnsi="Calibri" w:cs="Calibri"/>
        </w:rPr>
        <w:t xml:space="preserve">can </w:t>
      </w:r>
      <w:r w:rsidR="0040224E">
        <w:rPr>
          <w:rFonts w:ascii="Calibri" w:hAnsi="Calibri" w:cs="Calibri"/>
        </w:rPr>
        <w:t>lead to demotivation/</w:t>
      </w:r>
      <w:r w:rsidR="00F26DAE">
        <w:rPr>
          <w:rFonts w:ascii="Calibri" w:hAnsi="Calibri" w:cs="Calibri"/>
        </w:rPr>
        <w:t>dissatisfaction result</w:t>
      </w:r>
      <w:r w:rsidR="0040224E">
        <w:rPr>
          <w:rFonts w:ascii="Calibri" w:hAnsi="Calibri" w:cs="Calibri"/>
        </w:rPr>
        <w:t>ing in loss to productivity/</w:t>
      </w:r>
      <w:r w:rsidR="00F26DAE">
        <w:rPr>
          <w:rFonts w:ascii="Calibri" w:hAnsi="Calibri" w:cs="Calibri"/>
        </w:rPr>
        <w:t>retention (Kellett, 2021).</w:t>
      </w:r>
      <w:r w:rsidR="00C3298A">
        <w:rPr>
          <w:rFonts w:ascii="Calibri" w:hAnsi="Calibri" w:cs="Calibri"/>
        </w:rPr>
        <w:t xml:space="preserve">  </w:t>
      </w:r>
    </w:p>
    <w:p w:rsidR="00171D29" w:rsidRDefault="000A7219" w:rsidP="00B8745B">
      <w:pPr>
        <w:pStyle w:val="Nornal"/>
        <w:spacing w:before="100" w:beforeAutospacing="1" w:after="100" w:afterAutospacing="1"/>
        <w:ind w:left="720"/>
        <w:jc w:val="both"/>
        <w:rPr>
          <w:rFonts w:ascii="Calibri" w:hAnsi="Calibri" w:cs="Calibri"/>
        </w:rPr>
      </w:pPr>
      <w:r>
        <w:rPr>
          <w:rFonts w:ascii="Calibri" w:hAnsi="Calibri" w:cs="Calibri"/>
        </w:rPr>
        <w:t>The use of</w:t>
      </w:r>
      <w:r w:rsidR="00F26DAE">
        <w:rPr>
          <w:rFonts w:ascii="Calibri" w:hAnsi="Calibri" w:cs="Calibri"/>
        </w:rPr>
        <w:t xml:space="preserve"> individual job/pay/salary ranges</w:t>
      </w:r>
      <w:r>
        <w:rPr>
          <w:rFonts w:ascii="Calibri" w:hAnsi="Calibri" w:cs="Calibri"/>
        </w:rPr>
        <w:t xml:space="preserve"> is another informal method</w:t>
      </w:r>
      <w:r w:rsidR="00F26DAE">
        <w:rPr>
          <w:rFonts w:ascii="Calibri" w:hAnsi="Calibri" w:cs="Calibri"/>
        </w:rPr>
        <w:t>, which sets a range of minimum or maximum pay, allowing for some pay progression in each range taking into account skills and experience.  Informal pay structures can result in a perception of unfairness</w:t>
      </w:r>
      <w:r w:rsidR="00B8745B">
        <w:rPr>
          <w:rFonts w:ascii="Calibri" w:hAnsi="Calibri" w:cs="Calibri"/>
        </w:rPr>
        <w:t>/inequality</w:t>
      </w:r>
      <w:r w:rsidR="00F26DAE">
        <w:rPr>
          <w:rFonts w:ascii="Calibri" w:hAnsi="Calibri" w:cs="Calibri"/>
        </w:rPr>
        <w:t xml:space="preserve"> </w:t>
      </w:r>
      <w:r w:rsidR="00B8745B">
        <w:rPr>
          <w:rFonts w:ascii="Calibri" w:hAnsi="Calibri" w:cs="Calibri"/>
        </w:rPr>
        <w:t xml:space="preserve">amongst employees due to the lack of transparency and potential for managerial bias.  </w:t>
      </w:r>
    </w:p>
    <w:p w:rsidR="00B8745B" w:rsidRDefault="007A7383" w:rsidP="009F5501">
      <w:pPr>
        <w:pStyle w:val="Nornal"/>
        <w:ind w:left="720"/>
        <w:jc w:val="both"/>
        <w:rPr>
          <w:rFonts w:ascii="Calibri" w:hAnsi="Calibri" w:cs="Calibri"/>
        </w:rPr>
      </w:pPr>
      <w:r>
        <w:rPr>
          <w:rFonts w:ascii="Calibri" w:hAnsi="Calibri" w:cs="Calibri"/>
        </w:rPr>
        <w:lastRenderedPageBreak/>
        <w:t>In contrast, the formal pay structure of pay spines provides a transparent and clear method of determining pay, with a scale of p</w:t>
      </w:r>
      <w:r w:rsidR="002531C0">
        <w:rPr>
          <w:rFonts w:ascii="Calibri" w:hAnsi="Calibri" w:cs="Calibri"/>
        </w:rPr>
        <w:t>ay points reflecting the salary.</w:t>
      </w:r>
      <w:r>
        <w:rPr>
          <w:rFonts w:ascii="Calibri" w:hAnsi="Calibri" w:cs="Calibri"/>
        </w:rPr>
        <w:t xml:space="preserve">  A further advantage is increased retention as roles are assigned a range of pay points with progression based on length of service</w:t>
      </w:r>
      <w:r w:rsidR="00A86D80">
        <w:rPr>
          <w:rFonts w:ascii="Calibri" w:hAnsi="Calibri" w:cs="Calibri"/>
        </w:rPr>
        <w:t xml:space="preserve"> (Waite et al, 2021).</w:t>
      </w:r>
      <w:r>
        <w:rPr>
          <w:rFonts w:ascii="Calibri" w:hAnsi="Calibri" w:cs="Calibri"/>
        </w:rPr>
        <w:t xml:space="preserve">  However, </w:t>
      </w:r>
      <w:r w:rsidR="00442692">
        <w:rPr>
          <w:rFonts w:ascii="Calibri" w:hAnsi="Calibri" w:cs="Calibri"/>
        </w:rPr>
        <w:t xml:space="preserve">as pay is not affected by performance, employees may not work to their best potential.  </w:t>
      </w:r>
      <w:r w:rsidR="00A86D80">
        <w:rPr>
          <w:rFonts w:ascii="Calibri" w:hAnsi="Calibri" w:cs="Calibri"/>
        </w:rPr>
        <w:t xml:space="preserve">A way to counter this is by using </w:t>
      </w:r>
      <w:r w:rsidR="009008A4">
        <w:rPr>
          <w:rFonts w:ascii="Calibri" w:hAnsi="Calibri" w:cs="Calibri"/>
        </w:rPr>
        <w:t>broad banding</w:t>
      </w:r>
      <w:r w:rsidR="00A86D80">
        <w:rPr>
          <w:rFonts w:ascii="Calibri" w:hAnsi="Calibri" w:cs="Calibri"/>
        </w:rPr>
        <w:t>, whereby there are a small number of payment brands but a wider range of pay and frequently no limit to pay progression, therefore increasing productivity</w:t>
      </w:r>
      <w:r w:rsidR="009C70FC">
        <w:rPr>
          <w:rFonts w:ascii="Calibri" w:hAnsi="Calibri" w:cs="Calibri"/>
        </w:rPr>
        <w:t xml:space="preserve"> with employees</w:t>
      </w:r>
      <w:r w:rsidR="00A86D80">
        <w:rPr>
          <w:rFonts w:ascii="Calibri" w:hAnsi="Calibri" w:cs="Calibri"/>
        </w:rPr>
        <w:t xml:space="preserve"> motivated to progress.</w:t>
      </w:r>
      <w:r w:rsidR="006F4D27">
        <w:rPr>
          <w:rFonts w:ascii="Calibri" w:hAnsi="Calibri" w:cs="Calibri"/>
        </w:rPr>
        <w:t xml:space="preserve">  This </w:t>
      </w:r>
      <w:r w:rsidR="002E78A1">
        <w:rPr>
          <w:rFonts w:ascii="Calibri" w:hAnsi="Calibri" w:cs="Calibri"/>
        </w:rPr>
        <w:t>structure can raise equal pay concerns and therefore a structure of grouping careers or roles into ‘families’ could be considered as employees in similar roles are given the same pay structure</w:t>
      </w:r>
      <w:r w:rsidR="006F4D27" w:rsidRPr="006F4D27">
        <w:rPr>
          <w:rFonts w:ascii="Calibri" w:hAnsi="Calibri" w:cs="Calibri"/>
        </w:rPr>
        <w:t xml:space="preserve"> </w:t>
      </w:r>
      <w:r w:rsidR="006F4D27">
        <w:rPr>
          <w:rFonts w:ascii="Calibri" w:hAnsi="Calibri" w:cs="Calibri"/>
        </w:rPr>
        <w:t xml:space="preserve">(Cotton, </w:t>
      </w:r>
      <w:r w:rsidR="006F4D27">
        <w:rPr>
          <w:rFonts w:ascii="Calibri" w:hAnsi="Calibri" w:cs="Calibri"/>
        </w:rPr>
        <w:t>2022a)</w:t>
      </w:r>
      <w:r w:rsidR="002E78A1">
        <w:rPr>
          <w:rFonts w:ascii="Calibri" w:hAnsi="Calibri" w:cs="Calibri"/>
        </w:rPr>
        <w:t>.</w:t>
      </w:r>
      <w:r w:rsidR="00B97737">
        <w:rPr>
          <w:rFonts w:ascii="Calibri" w:hAnsi="Calibri" w:cs="Calibri"/>
        </w:rPr>
        <w:t xml:space="preserve">  </w:t>
      </w:r>
    </w:p>
    <w:p w:rsidR="002E78A1" w:rsidRDefault="006F4D27" w:rsidP="005B2738">
      <w:pPr>
        <w:pStyle w:val="Nornal"/>
        <w:ind w:left="720"/>
        <w:jc w:val="both"/>
        <w:rPr>
          <w:rFonts w:ascii="Calibri" w:hAnsi="Calibri" w:cs="Calibri"/>
        </w:rPr>
      </w:pPr>
      <w:r>
        <w:rPr>
          <w:rFonts w:ascii="Calibri" w:hAnsi="Calibri" w:cs="Calibri"/>
        </w:rPr>
        <w:t>For Eco-</w:t>
      </w:r>
      <w:r w:rsidR="003E1AF6">
        <w:rPr>
          <w:rFonts w:ascii="Calibri" w:hAnsi="Calibri" w:cs="Calibri"/>
        </w:rPr>
        <w:t xml:space="preserve">Insulate UK a narrow graded structure would </w:t>
      </w:r>
      <w:r w:rsidR="00B85812">
        <w:rPr>
          <w:rFonts w:ascii="Calibri" w:hAnsi="Calibri" w:cs="Calibri"/>
        </w:rPr>
        <w:t>be beneficial, as it would provide a clear progression path increasing motivation</w:t>
      </w:r>
      <w:r w:rsidR="00021263">
        <w:rPr>
          <w:rFonts w:ascii="Calibri" w:hAnsi="Calibri" w:cs="Calibri"/>
        </w:rPr>
        <w:t xml:space="preserve"> and clarity.</w:t>
      </w:r>
      <w:r w:rsidR="00B85812">
        <w:rPr>
          <w:rFonts w:ascii="Calibri" w:hAnsi="Calibri" w:cs="Calibri"/>
        </w:rPr>
        <w:t xml:space="preserve">  </w:t>
      </w:r>
      <w:r w:rsidR="00021263">
        <w:rPr>
          <w:rFonts w:ascii="Calibri" w:hAnsi="Calibri" w:cs="Calibri"/>
        </w:rPr>
        <w:t>The</w:t>
      </w:r>
      <w:r w:rsidR="00B85812">
        <w:rPr>
          <w:rFonts w:ascii="Calibri" w:hAnsi="Calibri" w:cs="Calibri"/>
        </w:rPr>
        <w:t xml:space="preserve"> defined criteria for each grade and pay increments promotes fairness and consistency with employees of similar roles and responsibilities being paid t</w:t>
      </w:r>
      <w:r w:rsidR="008A49DC">
        <w:rPr>
          <w:rFonts w:ascii="Calibri" w:hAnsi="Calibri" w:cs="Calibri"/>
        </w:rPr>
        <w:t>he same ensuring equality.  Eco-</w:t>
      </w:r>
      <w:r w:rsidR="00B85812">
        <w:rPr>
          <w:rFonts w:ascii="Calibri" w:hAnsi="Calibri" w:cs="Calibri"/>
        </w:rPr>
        <w:t>Insulate UK will need to be mindful of possibly rigidity within grades by promoting further development and growth within the organisation so employees can progress to higher grades.</w:t>
      </w:r>
    </w:p>
    <w:p w:rsidR="004631AA" w:rsidRPr="005B2738" w:rsidRDefault="004631AA" w:rsidP="0016522C">
      <w:pPr>
        <w:pStyle w:val="Nornal"/>
        <w:numPr>
          <w:ilvl w:val="0"/>
          <w:numId w:val="29"/>
        </w:numPr>
        <w:jc w:val="both"/>
        <w:rPr>
          <w:rFonts w:ascii="Calibri" w:hAnsi="Calibri" w:cs="Calibri"/>
          <w:b/>
        </w:rPr>
      </w:pPr>
      <w:r w:rsidRPr="005B2738">
        <w:rPr>
          <w:rFonts w:ascii="Calibri" w:hAnsi="Calibri" w:cs="Calibri"/>
          <w:b/>
          <w:color w:val="000000" w:themeColor="text1"/>
        </w:rPr>
        <w:t>Explain how contingent rewards can impact individual, team and organisational performance. (AC 2.2)</w:t>
      </w:r>
      <w:r w:rsidR="006D0E4A">
        <w:rPr>
          <w:rFonts w:ascii="Calibri" w:hAnsi="Calibri" w:cs="Calibri"/>
          <w:b/>
          <w:color w:val="000000" w:themeColor="text1"/>
        </w:rPr>
        <w:t xml:space="preserve"> </w:t>
      </w:r>
    </w:p>
    <w:p w:rsidR="00975423" w:rsidRDefault="00635B3D" w:rsidP="002531C0">
      <w:pPr>
        <w:pStyle w:val="Nornal"/>
        <w:ind w:left="720"/>
        <w:jc w:val="both"/>
        <w:rPr>
          <w:rFonts w:ascii="Calibri" w:hAnsi="Calibri" w:cs="Calibri"/>
          <w:color w:val="000000" w:themeColor="text1"/>
        </w:rPr>
      </w:pPr>
      <w:r>
        <w:rPr>
          <w:rFonts w:ascii="Calibri" w:hAnsi="Calibri" w:cs="Calibri"/>
          <w:color w:val="000000" w:themeColor="text1"/>
        </w:rPr>
        <w:t>Taylor and Woodhams (2022</w:t>
      </w:r>
      <w:r w:rsidR="00417B41">
        <w:rPr>
          <w:rFonts w:ascii="Calibri" w:hAnsi="Calibri" w:cs="Calibri"/>
          <w:color w:val="000000" w:themeColor="text1"/>
        </w:rPr>
        <w:t>a</w:t>
      </w:r>
      <w:r>
        <w:rPr>
          <w:rFonts w:ascii="Calibri" w:hAnsi="Calibri" w:cs="Calibri"/>
          <w:color w:val="000000" w:themeColor="text1"/>
        </w:rPr>
        <w:t xml:space="preserve">) explain that, in addition to base pay, organisations who adopt </w:t>
      </w:r>
      <w:r w:rsidR="0028357A">
        <w:rPr>
          <w:rFonts w:ascii="Calibri" w:hAnsi="Calibri" w:cs="Calibri"/>
          <w:color w:val="000000" w:themeColor="text1"/>
        </w:rPr>
        <w:t>contingent reward schemes off</w:t>
      </w:r>
      <w:r w:rsidR="00B5056F">
        <w:rPr>
          <w:rFonts w:ascii="Calibri" w:hAnsi="Calibri" w:cs="Calibri"/>
          <w:color w:val="000000" w:themeColor="text1"/>
        </w:rPr>
        <w:t>er employees additional rewards in recognition of performance</w:t>
      </w:r>
      <w:r w:rsidR="00D33EFC">
        <w:rPr>
          <w:rFonts w:ascii="Calibri" w:hAnsi="Calibri" w:cs="Calibri"/>
          <w:color w:val="000000" w:themeColor="text1"/>
        </w:rPr>
        <w:t>, skill or competence</w:t>
      </w:r>
      <w:r w:rsidR="00B5056F">
        <w:rPr>
          <w:rFonts w:ascii="Calibri" w:hAnsi="Calibri" w:cs="Calibri"/>
          <w:color w:val="000000" w:themeColor="text1"/>
        </w:rPr>
        <w:t xml:space="preserve">.  It is important to establish </w:t>
      </w:r>
      <w:r w:rsidR="002531C0">
        <w:rPr>
          <w:rFonts w:ascii="Calibri" w:hAnsi="Calibri" w:cs="Calibri"/>
          <w:color w:val="000000" w:themeColor="text1"/>
        </w:rPr>
        <w:t>what</w:t>
      </w:r>
      <w:r w:rsidR="00B5056F">
        <w:rPr>
          <w:rFonts w:ascii="Calibri" w:hAnsi="Calibri" w:cs="Calibri"/>
          <w:color w:val="000000" w:themeColor="text1"/>
        </w:rPr>
        <w:t xml:space="preserve"> we v</w:t>
      </w:r>
      <w:r w:rsidR="002531C0">
        <w:rPr>
          <w:rFonts w:ascii="Calibri" w:hAnsi="Calibri" w:cs="Calibri"/>
          <w:color w:val="000000" w:themeColor="text1"/>
        </w:rPr>
        <w:t>alue and w</w:t>
      </w:r>
      <w:r w:rsidR="00B5056F">
        <w:rPr>
          <w:rFonts w:ascii="Calibri" w:hAnsi="Calibri" w:cs="Calibri"/>
          <w:color w:val="000000" w:themeColor="text1"/>
        </w:rPr>
        <w:t xml:space="preserve">hat are we </w:t>
      </w:r>
      <w:r w:rsidR="0024674C">
        <w:rPr>
          <w:rFonts w:ascii="Calibri" w:hAnsi="Calibri" w:cs="Calibri"/>
          <w:color w:val="000000" w:themeColor="text1"/>
        </w:rPr>
        <w:t>prepared t</w:t>
      </w:r>
      <w:r w:rsidR="002531C0">
        <w:rPr>
          <w:rFonts w:ascii="Calibri" w:hAnsi="Calibri" w:cs="Calibri"/>
          <w:color w:val="000000" w:themeColor="text1"/>
        </w:rPr>
        <w:t>o pay for.</w:t>
      </w:r>
    </w:p>
    <w:p w:rsidR="00975423" w:rsidRDefault="002531C0" w:rsidP="0064723B">
      <w:pPr>
        <w:pStyle w:val="Nornal"/>
        <w:ind w:left="720"/>
        <w:jc w:val="both"/>
        <w:rPr>
          <w:rFonts w:ascii="Calibri" w:hAnsi="Calibri" w:cs="Calibri"/>
          <w:color w:val="000000" w:themeColor="text1"/>
        </w:rPr>
      </w:pPr>
      <w:r>
        <w:rPr>
          <w:rFonts w:ascii="Calibri" w:hAnsi="Calibri" w:cs="Calibri"/>
          <w:color w:val="000000" w:themeColor="text1"/>
        </w:rPr>
        <w:t>T</w:t>
      </w:r>
      <w:r w:rsidR="00D33EFC">
        <w:rPr>
          <w:rFonts w:ascii="Calibri" w:hAnsi="Calibri" w:cs="Calibri"/>
          <w:color w:val="000000" w:themeColor="text1"/>
        </w:rPr>
        <w:t xml:space="preserve">here are many forms of </w:t>
      </w:r>
      <w:r w:rsidR="00C05B18">
        <w:rPr>
          <w:rFonts w:ascii="Calibri" w:hAnsi="Calibri" w:cs="Calibri"/>
          <w:color w:val="000000" w:themeColor="text1"/>
        </w:rPr>
        <w:t>contingent reward such as</w:t>
      </w:r>
      <w:r w:rsidR="00460DD3">
        <w:rPr>
          <w:rFonts w:ascii="Calibri" w:hAnsi="Calibri" w:cs="Calibri"/>
          <w:color w:val="000000" w:themeColor="text1"/>
        </w:rPr>
        <w:t xml:space="preserve"> performance-related pay whereby</w:t>
      </w:r>
      <w:r w:rsidR="00C05B18">
        <w:rPr>
          <w:rFonts w:ascii="Calibri" w:hAnsi="Calibri" w:cs="Calibri"/>
          <w:color w:val="000000" w:themeColor="text1"/>
        </w:rPr>
        <w:t xml:space="preserve"> employees are rewarded for achieving a performance goal/objective, competency-related pay aligning to competency frameworks and contribution-related pay</w:t>
      </w:r>
      <w:r w:rsidR="00A631A6">
        <w:rPr>
          <w:rFonts w:ascii="Calibri" w:hAnsi="Calibri" w:cs="Calibri"/>
          <w:color w:val="000000" w:themeColor="text1"/>
        </w:rPr>
        <w:t>,</w:t>
      </w:r>
      <w:r w:rsidR="00C05B18">
        <w:rPr>
          <w:rFonts w:ascii="Calibri" w:hAnsi="Calibri" w:cs="Calibri"/>
          <w:color w:val="000000" w:themeColor="text1"/>
        </w:rPr>
        <w:t xml:space="preserve"> which incorporates both</w:t>
      </w:r>
      <w:r>
        <w:rPr>
          <w:rFonts w:ascii="Calibri" w:hAnsi="Calibri" w:cs="Calibri"/>
          <w:color w:val="000000" w:themeColor="text1"/>
        </w:rPr>
        <w:t xml:space="preserve"> (</w:t>
      </w:r>
      <w:r>
        <w:rPr>
          <w:rFonts w:ascii="Calibri" w:hAnsi="Calibri" w:cs="Calibri"/>
          <w:color w:val="000000" w:themeColor="text1"/>
        </w:rPr>
        <w:t>Waite et al.</w:t>
      </w:r>
      <w:r>
        <w:rPr>
          <w:rFonts w:ascii="Calibri" w:hAnsi="Calibri" w:cs="Calibri"/>
          <w:color w:val="000000" w:themeColor="text1"/>
        </w:rPr>
        <w:t xml:space="preserve">, </w:t>
      </w:r>
      <w:r>
        <w:rPr>
          <w:rFonts w:ascii="Calibri" w:hAnsi="Calibri" w:cs="Calibri"/>
          <w:color w:val="000000" w:themeColor="text1"/>
        </w:rPr>
        <w:t>2021</w:t>
      </w:r>
      <w:r>
        <w:rPr>
          <w:rFonts w:ascii="Calibri" w:hAnsi="Calibri" w:cs="Calibri"/>
          <w:color w:val="000000" w:themeColor="text1"/>
        </w:rPr>
        <w:t>)</w:t>
      </w:r>
      <w:r w:rsidR="00C05B18">
        <w:rPr>
          <w:rFonts w:ascii="Calibri" w:hAnsi="Calibri" w:cs="Calibri"/>
          <w:color w:val="000000" w:themeColor="text1"/>
        </w:rPr>
        <w:t xml:space="preserve">.  Although seen as good motivators, these types of related-pay schemes may result in employees focusing on their own objectives over that of the team/organisation.  Bonus schemes </w:t>
      </w:r>
      <w:r w:rsidR="00F1013E">
        <w:rPr>
          <w:rFonts w:ascii="Calibri" w:hAnsi="Calibri" w:cs="Calibri"/>
          <w:color w:val="000000" w:themeColor="text1"/>
        </w:rPr>
        <w:t xml:space="preserve">differ in that they can be awarded to individuals, teams and the whole </w:t>
      </w:r>
      <w:r w:rsidR="00AB5BDA">
        <w:rPr>
          <w:rFonts w:ascii="Calibri" w:hAnsi="Calibri" w:cs="Calibri"/>
          <w:color w:val="000000" w:themeColor="text1"/>
        </w:rPr>
        <w:t>organisation and are a useful too</w:t>
      </w:r>
      <w:r w:rsidR="00021263">
        <w:rPr>
          <w:rFonts w:ascii="Calibri" w:hAnsi="Calibri" w:cs="Calibri"/>
          <w:color w:val="000000" w:themeColor="text1"/>
        </w:rPr>
        <w:t>l to achieve short-term</w:t>
      </w:r>
      <w:r w:rsidR="00AB5BDA">
        <w:rPr>
          <w:rFonts w:ascii="Calibri" w:hAnsi="Calibri" w:cs="Calibri"/>
          <w:color w:val="000000" w:themeColor="text1"/>
        </w:rPr>
        <w:t xml:space="preserve"> goal</w:t>
      </w:r>
      <w:r>
        <w:rPr>
          <w:rFonts w:ascii="Calibri" w:hAnsi="Calibri" w:cs="Calibri"/>
          <w:color w:val="000000" w:themeColor="text1"/>
        </w:rPr>
        <w:t>s</w:t>
      </w:r>
      <w:r w:rsidR="00AB5BDA">
        <w:rPr>
          <w:rFonts w:ascii="Calibri" w:hAnsi="Calibri" w:cs="Calibri"/>
          <w:color w:val="000000" w:themeColor="text1"/>
        </w:rPr>
        <w:t>, whilst promoting team working, and enco</w:t>
      </w:r>
      <w:r w:rsidR="00021263">
        <w:rPr>
          <w:rFonts w:ascii="Calibri" w:hAnsi="Calibri" w:cs="Calibri"/>
          <w:color w:val="000000" w:themeColor="text1"/>
        </w:rPr>
        <w:t>uraging</w:t>
      </w:r>
      <w:r w:rsidR="00AB5BDA">
        <w:rPr>
          <w:rFonts w:ascii="Calibri" w:hAnsi="Calibri" w:cs="Calibri"/>
          <w:color w:val="000000" w:themeColor="text1"/>
        </w:rPr>
        <w:t xml:space="preserve"> lower performing employees to improve (Armstrong and Brown, 2023)</w:t>
      </w:r>
      <w:r w:rsidR="008A79C0">
        <w:rPr>
          <w:rFonts w:ascii="Calibri" w:hAnsi="Calibri" w:cs="Calibri"/>
          <w:color w:val="000000" w:themeColor="text1"/>
        </w:rPr>
        <w:t xml:space="preserve">.  </w:t>
      </w:r>
      <w:r w:rsidR="00F1013E">
        <w:rPr>
          <w:rFonts w:ascii="Calibri" w:hAnsi="Calibri" w:cs="Calibri"/>
          <w:color w:val="000000" w:themeColor="text1"/>
        </w:rPr>
        <w:t xml:space="preserve">Commission schemes provide a transparent financial reward for reaching targets (usually sales) by an individual employee creating a competitive target-driven workforce.  </w:t>
      </w:r>
    </w:p>
    <w:p w:rsidR="009C286E" w:rsidRDefault="00C94127" w:rsidP="009C286E">
      <w:pPr>
        <w:ind w:left="720"/>
        <w:jc w:val="both"/>
        <w:rPr>
          <w:rFonts w:eastAsia="Times New Roman" w:cstheme="minorHAnsi"/>
          <w:lang w:eastAsia="en-GB"/>
        </w:rPr>
      </w:pPr>
      <w:r w:rsidRPr="00A140DC">
        <w:rPr>
          <w:rFonts w:cstheme="minorHAnsi"/>
          <w:color w:val="000000" w:themeColor="text1"/>
        </w:rPr>
        <w:t>Contingent rewards can have a positive and a neg</w:t>
      </w:r>
      <w:r w:rsidR="00EC26D4" w:rsidRPr="00A140DC">
        <w:rPr>
          <w:rFonts w:cstheme="minorHAnsi"/>
          <w:color w:val="000000" w:themeColor="text1"/>
        </w:rPr>
        <w:t xml:space="preserve">ative effect on an individual.  </w:t>
      </w:r>
      <w:r w:rsidR="00615040" w:rsidRPr="00A140DC">
        <w:rPr>
          <w:rFonts w:cstheme="minorHAnsi"/>
          <w:color w:val="000000" w:themeColor="text1"/>
        </w:rPr>
        <w:t xml:space="preserve">A study by </w:t>
      </w:r>
      <w:r w:rsidR="00EC26D4" w:rsidRPr="00A140DC">
        <w:rPr>
          <w:rFonts w:cstheme="minorHAnsi"/>
          <w:color w:val="000000" w:themeColor="text1"/>
        </w:rPr>
        <w:t>Condley et al. (2</w:t>
      </w:r>
      <w:r w:rsidR="00615040" w:rsidRPr="00A140DC">
        <w:rPr>
          <w:rFonts w:cstheme="minorHAnsi"/>
          <w:color w:val="000000" w:themeColor="text1"/>
        </w:rPr>
        <w:t xml:space="preserve">008) </w:t>
      </w:r>
      <w:r w:rsidR="002531C0">
        <w:rPr>
          <w:rFonts w:cstheme="minorHAnsi"/>
          <w:color w:val="000000" w:themeColor="text1"/>
        </w:rPr>
        <w:t>found</w:t>
      </w:r>
      <w:r w:rsidR="00615040" w:rsidRPr="00A140DC">
        <w:rPr>
          <w:rFonts w:cstheme="minorHAnsi"/>
          <w:color w:val="000000" w:themeColor="text1"/>
        </w:rPr>
        <w:t xml:space="preserve"> that </w:t>
      </w:r>
      <w:r w:rsidR="002531C0">
        <w:rPr>
          <w:rFonts w:cstheme="minorHAnsi"/>
          <w:color w:val="000000" w:themeColor="text1"/>
        </w:rPr>
        <w:t xml:space="preserve">financial </w:t>
      </w:r>
      <w:r w:rsidR="00615040" w:rsidRPr="00A140DC">
        <w:rPr>
          <w:rFonts w:cstheme="minorHAnsi"/>
          <w:color w:val="000000" w:themeColor="text1"/>
        </w:rPr>
        <w:t xml:space="preserve">contingent rewards </w:t>
      </w:r>
      <w:r w:rsidR="002531C0">
        <w:rPr>
          <w:rFonts w:cstheme="minorHAnsi"/>
          <w:color w:val="000000" w:themeColor="text1"/>
        </w:rPr>
        <w:t>p</w:t>
      </w:r>
      <w:r w:rsidR="00615040" w:rsidRPr="00A140DC">
        <w:rPr>
          <w:rFonts w:cstheme="minorHAnsi"/>
          <w:color w:val="000000" w:themeColor="text1"/>
        </w:rPr>
        <w:t>roduced double the productivity compared to non-financial rewards.</w:t>
      </w:r>
      <w:r w:rsidR="004D3436" w:rsidRPr="00A140DC">
        <w:rPr>
          <w:rFonts w:cstheme="minorHAnsi"/>
          <w:color w:val="000000" w:themeColor="text1"/>
        </w:rPr>
        <w:t xml:space="preserve">  Performance rates increased more when a team-based reward was offered but only whereby it was equitably distributed as opposed to equally </w:t>
      </w:r>
      <w:r w:rsidR="004D3436" w:rsidRPr="00A140DC">
        <w:rPr>
          <w:rFonts w:eastAsia="Times New Roman" w:cstheme="minorHAnsi"/>
          <w:lang w:eastAsia="en-GB"/>
        </w:rPr>
        <w:t xml:space="preserve">(Barends et al., 2022).  </w:t>
      </w:r>
      <w:r w:rsidR="00021263">
        <w:rPr>
          <w:rFonts w:eastAsia="Times New Roman" w:cstheme="minorHAnsi"/>
          <w:lang w:eastAsia="en-GB"/>
        </w:rPr>
        <w:t>F</w:t>
      </w:r>
      <w:r w:rsidR="004D3436" w:rsidRPr="00A140DC">
        <w:rPr>
          <w:rFonts w:eastAsia="Times New Roman" w:cstheme="minorHAnsi"/>
          <w:lang w:eastAsia="en-GB"/>
        </w:rPr>
        <w:t xml:space="preserve">inancial rewards in exchange for performance can have a negative effect on intrinsic motivation affecting performance, as employees may consider it ‘exploitation’ as reported by </w:t>
      </w:r>
      <w:r w:rsidR="00A140DC" w:rsidRPr="00A140DC">
        <w:rPr>
          <w:rFonts w:eastAsia="Times New Roman" w:cstheme="minorHAnsi"/>
          <w:lang w:eastAsia="en-GB"/>
        </w:rPr>
        <w:t xml:space="preserve">Carpenter and Dolifka (2017).  </w:t>
      </w:r>
      <w:r w:rsidR="009C286E">
        <w:rPr>
          <w:rFonts w:eastAsia="Times New Roman" w:cstheme="minorHAnsi"/>
          <w:lang w:eastAsia="en-GB"/>
        </w:rPr>
        <w:t>It is import</w:t>
      </w:r>
      <w:r w:rsidR="009008A4">
        <w:rPr>
          <w:rFonts w:eastAsia="Times New Roman" w:cstheme="minorHAnsi"/>
          <w:lang w:eastAsia="en-GB"/>
        </w:rPr>
        <w:t>ant</w:t>
      </w:r>
      <w:r w:rsidR="009C286E">
        <w:rPr>
          <w:rFonts w:eastAsia="Times New Roman" w:cstheme="minorHAnsi"/>
          <w:lang w:eastAsia="en-GB"/>
        </w:rPr>
        <w:t xml:space="preserve"> to find a balance between employees striving to reach individual goals over working collaboratively to reach collective goals, as competitiveness can help increase performance in individuals it can also create an environment of hostility and distrust negatively impacting performance </w:t>
      </w:r>
      <w:r w:rsidR="009008A4">
        <w:rPr>
          <w:rFonts w:eastAsia="Times New Roman" w:cstheme="minorHAnsi"/>
          <w:lang w:eastAsia="en-GB"/>
        </w:rPr>
        <w:t xml:space="preserve">(Larmour, </w:t>
      </w:r>
      <w:r w:rsidR="009C286E">
        <w:rPr>
          <w:rFonts w:eastAsia="Times New Roman" w:cstheme="minorHAnsi"/>
          <w:lang w:eastAsia="en-GB"/>
        </w:rPr>
        <w:t>2023).</w:t>
      </w:r>
      <w:r w:rsidR="00AE5EFA">
        <w:rPr>
          <w:rFonts w:eastAsia="Times New Roman" w:cstheme="minorHAnsi"/>
          <w:lang w:eastAsia="en-GB"/>
        </w:rPr>
        <w:t xml:space="preserve">  </w:t>
      </w:r>
    </w:p>
    <w:p w:rsidR="00AE5EFA" w:rsidRDefault="00457059" w:rsidP="00AE5EFA">
      <w:pPr>
        <w:ind w:left="720"/>
        <w:jc w:val="both"/>
        <w:rPr>
          <w:rFonts w:eastAsia="Times New Roman" w:cstheme="minorHAnsi"/>
          <w:lang w:eastAsia="en-GB"/>
        </w:rPr>
      </w:pPr>
      <w:r>
        <w:rPr>
          <w:rFonts w:eastAsia="Times New Roman" w:cstheme="minorHAnsi"/>
          <w:lang w:eastAsia="en-GB"/>
        </w:rPr>
        <w:lastRenderedPageBreak/>
        <w:t>Co</w:t>
      </w:r>
      <w:r w:rsidR="00A140DC" w:rsidRPr="00A140DC">
        <w:rPr>
          <w:rFonts w:eastAsia="Times New Roman" w:cstheme="minorHAnsi"/>
          <w:lang w:eastAsia="en-GB"/>
        </w:rPr>
        <w:t>ntingent rewards have shown</w:t>
      </w:r>
      <w:r w:rsidR="002531C0">
        <w:rPr>
          <w:rFonts w:eastAsia="Times New Roman" w:cstheme="minorHAnsi"/>
          <w:lang w:eastAsia="en-GB"/>
        </w:rPr>
        <w:t xml:space="preserve"> increased </w:t>
      </w:r>
      <w:r w:rsidR="00A140DC" w:rsidRPr="00A140DC">
        <w:rPr>
          <w:rFonts w:eastAsia="Times New Roman" w:cstheme="minorHAnsi"/>
          <w:lang w:eastAsia="en-GB"/>
        </w:rPr>
        <w:t>creativity in employees</w:t>
      </w:r>
      <w:r>
        <w:rPr>
          <w:rFonts w:eastAsia="Times New Roman" w:cstheme="minorHAnsi"/>
          <w:lang w:eastAsia="en-GB"/>
        </w:rPr>
        <w:t xml:space="preserve"> and enhanced innovation,</w:t>
      </w:r>
      <w:r w:rsidR="00021263">
        <w:rPr>
          <w:rFonts w:eastAsia="Times New Roman" w:cstheme="minorHAnsi"/>
          <w:lang w:eastAsia="en-GB"/>
        </w:rPr>
        <w:t xml:space="preserve"> </w:t>
      </w:r>
      <w:r w:rsidR="00A140DC" w:rsidRPr="00A140DC">
        <w:rPr>
          <w:rFonts w:eastAsia="Times New Roman" w:cstheme="minorHAnsi"/>
          <w:lang w:eastAsia="en-GB"/>
        </w:rPr>
        <w:t>resulting in increase</w:t>
      </w:r>
      <w:r w:rsidR="002531C0">
        <w:rPr>
          <w:rFonts w:eastAsia="Times New Roman" w:cstheme="minorHAnsi"/>
          <w:lang w:eastAsia="en-GB"/>
        </w:rPr>
        <w:t>d</w:t>
      </w:r>
      <w:r w:rsidR="00A140DC" w:rsidRPr="00A140DC">
        <w:rPr>
          <w:rFonts w:eastAsia="Times New Roman" w:cstheme="minorHAnsi"/>
          <w:lang w:eastAsia="en-GB"/>
        </w:rPr>
        <w:t xml:space="preserve"> organisational performance (Li et al., 2022)</w:t>
      </w:r>
      <w:r w:rsidR="00A140DC">
        <w:rPr>
          <w:rFonts w:eastAsia="Times New Roman" w:cstheme="minorHAnsi"/>
          <w:lang w:eastAsia="en-GB"/>
        </w:rPr>
        <w:t xml:space="preserve">.  </w:t>
      </w:r>
      <w:r>
        <w:rPr>
          <w:rFonts w:eastAsia="Times New Roman" w:cstheme="minorHAnsi"/>
          <w:lang w:eastAsia="en-GB"/>
        </w:rPr>
        <w:t>Cotton (2022</w:t>
      </w:r>
      <w:r w:rsidR="009F5501">
        <w:rPr>
          <w:rFonts w:eastAsia="Times New Roman" w:cstheme="minorHAnsi"/>
          <w:lang w:eastAsia="en-GB"/>
        </w:rPr>
        <w:t>a</w:t>
      </w:r>
      <w:r w:rsidR="000A595B">
        <w:rPr>
          <w:rFonts w:eastAsia="Times New Roman" w:cstheme="minorHAnsi"/>
          <w:lang w:eastAsia="en-GB"/>
        </w:rPr>
        <w:t xml:space="preserve">) highlights that it </w:t>
      </w:r>
      <w:r>
        <w:rPr>
          <w:rFonts w:eastAsia="Times New Roman" w:cstheme="minorHAnsi"/>
          <w:lang w:eastAsia="en-GB"/>
        </w:rPr>
        <w:t xml:space="preserve">affirms the organisations values and culture, rewarding high performers and recognising talent.  </w:t>
      </w:r>
      <w:r w:rsidR="009C286E">
        <w:rPr>
          <w:rFonts w:eastAsia="Times New Roman" w:cstheme="minorHAnsi"/>
          <w:lang w:eastAsia="en-GB"/>
        </w:rPr>
        <w:t>Layek and Koodamara (</w:t>
      </w:r>
      <w:r w:rsidR="0064723B" w:rsidRPr="0064723B">
        <w:rPr>
          <w:rFonts w:eastAsia="Times New Roman" w:cstheme="minorHAnsi"/>
          <w:lang w:eastAsia="en-GB"/>
        </w:rPr>
        <w:t>2024)</w:t>
      </w:r>
      <w:r w:rsidR="000A595B">
        <w:rPr>
          <w:rFonts w:eastAsia="Times New Roman" w:cstheme="minorHAnsi"/>
          <w:lang w:eastAsia="en-GB"/>
        </w:rPr>
        <w:t xml:space="preserve"> report that teams who were</w:t>
      </w:r>
      <w:r w:rsidR="009C286E">
        <w:rPr>
          <w:rFonts w:eastAsia="Times New Roman" w:cstheme="minorHAnsi"/>
          <w:lang w:eastAsia="en-GB"/>
        </w:rPr>
        <w:t xml:space="preserve"> rewa</w:t>
      </w:r>
      <w:r w:rsidR="000A595B">
        <w:rPr>
          <w:rFonts w:eastAsia="Times New Roman" w:cstheme="minorHAnsi"/>
          <w:lang w:eastAsia="en-GB"/>
        </w:rPr>
        <w:t>rded for their collaboration were</w:t>
      </w:r>
      <w:r w:rsidR="009C286E">
        <w:rPr>
          <w:rFonts w:eastAsia="Times New Roman" w:cstheme="minorHAnsi"/>
          <w:lang w:eastAsia="en-GB"/>
        </w:rPr>
        <w:t xml:space="preserve"> driven by the notion of thei</w:t>
      </w:r>
      <w:r w:rsidR="000A595B">
        <w:rPr>
          <w:rFonts w:eastAsia="Times New Roman" w:cstheme="minorHAnsi"/>
          <w:lang w:eastAsia="en-GB"/>
        </w:rPr>
        <w:t>r efforts being rewarded and were</w:t>
      </w:r>
      <w:r w:rsidR="009C286E">
        <w:rPr>
          <w:rFonts w:eastAsia="Times New Roman" w:cstheme="minorHAnsi"/>
          <w:lang w:eastAsia="en-GB"/>
        </w:rPr>
        <w:t xml:space="preserve"> more motivated and e</w:t>
      </w:r>
      <w:r w:rsidR="000A595B">
        <w:rPr>
          <w:rFonts w:eastAsia="Times New Roman" w:cstheme="minorHAnsi"/>
          <w:lang w:eastAsia="en-GB"/>
        </w:rPr>
        <w:t xml:space="preserve">ngaged, therefore more </w:t>
      </w:r>
      <w:r w:rsidR="00AE5EFA">
        <w:rPr>
          <w:rFonts w:eastAsia="Times New Roman" w:cstheme="minorHAnsi"/>
          <w:lang w:eastAsia="en-GB"/>
        </w:rPr>
        <w:t xml:space="preserve">productive.  </w:t>
      </w:r>
      <w:r w:rsidR="000A595B">
        <w:rPr>
          <w:rFonts w:eastAsia="Times New Roman" w:cstheme="minorHAnsi"/>
          <w:lang w:eastAsia="en-GB"/>
        </w:rPr>
        <w:t xml:space="preserve">Li et al (2022) </w:t>
      </w:r>
      <w:r w:rsidR="00A140DC">
        <w:rPr>
          <w:rFonts w:eastAsia="Times New Roman" w:cstheme="minorHAnsi"/>
          <w:lang w:eastAsia="en-GB"/>
        </w:rPr>
        <w:t>report</w:t>
      </w:r>
      <w:r w:rsidR="000A595B">
        <w:rPr>
          <w:rFonts w:eastAsia="Times New Roman" w:cstheme="minorHAnsi"/>
          <w:lang w:eastAsia="en-GB"/>
        </w:rPr>
        <w:t>ed</w:t>
      </w:r>
      <w:r w:rsidR="00A140DC">
        <w:rPr>
          <w:rFonts w:eastAsia="Times New Roman" w:cstheme="minorHAnsi"/>
          <w:lang w:eastAsia="en-GB"/>
        </w:rPr>
        <w:t xml:space="preserve"> employees suffering from </w:t>
      </w:r>
      <w:r>
        <w:rPr>
          <w:rFonts w:eastAsia="Times New Roman" w:cstheme="minorHAnsi"/>
          <w:lang w:eastAsia="en-GB"/>
        </w:rPr>
        <w:t>anxiety/stress from the pressure to achieve set targets/goals, which in turn negatively affected productivity.</w:t>
      </w:r>
    </w:p>
    <w:p w:rsidR="00AE5EFA" w:rsidRPr="00AE5EFA" w:rsidRDefault="00AE5EFA" w:rsidP="00AE5EFA">
      <w:pPr>
        <w:ind w:left="720"/>
        <w:jc w:val="both"/>
        <w:rPr>
          <w:rFonts w:eastAsia="Times New Roman" w:cstheme="minorHAnsi"/>
          <w:lang w:eastAsia="en-GB"/>
        </w:rPr>
      </w:pPr>
      <w:r>
        <w:rPr>
          <w:rFonts w:eastAsia="Times New Roman" w:cstheme="minorHAnsi"/>
          <w:lang w:eastAsia="en-GB"/>
        </w:rPr>
        <w:t xml:space="preserve">Eco-Insulate UK should consider a contingent reward scheme based on a bonus structure than can be awarded throughout the organisation on a team basis, therefore aligning the goals of the organisation increasing collaboration, productivity and </w:t>
      </w:r>
      <w:r w:rsidR="00E63BD4">
        <w:rPr>
          <w:rFonts w:eastAsia="Times New Roman" w:cstheme="minorHAnsi"/>
          <w:lang w:eastAsia="en-GB"/>
        </w:rPr>
        <w:t>positive workplace culture.</w:t>
      </w:r>
    </w:p>
    <w:p w:rsidR="004631AA" w:rsidRPr="005B2738" w:rsidRDefault="004631AA" w:rsidP="006A2FBE">
      <w:pPr>
        <w:pStyle w:val="Nornal"/>
        <w:numPr>
          <w:ilvl w:val="0"/>
          <w:numId w:val="29"/>
        </w:numPr>
        <w:rPr>
          <w:rFonts w:ascii="Calibri" w:hAnsi="Calibri" w:cs="Calibri"/>
          <w:b/>
        </w:rPr>
      </w:pPr>
      <w:r w:rsidRPr="005B2738">
        <w:rPr>
          <w:rFonts w:ascii="Calibri" w:hAnsi="Calibri" w:cs="Calibri"/>
          <w:b/>
        </w:rPr>
        <w:t>Explain the merits of different types of benefits offered by organisations. (AC 2.3)</w:t>
      </w:r>
      <w:r w:rsidR="006D0E4A">
        <w:rPr>
          <w:rFonts w:ascii="Calibri" w:hAnsi="Calibri" w:cs="Calibri"/>
          <w:b/>
        </w:rPr>
        <w:t xml:space="preserve"> </w:t>
      </w:r>
    </w:p>
    <w:p w:rsidR="0026004D" w:rsidRDefault="0040224E" w:rsidP="0026004D">
      <w:pPr>
        <w:pStyle w:val="Nornal"/>
        <w:ind w:left="720"/>
        <w:jc w:val="both"/>
        <w:rPr>
          <w:rFonts w:ascii="Calibri" w:hAnsi="Calibri" w:cs="Calibri"/>
        </w:rPr>
      </w:pPr>
      <w:r>
        <w:rPr>
          <w:rFonts w:ascii="Calibri" w:hAnsi="Calibri" w:cs="Calibri"/>
        </w:rPr>
        <w:t>B</w:t>
      </w:r>
      <w:r w:rsidR="009F5501">
        <w:rPr>
          <w:rFonts w:ascii="Calibri" w:hAnsi="Calibri" w:cs="Calibri"/>
        </w:rPr>
        <w:t xml:space="preserve">enefits are an invaluable part of total reward alongside </w:t>
      </w:r>
      <w:r w:rsidR="0094402F">
        <w:rPr>
          <w:rFonts w:ascii="Calibri" w:hAnsi="Calibri" w:cs="Calibri"/>
        </w:rPr>
        <w:t xml:space="preserve">basic </w:t>
      </w:r>
      <w:r w:rsidR="009F5501">
        <w:rPr>
          <w:rFonts w:ascii="Calibri" w:hAnsi="Calibri" w:cs="Calibri"/>
        </w:rPr>
        <w:t>pay</w:t>
      </w:r>
      <w:r>
        <w:rPr>
          <w:rFonts w:ascii="Calibri" w:hAnsi="Calibri" w:cs="Calibri"/>
        </w:rPr>
        <w:t xml:space="preserve"> </w:t>
      </w:r>
      <w:r>
        <w:rPr>
          <w:rFonts w:ascii="Calibri" w:hAnsi="Calibri" w:cs="Calibri"/>
        </w:rPr>
        <w:t>(Waite et al, 2021)</w:t>
      </w:r>
      <w:r w:rsidR="009F5501">
        <w:rPr>
          <w:rFonts w:ascii="Calibri" w:hAnsi="Calibri" w:cs="Calibri"/>
        </w:rPr>
        <w:t xml:space="preserve">.  </w:t>
      </w:r>
      <w:r w:rsidR="0026004D">
        <w:rPr>
          <w:rFonts w:ascii="Calibri" w:hAnsi="Calibri" w:cs="Calibri"/>
        </w:rPr>
        <w:t xml:space="preserve">Benefits can have a positive impact </w:t>
      </w:r>
      <w:r w:rsidR="0094402F">
        <w:rPr>
          <w:rFonts w:ascii="Calibri" w:hAnsi="Calibri" w:cs="Calibri"/>
        </w:rPr>
        <w:t>being a</w:t>
      </w:r>
      <w:r w:rsidR="0026004D">
        <w:rPr>
          <w:rFonts w:ascii="Calibri" w:hAnsi="Calibri" w:cs="Calibri"/>
        </w:rPr>
        <w:t xml:space="preserve"> great incentive for employees to achieve </w:t>
      </w:r>
      <w:r w:rsidR="0094402F">
        <w:rPr>
          <w:rFonts w:ascii="Calibri" w:hAnsi="Calibri" w:cs="Calibri"/>
        </w:rPr>
        <w:t>goals/targets, help attract/retain talent and satisfy an</w:t>
      </w:r>
      <w:r w:rsidR="0026004D">
        <w:rPr>
          <w:rFonts w:ascii="Calibri" w:hAnsi="Calibri" w:cs="Calibri"/>
        </w:rPr>
        <w:t xml:space="preserve"> organisations moral responsibility to its employees by offering benefits to improve employee’s health and wellbeing (CIPD, 2022b).</w:t>
      </w:r>
    </w:p>
    <w:p w:rsidR="00F46E05" w:rsidRDefault="0040224E" w:rsidP="0026004D">
      <w:pPr>
        <w:pStyle w:val="Nornal"/>
        <w:ind w:left="720"/>
        <w:jc w:val="both"/>
        <w:rPr>
          <w:rFonts w:ascii="Calibri" w:hAnsi="Calibri" w:cs="Calibri"/>
        </w:rPr>
      </w:pPr>
      <w:r>
        <w:rPr>
          <w:rFonts w:ascii="Calibri" w:hAnsi="Calibri" w:cs="Calibri"/>
        </w:rPr>
        <w:t xml:space="preserve">Employers must </w:t>
      </w:r>
      <w:r w:rsidR="002E3790">
        <w:rPr>
          <w:rFonts w:ascii="Calibri" w:hAnsi="Calibri" w:cs="Calibri"/>
        </w:rPr>
        <w:t>automatically enrol employees into a chosen pension scheme</w:t>
      </w:r>
      <w:r w:rsidR="00600F8D">
        <w:rPr>
          <w:rFonts w:ascii="Calibri" w:hAnsi="Calibri" w:cs="Calibri"/>
        </w:rPr>
        <w:t xml:space="preserve"> in line with the </w:t>
      </w:r>
      <w:r w:rsidR="00600F8D" w:rsidRPr="00600F8D">
        <w:rPr>
          <w:rFonts w:ascii="Calibri" w:hAnsi="Calibri" w:cs="Calibri"/>
          <w:i/>
        </w:rPr>
        <w:t>Pensions Schemes Act 2021</w:t>
      </w:r>
      <w:r w:rsidR="002E3790">
        <w:rPr>
          <w:rFonts w:ascii="Calibri" w:hAnsi="Calibri" w:cs="Calibri"/>
        </w:rPr>
        <w:t xml:space="preserve"> and employees can opt out if they wish (Gov.uk, 2012).  </w:t>
      </w:r>
      <w:r>
        <w:rPr>
          <w:rFonts w:ascii="Calibri" w:hAnsi="Calibri" w:cs="Calibri"/>
        </w:rPr>
        <w:t>Pension</w:t>
      </w:r>
      <w:r w:rsidR="0094402F">
        <w:rPr>
          <w:rFonts w:ascii="Calibri" w:hAnsi="Calibri" w:cs="Calibri"/>
        </w:rPr>
        <w:t xml:space="preserve"> </w:t>
      </w:r>
      <w:r>
        <w:rPr>
          <w:rFonts w:ascii="Calibri" w:hAnsi="Calibri" w:cs="Calibri"/>
        </w:rPr>
        <w:t>schemes demonstrate an</w:t>
      </w:r>
      <w:r w:rsidR="00841D85">
        <w:rPr>
          <w:rFonts w:ascii="Calibri" w:hAnsi="Calibri" w:cs="Calibri"/>
        </w:rPr>
        <w:t xml:space="preserve"> organisation</w:t>
      </w:r>
      <w:r>
        <w:rPr>
          <w:rFonts w:ascii="Calibri" w:hAnsi="Calibri" w:cs="Calibri"/>
        </w:rPr>
        <w:t>s commitment</w:t>
      </w:r>
      <w:r w:rsidR="002E3790">
        <w:rPr>
          <w:rFonts w:ascii="Calibri" w:hAnsi="Calibri" w:cs="Calibri"/>
        </w:rPr>
        <w:t xml:space="preserve"> to the</w:t>
      </w:r>
      <w:r>
        <w:rPr>
          <w:rFonts w:ascii="Calibri" w:hAnsi="Calibri" w:cs="Calibri"/>
        </w:rPr>
        <w:t>ir</w:t>
      </w:r>
      <w:r w:rsidR="00841D85">
        <w:rPr>
          <w:rFonts w:ascii="Calibri" w:hAnsi="Calibri" w:cs="Calibri"/>
        </w:rPr>
        <w:t xml:space="preserve"> employee’s long-term future</w:t>
      </w:r>
      <w:r>
        <w:rPr>
          <w:rFonts w:ascii="Calibri" w:hAnsi="Calibri" w:cs="Calibri"/>
        </w:rPr>
        <w:t xml:space="preserve"> and are </w:t>
      </w:r>
      <w:r w:rsidR="002E3790">
        <w:rPr>
          <w:rFonts w:ascii="Calibri" w:hAnsi="Calibri" w:cs="Calibri"/>
        </w:rPr>
        <w:t>dedicated to sustainable and responsible practices enhancing their reputation</w:t>
      </w:r>
      <w:r>
        <w:rPr>
          <w:rFonts w:ascii="Calibri" w:hAnsi="Calibri" w:cs="Calibri"/>
        </w:rPr>
        <w:t xml:space="preserve"> whilst</w:t>
      </w:r>
      <w:r w:rsidR="002E3790">
        <w:rPr>
          <w:rFonts w:ascii="Calibri" w:hAnsi="Calibri" w:cs="Calibri"/>
        </w:rPr>
        <w:t xml:space="preserve"> helping</w:t>
      </w:r>
      <w:r>
        <w:rPr>
          <w:rFonts w:ascii="Calibri" w:hAnsi="Calibri" w:cs="Calibri"/>
        </w:rPr>
        <w:t xml:space="preserve"> attract/</w:t>
      </w:r>
      <w:r w:rsidR="00841D85">
        <w:rPr>
          <w:rFonts w:ascii="Calibri" w:hAnsi="Calibri" w:cs="Calibri"/>
        </w:rPr>
        <w:t>retain talent</w:t>
      </w:r>
      <w:r w:rsidR="0094402F">
        <w:rPr>
          <w:rFonts w:ascii="Calibri" w:hAnsi="Calibri" w:cs="Calibri"/>
        </w:rPr>
        <w:t xml:space="preserve"> </w:t>
      </w:r>
      <w:r w:rsidR="0094402F">
        <w:rPr>
          <w:rFonts w:ascii="Calibri" w:hAnsi="Calibri" w:cs="Calibri"/>
        </w:rPr>
        <w:t>(Armstrong and Brown, 2023)</w:t>
      </w:r>
      <w:r w:rsidR="00841D85">
        <w:rPr>
          <w:rFonts w:ascii="Calibri" w:hAnsi="Calibri" w:cs="Calibri"/>
        </w:rPr>
        <w:t xml:space="preserve">.  </w:t>
      </w:r>
    </w:p>
    <w:p w:rsidR="0026004D" w:rsidRDefault="0040224E" w:rsidP="00797F97">
      <w:pPr>
        <w:pStyle w:val="Nornal"/>
        <w:ind w:left="720"/>
        <w:jc w:val="both"/>
        <w:rPr>
          <w:rFonts w:ascii="Calibri" w:hAnsi="Calibri" w:cs="Calibri"/>
        </w:rPr>
      </w:pPr>
      <w:r>
        <w:rPr>
          <w:rFonts w:ascii="Calibri" w:hAnsi="Calibri" w:cs="Calibri"/>
        </w:rPr>
        <w:t>Pension schemes</w:t>
      </w:r>
      <w:r w:rsidR="002E3790">
        <w:rPr>
          <w:rFonts w:ascii="Calibri" w:hAnsi="Calibri" w:cs="Calibri"/>
        </w:rPr>
        <w:t xml:space="preserve"> increase mor</w:t>
      </w:r>
      <w:r w:rsidR="0094402F">
        <w:rPr>
          <w:rFonts w:ascii="Calibri" w:hAnsi="Calibri" w:cs="Calibri"/>
        </w:rPr>
        <w:t>ale and productivity, creating</w:t>
      </w:r>
      <w:r w:rsidR="002E3790">
        <w:rPr>
          <w:rFonts w:ascii="Calibri" w:hAnsi="Calibri" w:cs="Calibri"/>
        </w:rPr>
        <w:t xml:space="preserve"> a positive work environment where employees feel </w:t>
      </w:r>
      <w:r w:rsidR="00600F8D">
        <w:rPr>
          <w:rFonts w:ascii="Calibri" w:hAnsi="Calibri" w:cs="Calibri"/>
        </w:rPr>
        <w:t>appreciated, increasin</w:t>
      </w:r>
      <w:r w:rsidR="00886313">
        <w:rPr>
          <w:rFonts w:ascii="Calibri" w:hAnsi="Calibri" w:cs="Calibri"/>
        </w:rPr>
        <w:t>g job satisfaction alongside a</w:t>
      </w:r>
      <w:r w:rsidR="00600F8D">
        <w:rPr>
          <w:rFonts w:ascii="Calibri" w:hAnsi="Calibri" w:cs="Calibri"/>
        </w:rPr>
        <w:t xml:space="preserve"> sense of financial security allowing employees to be more focused and productive.  </w:t>
      </w:r>
      <w:r w:rsidR="00B1003F">
        <w:rPr>
          <w:rFonts w:ascii="Calibri" w:hAnsi="Calibri" w:cs="Calibri"/>
        </w:rPr>
        <w:t>Pensions</w:t>
      </w:r>
      <w:r w:rsidR="002E3790">
        <w:rPr>
          <w:rFonts w:ascii="Calibri" w:hAnsi="Calibri" w:cs="Calibri"/>
        </w:rPr>
        <w:t xml:space="preserve"> also</w:t>
      </w:r>
      <w:r w:rsidR="00B1003F">
        <w:rPr>
          <w:rFonts w:ascii="Calibri" w:hAnsi="Calibri" w:cs="Calibri"/>
        </w:rPr>
        <w:t xml:space="preserve"> benefit employee</w:t>
      </w:r>
      <w:r>
        <w:rPr>
          <w:rFonts w:ascii="Calibri" w:hAnsi="Calibri" w:cs="Calibri"/>
        </w:rPr>
        <w:t>s with</w:t>
      </w:r>
      <w:r w:rsidR="00B1003F">
        <w:rPr>
          <w:rFonts w:ascii="Calibri" w:hAnsi="Calibri" w:cs="Calibri"/>
        </w:rPr>
        <w:t xml:space="preserve"> tax relief on pension con</w:t>
      </w:r>
      <w:r w:rsidR="00600F8D">
        <w:rPr>
          <w:rFonts w:ascii="Calibri" w:hAnsi="Calibri" w:cs="Calibri"/>
        </w:rPr>
        <w:t xml:space="preserve">tributions and </w:t>
      </w:r>
      <w:r w:rsidR="00B1003F">
        <w:rPr>
          <w:rFonts w:ascii="Calibri" w:hAnsi="Calibri" w:cs="Calibri"/>
        </w:rPr>
        <w:t>compounded interest</w:t>
      </w:r>
      <w:r w:rsidR="00600F8D">
        <w:rPr>
          <w:rFonts w:ascii="Calibri" w:hAnsi="Calibri" w:cs="Calibri"/>
        </w:rPr>
        <w:t>.  H</w:t>
      </w:r>
      <w:r w:rsidR="00B1003F">
        <w:rPr>
          <w:rFonts w:ascii="Calibri" w:hAnsi="Calibri" w:cs="Calibri"/>
        </w:rPr>
        <w:t xml:space="preserve">owever, </w:t>
      </w:r>
      <w:r w:rsidR="00F46E05" w:rsidRPr="00F46E05">
        <w:rPr>
          <w:rFonts w:ascii="Calibri" w:hAnsi="Calibri" w:cs="Calibri"/>
        </w:rPr>
        <w:t xml:space="preserve">Lupton, Rowe and Whittle (2015) </w:t>
      </w:r>
      <w:r w:rsidR="0094402F">
        <w:rPr>
          <w:rFonts w:ascii="Calibri" w:hAnsi="Calibri" w:cs="Calibri"/>
        </w:rPr>
        <w:t xml:space="preserve">reports non-immediate rewards </w:t>
      </w:r>
      <w:r w:rsidR="00F46E05">
        <w:rPr>
          <w:rFonts w:ascii="Calibri" w:hAnsi="Calibri" w:cs="Calibri"/>
        </w:rPr>
        <w:t>can be undervalued</w:t>
      </w:r>
      <w:r w:rsidR="0094402F">
        <w:rPr>
          <w:rFonts w:ascii="Calibri" w:hAnsi="Calibri" w:cs="Calibri"/>
        </w:rPr>
        <w:t>, and without the correct information, employees may not see the benefits</w:t>
      </w:r>
      <w:r w:rsidR="00886313">
        <w:rPr>
          <w:rFonts w:ascii="Calibri" w:hAnsi="Calibri" w:cs="Calibri"/>
        </w:rPr>
        <w:t xml:space="preserve">.  </w:t>
      </w:r>
      <w:r w:rsidR="00F46E05">
        <w:rPr>
          <w:rFonts w:ascii="Calibri" w:hAnsi="Calibri" w:cs="Calibri"/>
        </w:rPr>
        <w:t>F</w:t>
      </w:r>
      <w:r w:rsidR="00600F8D">
        <w:rPr>
          <w:rFonts w:ascii="Calibri" w:hAnsi="Calibri" w:cs="Calibri"/>
        </w:rPr>
        <w:t>urthermore,</w:t>
      </w:r>
      <w:r w:rsidR="002E3790">
        <w:rPr>
          <w:rFonts w:ascii="Calibri" w:hAnsi="Calibri" w:cs="Calibri"/>
        </w:rPr>
        <w:t xml:space="preserve"> pensions are very complex</w:t>
      </w:r>
      <w:r w:rsidR="00F46E05">
        <w:rPr>
          <w:rFonts w:ascii="Calibri" w:hAnsi="Calibri" w:cs="Calibri"/>
        </w:rPr>
        <w:t xml:space="preserve"> with risks involved in investments </w:t>
      </w:r>
      <w:r w:rsidR="002E3790">
        <w:rPr>
          <w:rFonts w:ascii="Calibri" w:hAnsi="Calibri" w:cs="Calibri"/>
        </w:rPr>
        <w:t>and</w:t>
      </w:r>
      <w:r w:rsidR="00F46E05">
        <w:rPr>
          <w:rFonts w:ascii="Calibri" w:hAnsi="Calibri" w:cs="Calibri"/>
        </w:rPr>
        <w:t xml:space="preserve"> are</w:t>
      </w:r>
      <w:r w:rsidR="002E3790">
        <w:rPr>
          <w:rFonts w:ascii="Calibri" w:hAnsi="Calibri" w:cs="Calibri"/>
        </w:rPr>
        <w:t xml:space="preserve"> </w:t>
      </w:r>
      <w:r w:rsidR="00B1003F">
        <w:rPr>
          <w:rFonts w:ascii="Calibri" w:hAnsi="Calibri" w:cs="Calibri"/>
        </w:rPr>
        <w:t>ex</w:t>
      </w:r>
      <w:r w:rsidR="00600F8D">
        <w:rPr>
          <w:rFonts w:ascii="Calibri" w:hAnsi="Calibri" w:cs="Calibri"/>
        </w:rPr>
        <w:t>pensive for an employer (Cotton, 2023b)</w:t>
      </w:r>
      <w:r w:rsidR="002E3790">
        <w:rPr>
          <w:rFonts w:ascii="Calibri" w:hAnsi="Calibri" w:cs="Calibri"/>
        </w:rPr>
        <w:t>.</w:t>
      </w:r>
    </w:p>
    <w:p w:rsidR="00407FC1" w:rsidRDefault="0094402F" w:rsidP="00AF4BC9">
      <w:pPr>
        <w:ind w:left="720"/>
        <w:jc w:val="both"/>
        <w:rPr>
          <w:rFonts w:eastAsia="Times New Roman" w:cstheme="minorHAnsi"/>
          <w:lang w:eastAsia="en-GB"/>
        </w:rPr>
      </w:pPr>
      <w:r>
        <w:rPr>
          <w:rFonts w:cstheme="minorHAnsi"/>
        </w:rPr>
        <w:t>O</w:t>
      </w:r>
      <w:r w:rsidR="0026004D" w:rsidRPr="00797F97">
        <w:rPr>
          <w:rFonts w:cstheme="minorHAnsi"/>
        </w:rPr>
        <w:t xml:space="preserve">rganisations </w:t>
      </w:r>
      <w:r>
        <w:rPr>
          <w:rFonts w:cstheme="minorHAnsi"/>
        </w:rPr>
        <w:t xml:space="preserve">should </w:t>
      </w:r>
      <w:r w:rsidR="0026004D" w:rsidRPr="00797F97">
        <w:rPr>
          <w:rFonts w:cstheme="minorHAnsi"/>
        </w:rPr>
        <w:t>consider what press</w:t>
      </w:r>
      <w:r>
        <w:rPr>
          <w:rFonts w:cstheme="minorHAnsi"/>
        </w:rPr>
        <w:t xml:space="preserve">ures and concerns employees </w:t>
      </w:r>
      <w:r w:rsidR="0026004D" w:rsidRPr="00797F97">
        <w:rPr>
          <w:rFonts w:cstheme="minorHAnsi"/>
        </w:rPr>
        <w:t>have and what is important to them outs</w:t>
      </w:r>
      <w:r>
        <w:rPr>
          <w:rFonts w:cstheme="minorHAnsi"/>
        </w:rPr>
        <w:t xml:space="preserve">ide of the workplace, </w:t>
      </w:r>
      <w:r w:rsidR="0026004D" w:rsidRPr="00797F97">
        <w:rPr>
          <w:rFonts w:cstheme="minorHAnsi"/>
        </w:rPr>
        <w:t>ensuring the benefits offered are valued and desirable (Howlett, 2019)</w:t>
      </w:r>
      <w:r w:rsidR="00462D6A" w:rsidRPr="00797F97">
        <w:rPr>
          <w:rFonts w:cstheme="minorHAnsi"/>
        </w:rPr>
        <w:t>.  The cost of living crisis has increased the need for employees to offset the co</w:t>
      </w:r>
      <w:r w:rsidR="00886313">
        <w:rPr>
          <w:rFonts w:cstheme="minorHAnsi"/>
        </w:rPr>
        <w:t xml:space="preserve">sts of things such as childcare, therefore </w:t>
      </w:r>
      <w:r w:rsidR="00462D6A" w:rsidRPr="00797F97">
        <w:rPr>
          <w:rFonts w:cstheme="minorHAnsi"/>
        </w:rPr>
        <w:t>additional paid leave and additional time off/holidays</w:t>
      </w:r>
      <w:r w:rsidR="00886313">
        <w:rPr>
          <w:rFonts w:cstheme="minorHAnsi"/>
        </w:rPr>
        <w:t xml:space="preserve"> is increasingly more valuable</w:t>
      </w:r>
      <w:r w:rsidR="00462D6A" w:rsidRPr="00797F97">
        <w:rPr>
          <w:rFonts w:cstheme="minorHAnsi"/>
        </w:rPr>
        <w:t xml:space="preserve"> (Cotton, 2024a).  </w:t>
      </w:r>
      <w:r w:rsidR="00886313">
        <w:rPr>
          <w:rFonts w:cstheme="minorHAnsi"/>
        </w:rPr>
        <w:t xml:space="preserve">As a result, employers are </w:t>
      </w:r>
      <w:r w:rsidR="00407FC1">
        <w:rPr>
          <w:rFonts w:cstheme="minorHAnsi"/>
        </w:rPr>
        <w:t>offer</w:t>
      </w:r>
      <w:r w:rsidR="00886313">
        <w:rPr>
          <w:rFonts w:cstheme="minorHAnsi"/>
        </w:rPr>
        <w:t>ing</w:t>
      </w:r>
      <w:r w:rsidR="00797F97">
        <w:rPr>
          <w:rFonts w:eastAsia="Times New Roman" w:cstheme="minorHAnsi"/>
          <w:lang w:eastAsia="en-GB"/>
        </w:rPr>
        <w:t xml:space="preserve"> enhanced leave for maternity/paternity/adoption/shared parental leave and paid time off for reasons such as; </w:t>
      </w:r>
      <w:r w:rsidR="00AF4BC9">
        <w:rPr>
          <w:rFonts w:eastAsia="Times New Roman" w:cstheme="minorHAnsi"/>
          <w:lang w:eastAsia="en-GB"/>
        </w:rPr>
        <w:t xml:space="preserve">bereavement, </w:t>
      </w:r>
      <w:r w:rsidR="00797F97">
        <w:rPr>
          <w:rFonts w:eastAsia="Times New Roman" w:cstheme="minorHAnsi"/>
          <w:lang w:eastAsia="en-GB"/>
        </w:rPr>
        <w:t>carers leave, jury ser</w:t>
      </w:r>
      <w:r w:rsidR="00AF4BC9">
        <w:rPr>
          <w:rFonts w:eastAsia="Times New Roman" w:cstheme="minorHAnsi"/>
          <w:lang w:eastAsia="en-GB"/>
        </w:rPr>
        <w:t xml:space="preserve">vice, </w:t>
      </w:r>
      <w:r w:rsidR="00886313">
        <w:rPr>
          <w:rFonts w:eastAsia="Times New Roman" w:cstheme="minorHAnsi"/>
          <w:lang w:eastAsia="en-GB"/>
        </w:rPr>
        <w:t>attending children’</w:t>
      </w:r>
      <w:r w:rsidR="00797F97">
        <w:rPr>
          <w:rFonts w:eastAsia="Times New Roman" w:cstheme="minorHAnsi"/>
          <w:lang w:eastAsia="en-GB"/>
        </w:rPr>
        <w:t>s school event</w:t>
      </w:r>
      <w:r w:rsidR="00886313">
        <w:rPr>
          <w:rFonts w:eastAsia="Times New Roman" w:cstheme="minorHAnsi"/>
          <w:lang w:eastAsia="en-GB"/>
        </w:rPr>
        <w:t>s</w:t>
      </w:r>
      <w:r w:rsidR="00797F97">
        <w:rPr>
          <w:rFonts w:eastAsia="Times New Roman" w:cstheme="minorHAnsi"/>
          <w:lang w:eastAsia="en-GB"/>
        </w:rPr>
        <w:t xml:space="preserve">, </w:t>
      </w:r>
      <w:r w:rsidR="00886313">
        <w:rPr>
          <w:rFonts w:eastAsia="Times New Roman" w:cstheme="minorHAnsi"/>
          <w:lang w:eastAsia="en-GB"/>
        </w:rPr>
        <w:t>moving</w:t>
      </w:r>
      <w:r w:rsidR="00AF4BC9">
        <w:rPr>
          <w:rFonts w:eastAsia="Times New Roman" w:cstheme="minorHAnsi"/>
          <w:lang w:eastAsia="en-GB"/>
        </w:rPr>
        <w:t xml:space="preserve"> home and get</w:t>
      </w:r>
      <w:r w:rsidR="00886313">
        <w:rPr>
          <w:rFonts w:eastAsia="Times New Roman" w:cstheme="minorHAnsi"/>
          <w:lang w:eastAsia="en-GB"/>
        </w:rPr>
        <w:t>ting</w:t>
      </w:r>
      <w:r w:rsidR="00AF4BC9">
        <w:rPr>
          <w:rFonts w:eastAsia="Times New Roman" w:cstheme="minorHAnsi"/>
          <w:lang w:eastAsia="en-GB"/>
        </w:rPr>
        <w:t xml:space="preserve"> married</w:t>
      </w:r>
      <w:r w:rsidR="00407FC1">
        <w:rPr>
          <w:rFonts w:eastAsia="Times New Roman" w:cstheme="minorHAnsi"/>
          <w:lang w:eastAsia="en-GB"/>
        </w:rPr>
        <w:t xml:space="preserve"> (Cotton, Marriott and Perkins, </w:t>
      </w:r>
      <w:r w:rsidR="00407FC1" w:rsidRPr="00797F97">
        <w:rPr>
          <w:rFonts w:eastAsia="Times New Roman" w:cstheme="minorHAnsi"/>
          <w:lang w:eastAsia="en-GB"/>
        </w:rPr>
        <w:t>2022)</w:t>
      </w:r>
      <w:r w:rsidR="00AF4BC9">
        <w:rPr>
          <w:rFonts w:eastAsia="Times New Roman" w:cstheme="minorHAnsi"/>
          <w:lang w:eastAsia="en-GB"/>
        </w:rPr>
        <w:t>.  82% of employers of</w:t>
      </w:r>
      <w:r w:rsidR="00886313">
        <w:rPr>
          <w:rFonts w:eastAsia="Times New Roman" w:cstheme="minorHAnsi"/>
          <w:lang w:eastAsia="en-GB"/>
        </w:rPr>
        <w:t>fer some/</w:t>
      </w:r>
      <w:r w:rsidR="00AF4BC9">
        <w:rPr>
          <w:rFonts w:eastAsia="Times New Roman" w:cstheme="minorHAnsi"/>
          <w:lang w:eastAsia="en-GB"/>
        </w:rPr>
        <w:t xml:space="preserve">all employees 25 days paid annual leave (not including bank holidays), more than the statutory requirements outlined by </w:t>
      </w:r>
      <w:r w:rsidR="00AF4BC9" w:rsidRPr="00AF4BC9">
        <w:rPr>
          <w:rFonts w:eastAsia="Times New Roman" w:cstheme="minorHAnsi"/>
          <w:i/>
          <w:lang w:eastAsia="en-GB"/>
        </w:rPr>
        <w:t>The Working Time Regulations 1998</w:t>
      </w:r>
      <w:r w:rsidR="00407FC1">
        <w:rPr>
          <w:rFonts w:eastAsia="Times New Roman" w:cstheme="minorHAnsi"/>
          <w:lang w:eastAsia="en-GB"/>
        </w:rPr>
        <w:t xml:space="preserve"> with others offering more flexibility in allowing annual leave to be bought or sold.</w:t>
      </w:r>
    </w:p>
    <w:p w:rsidR="009F5501" w:rsidRDefault="00407FC1" w:rsidP="00AF4BC9">
      <w:pPr>
        <w:ind w:left="720"/>
        <w:jc w:val="both"/>
        <w:rPr>
          <w:rFonts w:eastAsia="Times New Roman" w:cstheme="minorHAnsi"/>
          <w:lang w:eastAsia="en-GB"/>
        </w:rPr>
      </w:pPr>
      <w:r>
        <w:rPr>
          <w:rFonts w:eastAsia="Times New Roman" w:cstheme="minorHAnsi"/>
          <w:lang w:eastAsia="en-GB"/>
        </w:rPr>
        <w:t>Such</w:t>
      </w:r>
      <w:r w:rsidR="005B5874">
        <w:rPr>
          <w:rFonts w:eastAsia="Times New Roman" w:cstheme="minorHAnsi"/>
          <w:lang w:eastAsia="en-GB"/>
        </w:rPr>
        <w:t xml:space="preserve"> schemes can decrease absenteeism and improve employee’s work-life balance reducing stress and increasing job satisfaction and productivity.  It can also support diversity, equity and inclusion by attracting working parents etc. (Ali, 2022).  Offering additional paid time off </w:t>
      </w:r>
      <w:r w:rsidR="005B5874">
        <w:rPr>
          <w:rFonts w:eastAsia="Times New Roman" w:cstheme="minorHAnsi"/>
          <w:lang w:eastAsia="en-GB"/>
        </w:rPr>
        <w:lastRenderedPageBreak/>
        <w:t>can create operational challenges relation to workforce numbers, can</w:t>
      </w:r>
      <w:r w:rsidR="00022B3F">
        <w:rPr>
          <w:rFonts w:eastAsia="Times New Roman" w:cstheme="minorHAnsi"/>
          <w:lang w:eastAsia="en-GB"/>
        </w:rPr>
        <w:t xml:space="preserve"> negatively affect productivity and is costly for the employer.</w:t>
      </w:r>
      <w:r w:rsidR="005B5874">
        <w:rPr>
          <w:rFonts w:eastAsia="Times New Roman" w:cstheme="minorHAnsi"/>
          <w:lang w:eastAsia="en-GB"/>
        </w:rPr>
        <w:t xml:space="preserve">  </w:t>
      </w:r>
    </w:p>
    <w:p w:rsidR="0056083A" w:rsidRPr="0056083A" w:rsidRDefault="00022B3F" w:rsidP="0056083A">
      <w:pPr>
        <w:ind w:left="720"/>
        <w:jc w:val="both"/>
        <w:rPr>
          <w:rFonts w:eastAsia="Times New Roman" w:cstheme="minorHAnsi"/>
          <w:lang w:eastAsia="en-GB"/>
        </w:rPr>
      </w:pPr>
      <w:r>
        <w:rPr>
          <w:rFonts w:eastAsia="Times New Roman" w:cstheme="minorHAnsi"/>
          <w:lang w:eastAsia="en-GB"/>
        </w:rPr>
        <w:t xml:space="preserve">Eco-Insulate UK should consider adopting a flexible contribution pension scheme to all employees whereby the employee decides </w:t>
      </w:r>
      <w:r w:rsidR="00C61231">
        <w:rPr>
          <w:rFonts w:eastAsia="Times New Roman" w:cstheme="minorHAnsi"/>
          <w:lang w:eastAsia="en-GB"/>
        </w:rPr>
        <w:t>their contribution</w:t>
      </w:r>
      <w:r>
        <w:rPr>
          <w:rFonts w:eastAsia="Times New Roman" w:cstheme="minorHAnsi"/>
          <w:lang w:eastAsia="en-GB"/>
        </w:rPr>
        <w:t xml:space="preserve"> </w:t>
      </w:r>
      <w:r w:rsidR="00886313">
        <w:rPr>
          <w:rFonts w:eastAsia="Times New Roman" w:cstheme="minorHAnsi"/>
          <w:lang w:eastAsia="en-GB"/>
        </w:rPr>
        <w:t>with</w:t>
      </w:r>
      <w:r>
        <w:rPr>
          <w:rFonts w:eastAsia="Times New Roman" w:cstheme="minorHAnsi"/>
          <w:lang w:eastAsia="en-GB"/>
        </w:rPr>
        <w:t xml:space="preserve"> the opportunity to opt out if they wish</w:t>
      </w:r>
      <w:r w:rsidR="00C61231">
        <w:rPr>
          <w:rFonts w:eastAsia="Times New Roman" w:cstheme="minorHAnsi"/>
          <w:lang w:eastAsia="en-GB"/>
        </w:rPr>
        <w:t>,</w:t>
      </w:r>
      <w:r>
        <w:rPr>
          <w:rFonts w:eastAsia="Times New Roman" w:cstheme="minorHAnsi"/>
          <w:lang w:eastAsia="en-GB"/>
        </w:rPr>
        <w:t xml:space="preserve"> help</w:t>
      </w:r>
      <w:r w:rsidR="00C61231">
        <w:rPr>
          <w:rFonts w:eastAsia="Times New Roman" w:cstheme="minorHAnsi"/>
          <w:lang w:eastAsia="en-GB"/>
        </w:rPr>
        <w:t>ing</w:t>
      </w:r>
      <w:r>
        <w:rPr>
          <w:rFonts w:eastAsia="Times New Roman" w:cstheme="minorHAnsi"/>
          <w:lang w:eastAsia="en-GB"/>
        </w:rPr>
        <w:t xml:space="preserve"> create transparency of the pension structure whilst promoting flexibility of choic</w:t>
      </w:r>
      <w:r w:rsidR="0056083A">
        <w:rPr>
          <w:rFonts w:eastAsia="Times New Roman" w:cstheme="minorHAnsi"/>
          <w:lang w:eastAsia="en-GB"/>
        </w:rPr>
        <w:t>e.  They should also consider offering additional paid leave or a scheme whereby employees can buy additional annual leave.</w:t>
      </w:r>
    </w:p>
    <w:p w:rsidR="000E5654" w:rsidRPr="005B2738" w:rsidRDefault="004631AA" w:rsidP="008C0C1F">
      <w:pPr>
        <w:pStyle w:val="Nornal"/>
        <w:numPr>
          <w:ilvl w:val="0"/>
          <w:numId w:val="29"/>
        </w:numPr>
        <w:rPr>
          <w:rFonts w:ascii="Calibri" w:hAnsi="Calibri" w:cs="Calibri"/>
          <w:b/>
        </w:rPr>
      </w:pPr>
      <w:r w:rsidRPr="005B2738">
        <w:rPr>
          <w:rFonts w:ascii="Calibri" w:hAnsi="Calibri" w:cs="Calibri"/>
          <w:b/>
        </w:rPr>
        <w:t>Explain the merits of different types of recognition schemes offered by organisations. (AC 2.4)</w:t>
      </w:r>
      <w:r w:rsidR="006D0E4A">
        <w:rPr>
          <w:rFonts w:ascii="Calibri" w:hAnsi="Calibri" w:cs="Calibri"/>
          <w:b/>
        </w:rPr>
        <w:t xml:space="preserve"> </w:t>
      </w:r>
    </w:p>
    <w:p w:rsidR="004356CD" w:rsidRDefault="004356CD" w:rsidP="00024243">
      <w:pPr>
        <w:pStyle w:val="Nornal"/>
        <w:ind w:left="720"/>
        <w:jc w:val="both"/>
        <w:rPr>
          <w:rFonts w:ascii="Calibri" w:hAnsi="Calibri" w:cs="Calibri"/>
        </w:rPr>
      </w:pPr>
      <w:r>
        <w:rPr>
          <w:rFonts w:ascii="Calibri" w:hAnsi="Calibri" w:cs="Calibri"/>
        </w:rPr>
        <w:t xml:space="preserve">Waite et al. (2021) describes recognition as an opportunity for organisations to privately or publicly acknowledge </w:t>
      </w:r>
      <w:r w:rsidR="006069FA">
        <w:rPr>
          <w:rFonts w:ascii="Calibri" w:hAnsi="Calibri" w:cs="Calibri"/>
        </w:rPr>
        <w:t xml:space="preserve">the individual or group contributions of their employees.  Recognition can be informal or formal, planned or unplanned and can take many different forms.  Examples of formal recognition could be a prize, award, vouchers or schemes such as employee of the month or informal such as verbal praise and acknowledgement of hard work, career development opportunities and peer-to-peer recognition.  </w:t>
      </w:r>
    </w:p>
    <w:p w:rsidR="00024243" w:rsidRDefault="00DB118D" w:rsidP="00024243">
      <w:pPr>
        <w:pStyle w:val="Nornal"/>
        <w:ind w:left="720"/>
        <w:jc w:val="both"/>
        <w:rPr>
          <w:rFonts w:ascii="Calibri" w:hAnsi="Calibri" w:cs="Calibri"/>
        </w:rPr>
      </w:pPr>
      <w:r>
        <w:rPr>
          <w:rFonts w:ascii="Calibri" w:hAnsi="Calibri" w:cs="Calibri"/>
        </w:rPr>
        <w:t xml:space="preserve">A recent survey of 2000 British Gas employees found that the most appreciated ‘little thing’ was a manager saying ‘thank you’ and was </w:t>
      </w:r>
      <w:r w:rsidR="001E7BC2">
        <w:rPr>
          <w:rFonts w:ascii="Calibri" w:hAnsi="Calibri" w:cs="Calibri"/>
        </w:rPr>
        <w:t xml:space="preserve">closely </w:t>
      </w:r>
      <w:r>
        <w:rPr>
          <w:rFonts w:ascii="Calibri" w:hAnsi="Calibri" w:cs="Calibri"/>
        </w:rPr>
        <w:t xml:space="preserve">followed by further small gestures such as someone making them a cup of tea, getting help from a co-worker even when they were busy and </w:t>
      </w:r>
      <w:r w:rsidR="001E7BC2">
        <w:rPr>
          <w:rFonts w:ascii="Calibri" w:hAnsi="Calibri" w:cs="Calibri"/>
        </w:rPr>
        <w:t xml:space="preserve">being included in team (Mayne and Rowsell, 2024).  The survey found that 84% of employees said these small gestures made them feel valued and 61% said they felt they performed better as a result.  </w:t>
      </w:r>
    </w:p>
    <w:p w:rsidR="007D5C7F" w:rsidRDefault="00DB118D" w:rsidP="00024243">
      <w:pPr>
        <w:pStyle w:val="Nornal"/>
        <w:ind w:left="720"/>
        <w:jc w:val="both"/>
        <w:rPr>
          <w:rFonts w:ascii="Calibri" w:hAnsi="Calibri" w:cs="Calibri"/>
        </w:rPr>
      </w:pPr>
      <w:r>
        <w:rPr>
          <w:rFonts w:ascii="Calibri" w:hAnsi="Calibri" w:cs="Calibri"/>
        </w:rPr>
        <w:t>Pritchard (2024) advised that employee recognition</w:t>
      </w:r>
      <w:r w:rsidR="00240D3F">
        <w:rPr>
          <w:rFonts w:ascii="Calibri" w:hAnsi="Calibri" w:cs="Calibri"/>
        </w:rPr>
        <w:t xml:space="preserve"> schemes can</w:t>
      </w:r>
      <w:r>
        <w:rPr>
          <w:rFonts w:ascii="Calibri" w:hAnsi="Calibri" w:cs="Calibri"/>
        </w:rPr>
        <w:t xml:space="preserve"> help make employees feel appreciated, valued and acknowledged, which in turn makes employments innately increase their efforts for their employer.  It can also motivate employees who have become ‘quiet quitters’ to re-engage with their work.  </w:t>
      </w:r>
    </w:p>
    <w:p w:rsidR="00240D3F" w:rsidRDefault="00D5658B" w:rsidP="00024243">
      <w:pPr>
        <w:pStyle w:val="Nornal"/>
        <w:ind w:left="720"/>
        <w:jc w:val="both"/>
        <w:rPr>
          <w:rFonts w:ascii="Calibri" w:hAnsi="Calibri" w:cs="Calibri"/>
        </w:rPr>
      </w:pPr>
      <w:r>
        <w:rPr>
          <w:rFonts w:ascii="Calibri" w:hAnsi="Calibri" w:cs="Calibri"/>
        </w:rPr>
        <w:t>Gallu</w:t>
      </w:r>
      <w:r w:rsidR="00240D3F">
        <w:rPr>
          <w:rFonts w:ascii="Calibri" w:hAnsi="Calibri" w:cs="Calibri"/>
        </w:rPr>
        <w:t xml:space="preserve">p </w:t>
      </w:r>
      <w:r w:rsidR="009C02EA">
        <w:rPr>
          <w:rFonts w:ascii="Calibri" w:hAnsi="Calibri" w:cs="Calibri"/>
        </w:rPr>
        <w:t xml:space="preserve">(2024) </w:t>
      </w:r>
      <w:r w:rsidR="00240D3F">
        <w:rPr>
          <w:rFonts w:ascii="Calibri" w:hAnsi="Calibri" w:cs="Calibri"/>
        </w:rPr>
        <w:t xml:space="preserve">reports that recognition </w:t>
      </w:r>
      <w:r w:rsidR="009C02EA">
        <w:rPr>
          <w:rFonts w:ascii="Calibri" w:hAnsi="Calibri" w:cs="Calibri"/>
        </w:rPr>
        <w:t xml:space="preserve">schemes </w:t>
      </w:r>
      <w:r w:rsidR="00240D3F">
        <w:rPr>
          <w:rFonts w:ascii="Calibri" w:hAnsi="Calibri" w:cs="Calibri"/>
        </w:rPr>
        <w:t xml:space="preserve">helps provide a sense of accomplishment, value and motivation for employees and results in better engagement and performance and therefore increased productivity.  Furthermore, employees who do not feel their contributions are recognised are twice as likely to leave the organisation and therefore, recognition is important to create a sense of loyalty to a company and psychological contract leading to higher employee </w:t>
      </w:r>
      <w:r w:rsidR="009C02EA">
        <w:rPr>
          <w:rFonts w:ascii="Calibri" w:hAnsi="Calibri" w:cs="Calibri"/>
        </w:rPr>
        <w:t>retent</w:t>
      </w:r>
      <w:r w:rsidR="00240D3F">
        <w:rPr>
          <w:rFonts w:ascii="Calibri" w:hAnsi="Calibri" w:cs="Calibri"/>
        </w:rPr>
        <w:t>ion.</w:t>
      </w:r>
      <w:r w:rsidR="009C02EA">
        <w:rPr>
          <w:rFonts w:ascii="Calibri" w:hAnsi="Calibri" w:cs="Calibri"/>
        </w:rPr>
        <w:t xml:space="preserve">  </w:t>
      </w:r>
    </w:p>
    <w:p w:rsidR="009C02EA" w:rsidRDefault="009C02EA" w:rsidP="00024243">
      <w:pPr>
        <w:pStyle w:val="Nornal"/>
        <w:ind w:left="720"/>
        <w:jc w:val="both"/>
        <w:rPr>
          <w:rFonts w:ascii="Calibri" w:hAnsi="Calibri" w:cs="Calibri"/>
        </w:rPr>
      </w:pPr>
      <w:r>
        <w:rPr>
          <w:rFonts w:ascii="Calibri" w:hAnsi="Calibri" w:cs="Calibri"/>
        </w:rPr>
        <w:t xml:space="preserve">It is important to consider where </w:t>
      </w:r>
      <w:r w:rsidR="00D5658B">
        <w:rPr>
          <w:rFonts w:ascii="Calibri" w:hAnsi="Calibri" w:cs="Calibri"/>
        </w:rPr>
        <w:t>recognition comes from, as Gallu</w:t>
      </w:r>
      <w:r>
        <w:rPr>
          <w:rFonts w:ascii="Calibri" w:hAnsi="Calibri" w:cs="Calibri"/>
        </w:rPr>
        <w:t xml:space="preserve">p </w:t>
      </w:r>
      <w:r w:rsidR="00C14D9B">
        <w:rPr>
          <w:rFonts w:ascii="Calibri" w:hAnsi="Calibri" w:cs="Calibri"/>
        </w:rPr>
        <w:t>(2024</w:t>
      </w:r>
      <w:r>
        <w:rPr>
          <w:rFonts w:ascii="Calibri" w:hAnsi="Calibri" w:cs="Calibri"/>
        </w:rPr>
        <w:t>) employees report that the most memorable and meaningful recognition was given by Management (direct manager 28% and more senior management 36%) followed by customers (10%) and peers (9%).</w:t>
      </w:r>
    </w:p>
    <w:p w:rsidR="004356CD" w:rsidRDefault="006069FA" w:rsidP="00240D3F">
      <w:pPr>
        <w:pStyle w:val="Nornal"/>
        <w:ind w:left="720"/>
        <w:jc w:val="both"/>
        <w:rPr>
          <w:rFonts w:ascii="Calibri" w:hAnsi="Calibri" w:cs="Calibri"/>
        </w:rPr>
      </w:pPr>
      <w:r>
        <w:rPr>
          <w:rFonts w:ascii="Calibri" w:hAnsi="Calibri" w:cs="Calibri"/>
        </w:rPr>
        <w:t>Eco-Insulate</w:t>
      </w:r>
      <w:r w:rsidR="009C02EA">
        <w:rPr>
          <w:rFonts w:ascii="Calibri" w:hAnsi="Calibri" w:cs="Calibri"/>
        </w:rPr>
        <w:t xml:space="preserve"> should</w:t>
      </w:r>
      <w:r>
        <w:rPr>
          <w:rFonts w:ascii="Calibri" w:hAnsi="Calibri" w:cs="Calibri"/>
        </w:rPr>
        <w:t xml:space="preserve"> invest in creating </w:t>
      </w:r>
      <w:r w:rsidR="00024243">
        <w:rPr>
          <w:rFonts w:ascii="Calibri" w:hAnsi="Calibri" w:cs="Calibri"/>
        </w:rPr>
        <w:t>a culture of appreciation</w:t>
      </w:r>
      <w:r w:rsidR="009C02EA">
        <w:rPr>
          <w:rFonts w:ascii="Calibri" w:hAnsi="Calibri" w:cs="Calibri"/>
        </w:rPr>
        <w:t xml:space="preserve"> with a recognition rich environment</w:t>
      </w:r>
      <w:r w:rsidR="00024243">
        <w:rPr>
          <w:rFonts w:ascii="Calibri" w:hAnsi="Calibri" w:cs="Calibri"/>
        </w:rPr>
        <w:t xml:space="preserve"> </w:t>
      </w:r>
      <w:r w:rsidR="009C02EA">
        <w:rPr>
          <w:rFonts w:ascii="Calibri" w:hAnsi="Calibri" w:cs="Calibri"/>
        </w:rPr>
        <w:t>tailored to their employees</w:t>
      </w:r>
      <w:r w:rsidR="00024243">
        <w:rPr>
          <w:rFonts w:ascii="Calibri" w:hAnsi="Calibri" w:cs="Calibri"/>
        </w:rPr>
        <w:t xml:space="preserve">.  </w:t>
      </w:r>
      <w:r w:rsidR="009C02EA">
        <w:rPr>
          <w:rFonts w:ascii="Calibri" w:hAnsi="Calibri" w:cs="Calibri"/>
        </w:rPr>
        <w:t xml:space="preserve">Recognition should be frequent, timely and authentic.  The most effective and low cost form of recognition can come from management thanking </w:t>
      </w:r>
      <w:r w:rsidR="00414D88">
        <w:rPr>
          <w:rFonts w:ascii="Calibri" w:hAnsi="Calibri" w:cs="Calibri"/>
        </w:rPr>
        <w:t>employees</w:t>
      </w:r>
      <w:r w:rsidR="009C02EA">
        <w:rPr>
          <w:rFonts w:ascii="Calibri" w:hAnsi="Calibri" w:cs="Calibri"/>
        </w:rPr>
        <w:t xml:space="preserve"> for the</w:t>
      </w:r>
      <w:r w:rsidR="00C14D9B">
        <w:rPr>
          <w:rFonts w:ascii="Calibri" w:hAnsi="Calibri" w:cs="Calibri"/>
        </w:rPr>
        <w:t xml:space="preserve">ir commitment and hard work.  Therefore a good suggestion would be for Eco-insulate UK’s managers to arrange individual appraisals/one-to-ones with employees to recognise their efforts and for senior management to put in place a social/public </w:t>
      </w:r>
      <w:r w:rsidR="00C14D9B">
        <w:rPr>
          <w:rFonts w:ascii="Calibri" w:hAnsi="Calibri" w:cs="Calibri"/>
        </w:rPr>
        <w:lastRenderedPageBreak/>
        <w:t xml:space="preserve">recognition scheme such as employee of the month and/or department or the month with a choice of rewards.  </w:t>
      </w:r>
    </w:p>
    <w:p w:rsidR="004631AA" w:rsidRPr="005B2738" w:rsidRDefault="004631AA" w:rsidP="006A2FBE">
      <w:pPr>
        <w:pStyle w:val="Nornal"/>
        <w:numPr>
          <w:ilvl w:val="0"/>
          <w:numId w:val="29"/>
        </w:numPr>
        <w:rPr>
          <w:rFonts w:ascii="Calibri" w:hAnsi="Calibri" w:cs="Calibri"/>
          <w:b/>
          <w:color w:val="000000" w:themeColor="text1"/>
        </w:rPr>
      </w:pPr>
      <w:r w:rsidRPr="005B2738">
        <w:rPr>
          <w:rFonts w:ascii="Calibri" w:hAnsi="Calibri" w:cs="Calibri"/>
          <w:b/>
          <w:color w:val="000000" w:themeColor="text1"/>
        </w:rPr>
        <w:t>Assess the business context of the reward environment. (AC 3.1)</w:t>
      </w:r>
    </w:p>
    <w:p w:rsidR="00E17C1D" w:rsidRDefault="00E17C1D" w:rsidP="00872072">
      <w:pPr>
        <w:pStyle w:val="Nornal"/>
        <w:ind w:left="720"/>
        <w:jc w:val="both"/>
        <w:rPr>
          <w:rFonts w:ascii="Calibri" w:hAnsi="Calibri" w:cs="Calibri"/>
          <w:color w:val="000000" w:themeColor="text1"/>
        </w:rPr>
      </w:pPr>
      <w:r>
        <w:rPr>
          <w:rFonts w:ascii="Calibri" w:hAnsi="Calibri" w:cs="Calibri"/>
          <w:color w:val="000000" w:themeColor="text1"/>
        </w:rPr>
        <w:t xml:space="preserve">When designing and implementing a reward strategy, organisations need to consider the external and internal factors that influence </w:t>
      </w:r>
      <w:r w:rsidR="00A70073">
        <w:rPr>
          <w:rFonts w:ascii="Calibri" w:hAnsi="Calibri" w:cs="Calibri"/>
          <w:color w:val="000000" w:themeColor="text1"/>
        </w:rPr>
        <w:t>the reward environment</w:t>
      </w:r>
      <w:r>
        <w:rPr>
          <w:rFonts w:ascii="Calibri" w:hAnsi="Calibri" w:cs="Calibri"/>
          <w:color w:val="000000" w:themeColor="text1"/>
        </w:rPr>
        <w:t xml:space="preserve"> (CIPD, 2023).</w:t>
      </w:r>
      <w:r w:rsidR="0058504C">
        <w:rPr>
          <w:rFonts w:ascii="Calibri" w:hAnsi="Calibri" w:cs="Calibri"/>
          <w:color w:val="000000" w:themeColor="text1"/>
        </w:rPr>
        <w:t xml:space="preserve">  </w:t>
      </w:r>
    </w:p>
    <w:p w:rsidR="00D5658B" w:rsidRDefault="00D67AC4" w:rsidP="00D5658B">
      <w:pPr>
        <w:pStyle w:val="Nornal"/>
        <w:ind w:left="720"/>
        <w:jc w:val="both"/>
        <w:rPr>
          <w:rFonts w:ascii="Calibri" w:hAnsi="Calibri" w:cs="Calibri"/>
          <w:color w:val="000000" w:themeColor="text1"/>
        </w:rPr>
      </w:pPr>
      <w:r>
        <w:rPr>
          <w:rFonts w:ascii="Calibri" w:hAnsi="Calibri" w:cs="Calibri"/>
          <w:color w:val="000000" w:themeColor="text1"/>
        </w:rPr>
        <w:t>Internal factors include workforce trends and expectations.</w:t>
      </w:r>
      <w:r w:rsidR="00D50357">
        <w:rPr>
          <w:rFonts w:ascii="Calibri" w:hAnsi="Calibri" w:cs="Calibri"/>
          <w:color w:val="000000" w:themeColor="text1"/>
        </w:rPr>
        <w:t xml:space="preserve">  Flexible working h</w:t>
      </w:r>
      <w:r w:rsidR="00A2428A">
        <w:rPr>
          <w:rFonts w:ascii="Calibri" w:hAnsi="Calibri" w:cs="Calibri"/>
          <w:color w:val="000000" w:themeColor="text1"/>
        </w:rPr>
        <w:t>as become valued in the workforce and with the change to the flexible working requests introduced in April 2024; employees are now able to make two flexible working annually from day one of employment.  Furthermore, since the Covid-19 Pandemic, there has been a shift in focus to wellbeing and mental health support with employees looking to organisations that provide enhanced provisions for social well-being, physical, mental and emotional support (Assad, 2024).</w:t>
      </w:r>
      <w:r w:rsidR="003572C3">
        <w:rPr>
          <w:rFonts w:ascii="Calibri" w:hAnsi="Calibri" w:cs="Calibri"/>
          <w:color w:val="000000" w:themeColor="text1"/>
        </w:rPr>
        <w:t xml:space="preserve">  </w:t>
      </w:r>
      <w:r w:rsidR="00D5658B">
        <w:rPr>
          <w:rFonts w:ascii="Calibri" w:hAnsi="Calibri" w:cs="Calibri"/>
          <w:color w:val="000000" w:themeColor="text1"/>
        </w:rPr>
        <w:t xml:space="preserve">Through collective bargaining, </w:t>
      </w:r>
      <w:r w:rsidR="00D5658B">
        <w:rPr>
          <w:rFonts w:ascii="Calibri" w:hAnsi="Calibri" w:cs="Calibri"/>
          <w:color w:val="000000" w:themeColor="text1"/>
        </w:rPr>
        <w:t>employees</w:t>
      </w:r>
      <w:r w:rsidR="00D5658B">
        <w:rPr>
          <w:rFonts w:ascii="Calibri" w:hAnsi="Calibri" w:cs="Calibri"/>
          <w:color w:val="000000" w:themeColor="text1"/>
        </w:rPr>
        <w:t xml:space="preserve"> are able to</w:t>
      </w:r>
      <w:r w:rsidR="00D5658B">
        <w:rPr>
          <w:rFonts w:ascii="Calibri" w:hAnsi="Calibri" w:cs="Calibri"/>
          <w:color w:val="000000" w:themeColor="text1"/>
        </w:rPr>
        <w:t xml:space="preserve"> negotiate through their trade union</w:t>
      </w:r>
      <w:r w:rsidR="00D5658B">
        <w:rPr>
          <w:rFonts w:ascii="Calibri" w:hAnsi="Calibri" w:cs="Calibri"/>
          <w:color w:val="000000" w:themeColor="text1"/>
        </w:rPr>
        <w:t xml:space="preserve"> for what they consider important such as better</w:t>
      </w:r>
      <w:r w:rsidR="00D5658B">
        <w:rPr>
          <w:rFonts w:ascii="Calibri" w:hAnsi="Calibri" w:cs="Calibri"/>
          <w:color w:val="000000" w:themeColor="text1"/>
        </w:rPr>
        <w:t xml:space="preserve"> work conditions, pay and benefits.  </w:t>
      </w:r>
    </w:p>
    <w:p w:rsidR="00D67AC4" w:rsidRDefault="003572C3" w:rsidP="00872072">
      <w:pPr>
        <w:pStyle w:val="Nornal"/>
        <w:ind w:left="720"/>
        <w:jc w:val="both"/>
        <w:rPr>
          <w:rFonts w:ascii="Calibri" w:hAnsi="Calibri" w:cs="Calibri"/>
          <w:color w:val="000000" w:themeColor="text1"/>
        </w:rPr>
      </w:pPr>
      <w:r>
        <w:rPr>
          <w:rFonts w:ascii="Calibri" w:hAnsi="Calibri" w:cs="Calibri"/>
          <w:color w:val="000000" w:themeColor="text1"/>
        </w:rPr>
        <w:t xml:space="preserve">Brown (2023) highlights the trend for equitable and compassionate reward strategies with organisations providing good pay, career and pay progression opportunities and investing in training and development.  </w:t>
      </w:r>
      <w:r w:rsidR="00FF5650">
        <w:rPr>
          <w:rFonts w:ascii="Calibri" w:hAnsi="Calibri" w:cs="Calibri"/>
          <w:color w:val="000000" w:themeColor="text1"/>
        </w:rPr>
        <w:t>O</w:t>
      </w:r>
      <w:r>
        <w:rPr>
          <w:rFonts w:ascii="Calibri" w:hAnsi="Calibri" w:cs="Calibri"/>
          <w:color w:val="000000" w:themeColor="text1"/>
        </w:rPr>
        <w:t>rganisations are feeling the need to support employees through financial contributions</w:t>
      </w:r>
      <w:r w:rsidR="00FF5650">
        <w:rPr>
          <w:rFonts w:ascii="Calibri" w:hAnsi="Calibri" w:cs="Calibri"/>
          <w:color w:val="000000" w:themeColor="text1"/>
        </w:rPr>
        <w:t xml:space="preserve"> due to the cost of living crisis</w:t>
      </w:r>
      <w:r>
        <w:rPr>
          <w:rFonts w:ascii="Calibri" w:hAnsi="Calibri" w:cs="Calibri"/>
          <w:color w:val="000000" w:themeColor="text1"/>
        </w:rPr>
        <w:t xml:space="preserve">, further supported by the </w:t>
      </w:r>
      <w:r w:rsidR="00BD04EF">
        <w:rPr>
          <w:rFonts w:ascii="Calibri" w:hAnsi="Calibri" w:cs="Calibri"/>
          <w:color w:val="000000" w:themeColor="text1"/>
        </w:rPr>
        <w:t>government’s promotion of the national living wage (Department of Business and Trade, 2024) and Equal pay reporting.</w:t>
      </w:r>
      <w:r w:rsidR="00D5658B" w:rsidRPr="00D5658B">
        <w:rPr>
          <w:rFonts w:ascii="Calibri" w:hAnsi="Calibri" w:cs="Calibri"/>
          <w:color w:val="000000" w:themeColor="text1"/>
        </w:rPr>
        <w:t xml:space="preserve"> </w:t>
      </w:r>
      <w:r w:rsidR="00D5658B">
        <w:rPr>
          <w:rFonts w:ascii="Calibri" w:hAnsi="Calibri" w:cs="Calibri"/>
          <w:color w:val="000000" w:themeColor="text1"/>
        </w:rPr>
        <w:t>The psy</w:t>
      </w:r>
      <w:r w:rsidR="00FF5650">
        <w:rPr>
          <w:rFonts w:ascii="Calibri" w:hAnsi="Calibri" w:cs="Calibri"/>
          <w:color w:val="000000" w:themeColor="text1"/>
        </w:rPr>
        <w:t>chological contract between employee and</w:t>
      </w:r>
      <w:r w:rsidR="00D5658B">
        <w:rPr>
          <w:rFonts w:ascii="Calibri" w:hAnsi="Calibri" w:cs="Calibri"/>
          <w:color w:val="000000" w:themeColor="text1"/>
        </w:rPr>
        <w:t xml:space="preserve"> employer also affects the reward environment with current external factors such the cost of living crisis, technological advances such as AI and corporate sca</w:t>
      </w:r>
      <w:r w:rsidR="00FF5650">
        <w:rPr>
          <w:rFonts w:ascii="Calibri" w:hAnsi="Calibri" w:cs="Calibri"/>
          <w:color w:val="000000" w:themeColor="text1"/>
        </w:rPr>
        <w:t xml:space="preserve">ndals undermining trust between employees and employers all </w:t>
      </w:r>
      <w:r w:rsidR="00D5658B">
        <w:rPr>
          <w:rFonts w:ascii="Calibri" w:hAnsi="Calibri" w:cs="Calibri"/>
          <w:color w:val="000000" w:themeColor="text1"/>
        </w:rPr>
        <w:t>affecting the expectations of an employee (Peters, 2024).</w:t>
      </w:r>
    </w:p>
    <w:p w:rsidR="00D17D8F" w:rsidRDefault="00FF5650" w:rsidP="00872072">
      <w:pPr>
        <w:pStyle w:val="Nornal"/>
        <w:ind w:left="720"/>
        <w:jc w:val="both"/>
        <w:rPr>
          <w:rFonts w:ascii="Calibri" w:hAnsi="Calibri" w:cs="Calibri"/>
          <w:color w:val="000000" w:themeColor="text1"/>
        </w:rPr>
      </w:pPr>
      <w:r>
        <w:rPr>
          <w:rFonts w:ascii="Calibri" w:hAnsi="Calibri" w:cs="Calibri"/>
          <w:color w:val="000000" w:themeColor="text1"/>
        </w:rPr>
        <w:t>T</w:t>
      </w:r>
      <w:r w:rsidR="0036647C">
        <w:rPr>
          <w:rFonts w:ascii="Calibri" w:hAnsi="Calibri" w:cs="Calibri"/>
          <w:color w:val="000000" w:themeColor="text1"/>
        </w:rPr>
        <w:t>he tight labour market has resulted in an increase to average weekly pay as employers seek to retain and attract employees (Francis-Devine and Powell (2024)</w:t>
      </w:r>
      <w:r w:rsidR="00D5658B">
        <w:rPr>
          <w:rFonts w:ascii="Calibri" w:hAnsi="Calibri" w:cs="Calibri"/>
          <w:color w:val="000000" w:themeColor="text1"/>
        </w:rPr>
        <w:t>.  This has resulted</w:t>
      </w:r>
      <w:r w:rsidR="00D17D8F">
        <w:rPr>
          <w:rFonts w:ascii="Calibri" w:hAnsi="Calibri" w:cs="Calibri"/>
          <w:color w:val="000000" w:themeColor="text1"/>
        </w:rPr>
        <w:t xml:space="preserve"> in employers re-evaluating their pay </w:t>
      </w:r>
      <w:r w:rsidR="00D50357">
        <w:rPr>
          <w:rFonts w:ascii="Calibri" w:hAnsi="Calibri" w:cs="Calibri"/>
          <w:color w:val="000000" w:themeColor="text1"/>
        </w:rPr>
        <w:t>structures</w:t>
      </w:r>
      <w:r w:rsidR="00D17D8F">
        <w:rPr>
          <w:rFonts w:ascii="Calibri" w:hAnsi="Calibri" w:cs="Calibri"/>
          <w:color w:val="000000" w:themeColor="text1"/>
        </w:rPr>
        <w:t xml:space="preserve"> and benefits packages to ensure that they are competitive.  The labour market report also highlights the increase in inactivity due to long-term illness and that of over 50’s and therefore employers should consider a reward strategy that focuses on attracting and retaining these employees as a hidden talent pool (CIPD, 2022).  Due to the pressure of </w:t>
      </w:r>
      <w:r w:rsidR="00D50357">
        <w:rPr>
          <w:rFonts w:ascii="Calibri" w:hAnsi="Calibri" w:cs="Calibri"/>
          <w:color w:val="000000" w:themeColor="text1"/>
        </w:rPr>
        <w:t>recruiting,</w:t>
      </w:r>
      <w:r w:rsidR="00D17D8F">
        <w:rPr>
          <w:rFonts w:ascii="Calibri" w:hAnsi="Calibri" w:cs="Calibri"/>
          <w:color w:val="000000" w:themeColor="text1"/>
        </w:rPr>
        <w:t xml:space="preserve"> some organisations have introduced bonuses for joining an</w:t>
      </w:r>
      <w:r w:rsidR="00D50357">
        <w:rPr>
          <w:rFonts w:ascii="Calibri" w:hAnsi="Calibri" w:cs="Calibri"/>
          <w:color w:val="000000" w:themeColor="text1"/>
        </w:rPr>
        <w:t xml:space="preserve"> their</w:t>
      </w:r>
      <w:r>
        <w:rPr>
          <w:rFonts w:ascii="Calibri" w:hAnsi="Calibri" w:cs="Calibri"/>
          <w:color w:val="000000" w:themeColor="text1"/>
        </w:rPr>
        <w:t xml:space="preserve"> organisation known</w:t>
      </w:r>
      <w:r w:rsidR="00D17D8F">
        <w:rPr>
          <w:rFonts w:ascii="Calibri" w:hAnsi="Calibri" w:cs="Calibri"/>
          <w:color w:val="000000" w:themeColor="text1"/>
        </w:rPr>
        <w:t xml:space="preserve"> as ‘</w:t>
      </w:r>
      <w:r w:rsidR="00D50357">
        <w:rPr>
          <w:rFonts w:ascii="Calibri" w:hAnsi="Calibri" w:cs="Calibri"/>
          <w:color w:val="000000" w:themeColor="text1"/>
        </w:rPr>
        <w:t>sign-on bonuses’</w:t>
      </w:r>
      <w:r w:rsidR="00D17D8F">
        <w:rPr>
          <w:rFonts w:ascii="Calibri" w:hAnsi="Calibri" w:cs="Calibri"/>
          <w:color w:val="000000" w:themeColor="text1"/>
        </w:rPr>
        <w:t xml:space="preserve"> </w:t>
      </w:r>
      <w:r>
        <w:rPr>
          <w:rFonts w:ascii="Calibri" w:hAnsi="Calibri" w:cs="Calibri"/>
          <w:color w:val="000000" w:themeColor="text1"/>
        </w:rPr>
        <w:t xml:space="preserve">and are </w:t>
      </w:r>
      <w:r w:rsidR="00D50357">
        <w:rPr>
          <w:rFonts w:ascii="Calibri" w:hAnsi="Calibri" w:cs="Calibri"/>
          <w:color w:val="000000" w:themeColor="text1"/>
        </w:rPr>
        <w:t>looking towards non-financial reward schemes such as increased work flexibility and increased access to training (Cave, 2022).</w:t>
      </w:r>
    </w:p>
    <w:p w:rsidR="002F5C63" w:rsidRPr="008E7938" w:rsidRDefault="002F5C63" w:rsidP="00872072">
      <w:pPr>
        <w:pStyle w:val="Nornal"/>
        <w:ind w:left="720"/>
        <w:jc w:val="both"/>
        <w:rPr>
          <w:rFonts w:ascii="Calibri" w:hAnsi="Calibri" w:cs="Calibri"/>
          <w:color w:val="000000" w:themeColor="text1"/>
        </w:rPr>
      </w:pPr>
      <w:r>
        <w:rPr>
          <w:rFonts w:ascii="Calibri" w:hAnsi="Calibri" w:cs="Calibri"/>
          <w:color w:val="000000" w:themeColor="text1"/>
        </w:rPr>
        <w:t>Eco-Insulate UK need to consider the business context of the reward environment when designing their reward systems ensuring that th</w:t>
      </w:r>
      <w:r w:rsidR="00872072">
        <w:rPr>
          <w:rFonts w:ascii="Calibri" w:hAnsi="Calibri" w:cs="Calibri"/>
          <w:color w:val="000000" w:themeColor="text1"/>
        </w:rPr>
        <w:t>ey are attractive, motivational, are compliant with legal requirements, help retain talent and also align with their own organisational culture and targets.</w:t>
      </w:r>
    </w:p>
    <w:p w:rsidR="00F62601" w:rsidRPr="005B2738" w:rsidRDefault="00F62601" w:rsidP="00A01CC5">
      <w:pPr>
        <w:pStyle w:val="Nornal"/>
        <w:numPr>
          <w:ilvl w:val="0"/>
          <w:numId w:val="29"/>
        </w:numPr>
        <w:jc w:val="both"/>
        <w:rPr>
          <w:rFonts w:ascii="Calibri" w:hAnsi="Calibri" w:cs="Calibri"/>
          <w:b/>
          <w:color w:val="000000" w:themeColor="text1"/>
        </w:rPr>
      </w:pPr>
      <w:r w:rsidRPr="005B2738">
        <w:rPr>
          <w:rFonts w:ascii="Calibri" w:hAnsi="Calibri" w:cs="Calibri"/>
          <w:b/>
          <w:color w:val="000000" w:themeColor="text1"/>
        </w:rPr>
        <w:t>Evaluate the most appropriate ways in which benchmarking data can be gathered and   measured to develop insight. (AC 3.2)</w:t>
      </w:r>
      <w:r w:rsidR="006D0E4A">
        <w:rPr>
          <w:rFonts w:ascii="Calibri" w:hAnsi="Calibri" w:cs="Calibri"/>
          <w:b/>
          <w:color w:val="000000" w:themeColor="text1"/>
        </w:rPr>
        <w:t xml:space="preserve"> </w:t>
      </w:r>
    </w:p>
    <w:p w:rsidR="003F71AA" w:rsidRPr="00A21D9E" w:rsidRDefault="00E04DC9" w:rsidP="00A21D9E">
      <w:pPr>
        <w:pStyle w:val="Nornal"/>
        <w:ind w:left="720"/>
        <w:jc w:val="both"/>
        <w:rPr>
          <w:rFonts w:asciiTheme="minorHAnsi" w:hAnsiTheme="minorHAnsi" w:cstheme="minorHAnsi"/>
          <w:color w:val="000000" w:themeColor="text1"/>
        </w:rPr>
      </w:pPr>
      <w:r w:rsidRPr="00A21D9E">
        <w:rPr>
          <w:rFonts w:asciiTheme="minorHAnsi" w:hAnsiTheme="minorHAnsi" w:cstheme="minorHAnsi"/>
          <w:color w:val="000000" w:themeColor="text1"/>
        </w:rPr>
        <w:t xml:space="preserve">Reward data and benchmarking activities allow organisations to make external comparisons with </w:t>
      </w:r>
      <w:r w:rsidR="003F71AA" w:rsidRPr="00A21D9E">
        <w:rPr>
          <w:rFonts w:asciiTheme="minorHAnsi" w:hAnsiTheme="minorHAnsi" w:cstheme="minorHAnsi"/>
          <w:color w:val="000000" w:themeColor="text1"/>
        </w:rPr>
        <w:t xml:space="preserve">other organisations in order to make </w:t>
      </w:r>
      <w:r w:rsidR="009218D7" w:rsidRPr="00A21D9E">
        <w:rPr>
          <w:rFonts w:asciiTheme="minorHAnsi" w:hAnsiTheme="minorHAnsi" w:cstheme="minorHAnsi"/>
          <w:color w:val="000000" w:themeColor="text1"/>
        </w:rPr>
        <w:t>well-informed</w:t>
      </w:r>
      <w:r w:rsidR="003F71AA" w:rsidRPr="00A21D9E">
        <w:rPr>
          <w:rFonts w:asciiTheme="minorHAnsi" w:hAnsiTheme="minorHAnsi" w:cstheme="minorHAnsi"/>
          <w:color w:val="000000" w:themeColor="text1"/>
        </w:rPr>
        <w:t xml:space="preserve"> strategical decisions</w:t>
      </w:r>
      <w:r w:rsidR="009218D7" w:rsidRPr="00A21D9E">
        <w:rPr>
          <w:rFonts w:asciiTheme="minorHAnsi" w:hAnsiTheme="minorHAnsi" w:cstheme="minorHAnsi"/>
          <w:color w:val="000000" w:themeColor="text1"/>
        </w:rPr>
        <w:t xml:space="preserve"> using evidence-based practice (Young, 2024).</w:t>
      </w:r>
    </w:p>
    <w:p w:rsidR="00A21D9E" w:rsidRDefault="008C0CC3" w:rsidP="00A21D9E">
      <w:pPr>
        <w:ind w:left="720"/>
        <w:jc w:val="both"/>
        <w:rPr>
          <w:rFonts w:eastAsia="Times New Roman" w:cstheme="minorHAnsi"/>
          <w:lang w:eastAsia="en-GB"/>
        </w:rPr>
      </w:pPr>
      <w:r>
        <w:rPr>
          <w:rFonts w:cstheme="minorHAnsi"/>
          <w:color w:val="000000" w:themeColor="text1"/>
        </w:rPr>
        <w:t xml:space="preserve">There are many forms of published data, </w:t>
      </w:r>
      <w:r w:rsidR="00A21D9E">
        <w:rPr>
          <w:rFonts w:cstheme="minorHAnsi"/>
          <w:color w:val="000000" w:themeColor="text1"/>
        </w:rPr>
        <w:t>Taylor and Woodhams (2022</w:t>
      </w:r>
      <w:r w:rsidR="00417B41">
        <w:rPr>
          <w:rFonts w:cstheme="minorHAnsi"/>
          <w:color w:val="000000" w:themeColor="text1"/>
        </w:rPr>
        <w:t>a</w:t>
      </w:r>
      <w:r w:rsidR="00A21D9E">
        <w:rPr>
          <w:rFonts w:cstheme="minorHAnsi"/>
          <w:color w:val="000000" w:themeColor="text1"/>
        </w:rPr>
        <w:t>) state that the</w:t>
      </w:r>
      <w:r w:rsidR="00E04DC9" w:rsidRPr="00A21D9E">
        <w:rPr>
          <w:rFonts w:cstheme="minorHAnsi"/>
          <w:color w:val="000000" w:themeColor="text1"/>
        </w:rPr>
        <w:t xml:space="preserve"> CIPD produces an annual reward management survey </w:t>
      </w:r>
      <w:r w:rsidR="00407FC1">
        <w:rPr>
          <w:rFonts w:cstheme="minorHAnsi"/>
          <w:color w:val="000000" w:themeColor="text1"/>
        </w:rPr>
        <w:t>outlining</w:t>
      </w:r>
      <w:r w:rsidR="00E04DC9" w:rsidRPr="00A21D9E">
        <w:rPr>
          <w:rFonts w:cstheme="minorHAnsi"/>
          <w:color w:val="000000" w:themeColor="text1"/>
        </w:rPr>
        <w:t xml:space="preserve"> results in relation to pensions, </w:t>
      </w:r>
      <w:r w:rsidR="00E04DC9" w:rsidRPr="00A21D9E">
        <w:rPr>
          <w:rFonts w:cstheme="minorHAnsi"/>
          <w:color w:val="000000" w:themeColor="text1"/>
        </w:rPr>
        <w:lastRenderedPageBreak/>
        <w:t>benefits, performance relate</w:t>
      </w:r>
      <w:r w:rsidR="00465681" w:rsidRPr="00A21D9E">
        <w:rPr>
          <w:rFonts w:cstheme="minorHAnsi"/>
          <w:color w:val="000000" w:themeColor="text1"/>
        </w:rPr>
        <w:t>d bonuse</w:t>
      </w:r>
      <w:r w:rsidR="003F71AA" w:rsidRPr="00A21D9E">
        <w:rPr>
          <w:rFonts w:cstheme="minorHAnsi"/>
          <w:color w:val="000000" w:themeColor="text1"/>
        </w:rPr>
        <w:t>s and pay positioning.  The CIPD also publis</w:t>
      </w:r>
      <w:r w:rsidR="00407FC1">
        <w:rPr>
          <w:rFonts w:cstheme="minorHAnsi"/>
          <w:color w:val="000000" w:themeColor="text1"/>
        </w:rPr>
        <w:t>h Labour Market Outlooks helpful</w:t>
      </w:r>
      <w:r w:rsidR="003F71AA" w:rsidRPr="00A21D9E">
        <w:rPr>
          <w:rFonts w:cstheme="minorHAnsi"/>
          <w:color w:val="000000" w:themeColor="text1"/>
        </w:rPr>
        <w:t xml:space="preserve"> when looking at pay predictions.</w:t>
      </w:r>
      <w:r w:rsidR="009218D7" w:rsidRPr="00A21D9E">
        <w:rPr>
          <w:rFonts w:cstheme="minorHAnsi"/>
          <w:color w:val="000000" w:themeColor="text1"/>
        </w:rPr>
        <w:t xml:space="preserve">  The Government release reports and updates on issues </w:t>
      </w:r>
      <w:r w:rsidR="00407FC1">
        <w:rPr>
          <w:rFonts w:cstheme="minorHAnsi"/>
          <w:color w:val="000000" w:themeColor="text1"/>
        </w:rPr>
        <w:t>relating to</w:t>
      </w:r>
      <w:r w:rsidR="00A21D9E">
        <w:rPr>
          <w:rFonts w:cstheme="minorHAnsi"/>
          <w:color w:val="000000" w:themeColor="text1"/>
        </w:rPr>
        <w:t xml:space="preserve"> legislative changes,</w:t>
      </w:r>
      <w:r w:rsidR="009218D7" w:rsidRPr="00A21D9E">
        <w:rPr>
          <w:rFonts w:cstheme="minorHAnsi"/>
          <w:color w:val="000000" w:themeColor="text1"/>
        </w:rPr>
        <w:t xml:space="preserve"> minimum wage rates and salary data along with industry reports outlining industry performance statistics used to compare against industry standards.</w:t>
      </w:r>
      <w:r w:rsidR="003F71AA" w:rsidRPr="00A21D9E">
        <w:rPr>
          <w:rFonts w:cstheme="minorHAnsi"/>
          <w:color w:val="000000" w:themeColor="text1"/>
        </w:rPr>
        <w:t xml:space="preserve"> </w:t>
      </w:r>
      <w:r w:rsidR="00A21D9E">
        <w:rPr>
          <w:rFonts w:eastAsia="Times New Roman" w:cstheme="minorHAnsi"/>
          <w:lang w:eastAsia="en-GB"/>
        </w:rPr>
        <w:t>The</w:t>
      </w:r>
      <w:r w:rsidR="00A21D9E" w:rsidRPr="00A21D9E">
        <w:rPr>
          <w:rFonts w:eastAsia="Times New Roman" w:cstheme="minorHAnsi"/>
          <w:lang w:eastAsia="en-GB"/>
        </w:rPr>
        <w:t xml:space="preserve"> Office for National Statistics</w:t>
      </w:r>
      <w:r w:rsidR="00A21D9E">
        <w:rPr>
          <w:rFonts w:eastAsia="Times New Roman" w:cstheme="minorHAnsi"/>
          <w:lang w:eastAsia="en-GB"/>
        </w:rPr>
        <w:t xml:space="preserve"> (ONS)</w:t>
      </w:r>
      <w:r w:rsidR="00A21D9E" w:rsidRPr="00A21D9E">
        <w:rPr>
          <w:rFonts w:eastAsia="Times New Roman" w:cstheme="minorHAnsi"/>
          <w:lang w:eastAsia="en-GB"/>
        </w:rPr>
        <w:t xml:space="preserve"> </w:t>
      </w:r>
      <w:r w:rsidR="00A21D9E">
        <w:rPr>
          <w:rFonts w:eastAsia="Times New Roman" w:cstheme="minorHAnsi"/>
          <w:lang w:eastAsia="en-GB"/>
        </w:rPr>
        <w:t>is responsible for the collection, analysis and dissemination of statistics relating to the population, society and the UK’s economy (ONS, 2020)</w:t>
      </w:r>
      <w:r>
        <w:rPr>
          <w:rFonts w:eastAsia="Times New Roman" w:cstheme="minorHAnsi"/>
          <w:lang w:eastAsia="en-GB"/>
        </w:rPr>
        <w:t xml:space="preserve"> used to identify labour market trends</w:t>
      </w:r>
      <w:r w:rsidR="00A01CC5">
        <w:rPr>
          <w:rFonts w:eastAsia="Times New Roman" w:cstheme="minorHAnsi"/>
          <w:lang w:eastAsia="en-GB"/>
        </w:rPr>
        <w:t>, unemployment rates, vacancy numbers and average working hours and pay</w:t>
      </w:r>
      <w:r>
        <w:rPr>
          <w:rFonts w:eastAsia="Times New Roman" w:cstheme="minorHAnsi"/>
          <w:lang w:eastAsia="en-GB"/>
        </w:rPr>
        <w:t>.  Croner is a private sector organisation, which carries out section, function and regional salary surveys alongside Incomes Data Services who publish pay review data (Taylor and Woodhams, 2022</w:t>
      </w:r>
      <w:r w:rsidR="00417B41">
        <w:rPr>
          <w:rFonts w:eastAsia="Times New Roman" w:cstheme="minorHAnsi"/>
          <w:lang w:eastAsia="en-GB"/>
        </w:rPr>
        <w:t>a</w:t>
      </w:r>
      <w:r>
        <w:rPr>
          <w:rFonts w:eastAsia="Times New Roman" w:cstheme="minorHAnsi"/>
          <w:lang w:eastAsia="en-GB"/>
        </w:rPr>
        <w:t>).</w:t>
      </w:r>
      <w:r w:rsidR="00414D88">
        <w:rPr>
          <w:rFonts w:eastAsia="Times New Roman" w:cstheme="minorHAnsi"/>
          <w:lang w:eastAsia="en-GB"/>
        </w:rPr>
        <w:t xml:space="preserve">  Cotton (2024b) refers to X</w:t>
      </w:r>
      <w:r>
        <w:rPr>
          <w:rFonts w:eastAsia="Times New Roman" w:cstheme="minorHAnsi"/>
          <w:lang w:eastAsia="en-GB"/>
        </w:rPr>
        <w:t xml:space="preserve">pertHR Cendex who carry out pay reviews for private and public sector, MakeUK who provide data on manufacturing pay settlements and the Labour Research Department (LRD) pay surveys providing data on collective pay agreements.   </w:t>
      </w:r>
    </w:p>
    <w:p w:rsidR="008C0CC3" w:rsidRDefault="008C0CC3" w:rsidP="00A21D9E">
      <w:pPr>
        <w:ind w:left="720"/>
        <w:jc w:val="both"/>
        <w:rPr>
          <w:rFonts w:eastAsia="Times New Roman" w:cstheme="minorHAnsi"/>
          <w:lang w:eastAsia="en-GB"/>
        </w:rPr>
      </w:pPr>
      <w:r>
        <w:rPr>
          <w:rFonts w:eastAsia="Times New Roman" w:cstheme="minorHAnsi"/>
          <w:lang w:eastAsia="en-GB"/>
        </w:rPr>
        <w:t xml:space="preserve">Information in relation to pay and salaries can be seen as ‘sensitive’ with many organisations not wishing to share with competitors, however, another source of data can be from pay clubs or consultants’ pay databases whereby </w:t>
      </w:r>
      <w:r w:rsidR="00A01CC5">
        <w:rPr>
          <w:rFonts w:eastAsia="Times New Roman" w:cstheme="minorHAnsi"/>
          <w:lang w:eastAsia="en-GB"/>
        </w:rPr>
        <w:t>participants have access to the shared data.</w:t>
      </w:r>
    </w:p>
    <w:p w:rsidR="003F71AA" w:rsidRPr="00A21D9E" w:rsidRDefault="003F71AA" w:rsidP="00A21D9E">
      <w:pPr>
        <w:ind w:left="720"/>
        <w:jc w:val="both"/>
        <w:rPr>
          <w:rFonts w:eastAsia="Times New Roman" w:cstheme="minorHAnsi"/>
          <w:lang w:eastAsia="en-GB"/>
        </w:rPr>
      </w:pPr>
      <w:r>
        <w:rPr>
          <w:rFonts w:ascii="Calibri" w:hAnsi="Calibri" w:cs="Calibri"/>
          <w:color w:val="000000" w:themeColor="text1"/>
        </w:rPr>
        <w:t xml:space="preserve">It is important that data collected is accurate and recent so that people professionals can make reliable comparisons. </w:t>
      </w:r>
      <w:r w:rsidR="00A21D9E">
        <w:rPr>
          <w:rFonts w:ascii="Calibri" w:hAnsi="Calibri" w:cs="Calibri"/>
          <w:color w:val="000000" w:themeColor="text1"/>
        </w:rPr>
        <w:t xml:space="preserve">Consideration must </w:t>
      </w:r>
      <w:r>
        <w:rPr>
          <w:rFonts w:ascii="Calibri" w:hAnsi="Calibri" w:cs="Calibri"/>
          <w:color w:val="000000" w:themeColor="text1"/>
        </w:rPr>
        <w:t xml:space="preserve">be made to where </w:t>
      </w:r>
      <w:r w:rsidR="00A21D9E">
        <w:rPr>
          <w:rFonts w:ascii="Calibri" w:hAnsi="Calibri" w:cs="Calibri"/>
          <w:color w:val="000000" w:themeColor="text1"/>
        </w:rPr>
        <w:t xml:space="preserve">the </w:t>
      </w:r>
      <w:r>
        <w:rPr>
          <w:rFonts w:ascii="Calibri" w:hAnsi="Calibri" w:cs="Calibri"/>
          <w:color w:val="000000" w:themeColor="text1"/>
        </w:rPr>
        <w:t>data i</w:t>
      </w:r>
      <w:r w:rsidR="00A21D9E">
        <w:rPr>
          <w:rFonts w:ascii="Calibri" w:hAnsi="Calibri" w:cs="Calibri"/>
          <w:color w:val="000000" w:themeColor="text1"/>
        </w:rPr>
        <w:t xml:space="preserve">s </w:t>
      </w:r>
      <w:r w:rsidR="00407FC1">
        <w:rPr>
          <w:rFonts w:ascii="Calibri" w:hAnsi="Calibri" w:cs="Calibri"/>
          <w:color w:val="000000" w:themeColor="text1"/>
        </w:rPr>
        <w:t>collected e.g.</w:t>
      </w:r>
      <w:r>
        <w:rPr>
          <w:rFonts w:ascii="Calibri" w:hAnsi="Calibri" w:cs="Calibri"/>
          <w:color w:val="000000" w:themeColor="text1"/>
        </w:rPr>
        <w:t xml:space="preserve"> na</w:t>
      </w:r>
      <w:r w:rsidR="00407FC1">
        <w:rPr>
          <w:rFonts w:ascii="Calibri" w:hAnsi="Calibri" w:cs="Calibri"/>
          <w:color w:val="000000" w:themeColor="text1"/>
        </w:rPr>
        <w:t>tional survey data might be more</w:t>
      </w:r>
      <w:r>
        <w:rPr>
          <w:rFonts w:ascii="Calibri" w:hAnsi="Calibri" w:cs="Calibri"/>
          <w:color w:val="000000" w:themeColor="text1"/>
        </w:rPr>
        <w:t xml:space="preserve"> suitable to management pay grades/structures, locally collected data to administrative and process roles and job specific data useful when considering pay for groups such as sales or accountancy (Cotton, 2024b).  </w:t>
      </w:r>
    </w:p>
    <w:p w:rsidR="000E33FC" w:rsidRDefault="003F71AA" w:rsidP="00A21D9E">
      <w:pPr>
        <w:pStyle w:val="Nornal"/>
        <w:ind w:left="720"/>
        <w:jc w:val="both"/>
        <w:rPr>
          <w:rFonts w:ascii="Calibri" w:hAnsi="Calibri" w:cs="Calibri"/>
          <w:color w:val="000000" w:themeColor="text1"/>
        </w:rPr>
      </w:pPr>
      <w:r>
        <w:rPr>
          <w:rFonts w:ascii="Calibri" w:hAnsi="Calibri" w:cs="Calibri"/>
          <w:color w:val="000000" w:themeColor="text1"/>
        </w:rPr>
        <w:t>Consideration is needed as to level, type and presentation of the data collected</w:t>
      </w:r>
      <w:r w:rsidR="00B22A8C">
        <w:rPr>
          <w:rFonts w:ascii="Calibri" w:hAnsi="Calibri" w:cs="Calibri"/>
          <w:color w:val="000000" w:themeColor="text1"/>
        </w:rPr>
        <w:t xml:space="preserve"> e.g.,</w:t>
      </w:r>
      <w:r>
        <w:rPr>
          <w:rFonts w:ascii="Calibri" w:hAnsi="Calibri" w:cs="Calibri"/>
          <w:color w:val="000000" w:themeColor="text1"/>
        </w:rPr>
        <w:t xml:space="preserve"> management level may require detailed information</w:t>
      </w:r>
      <w:r w:rsidR="00B22A8C">
        <w:rPr>
          <w:rFonts w:ascii="Calibri" w:hAnsi="Calibri" w:cs="Calibri"/>
          <w:color w:val="000000" w:themeColor="text1"/>
        </w:rPr>
        <w:t>,</w:t>
      </w:r>
      <w:r>
        <w:rPr>
          <w:rFonts w:ascii="Calibri" w:hAnsi="Calibri" w:cs="Calibri"/>
          <w:color w:val="000000" w:themeColor="text1"/>
        </w:rPr>
        <w:t xml:space="preserve"> benchmarking against competitors or data allowing them to consider trends in the labour market, whereas employees may only be interested in how their pay compares to others in similar roles (Taylor and Woodhams, 2022</w:t>
      </w:r>
      <w:r w:rsidR="00417B41">
        <w:rPr>
          <w:rFonts w:ascii="Calibri" w:hAnsi="Calibri" w:cs="Calibri"/>
          <w:color w:val="000000" w:themeColor="text1"/>
        </w:rPr>
        <w:t>a</w:t>
      </w:r>
      <w:r>
        <w:rPr>
          <w:rFonts w:ascii="Calibri" w:hAnsi="Calibri" w:cs="Calibri"/>
          <w:color w:val="000000" w:themeColor="text1"/>
        </w:rPr>
        <w:t>).</w:t>
      </w:r>
      <w:r w:rsidR="005E3C30">
        <w:rPr>
          <w:rFonts w:ascii="Calibri" w:hAnsi="Calibri" w:cs="Calibri"/>
          <w:color w:val="000000" w:themeColor="text1"/>
        </w:rPr>
        <w:t xml:space="preserve">  Furthermore, different methods to measure the data will result in different types of data such as quantitative data (numerical), which can be put into spreadsheets and statistical software or qualitative data (words and meanings), which </w:t>
      </w:r>
      <w:r w:rsidR="00417B41">
        <w:rPr>
          <w:rFonts w:ascii="Calibri" w:hAnsi="Calibri" w:cs="Calibri"/>
          <w:color w:val="000000" w:themeColor="text1"/>
        </w:rPr>
        <w:t>would need visual comparisons or specialist software (Taylor and Woodhams, 2022b)</w:t>
      </w:r>
      <w:r w:rsidR="005E3C30">
        <w:rPr>
          <w:rFonts w:ascii="Calibri" w:hAnsi="Calibri" w:cs="Calibri"/>
          <w:color w:val="000000" w:themeColor="text1"/>
        </w:rPr>
        <w:t>.</w:t>
      </w:r>
    </w:p>
    <w:p w:rsidR="00A01CC5" w:rsidRDefault="00417B41" w:rsidP="00A21D9E">
      <w:pPr>
        <w:pStyle w:val="Nornal"/>
        <w:ind w:left="720"/>
        <w:jc w:val="both"/>
        <w:rPr>
          <w:rFonts w:ascii="Calibri" w:hAnsi="Calibri" w:cs="Calibri"/>
          <w:color w:val="000000" w:themeColor="text1"/>
        </w:rPr>
      </w:pPr>
      <w:r>
        <w:rPr>
          <w:rFonts w:ascii="Calibri" w:hAnsi="Calibri" w:cs="Calibri"/>
          <w:color w:val="000000" w:themeColor="text1"/>
        </w:rPr>
        <w:t xml:space="preserve">As paid data can be expensive, </w:t>
      </w:r>
      <w:r w:rsidR="00A01CC5">
        <w:rPr>
          <w:rFonts w:ascii="Calibri" w:hAnsi="Calibri" w:cs="Calibri"/>
          <w:color w:val="000000" w:themeColor="text1"/>
        </w:rPr>
        <w:t xml:space="preserve">Eco-Insulate UK should </w:t>
      </w:r>
      <w:r>
        <w:rPr>
          <w:rFonts w:ascii="Calibri" w:hAnsi="Calibri" w:cs="Calibri"/>
          <w:color w:val="000000" w:themeColor="text1"/>
        </w:rPr>
        <w:t>make use of the free publicly available data to use for benchmarking.</w:t>
      </w:r>
    </w:p>
    <w:p w:rsidR="00F62601" w:rsidRPr="005B2738" w:rsidRDefault="00F62601" w:rsidP="006A2FBE">
      <w:pPr>
        <w:pStyle w:val="Nornal"/>
        <w:numPr>
          <w:ilvl w:val="0"/>
          <w:numId w:val="29"/>
        </w:numPr>
        <w:rPr>
          <w:rFonts w:ascii="Calibri" w:hAnsi="Calibri" w:cs="Calibri"/>
          <w:b/>
        </w:rPr>
      </w:pPr>
      <w:r w:rsidRPr="005B2738">
        <w:rPr>
          <w:rFonts w:ascii="Calibri" w:hAnsi="Calibri" w:cs="Calibri"/>
          <w:b/>
          <w:color w:val="000000" w:themeColor="text1"/>
        </w:rPr>
        <w:t>Explain approaches to job evaluation. (AC 3.3)</w:t>
      </w:r>
      <w:r w:rsidR="006D0E4A">
        <w:rPr>
          <w:rFonts w:ascii="Calibri" w:hAnsi="Calibri" w:cs="Calibri"/>
          <w:b/>
          <w:color w:val="000000" w:themeColor="text1"/>
        </w:rPr>
        <w:t xml:space="preserve"> </w:t>
      </w:r>
    </w:p>
    <w:p w:rsidR="00692FDB" w:rsidRDefault="005F4BFF" w:rsidP="005F4BFF">
      <w:pPr>
        <w:ind w:left="720"/>
        <w:jc w:val="both"/>
        <w:rPr>
          <w:rFonts w:eastAsia="Times New Roman" w:cstheme="minorHAnsi"/>
          <w:lang w:eastAsia="en-GB"/>
        </w:rPr>
      </w:pPr>
      <w:r w:rsidRPr="005F4BFF">
        <w:rPr>
          <w:rFonts w:cstheme="minorHAnsi"/>
          <w:color w:val="000000" w:themeColor="text1"/>
        </w:rPr>
        <w:t>According to Taylor and Woodhams (</w:t>
      </w:r>
      <w:r w:rsidR="00414D88" w:rsidRPr="005F4BFF">
        <w:rPr>
          <w:rFonts w:cstheme="minorHAnsi"/>
          <w:color w:val="000000" w:themeColor="text1"/>
        </w:rPr>
        <w:t>2022</w:t>
      </w:r>
      <w:r w:rsidR="00414D88">
        <w:rPr>
          <w:rFonts w:cstheme="minorHAnsi"/>
          <w:color w:val="000000" w:themeColor="text1"/>
        </w:rPr>
        <w:t>a</w:t>
      </w:r>
      <w:r w:rsidR="00414D88" w:rsidRPr="005F4BFF">
        <w:rPr>
          <w:rFonts w:cstheme="minorHAnsi"/>
          <w:color w:val="000000" w:themeColor="text1"/>
        </w:rPr>
        <w:t>),</w:t>
      </w:r>
      <w:r w:rsidRPr="005F4BFF">
        <w:rPr>
          <w:rFonts w:cstheme="minorHAnsi"/>
          <w:color w:val="000000" w:themeColor="text1"/>
        </w:rPr>
        <w:t xml:space="preserve"> </w:t>
      </w:r>
      <w:r w:rsidR="00414D88" w:rsidRPr="005F4BFF">
        <w:rPr>
          <w:rFonts w:eastAsia="Times New Roman" w:cstheme="minorHAnsi"/>
          <w:lang w:eastAsia="en-GB"/>
        </w:rPr>
        <w:t>an</w:t>
      </w:r>
      <w:r w:rsidR="00BE6A7E">
        <w:rPr>
          <w:rFonts w:eastAsia="Times New Roman" w:cstheme="minorHAnsi"/>
          <w:lang w:eastAsia="en-GB"/>
        </w:rPr>
        <w:t xml:space="preserve"> organis</w:t>
      </w:r>
      <w:r w:rsidRPr="005F4BFF">
        <w:rPr>
          <w:rFonts w:eastAsia="Times New Roman" w:cstheme="minorHAnsi"/>
          <w:lang w:eastAsia="en-GB"/>
        </w:rPr>
        <w:t>ation's job evaluation scheme is a methodical process that establishes the relative value or scale of its occupations</w:t>
      </w:r>
      <w:r w:rsidR="00931CD9">
        <w:rPr>
          <w:rFonts w:eastAsia="Times New Roman" w:cstheme="minorHAnsi"/>
          <w:lang w:eastAsia="en-GB"/>
        </w:rPr>
        <w:t>, whilst avoiding discrimination or prejudice</w:t>
      </w:r>
      <w:r w:rsidRPr="005F4BFF">
        <w:rPr>
          <w:rFonts w:eastAsia="Times New Roman" w:cstheme="minorHAnsi"/>
          <w:lang w:eastAsia="en-GB"/>
        </w:rPr>
        <w:t>.</w:t>
      </w:r>
      <w:r>
        <w:rPr>
          <w:rFonts w:eastAsia="Times New Roman" w:cstheme="minorHAnsi"/>
          <w:lang w:eastAsia="en-GB"/>
        </w:rPr>
        <w:t xml:space="preserve">  People professionals use job evaluations to group similar jobs together to set them against their grade or pay structures</w:t>
      </w:r>
      <w:r w:rsidR="003304BA">
        <w:rPr>
          <w:rFonts w:eastAsia="Times New Roman" w:cstheme="minorHAnsi"/>
          <w:lang w:eastAsia="en-GB"/>
        </w:rPr>
        <w:t>, ensure their pay system is fair</w:t>
      </w:r>
      <w:r w:rsidR="00692FDB">
        <w:rPr>
          <w:rFonts w:eastAsia="Times New Roman" w:cstheme="minorHAnsi"/>
          <w:lang w:eastAsia="en-GB"/>
        </w:rPr>
        <w:t xml:space="preserve"> (avoiding equal pay disputes), providing transparency for stakeholders</w:t>
      </w:r>
      <w:r w:rsidR="003304BA">
        <w:rPr>
          <w:rFonts w:eastAsia="Times New Roman" w:cstheme="minorHAnsi"/>
          <w:lang w:eastAsia="en-GB"/>
        </w:rPr>
        <w:t xml:space="preserve"> and making comparisons against internal and external pay rates.  Cotton (2024b) outlines that market </w:t>
      </w:r>
      <w:r w:rsidR="00692FDB">
        <w:rPr>
          <w:rFonts w:eastAsia="Times New Roman" w:cstheme="minorHAnsi"/>
          <w:lang w:eastAsia="en-GB"/>
        </w:rPr>
        <w:t>rate analysis</w:t>
      </w:r>
      <w:r w:rsidR="003304BA">
        <w:rPr>
          <w:rFonts w:eastAsia="Times New Roman" w:cstheme="minorHAnsi"/>
          <w:lang w:eastAsia="en-GB"/>
        </w:rPr>
        <w:t xml:space="preserve"> is externally focused comparing an organisations pay rate with others in the labour market, whereas, job evaluation is internally focused organising roles in order of their importance within the organisation.  </w:t>
      </w:r>
    </w:p>
    <w:p w:rsidR="00B16C1F" w:rsidRDefault="00692FDB" w:rsidP="00417B41">
      <w:pPr>
        <w:ind w:left="720"/>
        <w:jc w:val="both"/>
        <w:rPr>
          <w:rFonts w:eastAsia="Times New Roman" w:cstheme="minorHAnsi"/>
          <w:lang w:eastAsia="en-GB"/>
        </w:rPr>
      </w:pPr>
      <w:r>
        <w:rPr>
          <w:rFonts w:eastAsia="Times New Roman" w:cstheme="minorHAnsi"/>
          <w:lang w:eastAsia="en-GB"/>
        </w:rPr>
        <w:t xml:space="preserve">Job evaluation schemes can be non-analytical, which broadly compares a whole role, or, more commonly used, analytical, which is more accurately comparing specific competencies, tasks </w:t>
      </w:r>
      <w:r>
        <w:rPr>
          <w:rFonts w:eastAsia="Times New Roman" w:cstheme="minorHAnsi"/>
          <w:lang w:eastAsia="en-GB"/>
        </w:rPr>
        <w:lastRenderedPageBreak/>
        <w:t>and responsibilities, whilst objectively setting a value to each role (Taylor and Woodhams, 2022</w:t>
      </w:r>
      <w:r w:rsidR="00417B41">
        <w:rPr>
          <w:rFonts w:eastAsia="Times New Roman" w:cstheme="minorHAnsi"/>
          <w:lang w:eastAsia="en-GB"/>
        </w:rPr>
        <w:t>a</w:t>
      </w:r>
      <w:r>
        <w:rPr>
          <w:rFonts w:eastAsia="Times New Roman" w:cstheme="minorHAnsi"/>
          <w:lang w:eastAsia="en-GB"/>
        </w:rPr>
        <w:t>).</w:t>
      </w:r>
      <w:r w:rsidR="00504E03">
        <w:rPr>
          <w:rFonts w:eastAsia="Times New Roman" w:cstheme="minorHAnsi"/>
          <w:lang w:eastAsia="en-GB"/>
        </w:rPr>
        <w:t xml:space="preserve">  An example of an analytical scheme is points rating </w:t>
      </w:r>
      <w:r w:rsidR="00382BD1">
        <w:rPr>
          <w:rFonts w:eastAsia="Times New Roman" w:cstheme="minorHAnsi"/>
          <w:lang w:eastAsia="en-GB"/>
        </w:rPr>
        <w:t xml:space="preserve">whereby roles are broken down into characteristics and </w:t>
      </w:r>
      <w:r w:rsidR="00F75128">
        <w:rPr>
          <w:rFonts w:eastAsia="Times New Roman" w:cstheme="minorHAnsi"/>
          <w:lang w:eastAsia="en-GB"/>
        </w:rPr>
        <w:t>then</w:t>
      </w:r>
      <w:r w:rsidR="00382BD1">
        <w:rPr>
          <w:rFonts w:eastAsia="Times New Roman" w:cstheme="minorHAnsi"/>
          <w:lang w:eastAsia="en-GB"/>
        </w:rPr>
        <w:t xml:space="preserve"> factors with each factor given varying levels with points </w:t>
      </w:r>
      <w:r w:rsidR="00F75128">
        <w:rPr>
          <w:rFonts w:eastAsia="Times New Roman" w:cstheme="minorHAnsi"/>
          <w:lang w:eastAsia="en-GB"/>
        </w:rPr>
        <w:t>assigned to each level</w:t>
      </w:r>
      <w:r w:rsidR="00382BD1">
        <w:rPr>
          <w:rFonts w:eastAsia="Times New Roman" w:cstheme="minorHAnsi"/>
          <w:lang w:eastAsia="en-GB"/>
        </w:rPr>
        <w:t xml:space="preserve"> allowing for a total jobs score</w:t>
      </w:r>
      <w:r w:rsidR="00266E55">
        <w:rPr>
          <w:rFonts w:eastAsia="Times New Roman" w:cstheme="minorHAnsi"/>
          <w:lang w:eastAsia="en-GB"/>
        </w:rPr>
        <w:t xml:space="preserve"> (Cotton, 2024b)</w:t>
      </w:r>
      <w:r w:rsidR="00382BD1">
        <w:rPr>
          <w:rFonts w:eastAsia="Times New Roman" w:cstheme="minorHAnsi"/>
          <w:lang w:eastAsia="en-GB"/>
        </w:rPr>
        <w:t xml:space="preserve">.  </w:t>
      </w:r>
      <w:r w:rsidR="00BE6A7E">
        <w:rPr>
          <w:rFonts w:eastAsia="Times New Roman" w:cstheme="minorHAnsi"/>
          <w:lang w:eastAsia="en-GB"/>
        </w:rPr>
        <w:t>F</w:t>
      </w:r>
      <w:r w:rsidR="00266E55">
        <w:rPr>
          <w:rFonts w:eastAsia="Times New Roman" w:cstheme="minorHAnsi"/>
          <w:lang w:eastAsia="en-GB"/>
        </w:rPr>
        <w:t>actor-to-factor comparison</w:t>
      </w:r>
      <w:r w:rsidR="00BE6A7E">
        <w:rPr>
          <w:rFonts w:eastAsia="Times New Roman" w:cstheme="minorHAnsi"/>
          <w:lang w:eastAsia="en-GB"/>
        </w:rPr>
        <w:t>,</w:t>
      </w:r>
      <w:r w:rsidR="00266E55">
        <w:rPr>
          <w:rFonts w:eastAsia="Times New Roman" w:cstheme="minorHAnsi"/>
          <w:lang w:eastAsia="en-GB"/>
        </w:rPr>
        <w:t xml:space="preserve"> whereby roles are similarly separated into factors b</w:t>
      </w:r>
      <w:r w:rsidR="00BE6A7E">
        <w:rPr>
          <w:rFonts w:eastAsia="Times New Roman" w:cstheme="minorHAnsi"/>
          <w:lang w:eastAsia="en-GB"/>
        </w:rPr>
        <w:t>ut without points being awarded, is another example.</w:t>
      </w:r>
    </w:p>
    <w:p w:rsidR="00382BD1" w:rsidRDefault="00382BD1" w:rsidP="00382BD1">
      <w:pPr>
        <w:spacing w:after="0" w:line="240" w:lineRule="auto"/>
        <w:ind w:firstLine="720"/>
        <w:rPr>
          <w:rFonts w:eastAsia="Times New Roman" w:cstheme="minorHAnsi"/>
          <w:lang w:eastAsia="en-GB"/>
        </w:rPr>
      </w:pPr>
      <w:r w:rsidRPr="00382BD1">
        <w:rPr>
          <w:rFonts w:eastAsia="Times New Roman" w:cstheme="minorHAnsi"/>
          <w:noProof/>
          <w:lang w:eastAsia="en-GB"/>
        </w:rPr>
        <w:drawing>
          <wp:inline distT="0" distB="0" distL="0" distR="0" wp14:anchorId="7BC627D8" wp14:editId="1DACFC36">
            <wp:extent cx="3863675" cy="5448772"/>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863675" cy="5448772"/>
                    </a:xfrm>
                    <a:prstGeom prst="rect">
                      <a:avLst/>
                    </a:prstGeom>
                  </pic:spPr>
                </pic:pic>
              </a:graphicData>
            </a:graphic>
          </wp:inline>
        </w:drawing>
      </w:r>
    </w:p>
    <w:p w:rsidR="00382BD1" w:rsidRDefault="00382BD1" w:rsidP="00382BD1">
      <w:pPr>
        <w:spacing w:after="0" w:line="240" w:lineRule="auto"/>
        <w:ind w:firstLine="720"/>
        <w:rPr>
          <w:rFonts w:eastAsia="Times New Roman" w:cstheme="minorHAnsi"/>
          <w:lang w:eastAsia="en-GB"/>
        </w:rPr>
      </w:pPr>
    </w:p>
    <w:p w:rsidR="00266E55" w:rsidRDefault="00382BD1" w:rsidP="00266E55">
      <w:pPr>
        <w:spacing w:after="0" w:line="240" w:lineRule="auto"/>
        <w:ind w:firstLine="720"/>
        <w:rPr>
          <w:rFonts w:eastAsia="Times New Roman" w:cstheme="minorHAnsi"/>
          <w:lang w:eastAsia="en-GB"/>
        </w:rPr>
      </w:pPr>
      <w:r>
        <w:rPr>
          <w:rFonts w:eastAsia="Times New Roman" w:cstheme="minorHAnsi"/>
          <w:lang w:eastAsia="en-GB"/>
        </w:rPr>
        <w:t>Fig 2: Example analytical job evaluation</w:t>
      </w:r>
      <w:r w:rsidR="00266E55">
        <w:rPr>
          <w:rFonts w:eastAsia="Times New Roman" w:cstheme="minorHAnsi"/>
          <w:lang w:eastAsia="en-GB"/>
        </w:rPr>
        <w:t xml:space="preserve"> plan (Acas, 2014)</w:t>
      </w:r>
    </w:p>
    <w:p w:rsidR="00266E55" w:rsidRDefault="00266E55" w:rsidP="00266E55">
      <w:pPr>
        <w:spacing w:after="0" w:line="240" w:lineRule="auto"/>
        <w:ind w:firstLine="720"/>
        <w:jc w:val="both"/>
        <w:rPr>
          <w:rFonts w:eastAsia="Times New Roman" w:cstheme="minorHAnsi"/>
          <w:lang w:eastAsia="en-GB"/>
        </w:rPr>
      </w:pPr>
    </w:p>
    <w:p w:rsidR="00B16C1F" w:rsidRDefault="00B16C1F" w:rsidP="00062A54">
      <w:pPr>
        <w:spacing w:after="0" w:line="240" w:lineRule="auto"/>
        <w:ind w:left="720"/>
        <w:jc w:val="both"/>
        <w:rPr>
          <w:rFonts w:eastAsia="Times New Roman" w:cstheme="minorHAnsi"/>
          <w:lang w:eastAsia="en-GB"/>
        </w:rPr>
      </w:pPr>
      <w:r>
        <w:rPr>
          <w:rFonts w:eastAsia="Times New Roman" w:cstheme="minorHAnsi"/>
          <w:lang w:eastAsia="en-GB"/>
        </w:rPr>
        <w:t xml:space="preserve">Job matching is another analytical way of evaluating characteristics of a role against a nationally evaluated job profile.  It involves a panel of management and staff representatives comparing documents such as job description, person specifications and organisational charts against job profiles and factors.  The outcome is then checked by a consistency partnership or panel until both panels are agreed (NHS Employers, 2020).    </w:t>
      </w:r>
    </w:p>
    <w:p w:rsidR="00B16C1F" w:rsidRDefault="00B16C1F" w:rsidP="00062A54">
      <w:pPr>
        <w:spacing w:after="0" w:line="240" w:lineRule="auto"/>
        <w:ind w:left="720"/>
        <w:jc w:val="both"/>
        <w:rPr>
          <w:rFonts w:eastAsia="Times New Roman" w:cstheme="minorHAnsi"/>
          <w:lang w:eastAsia="en-GB"/>
        </w:rPr>
      </w:pPr>
    </w:p>
    <w:p w:rsidR="00266E55" w:rsidRDefault="00266E55" w:rsidP="00062A54">
      <w:pPr>
        <w:spacing w:after="0" w:line="240" w:lineRule="auto"/>
        <w:ind w:left="720"/>
        <w:jc w:val="both"/>
        <w:rPr>
          <w:rFonts w:eastAsia="Times New Roman" w:cstheme="minorHAnsi"/>
          <w:lang w:eastAsia="en-GB"/>
        </w:rPr>
      </w:pPr>
      <w:r>
        <w:rPr>
          <w:rFonts w:eastAsia="Times New Roman" w:cstheme="minorHAnsi"/>
          <w:lang w:eastAsia="en-GB"/>
        </w:rPr>
        <w:t>Job ranking</w:t>
      </w:r>
      <w:r w:rsidR="00F75128">
        <w:rPr>
          <w:rFonts w:eastAsia="Times New Roman" w:cstheme="minorHAnsi"/>
          <w:lang w:eastAsia="en-GB"/>
        </w:rPr>
        <w:t xml:space="preserve"> is an </w:t>
      </w:r>
      <w:r w:rsidR="00F75128">
        <w:rPr>
          <w:rFonts w:eastAsia="Times New Roman" w:cstheme="minorHAnsi"/>
          <w:lang w:eastAsia="en-GB"/>
        </w:rPr>
        <w:t>example of a non-analytic scheme</w:t>
      </w:r>
      <w:r w:rsidR="00F75128">
        <w:rPr>
          <w:rFonts w:eastAsia="Times New Roman" w:cstheme="minorHAnsi"/>
          <w:lang w:eastAsia="en-GB"/>
        </w:rPr>
        <w:t>,</w:t>
      </w:r>
      <w:r>
        <w:rPr>
          <w:rFonts w:eastAsia="Times New Roman" w:cstheme="minorHAnsi"/>
          <w:lang w:eastAsia="en-GB"/>
        </w:rPr>
        <w:t xml:space="preserve"> whereby whole jobs are ranked in order of </w:t>
      </w:r>
      <w:r w:rsidR="00062A54">
        <w:rPr>
          <w:rFonts w:eastAsia="Times New Roman" w:cstheme="minorHAnsi"/>
          <w:lang w:eastAsia="en-GB"/>
        </w:rPr>
        <w:t>value, importance or difficulty, which is a very quick, basic form of job evaluation and does not consider the details of the role</w:t>
      </w:r>
      <w:r w:rsidR="002404D1">
        <w:rPr>
          <w:rFonts w:eastAsia="Times New Roman" w:cstheme="minorHAnsi"/>
          <w:lang w:eastAsia="en-GB"/>
        </w:rPr>
        <w:t xml:space="preserve"> (Cotton, 2024b)</w:t>
      </w:r>
      <w:r w:rsidR="00062A54">
        <w:rPr>
          <w:rFonts w:eastAsia="Times New Roman" w:cstheme="minorHAnsi"/>
          <w:lang w:eastAsia="en-GB"/>
        </w:rPr>
        <w:t>.  Paire</w:t>
      </w:r>
      <w:r w:rsidR="00BE6A7E">
        <w:rPr>
          <w:rFonts w:eastAsia="Times New Roman" w:cstheme="minorHAnsi"/>
          <w:lang w:eastAsia="en-GB"/>
        </w:rPr>
        <w:t xml:space="preserve">d comparison ranking, in contrast, </w:t>
      </w:r>
      <w:r w:rsidR="00BE6A7E">
        <w:rPr>
          <w:rFonts w:eastAsia="Times New Roman" w:cstheme="minorHAnsi"/>
          <w:lang w:eastAsia="en-GB"/>
        </w:rPr>
        <w:lastRenderedPageBreak/>
        <w:t xml:space="preserve">is </w:t>
      </w:r>
      <w:r w:rsidR="00062A54">
        <w:rPr>
          <w:rFonts w:eastAsia="Times New Roman" w:cstheme="minorHAnsi"/>
          <w:lang w:eastAsia="en-GB"/>
        </w:rPr>
        <w:t>more multifaceted</w:t>
      </w:r>
      <w:r w:rsidR="00BE6A7E">
        <w:rPr>
          <w:rFonts w:eastAsia="Times New Roman" w:cstheme="minorHAnsi"/>
          <w:lang w:eastAsia="en-GB"/>
        </w:rPr>
        <w:t xml:space="preserve"> and time consuming </w:t>
      </w:r>
      <w:r w:rsidR="00062A54">
        <w:rPr>
          <w:rFonts w:eastAsia="Times New Roman" w:cstheme="minorHAnsi"/>
          <w:lang w:eastAsia="en-GB"/>
        </w:rPr>
        <w:t>wh</w:t>
      </w:r>
      <w:r w:rsidR="00BE6A7E">
        <w:rPr>
          <w:rFonts w:eastAsia="Times New Roman" w:cstheme="minorHAnsi"/>
          <w:lang w:eastAsia="en-GB"/>
        </w:rPr>
        <w:t>ereby</w:t>
      </w:r>
      <w:r w:rsidR="00062A54">
        <w:rPr>
          <w:rFonts w:eastAsia="Times New Roman" w:cstheme="minorHAnsi"/>
          <w:lang w:eastAsia="en-GB"/>
        </w:rPr>
        <w:t xml:space="preserve"> each role is compared against another role in the organisation.  </w:t>
      </w:r>
      <w:r w:rsidR="00266CA6">
        <w:rPr>
          <w:rFonts w:eastAsia="Times New Roman" w:cstheme="minorHAnsi"/>
          <w:lang w:eastAsia="en-GB"/>
        </w:rPr>
        <w:t>Job cl</w:t>
      </w:r>
      <w:r w:rsidR="00844803">
        <w:rPr>
          <w:rFonts w:eastAsia="Times New Roman" w:cstheme="minorHAnsi"/>
          <w:lang w:eastAsia="en-GB"/>
        </w:rPr>
        <w:t xml:space="preserve">assification refers to a predetermined grade schemes, usually with between four and eight grades, based on different factors in which roles are allocated.  </w:t>
      </w:r>
    </w:p>
    <w:p w:rsidR="00266E55" w:rsidRDefault="00266E55" w:rsidP="00266E55">
      <w:pPr>
        <w:spacing w:after="0" w:line="240" w:lineRule="auto"/>
        <w:ind w:firstLine="720"/>
        <w:jc w:val="both"/>
        <w:rPr>
          <w:rFonts w:eastAsia="Times New Roman" w:cstheme="minorHAnsi"/>
          <w:lang w:eastAsia="en-GB"/>
        </w:rPr>
      </w:pPr>
    </w:p>
    <w:p w:rsidR="003304BA" w:rsidRPr="005F4BFF" w:rsidRDefault="003304BA" w:rsidP="00266E55">
      <w:pPr>
        <w:ind w:left="720"/>
        <w:jc w:val="both"/>
        <w:rPr>
          <w:rFonts w:eastAsia="Times New Roman" w:cstheme="minorHAnsi"/>
          <w:lang w:eastAsia="en-GB"/>
        </w:rPr>
      </w:pPr>
      <w:r>
        <w:rPr>
          <w:rFonts w:eastAsia="Times New Roman" w:cstheme="minorHAnsi"/>
          <w:lang w:eastAsia="en-GB"/>
        </w:rPr>
        <w:t>Eco-Insulate UK need to make a balanced decision for pay rates to be externally competitive in the labour market whilst remaining internally equitable</w:t>
      </w:r>
      <w:r w:rsidR="00F75128">
        <w:rPr>
          <w:rFonts w:eastAsia="Times New Roman" w:cstheme="minorHAnsi"/>
          <w:lang w:eastAsia="en-GB"/>
        </w:rPr>
        <w:t>, maybe considering</w:t>
      </w:r>
      <w:r>
        <w:rPr>
          <w:rFonts w:eastAsia="Times New Roman" w:cstheme="minorHAnsi"/>
          <w:lang w:eastAsia="en-GB"/>
        </w:rPr>
        <w:t xml:space="preserve"> market pay supplements </w:t>
      </w:r>
      <w:r w:rsidR="00692FDB">
        <w:rPr>
          <w:rFonts w:eastAsia="Times New Roman" w:cstheme="minorHAnsi"/>
          <w:lang w:eastAsia="en-GB"/>
        </w:rPr>
        <w:t>to help attract/retain talent</w:t>
      </w:r>
      <w:r w:rsidR="00F75128">
        <w:rPr>
          <w:rFonts w:eastAsia="Times New Roman" w:cstheme="minorHAnsi"/>
          <w:lang w:eastAsia="en-GB"/>
        </w:rPr>
        <w:t xml:space="preserve"> where needed</w:t>
      </w:r>
      <w:r w:rsidR="00692FDB">
        <w:rPr>
          <w:rFonts w:eastAsia="Times New Roman" w:cstheme="minorHAnsi"/>
          <w:lang w:eastAsia="en-GB"/>
        </w:rPr>
        <w:t xml:space="preserve">.  </w:t>
      </w:r>
      <w:r w:rsidR="00A80CF5">
        <w:rPr>
          <w:rFonts w:eastAsia="Times New Roman" w:cstheme="minorHAnsi"/>
          <w:lang w:eastAsia="en-GB"/>
        </w:rPr>
        <w:t xml:space="preserve">Although time consuming, Eco-Insulate UK should consider creating a points rating job evaluation system to ensure consistency, transparency and objectivity, thus promoting fairness and defensibility against equal pay claims.  Whilst taking into account the details of each role, it is also flexible in that it can be easily adapted to new roles and works well alongside job grades and pay structures.    </w:t>
      </w:r>
    </w:p>
    <w:p w:rsidR="004631AA" w:rsidRPr="005B2738" w:rsidRDefault="00F62601" w:rsidP="006A2FBE">
      <w:pPr>
        <w:pStyle w:val="Nornal"/>
        <w:numPr>
          <w:ilvl w:val="0"/>
          <w:numId w:val="29"/>
        </w:numPr>
        <w:rPr>
          <w:rFonts w:ascii="Calibri" w:hAnsi="Calibri" w:cs="Calibri"/>
          <w:b/>
          <w:color w:val="000000" w:themeColor="text1"/>
        </w:rPr>
      </w:pPr>
      <w:r w:rsidRPr="005B2738">
        <w:rPr>
          <w:rFonts w:ascii="Calibri" w:hAnsi="Calibri" w:cs="Calibri"/>
          <w:b/>
          <w:color w:val="000000" w:themeColor="text1"/>
        </w:rPr>
        <w:t>Explain the legislative requirements that i</w:t>
      </w:r>
      <w:r w:rsidR="006D0E4A">
        <w:rPr>
          <w:rFonts w:ascii="Calibri" w:hAnsi="Calibri" w:cs="Calibri"/>
          <w:b/>
          <w:color w:val="000000" w:themeColor="text1"/>
        </w:rPr>
        <w:t>mpact reward practice. (AC 3.4)</w:t>
      </w:r>
    </w:p>
    <w:p w:rsidR="00EB2A05" w:rsidRDefault="004D70D5" w:rsidP="00F11E5E">
      <w:pPr>
        <w:pStyle w:val="Nornal"/>
        <w:ind w:left="720"/>
        <w:jc w:val="both"/>
        <w:rPr>
          <w:rFonts w:ascii="Calibri" w:hAnsi="Calibri" w:cs="Calibri"/>
          <w:color w:val="000000" w:themeColor="text1"/>
        </w:rPr>
      </w:pPr>
      <w:r>
        <w:rPr>
          <w:rFonts w:ascii="Calibri" w:hAnsi="Calibri" w:cs="Calibri"/>
          <w:color w:val="000000" w:themeColor="text1"/>
        </w:rPr>
        <w:t xml:space="preserve">There are many legal considerations organisations must make when looking at their reward strategy.  </w:t>
      </w:r>
      <w:r w:rsidRPr="00EE1DE3">
        <w:rPr>
          <w:rFonts w:ascii="Calibri" w:hAnsi="Calibri" w:cs="Calibri"/>
          <w:i/>
          <w:color w:val="000000" w:themeColor="text1"/>
        </w:rPr>
        <w:t xml:space="preserve">The National </w:t>
      </w:r>
      <w:r w:rsidR="00F11E5E" w:rsidRPr="00EE1DE3">
        <w:rPr>
          <w:rFonts w:ascii="Calibri" w:hAnsi="Calibri" w:cs="Calibri"/>
          <w:i/>
          <w:color w:val="000000" w:themeColor="text1"/>
        </w:rPr>
        <w:t xml:space="preserve">Minimum </w:t>
      </w:r>
      <w:r w:rsidRPr="00EE1DE3">
        <w:rPr>
          <w:rFonts w:ascii="Calibri" w:hAnsi="Calibri" w:cs="Calibri"/>
          <w:i/>
          <w:color w:val="000000" w:themeColor="text1"/>
        </w:rPr>
        <w:t>Wage Act 1998</w:t>
      </w:r>
      <w:r>
        <w:rPr>
          <w:rFonts w:ascii="Calibri" w:hAnsi="Calibri" w:cs="Calibri"/>
          <w:color w:val="000000" w:themeColor="text1"/>
        </w:rPr>
        <w:t xml:space="preserve"> sets out a minimum amount that employees </w:t>
      </w:r>
      <w:r w:rsidR="00EB2A05">
        <w:rPr>
          <w:rFonts w:ascii="Calibri" w:hAnsi="Calibri" w:cs="Calibri"/>
          <w:color w:val="000000" w:themeColor="text1"/>
        </w:rPr>
        <w:t>between the ages of 16-21</w:t>
      </w:r>
      <w:r>
        <w:rPr>
          <w:rFonts w:ascii="Calibri" w:hAnsi="Calibri" w:cs="Calibri"/>
          <w:color w:val="000000" w:themeColor="text1"/>
        </w:rPr>
        <w:t xml:space="preserve"> must be paid in return for their work, which creates a baseline for all employers (2024a).  In addition to this, </w:t>
      </w:r>
      <w:r w:rsidR="00081D55">
        <w:rPr>
          <w:rFonts w:ascii="Calibri" w:hAnsi="Calibri" w:cs="Calibri"/>
          <w:color w:val="000000" w:themeColor="text1"/>
        </w:rPr>
        <w:t>in 2016 the</w:t>
      </w:r>
      <w:r>
        <w:rPr>
          <w:rFonts w:ascii="Calibri" w:hAnsi="Calibri" w:cs="Calibri"/>
          <w:color w:val="000000" w:themeColor="text1"/>
        </w:rPr>
        <w:t xml:space="preserve"> government introd</w:t>
      </w:r>
      <w:r w:rsidR="00081D55">
        <w:rPr>
          <w:rFonts w:ascii="Calibri" w:hAnsi="Calibri" w:cs="Calibri"/>
          <w:color w:val="000000" w:themeColor="text1"/>
        </w:rPr>
        <w:t>uced the National Living Wage in order to increase the pay to the lowest paid workers in the</w:t>
      </w:r>
      <w:r w:rsidR="00F11E5E">
        <w:rPr>
          <w:rFonts w:ascii="Calibri" w:hAnsi="Calibri" w:cs="Calibri"/>
          <w:color w:val="000000" w:themeColor="text1"/>
        </w:rPr>
        <w:t xml:space="preserve"> UK and</w:t>
      </w:r>
      <w:r w:rsidR="00081D55">
        <w:rPr>
          <w:rFonts w:ascii="Calibri" w:hAnsi="Calibri" w:cs="Calibri"/>
          <w:color w:val="000000" w:themeColor="text1"/>
        </w:rPr>
        <w:t xml:space="preserve"> in April 2024 the age of entitl</w:t>
      </w:r>
      <w:r w:rsidR="00F11E5E">
        <w:rPr>
          <w:rFonts w:ascii="Calibri" w:hAnsi="Calibri" w:cs="Calibri"/>
          <w:color w:val="000000" w:themeColor="text1"/>
        </w:rPr>
        <w:t>ement was l</w:t>
      </w:r>
      <w:r w:rsidR="00EB2A05">
        <w:rPr>
          <w:rFonts w:ascii="Calibri" w:hAnsi="Calibri" w:cs="Calibri"/>
          <w:color w:val="000000" w:themeColor="text1"/>
        </w:rPr>
        <w:t>owered from 23 to 21</w:t>
      </w:r>
      <w:r w:rsidR="00F11E5E">
        <w:rPr>
          <w:rFonts w:ascii="Calibri" w:hAnsi="Calibri" w:cs="Calibri"/>
          <w:color w:val="000000" w:themeColor="text1"/>
        </w:rPr>
        <w:t>.</w:t>
      </w:r>
      <w:r w:rsidR="00EB2A05">
        <w:rPr>
          <w:rFonts w:ascii="Calibri" w:hAnsi="Calibri" w:cs="Calibri"/>
          <w:color w:val="000000" w:themeColor="text1"/>
        </w:rPr>
        <w:t xml:space="preserve"> </w:t>
      </w:r>
      <w:r w:rsidR="00746594">
        <w:rPr>
          <w:rFonts w:ascii="Calibri" w:hAnsi="Calibri" w:cs="Calibri"/>
          <w:color w:val="000000" w:themeColor="text1"/>
        </w:rPr>
        <w:t xml:space="preserve"> It is </w:t>
      </w:r>
      <w:r w:rsidR="00EB2A05">
        <w:rPr>
          <w:rFonts w:ascii="Calibri" w:hAnsi="Calibri" w:cs="Calibri"/>
          <w:color w:val="000000" w:themeColor="text1"/>
        </w:rPr>
        <w:t>discr</w:t>
      </w:r>
      <w:r w:rsidR="00746594">
        <w:rPr>
          <w:rFonts w:ascii="Calibri" w:hAnsi="Calibri" w:cs="Calibri"/>
          <w:color w:val="000000" w:themeColor="text1"/>
        </w:rPr>
        <w:t>etionary, whether employers</w:t>
      </w:r>
      <w:r w:rsidR="00EB2A05">
        <w:rPr>
          <w:rFonts w:ascii="Calibri" w:hAnsi="Calibri" w:cs="Calibri"/>
          <w:color w:val="000000" w:themeColor="text1"/>
        </w:rPr>
        <w:t xml:space="preserve"> choose to pay the Real Living Wage, which is based on the cost of living (London has a separate higher rate).</w:t>
      </w:r>
    </w:p>
    <w:p w:rsidR="004D70D5" w:rsidRDefault="00EB2A05" w:rsidP="00F11E5E">
      <w:pPr>
        <w:pStyle w:val="Nornal"/>
        <w:ind w:left="720"/>
        <w:jc w:val="both"/>
        <w:rPr>
          <w:rFonts w:ascii="Calibri" w:hAnsi="Calibri" w:cs="Calibri"/>
          <w:color w:val="000000" w:themeColor="text1"/>
        </w:rPr>
      </w:pPr>
      <w:r w:rsidRPr="00EB2A05">
        <w:rPr>
          <w:rFonts w:ascii="Calibri" w:hAnsi="Calibri" w:cs="Calibri"/>
          <w:noProof/>
          <w:color w:val="000000" w:themeColor="text1"/>
          <w:lang w:eastAsia="en-GB"/>
        </w:rPr>
        <w:drawing>
          <wp:inline distT="0" distB="0" distL="0" distR="0" wp14:anchorId="51040618" wp14:editId="6DFD925F">
            <wp:extent cx="5274664" cy="4511039"/>
            <wp:effectExtent l="0" t="0" r="254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377917" cy="4599343"/>
                    </a:xfrm>
                    <a:prstGeom prst="rect">
                      <a:avLst/>
                    </a:prstGeom>
                  </pic:spPr>
                </pic:pic>
              </a:graphicData>
            </a:graphic>
          </wp:inline>
        </w:drawing>
      </w:r>
      <w:r w:rsidR="00F11E5E">
        <w:rPr>
          <w:rFonts w:ascii="Calibri" w:hAnsi="Calibri" w:cs="Calibri"/>
          <w:color w:val="000000" w:themeColor="text1"/>
        </w:rPr>
        <w:t xml:space="preserve">  </w:t>
      </w:r>
    </w:p>
    <w:p w:rsidR="00EB2A05" w:rsidRDefault="00382BD1" w:rsidP="00FE401F">
      <w:pPr>
        <w:spacing w:after="0" w:line="240" w:lineRule="auto"/>
        <w:ind w:firstLine="720"/>
        <w:rPr>
          <w:rFonts w:eastAsia="Times New Roman" w:cstheme="minorHAnsi"/>
          <w:lang w:eastAsia="en-GB"/>
        </w:rPr>
      </w:pPr>
      <w:r>
        <w:rPr>
          <w:rFonts w:eastAsia="Times New Roman" w:cstheme="minorHAnsi"/>
          <w:lang w:eastAsia="en-GB"/>
        </w:rPr>
        <w:t>Fig 2</w:t>
      </w:r>
      <w:r w:rsidR="00FE401F">
        <w:rPr>
          <w:rFonts w:eastAsia="Times New Roman" w:cstheme="minorHAnsi"/>
          <w:lang w:eastAsia="en-GB"/>
        </w:rPr>
        <w:t xml:space="preserve">: Explaining UK wage rates </w:t>
      </w:r>
      <w:r w:rsidR="00FE401F" w:rsidRPr="00FE401F">
        <w:rPr>
          <w:rFonts w:eastAsia="Times New Roman" w:cstheme="minorHAnsi"/>
          <w:lang w:eastAsia="en-GB"/>
        </w:rPr>
        <w:t>(Living Wage Foundation, n.d.)</w:t>
      </w:r>
    </w:p>
    <w:p w:rsidR="00FE401F" w:rsidRPr="00FE401F" w:rsidRDefault="00FE401F" w:rsidP="00FE401F">
      <w:pPr>
        <w:spacing w:after="0" w:line="240" w:lineRule="auto"/>
        <w:ind w:firstLine="720"/>
        <w:rPr>
          <w:rFonts w:eastAsia="Times New Roman" w:cstheme="minorHAnsi"/>
          <w:lang w:eastAsia="en-GB"/>
        </w:rPr>
      </w:pPr>
    </w:p>
    <w:p w:rsidR="00C2497D" w:rsidRDefault="00C2497D" w:rsidP="006424EB">
      <w:pPr>
        <w:pStyle w:val="Nornal"/>
        <w:ind w:left="720"/>
        <w:jc w:val="both"/>
        <w:rPr>
          <w:rFonts w:ascii="Calibri" w:hAnsi="Calibri" w:cs="Calibri"/>
          <w:color w:val="000000" w:themeColor="text1"/>
        </w:rPr>
      </w:pPr>
      <w:r w:rsidRPr="00EE1DE3">
        <w:rPr>
          <w:rFonts w:ascii="Calibri" w:hAnsi="Calibri" w:cs="Calibri"/>
          <w:i/>
          <w:color w:val="000000" w:themeColor="text1"/>
        </w:rPr>
        <w:t>The Equality Act 2010</w:t>
      </w:r>
      <w:r>
        <w:rPr>
          <w:rFonts w:ascii="Calibri" w:hAnsi="Calibri" w:cs="Calibri"/>
          <w:color w:val="000000" w:themeColor="text1"/>
        </w:rPr>
        <w:t xml:space="preserve"> sets our requirements for equal treatment of those with protected characteristics; age, disability, pregnancy/maternity, gender</w:t>
      </w:r>
      <w:r w:rsidR="00441A50">
        <w:rPr>
          <w:rFonts w:ascii="Calibri" w:hAnsi="Calibri" w:cs="Calibri"/>
          <w:color w:val="000000" w:themeColor="text1"/>
        </w:rPr>
        <w:t xml:space="preserve"> </w:t>
      </w:r>
      <w:r>
        <w:rPr>
          <w:rFonts w:ascii="Calibri" w:hAnsi="Calibri" w:cs="Calibri"/>
          <w:color w:val="000000" w:themeColor="text1"/>
        </w:rPr>
        <w:t>reassignment, marriage/</w:t>
      </w:r>
      <w:r w:rsidR="00441A50">
        <w:rPr>
          <w:rFonts w:ascii="Calibri" w:hAnsi="Calibri" w:cs="Calibri"/>
          <w:color w:val="000000" w:themeColor="text1"/>
        </w:rPr>
        <w:t xml:space="preserve">civil partnership, race, religion/belief and sex (Gov.uk, 2023a). It is important that rewards schemes are fair and non-discriminatory in line with the Equality Act.  </w:t>
      </w:r>
    </w:p>
    <w:p w:rsidR="004D70D5" w:rsidRDefault="00FE401F" w:rsidP="006424EB">
      <w:pPr>
        <w:pStyle w:val="Nornal"/>
        <w:ind w:left="720"/>
        <w:jc w:val="both"/>
        <w:rPr>
          <w:rFonts w:ascii="Calibri" w:hAnsi="Calibri" w:cs="Calibri"/>
          <w:color w:val="000000" w:themeColor="text1"/>
        </w:rPr>
      </w:pPr>
      <w:r w:rsidRPr="00EE1DE3">
        <w:rPr>
          <w:rFonts w:ascii="Calibri" w:hAnsi="Calibri" w:cs="Calibri"/>
          <w:i/>
          <w:color w:val="000000" w:themeColor="text1"/>
        </w:rPr>
        <w:t xml:space="preserve">The </w:t>
      </w:r>
      <w:r w:rsidRPr="00EE1DE3">
        <w:rPr>
          <w:rFonts w:asciiTheme="minorHAnsi" w:hAnsiTheme="minorHAnsi" w:cstheme="minorHAnsi"/>
          <w:i/>
          <w:color w:val="000000" w:themeColor="text1"/>
        </w:rPr>
        <w:t>Equality Act</w:t>
      </w:r>
      <w:r w:rsidRPr="00DB5E71">
        <w:rPr>
          <w:rFonts w:asciiTheme="minorHAnsi" w:hAnsiTheme="minorHAnsi" w:cstheme="minorHAnsi"/>
          <w:color w:val="000000" w:themeColor="text1"/>
        </w:rPr>
        <w:t xml:space="preserve"> 2010 incorporates Equal Pay regulations putting an obligation on all employers to pay men and women the same for equal work</w:t>
      </w:r>
      <w:r w:rsidR="006424EB" w:rsidRPr="00DB5E71">
        <w:rPr>
          <w:rFonts w:asciiTheme="minorHAnsi" w:hAnsiTheme="minorHAnsi" w:cstheme="minorHAnsi"/>
          <w:color w:val="000000" w:themeColor="text1"/>
        </w:rPr>
        <w:t xml:space="preserve"> minimising the gender pay gap</w:t>
      </w:r>
      <w:r w:rsidRPr="00DB5E71">
        <w:rPr>
          <w:rFonts w:asciiTheme="minorHAnsi" w:hAnsiTheme="minorHAnsi" w:cstheme="minorHAnsi"/>
          <w:color w:val="000000" w:themeColor="text1"/>
        </w:rPr>
        <w:t>.</w:t>
      </w:r>
      <w:r w:rsidR="006424EB" w:rsidRPr="00DB5E71">
        <w:rPr>
          <w:rFonts w:asciiTheme="minorHAnsi" w:hAnsiTheme="minorHAnsi" w:cstheme="minorHAnsi"/>
          <w:color w:val="000000" w:themeColor="text1"/>
        </w:rPr>
        <w:t xml:space="preserve">  </w:t>
      </w:r>
      <w:r w:rsidR="00DB5E71" w:rsidRPr="00EE1DE3">
        <w:rPr>
          <w:rFonts w:asciiTheme="minorHAnsi" w:hAnsiTheme="minorHAnsi" w:cstheme="minorHAnsi"/>
          <w:i/>
        </w:rPr>
        <w:t>Companies (Miscellaneous Reporting) Regulations 2018</w:t>
      </w:r>
      <w:r w:rsidR="00746594">
        <w:rPr>
          <w:rFonts w:asciiTheme="minorHAnsi" w:hAnsiTheme="minorHAnsi" w:cstheme="minorHAnsi"/>
          <w:color w:val="000000" w:themeColor="text1"/>
        </w:rPr>
        <w:t xml:space="preserve"> state that </w:t>
      </w:r>
      <w:r w:rsidR="006424EB" w:rsidRPr="00DB5E71">
        <w:rPr>
          <w:rFonts w:asciiTheme="minorHAnsi" w:hAnsiTheme="minorHAnsi" w:cstheme="minorHAnsi"/>
          <w:color w:val="000000" w:themeColor="text1"/>
        </w:rPr>
        <w:t xml:space="preserve">organisations </w:t>
      </w:r>
      <w:r w:rsidR="00746594">
        <w:rPr>
          <w:rFonts w:asciiTheme="minorHAnsi" w:hAnsiTheme="minorHAnsi" w:cstheme="minorHAnsi"/>
          <w:color w:val="000000" w:themeColor="text1"/>
        </w:rPr>
        <w:t>with 250 or more employees</w:t>
      </w:r>
      <w:r w:rsidR="006424EB" w:rsidRPr="00DB5E71">
        <w:rPr>
          <w:rFonts w:asciiTheme="minorHAnsi" w:hAnsiTheme="minorHAnsi" w:cstheme="minorHAnsi"/>
          <w:color w:val="000000" w:themeColor="text1"/>
        </w:rPr>
        <w:t xml:space="preserve"> are legally</w:t>
      </w:r>
      <w:r w:rsidR="006424EB">
        <w:rPr>
          <w:rFonts w:ascii="Calibri" w:hAnsi="Calibri" w:cs="Calibri"/>
          <w:color w:val="000000" w:themeColor="text1"/>
        </w:rPr>
        <w:t xml:space="preserve"> required to report their gender pay gap (Gov.uk, 2023</w:t>
      </w:r>
      <w:r w:rsidR="00441A50">
        <w:rPr>
          <w:rFonts w:ascii="Calibri" w:hAnsi="Calibri" w:cs="Calibri"/>
          <w:color w:val="000000" w:themeColor="text1"/>
        </w:rPr>
        <w:t>b</w:t>
      </w:r>
      <w:r w:rsidR="006424EB">
        <w:rPr>
          <w:rFonts w:ascii="Calibri" w:hAnsi="Calibri" w:cs="Calibri"/>
          <w:color w:val="000000" w:themeColor="text1"/>
        </w:rPr>
        <w:t>).</w:t>
      </w:r>
      <w:r>
        <w:rPr>
          <w:rFonts w:ascii="Calibri" w:hAnsi="Calibri" w:cs="Calibri"/>
          <w:color w:val="000000" w:themeColor="text1"/>
        </w:rPr>
        <w:t xml:space="preserve">  Under the new Labour </w:t>
      </w:r>
      <w:r w:rsidR="006424EB">
        <w:rPr>
          <w:rFonts w:ascii="Calibri" w:hAnsi="Calibri" w:cs="Calibri"/>
          <w:color w:val="000000" w:themeColor="text1"/>
        </w:rPr>
        <w:t>government,</w:t>
      </w:r>
      <w:r>
        <w:rPr>
          <w:rFonts w:ascii="Calibri" w:hAnsi="Calibri" w:cs="Calibri"/>
          <w:color w:val="000000" w:themeColor="text1"/>
        </w:rPr>
        <w:t xml:space="preserve"> there are also proposals to introduce </w:t>
      </w:r>
      <w:r w:rsidR="006424EB" w:rsidRPr="00CD0956">
        <w:rPr>
          <w:rFonts w:ascii="Calibri" w:hAnsi="Calibri" w:cs="Calibri"/>
          <w:i/>
          <w:color w:val="000000" w:themeColor="text1"/>
        </w:rPr>
        <w:t>The Race Equality Act</w:t>
      </w:r>
      <w:r w:rsidR="006424EB">
        <w:rPr>
          <w:rFonts w:ascii="Calibri" w:hAnsi="Calibri" w:cs="Calibri"/>
          <w:color w:val="000000" w:themeColor="text1"/>
        </w:rPr>
        <w:t>, which would include equal pay for disabled, Black, Asian and Ethnic Minorities (Ra</w:t>
      </w:r>
      <w:r w:rsidR="008846EB">
        <w:rPr>
          <w:rFonts w:ascii="Calibri" w:hAnsi="Calibri" w:cs="Calibri"/>
          <w:color w:val="000000" w:themeColor="text1"/>
        </w:rPr>
        <w:t>ce Equalities Foundation, 2021).</w:t>
      </w:r>
      <w:r w:rsidR="00C2497D">
        <w:rPr>
          <w:rFonts w:ascii="Calibri" w:hAnsi="Calibri" w:cs="Calibri"/>
          <w:color w:val="000000" w:themeColor="text1"/>
        </w:rPr>
        <w:t xml:space="preserve">  It is important that any schemes whereby employees use salary sacrifice does not result in their pay coming under the regulated pay thresholds.  </w:t>
      </w:r>
    </w:p>
    <w:p w:rsidR="00F92D1D" w:rsidRDefault="008846EB" w:rsidP="006424EB">
      <w:pPr>
        <w:pStyle w:val="Nornal"/>
        <w:ind w:left="720"/>
        <w:jc w:val="both"/>
        <w:rPr>
          <w:rFonts w:ascii="Calibri" w:hAnsi="Calibri" w:cs="Calibri"/>
          <w:color w:val="000000" w:themeColor="text1"/>
        </w:rPr>
      </w:pPr>
      <w:r w:rsidRPr="00EE1DE3">
        <w:rPr>
          <w:rFonts w:ascii="Calibri" w:hAnsi="Calibri" w:cs="Calibri"/>
          <w:i/>
          <w:color w:val="000000" w:themeColor="text1"/>
        </w:rPr>
        <w:t>The Working Time Regulations 1998</w:t>
      </w:r>
      <w:r>
        <w:rPr>
          <w:rFonts w:ascii="Calibri" w:hAnsi="Calibri" w:cs="Calibri"/>
          <w:color w:val="000000" w:themeColor="text1"/>
        </w:rPr>
        <w:t xml:space="preserve"> set out the maximum working hours employees can work (48 hours per week) and the minimum period of rest (5.6 weeks paid holiday a year) thus affecting </w:t>
      </w:r>
      <w:r w:rsidR="00C2497D">
        <w:rPr>
          <w:rFonts w:ascii="Calibri" w:hAnsi="Calibri" w:cs="Calibri"/>
          <w:color w:val="000000" w:themeColor="text1"/>
        </w:rPr>
        <w:t xml:space="preserve">reward in that employees who may wish to ‘sell’ annual leave would still need to meet the minimum rest period.  </w:t>
      </w:r>
    </w:p>
    <w:p w:rsidR="0053094F" w:rsidRDefault="0053094F" w:rsidP="006424EB">
      <w:pPr>
        <w:pStyle w:val="Nornal"/>
        <w:ind w:left="720"/>
        <w:jc w:val="both"/>
        <w:rPr>
          <w:rFonts w:ascii="Calibri" w:hAnsi="Calibri" w:cs="Calibri"/>
          <w:color w:val="000000" w:themeColor="text1"/>
        </w:rPr>
      </w:pPr>
      <w:r w:rsidRPr="00EE1DE3">
        <w:rPr>
          <w:rFonts w:ascii="Calibri" w:hAnsi="Calibri" w:cs="Calibri"/>
          <w:i/>
          <w:color w:val="000000" w:themeColor="text1"/>
        </w:rPr>
        <w:t>The Employment Rights Act 1996</w:t>
      </w:r>
      <w:r w:rsidR="00DB5E71">
        <w:rPr>
          <w:rFonts w:ascii="Calibri" w:hAnsi="Calibri" w:cs="Calibri"/>
          <w:color w:val="000000" w:themeColor="text1"/>
        </w:rPr>
        <w:t xml:space="preserve"> sets out </w:t>
      </w:r>
      <w:r w:rsidR="004F5A7C">
        <w:rPr>
          <w:rFonts w:ascii="Calibri" w:hAnsi="Calibri" w:cs="Calibri"/>
          <w:color w:val="000000" w:themeColor="text1"/>
        </w:rPr>
        <w:t>the minimum requirements for employee entitlements and rights</w:t>
      </w:r>
      <w:r w:rsidR="007B31CE">
        <w:rPr>
          <w:rFonts w:ascii="Calibri" w:hAnsi="Calibri" w:cs="Calibri"/>
          <w:color w:val="000000" w:themeColor="text1"/>
        </w:rPr>
        <w:t xml:space="preserve"> (Gov.uk, 2022)</w:t>
      </w:r>
      <w:r w:rsidR="004F5A7C">
        <w:rPr>
          <w:rFonts w:ascii="Calibri" w:hAnsi="Calibri" w:cs="Calibri"/>
          <w:color w:val="000000" w:themeColor="text1"/>
        </w:rPr>
        <w:t xml:space="preserve">.  These include maternity/paternity and adoption leave and flexible working policies, which should be structured with reward policies in mind.   It also includes pensions, statements of pay, equal treatment of full and part time staff and unfair dismissal, all of which need to be considered in reward strategies.   </w:t>
      </w:r>
    </w:p>
    <w:p w:rsidR="00DB5E71" w:rsidRDefault="00DB5E71" w:rsidP="006424EB">
      <w:pPr>
        <w:pStyle w:val="Nornal"/>
        <w:ind w:left="720"/>
        <w:jc w:val="both"/>
        <w:rPr>
          <w:rFonts w:ascii="Calibri" w:hAnsi="Calibri" w:cs="Calibri"/>
          <w:color w:val="000000" w:themeColor="text1"/>
        </w:rPr>
      </w:pPr>
      <w:r>
        <w:rPr>
          <w:rFonts w:ascii="Calibri" w:hAnsi="Calibri" w:cs="Calibri"/>
          <w:color w:val="000000" w:themeColor="text1"/>
        </w:rPr>
        <w:t>Eco-Insulated UK should create a reward strategy that complies with all legislation and guidance, which should be reviewed and updated regularly to ensure compliance.  Their reward strategy should be fair, transparent and non-discriminatory.</w:t>
      </w:r>
    </w:p>
    <w:p w:rsidR="006F298E" w:rsidRDefault="006F298E" w:rsidP="006F298E">
      <w:pPr>
        <w:pStyle w:val="Nornal"/>
        <w:jc w:val="both"/>
        <w:rPr>
          <w:rFonts w:asciiTheme="minorHAnsi" w:hAnsiTheme="minorHAnsi" w:cstheme="minorHAnsi"/>
          <w:color w:val="000000" w:themeColor="text1"/>
        </w:rPr>
      </w:pPr>
    </w:p>
    <w:p w:rsidR="006F298E" w:rsidRDefault="006F298E" w:rsidP="006F298E">
      <w:pPr>
        <w:pStyle w:val="Nornal"/>
        <w:jc w:val="both"/>
        <w:rPr>
          <w:rFonts w:asciiTheme="minorHAnsi" w:hAnsiTheme="minorHAnsi" w:cstheme="minorHAnsi"/>
          <w:b/>
          <w:color w:val="000000" w:themeColor="text1"/>
          <w:u w:val="single"/>
        </w:rPr>
      </w:pPr>
      <w:r w:rsidRPr="006F298E">
        <w:rPr>
          <w:rFonts w:asciiTheme="minorHAnsi" w:hAnsiTheme="minorHAnsi" w:cstheme="minorHAnsi"/>
          <w:b/>
          <w:color w:val="000000" w:themeColor="text1"/>
          <w:u w:val="single"/>
        </w:rPr>
        <w:t xml:space="preserve">Legislation </w:t>
      </w:r>
    </w:p>
    <w:p w:rsidR="00CB6707" w:rsidRPr="00CB6707" w:rsidRDefault="00CB6707" w:rsidP="00CB6707">
      <w:pPr>
        <w:pStyle w:val="NormalWeb"/>
        <w:spacing w:before="0" w:beforeAutospacing="0" w:after="240" w:afterAutospacing="0" w:line="360" w:lineRule="auto"/>
        <w:rPr>
          <w:rFonts w:asciiTheme="minorHAnsi" w:hAnsiTheme="minorHAnsi" w:cstheme="minorHAnsi"/>
          <w:sz w:val="22"/>
          <w:szCs w:val="22"/>
        </w:rPr>
      </w:pPr>
      <w:r w:rsidRPr="00CB6707">
        <w:rPr>
          <w:rFonts w:asciiTheme="minorHAnsi" w:hAnsiTheme="minorHAnsi" w:cstheme="minorHAnsi"/>
          <w:i/>
          <w:iCs/>
          <w:sz w:val="22"/>
          <w:szCs w:val="22"/>
        </w:rPr>
        <w:t>Pensions Schemes Act 2021</w:t>
      </w:r>
      <w:r w:rsidRPr="00CB6707">
        <w:rPr>
          <w:rFonts w:asciiTheme="minorHAnsi" w:hAnsiTheme="minorHAnsi" w:cstheme="minorHAnsi"/>
          <w:sz w:val="22"/>
          <w:szCs w:val="22"/>
        </w:rPr>
        <w:t>. Available at: https://www.legislation.gov.uk/primary+secondary?title=Pensions%20schemes%20act [Accessed 11 Aug. 2024].</w:t>
      </w:r>
    </w:p>
    <w:p w:rsidR="00CB6707" w:rsidRPr="00CB6707" w:rsidRDefault="00CB6707" w:rsidP="00CB6707">
      <w:pPr>
        <w:pStyle w:val="NormalWeb"/>
        <w:spacing w:before="0" w:beforeAutospacing="0" w:after="240" w:afterAutospacing="0" w:line="360" w:lineRule="auto"/>
        <w:rPr>
          <w:rFonts w:asciiTheme="minorHAnsi" w:hAnsiTheme="minorHAnsi" w:cstheme="minorHAnsi"/>
          <w:sz w:val="22"/>
          <w:szCs w:val="22"/>
        </w:rPr>
      </w:pPr>
      <w:r w:rsidRPr="00CB6707">
        <w:rPr>
          <w:rFonts w:asciiTheme="minorHAnsi" w:hAnsiTheme="minorHAnsi" w:cstheme="minorHAnsi"/>
          <w:i/>
          <w:iCs/>
          <w:sz w:val="22"/>
          <w:szCs w:val="22"/>
        </w:rPr>
        <w:t xml:space="preserve">The Employment Rights Act 1996 </w:t>
      </w:r>
      <w:r w:rsidRPr="00CB6707">
        <w:rPr>
          <w:rFonts w:asciiTheme="minorHAnsi" w:hAnsiTheme="minorHAnsi" w:cstheme="minorHAnsi"/>
          <w:sz w:val="22"/>
          <w:szCs w:val="22"/>
        </w:rPr>
        <w:t>. Available at: https://www.legislation.gov.uk/ukpga/1996/18/contents [Accessed 11 Aug. 2024].</w:t>
      </w:r>
    </w:p>
    <w:p w:rsidR="00CB6707" w:rsidRPr="00CB6707" w:rsidRDefault="00CB6707" w:rsidP="00CB6707">
      <w:pPr>
        <w:pStyle w:val="NormalWeb"/>
        <w:spacing w:before="0" w:beforeAutospacing="0" w:after="240" w:afterAutospacing="0" w:line="360" w:lineRule="auto"/>
        <w:rPr>
          <w:rFonts w:asciiTheme="minorHAnsi" w:hAnsiTheme="minorHAnsi" w:cstheme="minorHAnsi"/>
          <w:sz w:val="22"/>
          <w:szCs w:val="22"/>
        </w:rPr>
      </w:pPr>
      <w:r w:rsidRPr="00CB6707">
        <w:rPr>
          <w:rFonts w:asciiTheme="minorHAnsi" w:hAnsiTheme="minorHAnsi" w:cstheme="minorHAnsi"/>
          <w:i/>
          <w:iCs/>
          <w:sz w:val="22"/>
          <w:szCs w:val="22"/>
        </w:rPr>
        <w:t xml:space="preserve">The Equality Act 2010 </w:t>
      </w:r>
      <w:r w:rsidRPr="00CB6707">
        <w:rPr>
          <w:rFonts w:asciiTheme="minorHAnsi" w:hAnsiTheme="minorHAnsi" w:cstheme="minorHAnsi"/>
          <w:sz w:val="22"/>
          <w:szCs w:val="22"/>
        </w:rPr>
        <w:t>. Available at: https://www.legislation.gov.uk/ukpga/2010/15/contents [Accessed 11 Aug. 2024].</w:t>
      </w:r>
    </w:p>
    <w:p w:rsidR="00CB6707" w:rsidRPr="00CB6707" w:rsidRDefault="00CB6707" w:rsidP="00CB6707">
      <w:pPr>
        <w:pStyle w:val="NormalWeb"/>
        <w:spacing w:before="0" w:beforeAutospacing="0" w:after="240" w:afterAutospacing="0" w:line="360" w:lineRule="auto"/>
        <w:rPr>
          <w:rFonts w:asciiTheme="minorHAnsi" w:hAnsiTheme="minorHAnsi" w:cstheme="minorHAnsi"/>
          <w:sz w:val="22"/>
          <w:szCs w:val="22"/>
        </w:rPr>
      </w:pPr>
      <w:r w:rsidRPr="00CB6707">
        <w:rPr>
          <w:rFonts w:asciiTheme="minorHAnsi" w:hAnsiTheme="minorHAnsi" w:cstheme="minorHAnsi"/>
          <w:i/>
          <w:iCs/>
          <w:sz w:val="22"/>
          <w:szCs w:val="22"/>
        </w:rPr>
        <w:t xml:space="preserve">The National Minimum Wage Act 1998 </w:t>
      </w:r>
      <w:r w:rsidRPr="00CB6707">
        <w:rPr>
          <w:rFonts w:asciiTheme="minorHAnsi" w:hAnsiTheme="minorHAnsi" w:cstheme="minorHAnsi"/>
          <w:sz w:val="22"/>
          <w:szCs w:val="22"/>
        </w:rPr>
        <w:t>. Available at: https://www.legislation.gov.uk/ukpga/1998/39/contents [Accessed 11 Aug. 2024].</w:t>
      </w:r>
    </w:p>
    <w:p w:rsidR="006F298E" w:rsidRPr="006F298E" w:rsidRDefault="00CB6707" w:rsidP="00CB6707">
      <w:pPr>
        <w:pStyle w:val="NormalWeb"/>
        <w:spacing w:before="0" w:beforeAutospacing="0" w:after="240" w:afterAutospacing="0" w:line="360" w:lineRule="auto"/>
        <w:rPr>
          <w:rFonts w:asciiTheme="minorHAnsi" w:hAnsiTheme="minorHAnsi" w:cstheme="minorHAnsi"/>
          <w:b/>
          <w:color w:val="000000" w:themeColor="text1"/>
          <w:sz w:val="22"/>
          <w:szCs w:val="22"/>
          <w:u w:val="single"/>
        </w:rPr>
      </w:pPr>
      <w:r w:rsidRPr="00CB6707">
        <w:rPr>
          <w:rFonts w:asciiTheme="minorHAnsi" w:hAnsiTheme="minorHAnsi" w:cstheme="minorHAnsi"/>
          <w:i/>
          <w:iCs/>
          <w:sz w:val="22"/>
          <w:szCs w:val="22"/>
        </w:rPr>
        <w:lastRenderedPageBreak/>
        <w:t>The working Time Regulations 1998</w:t>
      </w:r>
      <w:r w:rsidRPr="00CB6707">
        <w:rPr>
          <w:rFonts w:asciiTheme="minorHAnsi" w:hAnsiTheme="minorHAnsi" w:cstheme="minorHAnsi"/>
          <w:sz w:val="22"/>
          <w:szCs w:val="22"/>
        </w:rPr>
        <w:t>. Available at: https://www.legislation.gov.uk/uksi/1998/1833/contents [Accessed 11 Aug. 2024].</w:t>
      </w:r>
    </w:p>
    <w:p w:rsidR="006F298E" w:rsidRPr="006F298E" w:rsidRDefault="006F298E" w:rsidP="006F298E">
      <w:pPr>
        <w:pStyle w:val="Heading1"/>
        <w:spacing w:before="0" w:beforeAutospacing="0" w:after="240" w:afterAutospacing="0" w:line="360" w:lineRule="auto"/>
        <w:rPr>
          <w:rFonts w:asciiTheme="minorHAnsi" w:hAnsiTheme="minorHAnsi" w:cstheme="minorHAnsi"/>
          <w:sz w:val="22"/>
          <w:szCs w:val="22"/>
          <w:u w:val="single"/>
        </w:rPr>
      </w:pPr>
      <w:r w:rsidRPr="006F298E">
        <w:rPr>
          <w:rFonts w:asciiTheme="minorHAnsi" w:hAnsiTheme="minorHAnsi" w:cstheme="minorHAnsi"/>
          <w:sz w:val="22"/>
          <w:szCs w:val="22"/>
          <w:u w:val="single"/>
        </w:rPr>
        <w:t>Reference</w:t>
      </w:r>
      <w:r w:rsidR="00CB6707">
        <w:rPr>
          <w:rFonts w:asciiTheme="minorHAnsi" w:hAnsiTheme="minorHAnsi" w:cstheme="minorHAnsi"/>
          <w:sz w:val="22"/>
          <w:szCs w:val="22"/>
          <w:u w:val="single"/>
        </w:rPr>
        <w:t>s</w:t>
      </w:r>
      <w:bookmarkStart w:id="0" w:name="_GoBack"/>
      <w:bookmarkEnd w:id="0"/>
    </w:p>
    <w:p w:rsidR="006F298E" w:rsidRPr="006F298E" w:rsidRDefault="006F298E" w:rsidP="006F298E">
      <w:pPr>
        <w:pStyle w:val="NormalWeb"/>
        <w:spacing w:before="0" w:beforeAutospacing="0" w:after="240" w:afterAutospacing="0" w:line="360" w:lineRule="auto"/>
        <w:rPr>
          <w:rFonts w:asciiTheme="minorHAnsi" w:hAnsiTheme="minorHAnsi" w:cstheme="minorHAnsi"/>
          <w:sz w:val="22"/>
          <w:szCs w:val="22"/>
        </w:rPr>
      </w:pPr>
      <w:r w:rsidRPr="006F298E">
        <w:rPr>
          <w:rFonts w:asciiTheme="minorHAnsi" w:hAnsiTheme="minorHAnsi" w:cstheme="minorHAnsi"/>
          <w:sz w:val="22"/>
          <w:szCs w:val="22"/>
        </w:rPr>
        <w:t xml:space="preserve">Acas (2014). Job evaluation: considerations and risks. </w:t>
      </w:r>
      <w:r w:rsidRPr="006F298E">
        <w:rPr>
          <w:rFonts w:asciiTheme="minorHAnsi" w:hAnsiTheme="minorHAnsi" w:cstheme="minorHAnsi"/>
          <w:i/>
          <w:iCs/>
          <w:sz w:val="22"/>
          <w:szCs w:val="22"/>
        </w:rPr>
        <w:t>Acas</w:t>
      </w:r>
      <w:r w:rsidRPr="006F298E">
        <w:rPr>
          <w:rFonts w:asciiTheme="minorHAnsi" w:hAnsiTheme="minorHAnsi" w:cstheme="minorHAnsi"/>
          <w:sz w:val="22"/>
          <w:szCs w:val="22"/>
        </w:rPr>
        <w:t>. [online] Mar. Available at: https://www.acas.org.uk/sites/default/files/2021-03/job-evaluation-considerations-and-risks-advisory-booklet.pdf [Accessed 7 Aug. 2024].</w:t>
      </w:r>
    </w:p>
    <w:p w:rsidR="006F298E" w:rsidRPr="006F298E" w:rsidRDefault="006F298E" w:rsidP="006F298E">
      <w:pPr>
        <w:pStyle w:val="NormalWeb"/>
        <w:spacing w:before="0" w:beforeAutospacing="0" w:after="240" w:afterAutospacing="0" w:line="360" w:lineRule="auto"/>
        <w:rPr>
          <w:rFonts w:asciiTheme="minorHAnsi" w:hAnsiTheme="minorHAnsi" w:cstheme="minorHAnsi"/>
          <w:sz w:val="22"/>
          <w:szCs w:val="22"/>
        </w:rPr>
      </w:pPr>
      <w:r w:rsidRPr="006F298E">
        <w:rPr>
          <w:rFonts w:asciiTheme="minorHAnsi" w:hAnsiTheme="minorHAnsi" w:cstheme="minorHAnsi"/>
          <w:sz w:val="22"/>
          <w:szCs w:val="22"/>
        </w:rPr>
        <w:t xml:space="preserve">Ali, L. (2022). </w:t>
      </w:r>
      <w:r w:rsidRPr="006F298E">
        <w:rPr>
          <w:rFonts w:asciiTheme="minorHAnsi" w:hAnsiTheme="minorHAnsi" w:cstheme="minorHAnsi"/>
          <w:i/>
          <w:iCs/>
          <w:sz w:val="22"/>
          <w:szCs w:val="22"/>
        </w:rPr>
        <w:t>CIPD | Equality, Diversity and Inclusion in the Workplace | Factsheets</w:t>
      </w:r>
      <w:r w:rsidRPr="006F298E">
        <w:rPr>
          <w:rFonts w:asciiTheme="minorHAnsi" w:hAnsiTheme="minorHAnsi" w:cstheme="minorHAnsi"/>
          <w:sz w:val="22"/>
          <w:szCs w:val="22"/>
        </w:rPr>
        <w:t>. [online] CIPD. Available at: https://www.cipd.org/uk/knowledge/factsheets/diversity-factsheet/#Equality [Accessed 29 Jul. 2024].</w:t>
      </w:r>
    </w:p>
    <w:p w:rsidR="006F298E" w:rsidRPr="006F298E" w:rsidRDefault="006F298E" w:rsidP="006F298E">
      <w:pPr>
        <w:pStyle w:val="NormalWeb"/>
        <w:spacing w:before="0" w:beforeAutospacing="0" w:after="240" w:afterAutospacing="0" w:line="360" w:lineRule="auto"/>
        <w:rPr>
          <w:rFonts w:asciiTheme="minorHAnsi" w:hAnsiTheme="minorHAnsi" w:cstheme="minorHAnsi"/>
          <w:sz w:val="22"/>
          <w:szCs w:val="22"/>
        </w:rPr>
      </w:pPr>
      <w:r w:rsidRPr="006F298E">
        <w:rPr>
          <w:rFonts w:asciiTheme="minorHAnsi" w:hAnsiTheme="minorHAnsi" w:cstheme="minorHAnsi"/>
          <w:sz w:val="22"/>
          <w:szCs w:val="22"/>
        </w:rPr>
        <w:t xml:space="preserve">Armstrong, M. and Brown, D. (2023). </w:t>
      </w:r>
      <w:r w:rsidRPr="006F298E">
        <w:rPr>
          <w:rFonts w:asciiTheme="minorHAnsi" w:hAnsiTheme="minorHAnsi" w:cstheme="minorHAnsi"/>
          <w:i/>
          <w:iCs/>
          <w:sz w:val="22"/>
          <w:szCs w:val="22"/>
        </w:rPr>
        <w:t>Armstrong’s Handbook of Reward Management Practice</w:t>
      </w:r>
      <w:r w:rsidRPr="006F298E">
        <w:rPr>
          <w:rFonts w:asciiTheme="minorHAnsi" w:hAnsiTheme="minorHAnsi" w:cstheme="minorHAnsi"/>
          <w:sz w:val="22"/>
          <w:szCs w:val="22"/>
        </w:rPr>
        <w:t>. Kogan Page Publishers.</w:t>
      </w:r>
    </w:p>
    <w:p w:rsidR="006F298E" w:rsidRPr="006F298E" w:rsidRDefault="006F298E" w:rsidP="006F298E">
      <w:pPr>
        <w:pStyle w:val="NormalWeb"/>
        <w:spacing w:before="0" w:beforeAutospacing="0" w:after="240" w:afterAutospacing="0" w:line="360" w:lineRule="auto"/>
        <w:rPr>
          <w:rFonts w:asciiTheme="minorHAnsi" w:hAnsiTheme="minorHAnsi" w:cstheme="minorHAnsi"/>
          <w:sz w:val="22"/>
          <w:szCs w:val="22"/>
        </w:rPr>
      </w:pPr>
      <w:r w:rsidRPr="006F298E">
        <w:rPr>
          <w:rFonts w:asciiTheme="minorHAnsi" w:hAnsiTheme="minorHAnsi" w:cstheme="minorHAnsi"/>
          <w:sz w:val="22"/>
          <w:szCs w:val="22"/>
        </w:rPr>
        <w:t xml:space="preserve">Assad, A. (2024). </w:t>
      </w:r>
      <w:r w:rsidRPr="006F298E">
        <w:rPr>
          <w:rFonts w:asciiTheme="minorHAnsi" w:hAnsiTheme="minorHAnsi" w:cstheme="minorHAnsi"/>
          <w:i/>
          <w:iCs/>
          <w:sz w:val="22"/>
          <w:szCs w:val="22"/>
        </w:rPr>
        <w:t>Reward Strategy: Trends and Calendar 2024</w:t>
      </w:r>
      <w:r w:rsidRPr="006F298E">
        <w:rPr>
          <w:rFonts w:asciiTheme="minorHAnsi" w:hAnsiTheme="minorHAnsi" w:cstheme="minorHAnsi"/>
          <w:sz w:val="22"/>
          <w:szCs w:val="22"/>
        </w:rPr>
        <w:t>. [online] Reward Strategy. Available at: https://www.reward-strategy.com/news/top-stories/reward-strategys-2024-trends-and-calendar-25736 [Accessed 5 Aug. 2024].</w:t>
      </w:r>
    </w:p>
    <w:p w:rsidR="006F298E" w:rsidRPr="006F298E" w:rsidRDefault="006F298E" w:rsidP="006F298E">
      <w:pPr>
        <w:pStyle w:val="NormalWeb"/>
        <w:spacing w:before="0" w:beforeAutospacing="0" w:after="240" w:afterAutospacing="0" w:line="360" w:lineRule="auto"/>
        <w:rPr>
          <w:rFonts w:asciiTheme="minorHAnsi" w:hAnsiTheme="minorHAnsi" w:cstheme="minorHAnsi"/>
          <w:sz w:val="22"/>
          <w:szCs w:val="22"/>
        </w:rPr>
      </w:pPr>
      <w:r w:rsidRPr="006F298E">
        <w:rPr>
          <w:rFonts w:asciiTheme="minorHAnsi" w:hAnsiTheme="minorHAnsi" w:cstheme="minorHAnsi"/>
          <w:sz w:val="22"/>
          <w:szCs w:val="22"/>
        </w:rPr>
        <w:t xml:space="preserve">Barends, E., Wietrak, E., Cioca, I. and Rousseau, D. (2022). </w:t>
      </w:r>
      <w:r w:rsidRPr="006F298E">
        <w:rPr>
          <w:rFonts w:asciiTheme="minorHAnsi" w:hAnsiTheme="minorHAnsi" w:cstheme="minorHAnsi"/>
          <w:i/>
          <w:iCs/>
          <w:sz w:val="22"/>
          <w:szCs w:val="22"/>
        </w:rPr>
        <w:t>Financial Incentives: An evidence review</w:t>
      </w:r>
      <w:r w:rsidRPr="006F298E">
        <w:rPr>
          <w:rFonts w:asciiTheme="minorHAnsi" w:hAnsiTheme="minorHAnsi" w:cstheme="minorHAnsi"/>
          <w:sz w:val="22"/>
          <w:szCs w:val="22"/>
        </w:rPr>
        <w:t xml:space="preserve">. [online] </w:t>
      </w:r>
      <w:r w:rsidRPr="006F298E">
        <w:rPr>
          <w:rFonts w:asciiTheme="minorHAnsi" w:hAnsiTheme="minorHAnsi" w:cstheme="minorHAnsi"/>
          <w:i/>
          <w:iCs/>
          <w:sz w:val="22"/>
          <w:szCs w:val="22"/>
        </w:rPr>
        <w:t>CIPD</w:t>
      </w:r>
      <w:r w:rsidRPr="006F298E">
        <w:rPr>
          <w:rFonts w:asciiTheme="minorHAnsi" w:hAnsiTheme="minorHAnsi" w:cstheme="minorHAnsi"/>
          <w:sz w:val="22"/>
          <w:szCs w:val="22"/>
        </w:rPr>
        <w:t>. Available at: https://www.cipd.org/globalassets/media/knowledge/knowledge-hub/evidence-reviews/financial-incentives-scientific-summary_tcm18-105468.pdf [Accessed 24 Jul. 2024].</w:t>
      </w:r>
    </w:p>
    <w:p w:rsidR="006F298E" w:rsidRPr="006F298E" w:rsidRDefault="006F298E" w:rsidP="006F298E">
      <w:pPr>
        <w:pStyle w:val="NormalWeb"/>
        <w:spacing w:before="0" w:beforeAutospacing="0" w:after="240" w:afterAutospacing="0" w:line="360" w:lineRule="auto"/>
        <w:rPr>
          <w:rFonts w:asciiTheme="minorHAnsi" w:hAnsiTheme="minorHAnsi" w:cstheme="minorHAnsi"/>
          <w:sz w:val="22"/>
          <w:szCs w:val="22"/>
        </w:rPr>
      </w:pPr>
      <w:r w:rsidRPr="006F298E">
        <w:rPr>
          <w:rFonts w:asciiTheme="minorHAnsi" w:hAnsiTheme="minorHAnsi" w:cstheme="minorHAnsi"/>
          <w:sz w:val="22"/>
          <w:szCs w:val="22"/>
        </w:rPr>
        <w:t xml:space="preserve">Ben-Hur, S. and Kinley, N. (2016). Intrinsic Motivation: The missing piece in changing employee behavior. </w:t>
      </w:r>
      <w:r w:rsidRPr="006F298E">
        <w:rPr>
          <w:rFonts w:asciiTheme="minorHAnsi" w:hAnsiTheme="minorHAnsi" w:cstheme="minorHAnsi"/>
          <w:i/>
          <w:iCs/>
          <w:sz w:val="22"/>
          <w:szCs w:val="22"/>
        </w:rPr>
        <w:t>IMD</w:t>
      </w:r>
      <w:r w:rsidRPr="006F298E">
        <w:rPr>
          <w:rFonts w:asciiTheme="minorHAnsi" w:hAnsiTheme="minorHAnsi" w:cstheme="minorHAnsi"/>
          <w:sz w:val="22"/>
          <w:szCs w:val="22"/>
        </w:rPr>
        <w:t>, [online] 192, May. Available at: https://www.imd.org/research-knowledge/organizational-behavior/articles/intrinsic-motivation-the-missing-piece-in-changing-employee-behavior/ [Accessed 8 Jul. 2024].</w:t>
      </w:r>
    </w:p>
    <w:p w:rsidR="006F298E" w:rsidRPr="006F298E" w:rsidRDefault="006F298E" w:rsidP="006F298E">
      <w:pPr>
        <w:pStyle w:val="NormalWeb"/>
        <w:spacing w:before="0" w:beforeAutospacing="0" w:after="240" w:afterAutospacing="0" w:line="360" w:lineRule="auto"/>
        <w:rPr>
          <w:rFonts w:asciiTheme="minorHAnsi" w:hAnsiTheme="minorHAnsi" w:cstheme="minorHAnsi"/>
          <w:sz w:val="22"/>
          <w:szCs w:val="22"/>
        </w:rPr>
      </w:pPr>
      <w:r w:rsidRPr="006F298E">
        <w:rPr>
          <w:rFonts w:asciiTheme="minorHAnsi" w:hAnsiTheme="minorHAnsi" w:cstheme="minorHAnsi"/>
          <w:sz w:val="22"/>
          <w:szCs w:val="22"/>
        </w:rPr>
        <w:t xml:space="preserve">Breza, E., Kaur, S. and Shamdasani, Y. (2016). </w:t>
      </w:r>
      <w:r w:rsidRPr="006F298E">
        <w:rPr>
          <w:rFonts w:asciiTheme="minorHAnsi" w:hAnsiTheme="minorHAnsi" w:cstheme="minorHAnsi"/>
          <w:i/>
          <w:iCs/>
          <w:sz w:val="22"/>
          <w:szCs w:val="22"/>
        </w:rPr>
        <w:t>The Morale Effects of Pay Inequality</w:t>
      </w:r>
      <w:r w:rsidRPr="006F298E">
        <w:rPr>
          <w:rFonts w:asciiTheme="minorHAnsi" w:hAnsiTheme="minorHAnsi" w:cstheme="minorHAnsi"/>
          <w:sz w:val="22"/>
          <w:szCs w:val="22"/>
        </w:rPr>
        <w:t xml:space="preserve">. [online] </w:t>
      </w:r>
      <w:r w:rsidRPr="006F298E">
        <w:rPr>
          <w:rFonts w:asciiTheme="minorHAnsi" w:hAnsiTheme="minorHAnsi" w:cstheme="minorHAnsi"/>
          <w:i/>
          <w:iCs/>
          <w:sz w:val="22"/>
          <w:szCs w:val="22"/>
        </w:rPr>
        <w:t>Gov.UK</w:t>
      </w:r>
      <w:r w:rsidRPr="006F298E">
        <w:rPr>
          <w:rFonts w:asciiTheme="minorHAnsi" w:hAnsiTheme="minorHAnsi" w:cstheme="minorHAnsi"/>
          <w:sz w:val="22"/>
          <w:szCs w:val="22"/>
        </w:rPr>
        <w:t>. Available at: https://assets.publishing.service.gov.uk/media/587dd6f0ed915d0aeb000157/Breza_The_Morale_Effects_of_Pay_Inequality__1_.pdf [Accessed 8 Jul. 2024].</w:t>
      </w:r>
    </w:p>
    <w:p w:rsidR="006F298E" w:rsidRPr="006F298E" w:rsidRDefault="006F298E" w:rsidP="006F298E">
      <w:pPr>
        <w:pStyle w:val="NormalWeb"/>
        <w:spacing w:before="0" w:beforeAutospacing="0" w:after="240" w:afterAutospacing="0" w:line="360" w:lineRule="auto"/>
        <w:rPr>
          <w:rFonts w:asciiTheme="minorHAnsi" w:hAnsiTheme="minorHAnsi" w:cstheme="minorHAnsi"/>
          <w:sz w:val="22"/>
          <w:szCs w:val="22"/>
        </w:rPr>
      </w:pPr>
      <w:r w:rsidRPr="006F298E">
        <w:rPr>
          <w:rFonts w:asciiTheme="minorHAnsi" w:hAnsiTheme="minorHAnsi" w:cstheme="minorHAnsi"/>
          <w:sz w:val="22"/>
          <w:szCs w:val="22"/>
        </w:rPr>
        <w:t xml:space="preserve">Carpenter, J. and Dolifka, D. (2017). Exploitation aversion: When financial incentives fail to motivate agents. </w:t>
      </w:r>
      <w:r w:rsidRPr="006F298E">
        <w:rPr>
          <w:rFonts w:asciiTheme="minorHAnsi" w:hAnsiTheme="minorHAnsi" w:cstheme="minorHAnsi"/>
          <w:i/>
          <w:iCs/>
          <w:sz w:val="22"/>
          <w:szCs w:val="22"/>
        </w:rPr>
        <w:t>Journal of Economic Psychology</w:t>
      </w:r>
      <w:r w:rsidRPr="006F298E">
        <w:rPr>
          <w:rFonts w:asciiTheme="minorHAnsi" w:hAnsiTheme="minorHAnsi" w:cstheme="minorHAnsi"/>
          <w:sz w:val="22"/>
          <w:szCs w:val="22"/>
        </w:rPr>
        <w:t>, [online] 61, pp.213–224. doi:https://doi.org/10.1016/j.joep.2017.04.006.</w:t>
      </w:r>
    </w:p>
    <w:p w:rsidR="006F298E" w:rsidRPr="006F298E" w:rsidRDefault="006F298E" w:rsidP="006F298E">
      <w:pPr>
        <w:pStyle w:val="NormalWeb"/>
        <w:spacing w:before="0" w:beforeAutospacing="0" w:after="240" w:afterAutospacing="0" w:line="360" w:lineRule="auto"/>
        <w:rPr>
          <w:rFonts w:asciiTheme="minorHAnsi" w:hAnsiTheme="minorHAnsi" w:cstheme="minorHAnsi"/>
          <w:sz w:val="22"/>
          <w:szCs w:val="22"/>
        </w:rPr>
      </w:pPr>
      <w:r w:rsidRPr="006F298E">
        <w:rPr>
          <w:rFonts w:asciiTheme="minorHAnsi" w:hAnsiTheme="minorHAnsi" w:cstheme="minorHAnsi"/>
          <w:sz w:val="22"/>
          <w:szCs w:val="22"/>
        </w:rPr>
        <w:lastRenderedPageBreak/>
        <w:t xml:space="preserve">Cave, D. (2022). </w:t>
      </w:r>
      <w:r w:rsidRPr="006F298E">
        <w:rPr>
          <w:rFonts w:asciiTheme="minorHAnsi" w:hAnsiTheme="minorHAnsi" w:cstheme="minorHAnsi"/>
          <w:i/>
          <w:iCs/>
          <w:sz w:val="22"/>
          <w:szCs w:val="22"/>
        </w:rPr>
        <w:t>Businesses upping pay in response to labour market conditions, survey finds</w:t>
      </w:r>
      <w:r w:rsidRPr="006F298E">
        <w:rPr>
          <w:rFonts w:asciiTheme="minorHAnsi" w:hAnsiTheme="minorHAnsi" w:cstheme="minorHAnsi"/>
          <w:sz w:val="22"/>
          <w:szCs w:val="22"/>
        </w:rPr>
        <w:t>. [online] www.peoplemanagement.co.uk. Available at: https://www.peoplemanagement.co.uk/article/1793883/businesses-upping-pay-response-labour-market-conditions-survey-finds#:~:text=Businesses%20are%20upping%20pay%2C%20hiking [Accessed 5 Aug. 2024].</w:t>
      </w:r>
    </w:p>
    <w:p w:rsidR="006F298E" w:rsidRPr="006F298E" w:rsidRDefault="006F298E" w:rsidP="006F298E">
      <w:pPr>
        <w:pStyle w:val="NormalWeb"/>
        <w:spacing w:before="0" w:beforeAutospacing="0" w:after="240" w:afterAutospacing="0" w:line="360" w:lineRule="auto"/>
        <w:rPr>
          <w:rFonts w:asciiTheme="minorHAnsi" w:hAnsiTheme="minorHAnsi" w:cstheme="minorHAnsi"/>
          <w:sz w:val="22"/>
          <w:szCs w:val="22"/>
        </w:rPr>
      </w:pPr>
      <w:r w:rsidRPr="006F298E">
        <w:rPr>
          <w:rFonts w:asciiTheme="minorHAnsi" w:hAnsiTheme="minorHAnsi" w:cstheme="minorHAnsi"/>
          <w:sz w:val="22"/>
          <w:szCs w:val="22"/>
        </w:rPr>
        <w:t xml:space="preserve">CIPD (2022). </w:t>
      </w:r>
      <w:r w:rsidRPr="006F298E">
        <w:rPr>
          <w:rFonts w:asciiTheme="minorHAnsi" w:hAnsiTheme="minorHAnsi" w:cstheme="minorHAnsi"/>
          <w:i/>
          <w:iCs/>
          <w:sz w:val="22"/>
          <w:szCs w:val="22"/>
        </w:rPr>
        <w:t>CIPD | Tight labour market will force organisations to strengthen employment offer to attract and retain staff</w:t>
      </w:r>
      <w:r w:rsidRPr="006F298E">
        <w:rPr>
          <w:rFonts w:asciiTheme="minorHAnsi" w:hAnsiTheme="minorHAnsi" w:cstheme="minorHAnsi"/>
          <w:sz w:val="22"/>
          <w:szCs w:val="22"/>
        </w:rPr>
        <w:t>. [online] CIPD. Available at: https://www.cipd.org/uk/about/press-releases/150222tight-labour-market-employment-offer/ [Accessed 5 Aug. 2024].</w:t>
      </w:r>
    </w:p>
    <w:p w:rsidR="006F298E" w:rsidRPr="006F298E" w:rsidRDefault="006F298E" w:rsidP="006F298E">
      <w:pPr>
        <w:pStyle w:val="NormalWeb"/>
        <w:spacing w:before="0" w:beforeAutospacing="0" w:after="240" w:afterAutospacing="0" w:line="360" w:lineRule="auto"/>
        <w:rPr>
          <w:rFonts w:asciiTheme="minorHAnsi" w:hAnsiTheme="minorHAnsi" w:cstheme="minorHAnsi"/>
          <w:sz w:val="22"/>
          <w:szCs w:val="22"/>
        </w:rPr>
      </w:pPr>
      <w:r w:rsidRPr="006F298E">
        <w:rPr>
          <w:rFonts w:asciiTheme="minorHAnsi" w:hAnsiTheme="minorHAnsi" w:cstheme="minorHAnsi"/>
          <w:sz w:val="22"/>
          <w:szCs w:val="22"/>
        </w:rPr>
        <w:t xml:space="preserve">CIPD (2023). </w:t>
      </w:r>
      <w:r w:rsidRPr="006F298E">
        <w:rPr>
          <w:rFonts w:asciiTheme="minorHAnsi" w:hAnsiTheme="minorHAnsi" w:cstheme="minorHAnsi"/>
          <w:i/>
          <w:iCs/>
          <w:sz w:val="22"/>
          <w:szCs w:val="22"/>
        </w:rPr>
        <w:t>CIPD | The Profession Map / Specialist knowledge / Reward</w:t>
      </w:r>
      <w:r w:rsidRPr="006F298E">
        <w:rPr>
          <w:rFonts w:asciiTheme="minorHAnsi" w:hAnsiTheme="minorHAnsi" w:cstheme="minorHAnsi"/>
          <w:sz w:val="22"/>
          <w:szCs w:val="22"/>
        </w:rPr>
        <w:t>. [online] CIPD. Available at: https://www.cipd.org/uk/the-people-profession/the-profession-map/explore-the-profession-map/specialist-knowledge/reward/ [Accessed 31 Jul. 2024].</w:t>
      </w:r>
    </w:p>
    <w:p w:rsidR="006F298E" w:rsidRPr="006F298E" w:rsidRDefault="006F298E" w:rsidP="006F298E">
      <w:pPr>
        <w:pStyle w:val="NormalWeb"/>
        <w:spacing w:before="0" w:beforeAutospacing="0" w:after="240" w:afterAutospacing="0" w:line="360" w:lineRule="auto"/>
        <w:rPr>
          <w:rFonts w:asciiTheme="minorHAnsi" w:hAnsiTheme="minorHAnsi" w:cstheme="minorHAnsi"/>
          <w:sz w:val="22"/>
          <w:szCs w:val="22"/>
        </w:rPr>
      </w:pPr>
      <w:r w:rsidRPr="006F298E">
        <w:rPr>
          <w:rFonts w:asciiTheme="minorHAnsi" w:hAnsiTheme="minorHAnsi" w:cstheme="minorHAnsi"/>
          <w:sz w:val="22"/>
          <w:szCs w:val="22"/>
        </w:rPr>
        <w:t xml:space="preserve">Condly, S.J., Clark, R.E. and Stolovitch, H.D. (2008). The Effects of Incentives on Workplace Performance: A Meta-analytic Review of Research Studies 1. </w:t>
      </w:r>
      <w:r w:rsidRPr="006F298E">
        <w:rPr>
          <w:rFonts w:asciiTheme="minorHAnsi" w:hAnsiTheme="minorHAnsi" w:cstheme="minorHAnsi"/>
          <w:i/>
          <w:iCs/>
          <w:sz w:val="22"/>
          <w:szCs w:val="22"/>
        </w:rPr>
        <w:t>Performance Improvement Quarterly</w:t>
      </w:r>
      <w:r w:rsidRPr="006F298E">
        <w:rPr>
          <w:rFonts w:asciiTheme="minorHAnsi" w:hAnsiTheme="minorHAnsi" w:cstheme="minorHAnsi"/>
          <w:sz w:val="22"/>
          <w:szCs w:val="22"/>
        </w:rPr>
        <w:t>, [online] 16(3), pp.46–63. doi:https://doi.org/10.1111/j.1937-8327.2003.tb00287.x.</w:t>
      </w:r>
    </w:p>
    <w:p w:rsidR="006F298E" w:rsidRPr="006F298E" w:rsidRDefault="006F298E" w:rsidP="006F298E">
      <w:pPr>
        <w:pStyle w:val="NormalWeb"/>
        <w:spacing w:before="0" w:beforeAutospacing="0" w:after="240" w:afterAutospacing="0" w:line="360" w:lineRule="auto"/>
        <w:rPr>
          <w:rFonts w:asciiTheme="minorHAnsi" w:hAnsiTheme="minorHAnsi" w:cstheme="minorHAnsi"/>
          <w:sz w:val="22"/>
          <w:szCs w:val="22"/>
        </w:rPr>
      </w:pPr>
      <w:r w:rsidRPr="006F298E">
        <w:rPr>
          <w:rFonts w:asciiTheme="minorHAnsi" w:hAnsiTheme="minorHAnsi" w:cstheme="minorHAnsi"/>
          <w:sz w:val="22"/>
          <w:szCs w:val="22"/>
        </w:rPr>
        <w:t xml:space="preserve">Cotton, C. (2022a). </w:t>
      </w:r>
      <w:r w:rsidRPr="006F298E">
        <w:rPr>
          <w:rFonts w:asciiTheme="minorHAnsi" w:hAnsiTheme="minorHAnsi" w:cstheme="minorHAnsi"/>
          <w:i/>
          <w:iCs/>
          <w:sz w:val="22"/>
          <w:szCs w:val="22"/>
        </w:rPr>
        <w:t>CIPD | Pay Structures and Pay Progression | Factsheets</w:t>
      </w:r>
      <w:r w:rsidRPr="006F298E">
        <w:rPr>
          <w:rFonts w:asciiTheme="minorHAnsi" w:hAnsiTheme="minorHAnsi" w:cstheme="minorHAnsi"/>
          <w:sz w:val="22"/>
          <w:szCs w:val="22"/>
        </w:rPr>
        <w:t>. [online] CIPD. Available at: https://www.cipd.org/uk/knowledge/factsheets/pay-structures-factsheet/#paystructure [Accessed 13 Jul. 2024].</w:t>
      </w:r>
    </w:p>
    <w:p w:rsidR="006F298E" w:rsidRPr="006F298E" w:rsidRDefault="006F298E" w:rsidP="006F298E">
      <w:pPr>
        <w:pStyle w:val="NormalWeb"/>
        <w:spacing w:before="0" w:beforeAutospacing="0" w:after="240" w:afterAutospacing="0" w:line="360" w:lineRule="auto"/>
        <w:rPr>
          <w:rFonts w:asciiTheme="minorHAnsi" w:hAnsiTheme="minorHAnsi" w:cstheme="minorHAnsi"/>
          <w:sz w:val="22"/>
          <w:szCs w:val="22"/>
        </w:rPr>
      </w:pPr>
      <w:r w:rsidRPr="006F298E">
        <w:rPr>
          <w:rFonts w:asciiTheme="minorHAnsi" w:hAnsiTheme="minorHAnsi" w:cstheme="minorHAnsi"/>
          <w:sz w:val="22"/>
          <w:szCs w:val="22"/>
        </w:rPr>
        <w:t xml:space="preserve">Cotton, C. (2022b). </w:t>
      </w:r>
      <w:r w:rsidRPr="006F298E">
        <w:rPr>
          <w:rFonts w:asciiTheme="minorHAnsi" w:hAnsiTheme="minorHAnsi" w:cstheme="minorHAnsi"/>
          <w:i/>
          <w:iCs/>
          <w:sz w:val="22"/>
          <w:szCs w:val="22"/>
        </w:rPr>
        <w:t>Employee benefits: an Introduction</w:t>
      </w:r>
      <w:r w:rsidRPr="006F298E">
        <w:rPr>
          <w:rFonts w:asciiTheme="minorHAnsi" w:hAnsiTheme="minorHAnsi" w:cstheme="minorHAnsi"/>
          <w:sz w:val="22"/>
          <w:szCs w:val="22"/>
        </w:rPr>
        <w:t>. [online] CIPD. Available at: https://www.cipd.org/uk/knowledge/factsheets/benefits-factsheet/ [Accessed 29 Jul. 2024].</w:t>
      </w:r>
    </w:p>
    <w:p w:rsidR="006F298E" w:rsidRPr="006F298E" w:rsidRDefault="006F298E" w:rsidP="006F298E">
      <w:pPr>
        <w:pStyle w:val="NormalWeb"/>
        <w:spacing w:before="0" w:beforeAutospacing="0" w:after="240" w:afterAutospacing="0" w:line="360" w:lineRule="auto"/>
        <w:rPr>
          <w:rFonts w:asciiTheme="minorHAnsi" w:hAnsiTheme="minorHAnsi" w:cstheme="minorHAnsi"/>
          <w:sz w:val="22"/>
          <w:szCs w:val="22"/>
        </w:rPr>
      </w:pPr>
      <w:r w:rsidRPr="006F298E">
        <w:rPr>
          <w:rFonts w:asciiTheme="minorHAnsi" w:hAnsiTheme="minorHAnsi" w:cstheme="minorHAnsi"/>
          <w:sz w:val="22"/>
          <w:szCs w:val="22"/>
        </w:rPr>
        <w:t xml:space="preserve">Cotton, C. (2023a). </w:t>
      </w:r>
      <w:r w:rsidRPr="006F298E">
        <w:rPr>
          <w:rFonts w:asciiTheme="minorHAnsi" w:hAnsiTheme="minorHAnsi" w:cstheme="minorHAnsi"/>
          <w:i/>
          <w:iCs/>
          <w:sz w:val="22"/>
          <w:szCs w:val="22"/>
        </w:rPr>
        <w:t>CIPD | Performance Related Pay | Factsheets</w:t>
      </w:r>
      <w:r w:rsidRPr="006F298E">
        <w:rPr>
          <w:rFonts w:asciiTheme="minorHAnsi" w:hAnsiTheme="minorHAnsi" w:cstheme="minorHAnsi"/>
          <w:sz w:val="22"/>
          <w:szCs w:val="22"/>
        </w:rPr>
        <w:t>. [online] CIPD. Available at: https://www.cipd.org/uk/knowledge/factsheets/pay-performance-factsheet/#performancerelatedpay [Accessed 24 Jul. 2024].</w:t>
      </w:r>
    </w:p>
    <w:p w:rsidR="006F298E" w:rsidRPr="006F298E" w:rsidRDefault="006F298E" w:rsidP="006F298E">
      <w:pPr>
        <w:pStyle w:val="NormalWeb"/>
        <w:spacing w:before="0" w:beforeAutospacing="0" w:after="240" w:afterAutospacing="0" w:line="360" w:lineRule="auto"/>
        <w:rPr>
          <w:rFonts w:asciiTheme="minorHAnsi" w:hAnsiTheme="minorHAnsi" w:cstheme="minorHAnsi"/>
          <w:sz w:val="22"/>
          <w:szCs w:val="22"/>
        </w:rPr>
      </w:pPr>
      <w:r w:rsidRPr="006F298E">
        <w:rPr>
          <w:rFonts w:asciiTheme="minorHAnsi" w:hAnsiTheme="minorHAnsi" w:cstheme="minorHAnsi"/>
          <w:sz w:val="22"/>
          <w:szCs w:val="22"/>
        </w:rPr>
        <w:t xml:space="preserve">Cotton, C. (2023b). </w:t>
      </w:r>
      <w:r w:rsidRPr="006F298E">
        <w:rPr>
          <w:rFonts w:asciiTheme="minorHAnsi" w:hAnsiTheme="minorHAnsi" w:cstheme="minorHAnsi"/>
          <w:i/>
          <w:iCs/>
          <w:sz w:val="22"/>
          <w:szCs w:val="22"/>
        </w:rPr>
        <w:t>CIPD | Workplace Pensions | Factsheets</w:t>
      </w:r>
      <w:r w:rsidRPr="006F298E">
        <w:rPr>
          <w:rFonts w:asciiTheme="minorHAnsi" w:hAnsiTheme="minorHAnsi" w:cstheme="minorHAnsi"/>
          <w:sz w:val="22"/>
          <w:szCs w:val="22"/>
        </w:rPr>
        <w:t>. [online] CIPD. Available at: https://www.cipd.org/uk/knowledge/factsheets/workplace-pensions-factsheet/ [Accessed 29 Jul. 2024].</w:t>
      </w:r>
    </w:p>
    <w:p w:rsidR="006F298E" w:rsidRPr="006F298E" w:rsidRDefault="006F298E" w:rsidP="006F298E">
      <w:pPr>
        <w:pStyle w:val="NormalWeb"/>
        <w:spacing w:before="0" w:beforeAutospacing="0" w:after="240" w:afterAutospacing="0" w:line="360" w:lineRule="auto"/>
        <w:rPr>
          <w:rFonts w:asciiTheme="minorHAnsi" w:hAnsiTheme="minorHAnsi" w:cstheme="minorHAnsi"/>
          <w:sz w:val="22"/>
          <w:szCs w:val="22"/>
        </w:rPr>
      </w:pPr>
      <w:r w:rsidRPr="006F298E">
        <w:rPr>
          <w:rFonts w:asciiTheme="minorHAnsi" w:hAnsiTheme="minorHAnsi" w:cstheme="minorHAnsi"/>
          <w:sz w:val="22"/>
          <w:szCs w:val="22"/>
        </w:rPr>
        <w:t xml:space="preserve">Cotton, C. (2024a). </w:t>
      </w:r>
      <w:r w:rsidRPr="006F298E">
        <w:rPr>
          <w:rFonts w:asciiTheme="minorHAnsi" w:hAnsiTheme="minorHAnsi" w:cstheme="minorHAnsi"/>
          <w:i/>
          <w:iCs/>
          <w:sz w:val="22"/>
          <w:szCs w:val="22"/>
        </w:rPr>
        <w:t>CIPD | Reward | Factsheets</w:t>
      </w:r>
      <w:r w:rsidRPr="006F298E">
        <w:rPr>
          <w:rFonts w:asciiTheme="minorHAnsi" w:hAnsiTheme="minorHAnsi" w:cstheme="minorHAnsi"/>
          <w:sz w:val="22"/>
          <w:szCs w:val="22"/>
        </w:rPr>
        <w:t>. [online] CIPD. Available at: https://www.cipd.org/uk/knowledge/factsheets/reward-factsheet/ [Accessed 8 Jul. 2024].</w:t>
      </w:r>
    </w:p>
    <w:p w:rsidR="006F298E" w:rsidRPr="006F298E" w:rsidRDefault="006F298E" w:rsidP="006F298E">
      <w:pPr>
        <w:pStyle w:val="NormalWeb"/>
        <w:spacing w:before="0" w:beforeAutospacing="0" w:after="240" w:afterAutospacing="0" w:line="360" w:lineRule="auto"/>
        <w:rPr>
          <w:rFonts w:asciiTheme="minorHAnsi" w:hAnsiTheme="minorHAnsi" w:cstheme="minorHAnsi"/>
          <w:sz w:val="22"/>
          <w:szCs w:val="22"/>
        </w:rPr>
      </w:pPr>
      <w:r w:rsidRPr="006F298E">
        <w:rPr>
          <w:rFonts w:asciiTheme="minorHAnsi" w:hAnsiTheme="minorHAnsi" w:cstheme="minorHAnsi"/>
          <w:sz w:val="22"/>
          <w:szCs w:val="22"/>
        </w:rPr>
        <w:t xml:space="preserve">Cotton, C. (2024b). </w:t>
      </w:r>
      <w:r w:rsidRPr="006F298E">
        <w:rPr>
          <w:rFonts w:asciiTheme="minorHAnsi" w:hAnsiTheme="minorHAnsi" w:cstheme="minorHAnsi"/>
          <w:i/>
          <w:iCs/>
          <w:sz w:val="22"/>
          <w:szCs w:val="22"/>
        </w:rPr>
        <w:t>Job Evaluation &amp; Market Pricing</w:t>
      </w:r>
      <w:r w:rsidRPr="006F298E">
        <w:rPr>
          <w:rFonts w:asciiTheme="minorHAnsi" w:hAnsiTheme="minorHAnsi" w:cstheme="minorHAnsi"/>
          <w:sz w:val="22"/>
          <w:szCs w:val="22"/>
        </w:rPr>
        <w:t>. [online] CIPD. Available at: https://www.cipd.org/uk/knowledge/factsheets/market-pricing-factsheet/ [Accessed 7 Aug. 2024].</w:t>
      </w:r>
    </w:p>
    <w:p w:rsidR="006F298E" w:rsidRPr="006F298E" w:rsidRDefault="006F298E" w:rsidP="006F298E">
      <w:pPr>
        <w:pStyle w:val="NormalWeb"/>
        <w:spacing w:before="0" w:beforeAutospacing="0" w:after="240" w:afterAutospacing="0" w:line="360" w:lineRule="auto"/>
        <w:rPr>
          <w:rFonts w:asciiTheme="minorHAnsi" w:hAnsiTheme="minorHAnsi" w:cstheme="minorHAnsi"/>
          <w:sz w:val="22"/>
          <w:szCs w:val="22"/>
        </w:rPr>
      </w:pPr>
      <w:r w:rsidRPr="006F298E">
        <w:rPr>
          <w:rFonts w:asciiTheme="minorHAnsi" w:hAnsiTheme="minorHAnsi" w:cstheme="minorHAnsi"/>
          <w:sz w:val="22"/>
          <w:szCs w:val="22"/>
        </w:rPr>
        <w:lastRenderedPageBreak/>
        <w:t xml:space="preserve">Cotton, C. (2024c). </w:t>
      </w:r>
      <w:r w:rsidRPr="006F298E">
        <w:rPr>
          <w:rFonts w:asciiTheme="minorHAnsi" w:hAnsiTheme="minorHAnsi" w:cstheme="minorHAnsi"/>
          <w:i/>
          <w:iCs/>
          <w:sz w:val="22"/>
          <w:szCs w:val="22"/>
        </w:rPr>
        <w:t>Strategic &amp; Total Reward | Factsheets</w:t>
      </w:r>
      <w:r w:rsidRPr="006F298E">
        <w:rPr>
          <w:rFonts w:asciiTheme="minorHAnsi" w:hAnsiTheme="minorHAnsi" w:cstheme="minorHAnsi"/>
          <w:sz w:val="22"/>
          <w:szCs w:val="22"/>
        </w:rPr>
        <w:t>. [online] CIPD. Available at: https://www.cipd.org/uk/knowledge/factsheets/strategic-total-factsheet/ [Accessed 7 Jul. 2024].</w:t>
      </w:r>
    </w:p>
    <w:p w:rsidR="006F298E" w:rsidRPr="006F298E" w:rsidRDefault="006F298E" w:rsidP="006F298E">
      <w:pPr>
        <w:pStyle w:val="NormalWeb"/>
        <w:spacing w:before="0" w:beforeAutospacing="0" w:after="240" w:afterAutospacing="0" w:line="360" w:lineRule="auto"/>
        <w:rPr>
          <w:rFonts w:asciiTheme="minorHAnsi" w:hAnsiTheme="minorHAnsi" w:cstheme="minorHAnsi"/>
          <w:sz w:val="22"/>
          <w:szCs w:val="22"/>
        </w:rPr>
      </w:pPr>
      <w:r w:rsidRPr="006F298E">
        <w:rPr>
          <w:rFonts w:asciiTheme="minorHAnsi" w:hAnsiTheme="minorHAnsi" w:cstheme="minorHAnsi"/>
          <w:sz w:val="22"/>
          <w:szCs w:val="22"/>
        </w:rPr>
        <w:t xml:space="preserve">Cotton, C., Gifford, J. and Young, J. (2022). </w:t>
      </w:r>
      <w:r w:rsidRPr="006F298E">
        <w:rPr>
          <w:rFonts w:asciiTheme="minorHAnsi" w:hAnsiTheme="minorHAnsi" w:cstheme="minorHAnsi"/>
          <w:i/>
          <w:iCs/>
          <w:sz w:val="22"/>
          <w:szCs w:val="22"/>
        </w:rPr>
        <w:t>Incentives and recognition: an evidence review</w:t>
      </w:r>
      <w:r w:rsidRPr="006F298E">
        <w:rPr>
          <w:rFonts w:asciiTheme="minorHAnsi" w:hAnsiTheme="minorHAnsi" w:cstheme="minorHAnsi"/>
          <w:sz w:val="22"/>
          <w:szCs w:val="22"/>
        </w:rPr>
        <w:t xml:space="preserve">. [online] </w:t>
      </w:r>
      <w:r w:rsidRPr="006F298E">
        <w:rPr>
          <w:rFonts w:asciiTheme="minorHAnsi" w:hAnsiTheme="minorHAnsi" w:cstheme="minorHAnsi"/>
          <w:i/>
          <w:iCs/>
          <w:sz w:val="22"/>
          <w:szCs w:val="22"/>
        </w:rPr>
        <w:t>CIPD</w:t>
      </w:r>
      <w:r w:rsidRPr="006F298E">
        <w:rPr>
          <w:rFonts w:asciiTheme="minorHAnsi" w:hAnsiTheme="minorHAnsi" w:cstheme="minorHAnsi"/>
          <w:sz w:val="22"/>
          <w:szCs w:val="22"/>
        </w:rPr>
        <w:t>. Available at: https://www.cipd.org/globalassets/media/knowledge/knowledge-hub/evidence-reviews/incentives-recognition-practice-summary_tcm18-105466.pdf [Accessed 8 Jul. 2024].</w:t>
      </w:r>
    </w:p>
    <w:p w:rsidR="006F298E" w:rsidRPr="006F298E" w:rsidRDefault="006F298E" w:rsidP="006F298E">
      <w:pPr>
        <w:pStyle w:val="NormalWeb"/>
        <w:spacing w:before="0" w:beforeAutospacing="0" w:after="240" w:afterAutospacing="0" w:line="360" w:lineRule="auto"/>
        <w:rPr>
          <w:rFonts w:asciiTheme="minorHAnsi" w:hAnsiTheme="minorHAnsi" w:cstheme="minorHAnsi"/>
          <w:sz w:val="22"/>
          <w:szCs w:val="22"/>
        </w:rPr>
      </w:pPr>
      <w:r w:rsidRPr="006F298E">
        <w:rPr>
          <w:rFonts w:asciiTheme="minorHAnsi" w:hAnsiTheme="minorHAnsi" w:cstheme="minorHAnsi"/>
          <w:sz w:val="22"/>
          <w:szCs w:val="22"/>
        </w:rPr>
        <w:t xml:space="preserve">Cotton, C., Marriott, L. and Perkins, S. (2022). </w:t>
      </w:r>
      <w:r w:rsidRPr="006F298E">
        <w:rPr>
          <w:rFonts w:asciiTheme="minorHAnsi" w:hAnsiTheme="minorHAnsi" w:cstheme="minorHAnsi"/>
          <w:i/>
          <w:iCs/>
          <w:sz w:val="22"/>
          <w:szCs w:val="22"/>
        </w:rPr>
        <w:t>Reward Management Survey focus on employee benefits</w:t>
      </w:r>
      <w:r w:rsidRPr="006F298E">
        <w:rPr>
          <w:rFonts w:asciiTheme="minorHAnsi" w:hAnsiTheme="minorHAnsi" w:cstheme="minorHAnsi"/>
          <w:sz w:val="22"/>
          <w:szCs w:val="22"/>
        </w:rPr>
        <w:t xml:space="preserve">. [online] </w:t>
      </w:r>
      <w:r w:rsidRPr="006F298E">
        <w:rPr>
          <w:rFonts w:asciiTheme="minorHAnsi" w:hAnsiTheme="minorHAnsi" w:cstheme="minorHAnsi"/>
          <w:i/>
          <w:iCs/>
          <w:sz w:val="22"/>
          <w:szCs w:val="22"/>
        </w:rPr>
        <w:t>CIPD</w:t>
      </w:r>
      <w:r w:rsidRPr="006F298E">
        <w:rPr>
          <w:rFonts w:asciiTheme="minorHAnsi" w:hAnsiTheme="minorHAnsi" w:cstheme="minorHAnsi"/>
          <w:sz w:val="22"/>
          <w:szCs w:val="22"/>
        </w:rPr>
        <w:t>. Available at: https://www.cipd.org/globalassets/media/knowledge/knowledge-hub/reports/reward-management-survey-2022_tcm18-108776.pdf [Accessed 29 Jul. 2024].</w:t>
      </w:r>
    </w:p>
    <w:p w:rsidR="006F298E" w:rsidRPr="006F298E" w:rsidRDefault="006F298E" w:rsidP="006F298E">
      <w:pPr>
        <w:pStyle w:val="NormalWeb"/>
        <w:spacing w:before="0" w:beforeAutospacing="0" w:after="240" w:afterAutospacing="0" w:line="360" w:lineRule="auto"/>
        <w:rPr>
          <w:rFonts w:asciiTheme="minorHAnsi" w:hAnsiTheme="minorHAnsi" w:cstheme="minorHAnsi"/>
          <w:sz w:val="22"/>
          <w:szCs w:val="22"/>
        </w:rPr>
      </w:pPr>
      <w:r w:rsidRPr="006F298E">
        <w:rPr>
          <w:rFonts w:asciiTheme="minorHAnsi" w:hAnsiTheme="minorHAnsi" w:cstheme="minorHAnsi"/>
          <w:sz w:val="22"/>
          <w:szCs w:val="22"/>
        </w:rPr>
        <w:t xml:space="preserve">Debika Layek and Navin Kumar Koodamara (2024). Impact of contingent rewards and punishments on employee performance: the interplay of employee engagement. </w:t>
      </w:r>
      <w:r w:rsidRPr="006F298E">
        <w:rPr>
          <w:rFonts w:asciiTheme="minorHAnsi" w:hAnsiTheme="minorHAnsi" w:cstheme="minorHAnsi"/>
          <w:i/>
          <w:iCs/>
          <w:sz w:val="22"/>
          <w:szCs w:val="22"/>
        </w:rPr>
        <w:t>F1000Research</w:t>
      </w:r>
      <w:r w:rsidRPr="006F298E">
        <w:rPr>
          <w:rFonts w:asciiTheme="minorHAnsi" w:hAnsiTheme="minorHAnsi" w:cstheme="minorHAnsi"/>
          <w:sz w:val="22"/>
          <w:szCs w:val="22"/>
        </w:rPr>
        <w:t>, 13(https://f1000research.com/articles/13-102/v1), pp.102–102. doi:https://doi.org/10.12688/f1000research.144019.1.</w:t>
      </w:r>
    </w:p>
    <w:p w:rsidR="006F298E" w:rsidRPr="006F298E" w:rsidRDefault="006F298E" w:rsidP="006F298E">
      <w:pPr>
        <w:pStyle w:val="NormalWeb"/>
        <w:spacing w:before="0" w:beforeAutospacing="0" w:after="240" w:afterAutospacing="0" w:line="360" w:lineRule="auto"/>
        <w:rPr>
          <w:rFonts w:asciiTheme="minorHAnsi" w:hAnsiTheme="minorHAnsi" w:cstheme="minorHAnsi"/>
          <w:sz w:val="22"/>
          <w:szCs w:val="22"/>
        </w:rPr>
      </w:pPr>
      <w:r w:rsidRPr="006F298E">
        <w:rPr>
          <w:rFonts w:asciiTheme="minorHAnsi" w:hAnsiTheme="minorHAnsi" w:cstheme="minorHAnsi"/>
          <w:sz w:val="22"/>
          <w:szCs w:val="22"/>
        </w:rPr>
        <w:t xml:space="preserve">Department for Business and Trade (2024). </w:t>
      </w:r>
      <w:r w:rsidRPr="006F298E">
        <w:rPr>
          <w:rFonts w:asciiTheme="minorHAnsi" w:hAnsiTheme="minorHAnsi" w:cstheme="minorHAnsi"/>
          <w:i/>
          <w:iCs/>
          <w:sz w:val="22"/>
          <w:szCs w:val="22"/>
        </w:rPr>
        <w:t>NATIONAL MINIMUM WAGE AND NATIONAL LIVING WAGE Low Pay Commission Remit 2024</w:t>
      </w:r>
      <w:r w:rsidRPr="006F298E">
        <w:rPr>
          <w:rFonts w:asciiTheme="minorHAnsi" w:hAnsiTheme="minorHAnsi" w:cstheme="minorHAnsi"/>
          <w:sz w:val="22"/>
          <w:szCs w:val="22"/>
        </w:rPr>
        <w:t xml:space="preserve">. [online] </w:t>
      </w:r>
      <w:r w:rsidRPr="006F298E">
        <w:rPr>
          <w:rFonts w:asciiTheme="minorHAnsi" w:hAnsiTheme="minorHAnsi" w:cstheme="minorHAnsi"/>
          <w:i/>
          <w:iCs/>
          <w:sz w:val="22"/>
          <w:szCs w:val="22"/>
        </w:rPr>
        <w:t>Gov.UK</w:t>
      </w:r>
      <w:r w:rsidRPr="006F298E">
        <w:rPr>
          <w:rFonts w:asciiTheme="minorHAnsi" w:hAnsiTheme="minorHAnsi" w:cstheme="minorHAnsi"/>
          <w:sz w:val="22"/>
          <w:szCs w:val="22"/>
        </w:rPr>
        <w:t>. Available at: https://assets.publishing.service.gov.uk/media/66a7acacfc8e12ac3edb0643/national-minimum-wage-and-national-living-wage-low-pay-commission-remit-july-2024.pdf [Accessed 5 Aug. 2024].</w:t>
      </w:r>
    </w:p>
    <w:p w:rsidR="006F298E" w:rsidRPr="006F298E" w:rsidRDefault="006F298E" w:rsidP="006F298E">
      <w:pPr>
        <w:pStyle w:val="NormalWeb"/>
        <w:spacing w:before="0" w:beforeAutospacing="0" w:after="240" w:afterAutospacing="0" w:line="360" w:lineRule="auto"/>
        <w:rPr>
          <w:rFonts w:asciiTheme="minorHAnsi" w:hAnsiTheme="minorHAnsi" w:cstheme="minorHAnsi"/>
          <w:sz w:val="22"/>
          <w:szCs w:val="22"/>
        </w:rPr>
      </w:pPr>
      <w:r w:rsidRPr="006F298E">
        <w:rPr>
          <w:rFonts w:asciiTheme="minorHAnsi" w:hAnsiTheme="minorHAnsi" w:cstheme="minorHAnsi"/>
          <w:sz w:val="22"/>
          <w:szCs w:val="22"/>
        </w:rPr>
        <w:t xml:space="preserve">Equality Act (2010). </w:t>
      </w:r>
      <w:r w:rsidRPr="006F298E">
        <w:rPr>
          <w:rFonts w:asciiTheme="minorHAnsi" w:hAnsiTheme="minorHAnsi" w:cstheme="minorHAnsi"/>
          <w:i/>
          <w:iCs/>
          <w:sz w:val="22"/>
          <w:szCs w:val="22"/>
        </w:rPr>
        <w:t>Equality Act 2010</w:t>
      </w:r>
      <w:r w:rsidRPr="006F298E">
        <w:rPr>
          <w:rFonts w:asciiTheme="minorHAnsi" w:hAnsiTheme="minorHAnsi" w:cstheme="minorHAnsi"/>
          <w:sz w:val="22"/>
          <w:szCs w:val="22"/>
        </w:rPr>
        <w:t>. [online] legislation.gov.uk. Available at: https://www.legislation.gov.uk/ukpga/2010/15/contents [Accessed 8 Jul. 2024].</w:t>
      </w:r>
    </w:p>
    <w:p w:rsidR="006F298E" w:rsidRPr="006F298E" w:rsidRDefault="006F298E" w:rsidP="006F298E">
      <w:pPr>
        <w:pStyle w:val="NormalWeb"/>
        <w:spacing w:before="0" w:beforeAutospacing="0" w:after="240" w:afterAutospacing="0" w:line="360" w:lineRule="auto"/>
        <w:rPr>
          <w:rFonts w:asciiTheme="minorHAnsi" w:hAnsiTheme="minorHAnsi" w:cstheme="minorHAnsi"/>
          <w:sz w:val="22"/>
          <w:szCs w:val="22"/>
        </w:rPr>
      </w:pPr>
      <w:r w:rsidRPr="006F298E">
        <w:rPr>
          <w:rFonts w:asciiTheme="minorHAnsi" w:hAnsiTheme="minorHAnsi" w:cstheme="minorHAnsi"/>
          <w:sz w:val="22"/>
          <w:szCs w:val="22"/>
        </w:rPr>
        <w:t xml:space="preserve">Festinger, L. (1954). A Theory of Social Comparison Processes. </w:t>
      </w:r>
      <w:r w:rsidRPr="006F298E">
        <w:rPr>
          <w:rFonts w:asciiTheme="minorHAnsi" w:hAnsiTheme="minorHAnsi" w:cstheme="minorHAnsi"/>
          <w:i/>
          <w:iCs/>
          <w:sz w:val="22"/>
          <w:szCs w:val="22"/>
        </w:rPr>
        <w:t>Human Relations</w:t>
      </w:r>
      <w:r w:rsidRPr="006F298E">
        <w:rPr>
          <w:rFonts w:asciiTheme="minorHAnsi" w:hAnsiTheme="minorHAnsi" w:cstheme="minorHAnsi"/>
          <w:sz w:val="22"/>
          <w:szCs w:val="22"/>
        </w:rPr>
        <w:t>, [online] 7(2), pp.117–140. doi:https://doi.org/10.1177/001872675400700202.</w:t>
      </w:r>
    </w:p>
    <w:p w:rsidR="006F298E" w:rsidRPr="006F298E" w:rsidRDefault="006F298E" w:rsidP="006F298E">
      <w:pPr>
        <w:pStyle w:val="NormalWeb"/>
        <w:spacing w:before="0" w:beforeAutospacing="0" w:after="240" w:afterAutospacing="0" w:line="360" w:lineRule="auto"/>
        <w:rPr>
          <w:rFonts w:asciiTheme="minorHAnsi" w:hAnsiTheme="minorHAnsi" w:cstheme="minorHAnsi"/>
          <w:sz w:val="22"/>
          <w:szCs w:val="22"/>
        </w:rPr>
      </w:pPr>
      <w:r w:rsidRPr="006F298E">
        <w:rPr>
          <w:rFonts w:asciiTheme="minorHAnsi" w:hAnsiTheme="minorHAnsi" w:cstheme="minorHAnsi"/>
          <w:sz w:val="22"/>
          <w:szCs w:val="22"/>
        </w:rPr>
        <w:t xml:space="preserve">Francis-Devine, B. and Powell, A. (2024). </w:t>
      </w:r>
      <w:r w:rsidRPr="006F298E">
        <w:rPr>
          <w:rFonts w:asciiTheme="minorHAnsi" w:hAnsiTheme="minorHAnsi" w:cstheme="minorHAnsi"/>
          <w:i/>
          <w:iCs/>
          <w:sz w:val="22"/>
          <w:szCs w:val="22"/>
        </w:rPr>
        <w:t xml:space="preserve">UK Labour Market Statistics </w:t>
      </w:r>
      <w:r w:rsidRPr="006F298E">
        <w:rPr>
          <w:rFonts w:asciiTheme="minorHAnsi" w:hAnsiTheme="minorHAnsi" w:cstheme="minorHAnsi"/>
          <w:sz w:val="22"/>
          <w:szCs w:val="22"/>
        </w:rPr>
        <w:t xml:space="preserve">. [online] </w:t>
      </w:r>
      <w:r w:rsidRPr="006F298E">
        <w:rPr>
          <w:rFonts w:asciiTheme="minorHAnsi" w:hAnsiTheme="minorHAnsi" w:cstheme="minorHAnsi"/>
          <w:i/>
          <w:iCs/>
          <w:sz w:val="22"/>
          <w:szCs w:val="22"/>
        </w:rPr>
        <w:t>House of Commons Library</w:t>
      </w:r>
      <w:r w:rsidRPr="006F298E">
        <w:rPr>
          <w:rFonts w:asciiTheme="minorHAnsi" w:hAnsiTheme="minorHAnsi" w:cstheme="minorHAnsi"/>
          <w:sz w:val="22"/>
          <w:szCs w:val="22"/>
        </w:rPr>
        <w:t>. Available at: https://researchbriefings.files.parliament.uk/documents/CBP-9366/CBP-9366.pdf [Accessed 5 Aug. 2024].</w:t>
      </w:r>
    </w:p>
    <w:p w:rsidR="006F298E" w:rsidRPr="006F298E" w:rsidRDefault="006F298E" w:rsidP="006F298E">
      <w:pPr>
        <w:pStyle w:val="NormalWeb"/>
        <w:spacing w:before="0" w:beforeAutospacing="0" w:after="240" w:afterAutospacing="0" w:line="360" w:lineRule="auto"/>
        <w:rPr>
          <w:rFonts w:asciiTheme="minorHAnsi" w:hAnsiTheme="minorHAnsi" w:cstheme="minorHAnsi"/>
          <w:sz w:val="22"/>
          <w:szCs w:val="22"/>
        </w:rPr>
      </w:pPr>
      <w:r w:rsidRPr="006F298E">
        <w:rPr>
          <w:rFonts w:asciiTheme="minorHAnsi" w:hAnsiTheme="minorHAnsi" w:cstheme="minorHAnsi"/>
          <w:sz w:val="22"/>
          <w:szCs w:val="22"/>
        </w:rPr>
        <w:t xml:space="preserve">Gallup. (2024). </w:t>
      </w:r>
      <w:r w:rsidRPr="006F298E">
        <w:rPr>
          <w:rFonts w:asciiTheme="minorHAnsi" w:hAnsiTheme="minorHAnsi" w:cstheme="minorHAnsi"/>
          <w:i/>
          <w:iCs/>
          <w:sz w:val="22"/>
          <w:szCs w:val="22"/>
        </w:rPr>
        <w:t>Employee Recognition: Low Cost, High Impact</w:t>
      </w:r>
      <w:r w:rsidRPr="006F298E">
        <w:rPr>
          <w:rFonts w:asciiTheme="minorHAnsi" w:hAnsiTheme="minorHAnsi" w:cstheme="minorHAnsi"/>
          <w:sz w:val="22"/>
          <w:szCs w:val="22"/>
        </w:rPr>
        <w:t>. [online] Available at: https://www.gallup.com/workplace/236441/employee-recognition-low-cost-high-impact.aspx [Accessed 5 Aug. 2024].</w:t>
      </w:r>
    </w:p>
    <w:p w:rsidR="006F298E" w:rsidRPr="006F298E" w:rsidRDefault="006F298E" w:rsidP="006F298E">
      <w:pPr>
        <w:pStyle w:val="NormalWeb"/>
        <w:spacing w:before="0" w:beforeAutospacing="0" w:after="240" w:afterAutospacing="0" w:line="360" w:lineRule="auto"/>
        <w:rPr>
          <w:rFonts w:asciiTheme="minorHAnsi" w:hAnsiTheme="minorHAnsi" w:cstheme="minorHAnsi"/>
          <w:sz w:val="22"/>
          <w:szCs w:val="22"/>
        </w:rPr>
      </w:pPr>
      <w:r w:rsidRPr="006F298E">
        <w:rPr>
          <w:rFonts w:asciiTheme="minorHAnsi" w:hAnsiTheme="minorHAnsi" w:cstheme="minorHAnsi"/>
          <w:sz w:val="22"/>
          <w:szCs w:val="22"/>
        </w:rPr>
        <w:t xml:space="preserve">Gov.uk (2012). </w:t>
      </w:r>
      <w:r w:rsidRPr="006F298E">
        <w:rPr>
          <w:rFonts w:asciiTheme="minorHAnsi" w:hAnsiTheme="minorHAnsi" w:cstheme="minorHAnsi"/>
          <w:i/>
          <w:iCs/>
          <w:sz w:val="22"/>
          <w:szCs w:val="22"/>
        </w:rPr>
        <w:t>Workplace pensions - what your employer can and can’t do</w:t>
      </w:r>
      <w:r w:rsidRPr="006F298E">
        <w:rPr>
          <w:rFonts w:asciiTheme="minorHAnsi" w:hAnsiTheme="minorHAnsi" w:cstheme="minorHAnsi"/>
          <w:sz w:val="22"/>
          <w:szCs w:val="22"/>
        </w:rPr>
        <w:t>. [online] GOV.UK. Available at: https://www.gov.uk/employers-workplace-pensions-rules [Accessed 29 Jul. 2024].</w:t>
      </w:r>
    </w:p>
    <w:p w:rsidR="006F298E" w:rsidRPr="006F298E" w:rsidRDefault="006F298E" w:rsidP="006F298E">
      <w:pPr>
        <w:pStyle w:val="NormalWeb"/>
        <w:spacing w:before="0" w:beforeAutospacing="0" w:after="240" w:afterAutospacing="0" w:line="360" w:lineRule="auto"/>
        <w:rPr>
          <w:rFonts w:asciiTheme="minorHAnsi" w:hAnsiTheme="minorHAnsi" w:cstheme="minorHAnsi"/>
          <w:sz w:val="22"/>
          <w:szCs w:val="22"/>
        </w:rPr>
      </w:pPr>
      <w:r w:rsidRPr="006F298E">
        <w:rPr>
          <w:rFonts w:asciiTheme="minorHAnsi" w:hAnsiTheme="minorHAnsi" w:cstheme="minorHAnsi"/>
          <w:sz w:val="22"/>
          <w:szCs w:val="22"/>
        </w:rPr>
        <w:lastRenderedPageBreak/>
        <w:t xml:space="preserve">Gov.uk (2022). </w:t>
      </w:r>
      <w:r w:rsidRPr="006F298E">
        <w:rPr>
          <w:rFonts w:asciiTheme="minorHAnsi" w:hAnsiTheme="minorHAnsi" w:cstheme="minorHAnsi"/>
          <w:i/>
          <w:iCs/>
          <w:sz w:val="22"/>
          <w:szCs w:val="22"/>
        </w:rPr>
        <w:t>Employment status and rights: support for individuals</w:t>
      </w:r>
      <w:r w:rsidRPr="006F298E">
        <w:rPr>
          <w:rFonts w:asciiTheme="minorHAnsi" w:hAnsiTheme="minorHAnsi" w:cstheme="minorHAnsi"/>
          <w:sz w:val="22"/>
          <w:szCs w:val="22"/>
        </w:rPr>
        <w:t>. [online] GOV.UK. Available at: https://www.gov.uk/government/publications/employment-status-and-employment-rights/employment-status-and-rights-support-for-individuals [Accessed 6 Aug. 2024].</w:t>
      </w:r>
    </w:p>
    <w:p w:rsidR="006F298E" w:rsidRPr="006F298E" w:rsidRDefault="006F298E" w:rsidP="006F298E">
      <w:pPr>
        <w:pStyle w:val="NormalWeb"/>
        <w:spacing w:before="0" w:beforeAutospacing="0" w:after="240" w:afterAutospacing="0" w:line="360" w:lineRule="auto"/>
        <w:rPr>
          <w:rFonts w:asciiTheme="minorHAnsi" w:hAnsiTheme="minorHAnsi" w:cstheme="minorHAnsi"/>
          <w:sz w:val="22"/>
          <w:szCs w:val="22"/>
        </w:rPr>
      </w:pPr>
      <w:r w:rsidRPr="006F298E">
        <w:rPr>
          <w:rFonts w:asciiTheme="minorHAnsi" w:hAnsiTheme="minorHAnsi" w:cstheme="minorHAnsi"/>
          <w:sz w:val="22"/>
          <w:szCs w:val="22"/>
        </w:rPr>
        <w:t xml:space="preserve">gov.uk (2023a). </w:t>
      </w:r>
      <w:r w:rsidRPr="006F298E">
        <w:rPr>
          <w:rFonts w:asciiTheme="minorHAnsi" w:hAnsiTheme="minorHAnsi" w:cstheme="minorHAnsi"/>
          <w:i/>
          <w:iCs/>
          <w:sz w:val="22"/>
          <w:szCs w:val="22"/>
        </w:rPr>
        <w:t>Discrimination: Your Rights</w:t>
      </w:r>
      <w:r w:rsidRPr="006F298E">
        <w:rPr>
          <w:rFonts w:asciiTheme="minorHAnsi" w:hAnsiTheme="minorHAnsi" w:cstheme="minorHAnsi"/>
          <w:sz w:val="22"/>
          <w:szCs w:val="22"/>
        </w:rPr>
        <w:t>. [online] gov.uk. Available at: https://www.gov.uk/discrimination-your-rights [Accessed 6 Aug. 2024].</w:t>
      </w:r>
    </w:p>
    <w:p w:rsidR="006F298E" w:rsidRPr="006F298E" w:rsidRDefault="006F298E" w:rsidP="006F298E">
      <w:pPr>
        <w:pStyle w:val="NormalWeb"/>
        <w:spacing w:before="0" w:beforeAutospacing="0" w:after="240" w:afterAutospacing="0" w:line="360" w:lineRule="auto"/>
        <w:rPr>
          <w:rFonts w:asciiTheme="minorHAnsi" w:hAnsiTheme="minorHAnsi" w:cstheme="minorHAnsi"/>
          <w:sz w:val="22"/>
          <w:szCs w:val="22"/>
        </w:rPr>
      </w:pPr>
      <w:r w:rsidRPr="006F298E">
        <w:rPr>
          <w:rFonts w:asciiTheme="minorHAnsi" w:hAnsiTheme="minorHAnsi" w:cstheme="minorHAnsi"/>
          <w:sz w:val="22"/>
          <w:szCs w:val="22"/>
        </w:rPr>
        <w:t xml:space="preserve">gov.uk (2023b). </w:t>
      </w:r>
      <w:r w:rsidRPr="006F298E">
        <w:rPr>
          <w:rFonts w:asciiTheme="minorHAnsi" w:hAnsiTheme="minorHAnsi" w:cstheme="minorHAnsi"/>
          <w:i/>
          <w:iCs/>
          <w:sz w:val="22"/>
          <w:szCs w:val="22"/>
        </w:rPr>
        <w:t>Statutory Guidance Overview</w:t>
      </w:r>
      <w:r w:rsidRPr="006F298E">
        <w:rPr>
          <w:rFonts w:asciiTheme="minorHAnsi" w:hAnsiTheme="minorHAnsi" w:cstheme="minorHAnsi"/>
          <w:sz w:val="22"/>
          <w:szCs w:val="22"/>
        </w:rPr>
        <w:t>. [online] GOV.UK. Available at: https://www.gov.uk/government/publications/gender-pay-gap-reporting-guidance-for-employers/overview [Accessed 6 Aug. 2024].</w:t>
      </w:r>
    </w:p>
    <w:p w:rsidR="006F298E" w:rsidRPr="006F298E" w:rsidRDefault="006F298E" w:rsidP="006F298E">
      <w:pPr>
        <w:pStyle w:val="NormalWeb"/>
        <w:spacing w:before="0" w:beforeAutospacing="0" w:after="240" w:afterAutospacing="0" w:line="360" w:lineRule="auto"/>
        <w:rPr>
          <w:rFonts w:asciiTheme="minorHAnsi" w:hAnsiTheme="minorHAnsi" w:cstheme="minorHAnsi"/>
          <w:sz w:val="22"/>
          <w:szCs w:val="22"/>
        </w:rPr>
      </w:pPr>
      <w:r w:rsidRPr="006F298E">
        <w:rPr>
          <w:rFonts w:asciiTheme="minorHAnsi" w:hAnsiTheme="minorHAnsi" w:cstheme="minorHAnsi"/>
          <w:sz w:val="22"/>
          <w:szCs w:val="22"/>
        </w:rPr>
        <w:t xml:space="preserve">gov.uk. (2023c). </w:t>
      </w:r>
      <w:r w:rsidRPr="006F298E">
        <w:rPr>
          <w:rFonts w:asciiTheme="minorHAnsi" w:hAnsiTheme="minorHAnsi" w:cstheme="minorHAnsi"/>
          <w:i/>
          <w:iCs/>
          <w:sz w:val="22"/>
          <w:szCs w:val="22"/>
        </w:rPr>
        <w:t>Future regulatory regime for Environmental, Social, and Governance (ESG) ratings providers</w:t>
      </w:r>
      <w:r w:rsidRPr="006F298E">
        <w:rPr>
          <w:rFonts w:asciiTheme="minorHAnsi" w:hAnsiTheme="minorHAnsi" w:cstheme="minorHAnsi"/>
          <w:sz w:val="22"/>
          <w:szCs w:val="22"/>
        </w:rPr>
        <w:t>. [online] Available at: https://www.gov.uk/government/consultations/future-regulatory-regime-for-environmental-social-and-governance-esg-ratings-providers [Accessed 7 Jul. 2024].</w:t>
      </w:r>
    </w:p>
    <w:p w:rsidR="006F298E" w:rsidRPr="006F298E" w:rsidRDefault="006F298E" w:rsidP="006F298E">
      <w:pPr>
        <w:pStyle w:val="NormalWeb"/>
        <w:spacing w:before="0" w:beforeAutospacing="0" w:after="240" w:afterAutospacing="0" w:line="360" w:lineRule="auto"/>
        <w:rPr>
          <w:rFonts w:asciiTheme="minorHAnsi" w:hAnsiTheme="minorHAnsi" w:cstheme="minorHAnsi"/>
          <w:sz w:val="22"/>
          <w:szCs w:val="22"/>
        </w:rPr>
      </w:pPr>
      <w:r w:rsidRPr="006F298E">
        <w:rPr>
          <w:rFonts w:asciiTheme="minorHAnsi" w:hAnsiTheme="minorHAnsi" w:cstheme="minorHAnsi"/>
          <w:sz w:val="22"/>
          <w:szCs w:val="22"/>
        </w:rPr>
        <w:t xml:space="preserve">Hajduk, P. (2017). </w:t>
      </w:r>
      <w:r w:rsidRPr="006F298E">
        <w:rPr>
          <w:rFonts w:asciiTheme="minorHAnsi" w:hAnsiTheme="minorHAnsi" w:cstheme="minorHAnsi"/>
          <w:i/>
          <w:iCs/>
          <w:sz w:val="22"/>
          <w:szCs w:val="22"/>
        </w:rPr>
        <w:t>What’s the Real Value of reward?</w:t>
      </w:r>
      <w:r w:rsidRPr="006F298E">
        <w:rPr>
          <w:rFonts w:asciiTheme="minorHAnsi" w:hAnsiTheme="minorHAnsi" w:cstheme="minorHAnsi"/>
          <w:sz w:val="22"/>
          <w:szCs w:val="22"/>
        </w:rPr>
        <w:t xml:space="preserve"> [online] People Management. Available at: https://www.peoplemanagement.co.uk/article/1743866/real-value-reward [Accessed 8 Jul. 2024].</w:t>
      </w:r>
    </w:p>
    <w:p w:rsidR="006F298E" w:rsidRPr="006F298E" w:rsidRDefault="006F298E" w:rsidP="006F298E">
      <w:pPr>
        <w:pStyle w:val="NormalWeb"/>
        <w:spacing w:before="0" w:beforeAutospacing="0" w:after="240" w:afterAutospacing="0" w:line="360" w:lineRule="auto"/>
        <w:rPr>
          <w:rFonts w:asciiTheme="minorHAnsi" w:hAnsiTheme="minorHAnsi" w:cstheme="minorHAnsi"/>
          <w:sz w:val="22"/>
          <w:szCs w:val="22"/>
        </w:rPr>
      </w:pPr>
      <w:r w:rsidRPr="006F298E">
        <w:rPr>
          <w:rFonts w:asciiTheme="minorHAnsi" w:hAnsiTheme="minorHAnsi" w:cstheme="minorHAnsi"/>
          <w:sz w:val="22"/>
          <w:szCs w:val="22"/>
        </w:rPr>
        <w:t xml:space="preserve">Howlett, E. (2019). </w:t>
      </w:r>
      <w:r w:rsidRPr="006F298E">
        <w:rPr>
          <w:rFonts w:asciiTheme="minorHAnsi" w:hAnsiTheme="minorHAnsi" w:cstheme="minorHAnsi"/>
          <w:i/>
          <w:iCs/>
          <w:sz w:val="22"/>
          <w:szCs w:val="22"/>
        </w:rPr>
        <w:t>Why the most effective employee benefits don’t have to cost you anything</w:t>
      </w:r>
      <w:r w:rsidRPr="006F298E">
        <w:rPr>
          <w:rFonts w:asciiTheme="minorHAnsi" w:hAnsiTheme="minorHAnsi" w:cstheme="minorHAnsi"/>
          <w:sz w:val="22"/>
          <w:szCs w:val="22"/>
        </w:rPr>
        <w:t>. [online] www.peoplemanagement.co.uk. Available at: https://www.peoplemanagement.co.uk/article/1746408/most-effective-employee-benefits-dont-cost-anything [Accessed 29 Jul. 2024].</w:t>
      </w:r>
    </w:p>
    <w:p w:rsidR="006F298E" w:rsidRPr="006F298E" w:rsidRDefault="006F298E" w:rsidP="006F298E">
      <w:pPr>
        <w:pStyle w:val="NormalWeb"/>
        <w:spacing w:before="0" w:beforeAutospacing="0" w:after="240" w:afterAutospacing="0" w:line="360" w:lineRule="auto"/>
        <w:rPr>
          <w:rFonts w:asciiTheme="minorHAnsi" w:hAnsiTheme="minorHAnsi" w:cstheme="minorHAnsi"/>
          <w:sz w:val="22"/>
          <w:szCs w:val="22"/>
        </w:rPr>
      </w:pPr>
      <w:r w:rsidRPr="006F298E">
        <w:rPr>
          <w:rFonts w:asciiTheme="minorHAnsi" w:hAnsiTheme="minorHAnsi" w:cstheme="minorHAnsi"/>
          <w:sz w:val="22"/>
          <w:szCs w:val="22"/>
        </w:rPr>
        <w:t xml:space="preserve">Kellett, T. (2021). </w:t>
      </w:r>
      <w:r w:rsidRPr="006F298E">
        <w:rPr>
          <w:rFonts w:asciiTheme="minorHAnsi" w:hAnsiTheme="minorHAnsi" w:cstheme="minorHAnsi"/>
          <w:i/>
          <w:iCs/>
          <w:sz w:val="22"/>
          <w:szCs w:val="22"/>
        </w:rPr>
        <w:t>What are the different types of pay structures?</w:t>
      </w:r>
      <w:r w:rsidRPr="006F298E">
        <w:rPr>
          <w:rFonts w:asciiTheme="minorHAnsi" w:hAnsiTheme="minorHAnsi" w:cstheme="minorHAnsi"/>
          <w:sz w:val="22"/>
          <w:szCs w:val="22"/>
        </w:rPr>
        <w:t xml:space="preserve"> [online] Paydata. Available at: https://www.paydata.co.uk/hr-hub/blogs/pay-review-and-analysis/what-are-the-different-types-of-pay-structures/ [Accessed 13 Jul. 2024].</w:t>
      </w:r>
    </w:p>
    <w:p w:rsidR="006F298E" w:rsidRPr="006F298E" w:rsidRDefault="006F298E" w:rsidP="006F298E">
      <w:pPr>
        <w:pStyle w:val="NormalWeb"/>
        <w:spacing w:before="0" w:beforeAutospacing="0" w:after="240" w:afterAutospacing="0" w:line="360" w:lineRule="auto"/>
        <w:rPr>
          <w:rFonts w:asciiTheme="minorHAnsi" w:hAnsiTheme="minorHAnsi" w:cstheme="minorHAnsi"/>
          <w:sz w:val="22"/>
          <w:szCs w:val="22"/>
        </w:rPr>
      </w:pPr>
      <w:r w:rsidRPr="006F298E">
        <w:rPr>
          <w:rFonts w:asciiTheme="minorHAnsi" w:hAnsiTheme="minorHAnsi" w:cstheme="minorHAnsi"/>
          <w:sz w:val="22"/>
          <w:szCs w:val="22"/>
        </w:rPr>
        <w:t xml:space="preserve">Larmour, J. (2023). </w:t>
      </w:r>
      <w:r w:rsidRPr="006F298E">
        <w:rPr>
          <w:rFonts w:asciiTheme="minorHAnsi" w:hAnsiTheme="minorHAnsi" w:cstheme="minorHAnsi"/>
          <w:i/>
          <w:iCs/>
          <w:sz w:val="22"/>
          <w:szCs w:val="22"/>
        </w:rPr>
        <w:t>Collaboration vs. Competition: Why Working Together is More Effective</w:t>
      </w:r>
      <w:r w:rsidRPr="006F298E">
        <w:rPr>
          <w:rFonts w:asciiTheme="minorHAnsi" w:hAnsiTheme="minorHAnsi" w:cstheme="minorHAnsi"/>
          <w:sz w:val="22"/>
          <w:szCs w:val="22"/>
        </w:rPr>
        <w:t>. [online] www.linkedin.com. Available at: https://www.linkedin.com/pulse/collaboration-vs-competition-why-working-together-john-larmour-msc- [Accessed 24 Jul. 2024].</w:t>
      </w:r>
    </w:p>
    <w:p w:rsidR="006F298E" w:rsidRPr="006F298E" w:rsidRDefault="006F298E" w:rsidP="006F298E">
      <w:pPr>
        <w:pStyle w:val="NormalWeb"/>
        <w:spacing w:before="0" w:beforeAutospacing="0" w:after="240" w:afterAutospacing="0" w:line="360" w:lineRule="auto"/>
        <w:rPr>
          <w:rFonts w:asciiTheme="minorHAnsi" w:hAnsiTheme="minorHAnsi" w:cstheme="minorHAnsi"/>
          <w:sz w:val="22"/>
          <w:szCs w:val="22"/>
        </w:rPr>
      </w:pPr>
      <w:r w:rsidRPr="006F298E">
        <w:rPr>
          <w:rFonts w:asciiTheme="minorHAnsi" w:hAnsiTheme="minorHAnsi" w:cstheme="minorHAnsi"/>
          <w:sz w:val="22"/>
          <w:szCs w:val="22"/>
        </w:rPr>
        <w:t xml:space="preserve">Legislation.gov.uk. (2021). </w:t>
      </w:r>
      <w:r w:rsidRPr="006F298E">
        <w:rPr>
          <w:rFonts w:asciiTheme="minorHAnsi" w:hAnsiTheme="minorHAnsi" w:cstheme="minorHAnsi"/>
          <w:i/>
          <w:iCs/>
          <w:sz w:val="22"/>
          <w:szCs w:val="22"/>
        </w:rPr>
        <w:t>Pension Schemes Act 2021</w:t>
      </w:r>
      <w:r w:rsidRPr="006F298E">
        <w:rPr>
          <w:rFonts w:asciiTheme="minorHAnsi" w:hAnsiTheme="minorHAnsi" w:cstheme="minorHAnsi"/>
          <w:sz w:val="22"/>
          <w:szCs w:val="22"/>
        </w:rPr>
        <w:t>. [online] Available at: https://www.legislation.gov.uk/ukpga/2021/1/contents/enacted [Accessed 29 Jul. 2024].</w:t>
      </w:r>
    </w:p>
    <w:p w:rsidR="006F298E" w:rsidRPr="006F298E" w:rsidRDefault="006F298E" w:rsidP="006F298E">
      <w:pPr>
        <w:pStyle w:val="NormalWeb"/>
        <w:spacing w:before="0" w:beforeAutospacing="0" w:after="240" w:afterAutospacing="0" w:line="360" w:lineRule="auto"/>
        <w:rPr>
          <w:rFonts w:asciiTheme="minorHAnsi" w:hAnsiTheme="minorHAnsi" w:cstheme="minorHAnsi"/>
          <w:sz w:val="22"/>
          <w:szCs w:val="22"/>
        </w:rPr>
      </w:pPr>
      <w:r w:rsidRPr="006F298E">
        <w:rPr>
          <w:rFonts w:asciiTheme="minorHAnsi" w:hAnsiTheme="minorHAnsi" w:cstheme="minorHAnsi"/>
          <w:sz w:val="22"/>
          <w:szCs w:val="22"/>
        </w:rPr>
        <w:t xml:space="preserve">Li, C., Jiang, X., He, H. and Zhang, X. (2022). The Influence of Performance-Contingent Rewards on Proactive and Responsive Creativity: Dual-Path Mediating Effects of Work Motivation. </w:t>
      </w:r>
      <w:r w:rsidRPr="006F298E">
        <w:rPr>
          <w:rFonts w:asciiTheme="minorHAnsi" w:hAnsiTheme="minorHAnsi" w:cstheme="minorHAnsi"/>
          <w:i/>
          <w:iCs/>
          <w:sz w:val="22"/>
          <w:szCs w:val="22"/>
        </w:rPr>
        <w:t>Frontiers in Psychology</w:t>
      </w:r>
      <w:r w:rsidRPr="006F298E">
        <w:rPr>
          <w:rFonts w:asciiTheme="minorHAnsi" w:hAnsiTheme="minorHAnsi" w:cstheme="minorHAnsi"/>
          <w:sz w:val="22"/>
          <w:szCs w:val="22"/>
        </w:rPr>
        <w:t>, [online] 13. doi:https://doi.org/10.3389/fpsyg.2022.812298.</w:t>
      </w:r>
    </w:p>
    <w:p w:rsidR="006F298E" w:rsidRPr="006F298E" w:rsidRDefault="006F298E" w:rsidP="006F298E">
      <w:pPr>
        <w:pStyle w:val="NormalWeb"/>
        <w:spacing w:before="0" w:beforeAutospacing="0" w:after="240" w:afterAutospacing="0" w:line="360" w:lineRule="auto"/>
        <w:rPr>
          <w:rFonts w:asciiTheme="minorHAnsi" w:hAnsiTheme="minorHAnsi" w:cstheme="minorHAnsi"/>
          <w:sz w:val="22"/>
          <w:szCs w:val="22"/>
        </w:rPr>
      </w:pPr>
      <w:r w:rsidRPr="006F298E">
        <w:rPr>
          <w:rFonts w:asciiTheme="minorHAnsi" w:hAnsiTheme="minorHAnsi" w:cstheme="minorHAnsi"/>
          <w:sz w:val="22"/>
          <w:szCs w:val="22"/>
        </w:rPr>
        <w:lastRenderedPageBreak/>
        <w:t xml:space="preserve">Living Wage Foundation, (n.d.). </w:t>
      </w:r>
      <w:r w:rsidRPr="006F298E">
        <w:rPr>
          <w:rFonts w:asciiTheme="minorHAnsi" w:hAnsiTheme="minorHAnsi" w:cstheme="minorHAnsi"/>
          <w:i/>
          <w:iCs/>
          <w:sz w:val="22"/>
          <w:szCs w:val="22"/>
        </w:rPr>
        <w:t>Explaining UK wage rates</w:t>
      </w:r>
      <w:r w:rsidRPr="006F298E">
        <w:rPr>
          <w:rFonts w:asciiTheme="minorHAnsi" w:hAnsiTheme="minorHAnsi" w:cstheme="minorHAnsi"/>
          <w:sz w:val="22"/>
          <w:szCs w:val="22"/>
        </w:rPr>
        <w:t>. [Digital Illustration ] Available at: https://www.livingwage.org.uk/what-real-living-wage [Accessed 6 Aug. 2024].</w:t>
      </w:r>
    </w:p>
    <w:p w:rsidR="006F298E" w:rsidRPr="006F298E" w:rsidRDefault="006F298E" w:rsidP="006F298E">
      <w:pPr>
        <w:pStyle w:val="NormalWeb"/>
        <w:spacing w:before="0" w:beforeAutospacing="0" w:after="240" w:afterAutospacing="0" w:line="360" w:lineRule="auto"/>
        <w:rPr>
          <w:rFonts w:asciiTheme="minorHAnsi" w:hAnsiTheme="minorHAnsi" w:cstheme="minorHAnsi"/>
          <w:sz w:val="22"/>
          <w:szCs w:val="22"/>
        </w:rPr>
      </w:pPr>
      <w:r w:rsidRPr="006F298E">
        <w:rPr>
          <w:rFonts w:asciiTheme="minorHAnsi" w:hAnsiTheme="minorHAnsi" w:cstheme="minorHAnsi"/>
          <w:sz w:val="22"/>
          <w:szCs w:val="22"/>
        </w:rPr>
        <w:t xml:space="preserve">Lupton, B., Rowe, A. and Whittle, R. (2015). </w:t>
      </w:r>
      <w:r w:rsidRPr="006F298E">
        <w:rPr>
          <w:rFonts w:asciiTheme="minorHAnsi" w:hAnsiTheme="minorHAnsi" w:cstheme="minorHAnsi"/>
          <w:i/>
          <w:iCs/>
          <w:sz w:val="22"/>
          <w:szCs w:val="22"/>
        </w:rPr>
        <w:t>Show me the money! The behavioural science of reward</w:t>
      </w:r>
      <w:r w:rsidRPr="006F298E">
        <w:rPr>
          <w:rFonts w:asciiTheme="minorHAnsi" w:hAnsiTheme="minorHAnsi" w:cstheme="minorHAnsi"/>
          <w:sz w:val="22"/>
          <w:szCs w:val="22"/>
        </w:rPr>
        <w:t xml:space="preserve">. [online] </w:t>
      </w:r>
      <w:r w:rsidRPr="006F298E">
        <w:rPr>
          <w:rFonts w:asciiTheme="minorHAnsi" w:hAnsiTheme="minorHAnsi" w:cstheme="minorHAnsi"/>
          <w:i/>
          <w:iCs/>
          <w:sz w:val="22"/>
          <w:szCs w:val="22"/>
        </w:rPr>
        <w:t>CIPD</w:t>
      </w:r>
      <w:r w:rsidRPr="006F298E">
        <w:rPr>
          <w:rFonts w:asciiTheme="minorHAnsi" w:hAnsiTheme="minorHAnsi" w:cstheme="minorHAnsi"/>
          <w:sz w:val="22"/>
          <w:szCs w:val="22"/>
        </w:rPr>
        <w:t>. Available at: https://www.cipd.org/globalassets/media/knowledge/knowledge-hub/reports/show-me-the-money_2015-behavioural-science-of-reward_tcm18-9560.pdf [Accessed 29 Jul. 2024].</w:t>
      </w:r>
    </w:p>
    <w:p w:rsidR="006F298E" w:rsidRPr="006F298E" w:rsidRDefault="006F298E" w:rsidP="006F298E">
      <w:pPr>
        <w:pStyle w:val="NormalWeb"/>
        <w:spacing w:before="0" w:beforeAutospacing="0" w:after="240" w:afterAutospacing="0" w:line="360" w:lineRule="auto"/>
        <w:rPr>
          <w:rFonts w:asciiTheme="minorHAnsi" w:hAnsiTheme="minorHAnsi" w:cstheme="minorHAnsi"/>
          <w:sz w:val="22"/>
          <w:szCs w:val="22"/>
        </w:rPr>
      </w:pPr>
      <w:r w:rsidRPr="006F298E">
        <w:rPr>
          <w:rFonts w:asciiTheme="minorHAnsi" w:hAnsiTheme="minorHAnsi" w:cstheme="minorHAnsi"/>
          <w:sz w:val="22"/>
          <w:szCs w:val="22"/>
        </w:rPr>
        <w:t xml:space="preserve">Marriott, L., Perkins, S.J. and Cotton, C. (2019). </w:t>
      </w:r>
      <w:r w:rsidRPr="006F298E">
        <w:rPr>
          <w:rFonts w:asciiTheme="minorHAnsi" w:hAnsiTheme="minorHAnsi" w:cstheme="minorHAnsi"/>
          <w:i/>
          <w:iCs/>
          <w:sz w:val="22"/>
          <w:szCs w:val="22"/>
        </w:rPr>
        <w:t>Reward Management Focus on Pay</w:t>
      </w:r>
      <w:r w:rsidRPr="006F298E">
        <w:rPr>
          <w:rFonts w:asciiTheme="minorHAnsi" w:hAnsiTheme="minorHAnsi" w:cstheme="minorHAnsi"/>
          <w:sz w:val="22"/>
          <w:szCs w:val="22"/>
        </w:rPr>
        <w:t xml:space="preserve">. [online] </w:t>
      </w:r>
      <w:r w:rsidRPr="006F298E">
        <w:rPr>
          <w:rFonts w:asciiTheme="minorHAnsi" w:hAnsiTheme="minorHAnsi" w:cstheme="minorHAnsi"/>
          <w:i/>
          <w:iCs/>
          <w:sz w:val="22"/>
          <w:szCs w:val="22"/>
        </w:rPr>
        <w:t>CIPD</w:t>
      </w:r>
      <w:r w:rsidRPr="006F298E">
        <w:rPr>
          <w:rFonts w:asciiTheme="minorHAnsi" w:hAnsiTheme="minorHAnsi" w:cstheme="minorHAnsi"/>
          <w:sz w:val="22"/>
          <w:szCs w:val="22"/>
        </w:rPr>
        <w:t>. Available at: https://www.cipd.org/globalassets/media/knowledge/knowledge-hub/reports/2021-pdfs/2019-reward-management-report-7953.pdf [Accessed 13 Jul. 2024].</w:t>
      </w:r>
    </w:p>
    <w:p w:rsidR="006F298E" w:rsidRPr="006F298E" w:rsidRDefault="006F298E" w:rsidP="006F298E">
      <w:pPr>
        <w:pStyle w:val="NormalWeb"/>
        <w:spacing w:before="0" w:beforeAutospacing="0" w:after="240" w:afterAutospacing="0" w:line="360" w:lineRule="auto"/>
        <w:rPr>
          <w:rFonts w:asciiTheme="minorHAnsi" w:hAnsiTheme="minorHAnsi" w:cstheme="minorHAnsi"/>
          <w:sz w:val="22"/>
          <w:szCs w:val="22"/>
        </w:rPr>
      </w:pPr>
      <w:r w:rsidRPr="006F298E">
        <w:rPr>
          <w:rFonts w:asciiTheme="minorHAnsi" w:hAnsiTheme="minorHAnsi" w:cstheme="minorHAnsi"/>
          <w:sz w:val="22"/>
          <w:szCs w:val="22"/>
        </w:rPr>
        <w:t xml:space="preserve">Mayne, M. and Rowsell , J. (2024). </w:t>
      </w:r>
      <w:r w:rsidRPr="006F298E">
        <w:rPr>
          <w:rFonts w:asciiTheme="minorHAnsi" w:hAnsiTheme="minorHAnsi" w:cstheme="minorHAnsi"/>
          <w:i/>
          <w:iCs/>
          <w:sz w:val="22"/>
          <w:szCs w:val="22"/>
        </w:rPr>
        <w:t>From free lunches to a simple ‘thank you’: how businesses can improve engagement with small gestures</w:t>
      </w:r>
      <w:r w:rsidRPr="006F298E">
        <w:rPr>
          <w:rFonts w:asciiTheme="minorHAnsi" w:hAnsiTheme="minorHAnsi" w:cstheme="minorHAnsi"/>
          <w:sz w:val="22"/>
          <w:szCs w:val="22"/>
        </w:rPr>
        <w:t>. [online] www.peoplemanagement.co.uk. Available at: https://www.peoplemanagement.co.uk/article/1856309/free-lunches-simple-thank-you-businesses-improve-engagement-small-gestures [Accessed 5 Aug. 2024].</w:t>
      </w:r>
    </w:p>
    <w:p w:rsidR="006F298E" w:rsidRPr="006F298E" w:rsidRDefault="006F298E" w:rsidP="006F298E">
      <w:pPr>
        <w:pStyle w:val="NormalWeb"/>
        <w:spacing w:before="0" w:beforeAutospacing="0" w:after="240" w:afterAutospacing="0" w:line="360" w:lineRule="auto"/>
        <w:rPr>
          <w:rFonts w:asciiTheme="minorHAnsi" w:hAnsiTheme="minorHAnsi" w:cstheme="minorHAnsi"/>
          <w:sz w:val="22"/>
          <w:szCs w:val="22"/>
        </w:rPr>
      </w:pPr>
      <w:r w:rsidRPr="006F298E">
        <w:rPr>
          <w:rFonts w:asciiTheme="minorHAnsi" w:hAnsiTheme="minorHAnsi" w:cstheme="minorHAnsi"/>
          <w:sz w:val="22"/>
          <w:szCs w:val="22"/>
        </w:rPr>
        <w:t xml:space="preserve">NHS Employers (2020). </w:t>
      </w:r>
      <w:r w:rsidRPr="006F298E">
        <w:rPr>
          <w:rFonts w:asciiTheme="minorHAnsi" w:hAnsiTheme="minorHAnsi" w:cstheme="minorHAnsi"/>
          <w:i/>
          <w:iCs/>
          <w:sz w:val="22"/>
          <w:szCs w:val="22"/>
        </w:rPr>
        <w:t>A quick guide to job matching | NHS Employers</w:t>
      </w:r>
      <w:r w:rsidRPr="006F298E">
        <w:rPr>
          <w:rFonts w:asciiTheme="minorHAnsi" w:hAnsiTheme="minorHAnsi" w:cstheme="minorHAnsi"/>
          <w:sz w:val="22"/>
          <w:szCs w:val="22"/>
        </w:rPr>
        <w:t>. [online] www.nhsemployers.org. Available at: https://www.nhsemployers.org/articles/quick-guide-job-matching [Accessed 7 Aug. 2024].</w:t>
      </w:r>
    </w:p>
    <w:p w:rsidR="006F298E" w:rsidRPr="006F298E" w:rsidRDefault="006F298E" w:rsidP="006F298E">
      <w:pPr>
        <w:pStyle w:val="NormalWeb"/>
        <w:spacing w:before="0" w:beforeAutospacing="0" w:after="240" w:afterAutospacing="0" w:line="360" w:lineRule="auto"/>
        <w:rPr>
          <w:rFonts w:asciiTheme="minorHAnsi" w:hAnsiTheme="minorHAnsi" w:cstheme="minorHAnsi"/>
          <w:sz w:val="22"/>
          <w:szCs w:val="22"/>
        </w:rPr>
      </w:pPr>
      <w:r w:rsidRPr="006F298E">
        <w:rPr>
          <w:rFonts w:asciiTheme="minorHAnsi" w:hAnsiTheme="minorHAnsi" w:cstheme="minorHAnsi"/>
          <w:sz w:val="22"/>
          <w:szCs w:val="22"/>
        </w:rPr>
        <w:t xml:space="preserve">Office for National Statistics (2020). </w:t>
      </w:r>
      <w:r w:rsidRPr="006F298E">
        <w:rPr>
          <w:rFonts w:asciiTheme="minorHAnsi" w:hAnsiTheme="minorHAnsi" w:cstheme="minorHAnsi"/>
          <w:i/>
          <w:iCs/>
          <w:sz w:val="22"/>
          <w:szCs w:val="22"/>
        </w:rPr>
        <w:t>What we do - Office for National Statistics</w:t>
      </w:r>
      <w:r w:rsidRPr="006F298E">
        <w:rPr>
          <w:rFonts w:asciiTheme="minorHAnsi" w:hAnsiTheme="minorHAnsi" w:cstheme="minorHAnsi"/>
          <w:sz w:val="22"/>
          <w:szCs w:val="22"/>
        </w:rPr>
        <w:t>. [online] Ons.gov.uk. Available at: https://www.ons.gov.uk/aboutus/whatwedo [Accessed 7 Aug. 2024].</w:t>
      </w:r>
    </w:p>
    <w:p w:rsidR="006F298E" w:rsidRPr="006F298E" w:rsidRDefault="006F298E" w:rsidP="006F298E">
      <w:pPr>
        <w:pStyle w:val="NormalWeb"/>
        <w:spacing w:before="0" w:beforeAutospacing="0" w:after="240" w:afterAutospacing="0" w:line="360" w:lineRule="auto"/>
        <w:rPr>
          <w:rFonts w:asciiTheme="minorHAnsi" w:hAnsiTheme="minorHAnsi" w:cstheme="minorHAnsi"/>
          <w:sz w:val="22"/>
          <w:szCs w:val="22"/>
        </w:rPr>
      </w:pPr>
      <w:r w:rsidRPr="006F298E">
        <w:rPr>
          <w:rFonts w:asciiTheme="minorHAnsi" w:hAnsiTheme="minorHAnsi" w:cstheme="minorHAnsi"/>
          <w:sz w:val="22"/>
          <w:szCs w:val="22"/>
        </w:rPr>
        <w:t xml:space="preserve">Pessiglione, M., Schmidt, L., Draganski, B., Kalisch, R., Lau, H., Dolan, R.J. and Frith, C.D. (2007). How the Brain Translates Money into Force: A Neuroimaging Study of Subliminal Motivation. </w:t>
      </w:r>
      <w:r w:rsidRPr="006F298E">
        <w:rPr>
          <w:rFonts w:asciiTheme="minorHAnsi" w:hAnsiTheme="minorHAnsi" w:cstheme="minorHAnsi"/>
          <w:i/>
          <w:iCs/>
          <w:sz w:val="22"/>
          <w:szCs w:val="22"/>
        </w:rPr>
        <w:t>Science</w:t>
      </w:r>
      <w:r w:rsidRPr="006F298E">
        <w:rPr>
          <w:rFonts w:asciiTheme="minorHAnsi" w:hAnsiTheme="minorHAnsi" w:cstheme="minorHAnsi"/>
          <w:sz w:val="22"/>
          <w:szCs w:val="22"/>
        </w:rPr>
        <w:t>, 316(5826), pp.904–906. doi:https://doi.org/10.1126/science.1140459.</w:t>
      </w:r>
    </w:p>
    <w:p w:rsidR="006F298E" w:rsidRPr="006F298E" w:rsidRDefault="006F298E" w:rsidP="006F298E">
      <w:pPr>
        <w:pStyle w:val="NormalWeb"/>
        <w:spacing w:before="0" w:beforeAutospacing="0" w:after="240" w:afterAutospacing="0" w:line="360" w:lineRule="auto"/>
        <w:rPr>
          <w:rFonts w:asciiTheme="minorHAnsi" w:hAnsiTheme="minorHAnsi" w:cstheme="minorHAnsi"/>
          <w:sz w:val="22"/>
          <w:szCs w:val="22"/>
        </w:rPr>
      </w:pPr>
      <w:r w:rsidRPr="006F298E">
        <w:rPr>
          <w:rFonts w:asciiTheme="minorHAnsi" w:hAnsiTheme="minorHAnsi" w:cstheme="minorHAnsi"/>
          <w:sz w:val="22"/>
          <w:szCs w:val="22"/>
        </w:rPr>
        <w:t xml:space="preserve">Peters, R. (2024). </w:t>
      </w:r>
      <w:r w:rsidRPr="006F298E">
        <w:rPr>
          <w:rFonts w:asciiTheme="minorHAnsi" w:hAnsiTheme="minorHAnsi" w:cstheme="minorHAnsi"/>
          <w:i/>
          <w:iCs/>
          <w:sz w:val="22"/>
          <w:szCs w:val="22"/>
        </w:rPr>
        <w:t>Psychological Contract</w:t>
      </w:r>
      <w:r w:rsidRPr="006F298E">
        <w:rPr>
          <w:rFonts w:asciiTheme="minorHAnsi" w:hAnsiTheme="minorHAnsi" w:cstheme="minorHAnsi"/>
          <w:sz w:val="22"/>
          <w:szCs w:val="22"/>
        </w:rPr>
        <w:t>. [online] CIPD. Available at: https://www.cipd.org/uk/knowledge/factsheets/psychological-factsheet/ [Accessed 5 Aug. 2024].</w:t>
      </w:r>
    </w:p>
    <w:p w:rsidR="006F298E" w:rsidRPr="006F298E" w:rsidRDefault="006F298E" w:rsidP="006F298E">
      <w:pPr>
        <w:pStyle w:val="NormalWeb"/>
        <w:spacing w:before="0" w:beforeAutospacing="0" w:after="240" w:afterAutospacing="0" w:line="360" w:lineRule="auto"/>
        <w:rPr>
          <w:rFonts w:asciiTheme="minorHAnsi" w:hAnsiTheme="minorHAnsi" w:cstheme="minorHAnsi"/>
          <w:sz w:val="22"/>
          <w:szCs w:val="22"/>
        </w:rPr>
      </w:pPr>
      <w:r w:rsidRPr="006F298E">
        <w:rPr>
          <w:rFonts w:asciiTheme="minorHAnsi" w:hAnsiTheme="minorHAnsi" w:cstheme="minorHAnsi"/>
          <w:sz w:val="22"/>
          <w:szCs w:val="22"/>
        </w:rPr>
        <w:t xml:space="preserve">Pritchard, K. (2024). </w:t>
      </w:r>
      <w:r w:rsidRPr="006F298E">
        <w:rPr>
          <w:rFonts w:asciiTheme="minorHAnsi" w:hAnsiTheme="minorHAnsi" w:cstheme="minorHAnsi"/>
          <w:i/>
          <w:iCs/>
          <w:sz w:val="22"/>
          <w:szCs w:val="22"/>
        </w:rPr>
        <w:t>From quiet quitting to grumpy stayers – how HR can identify and turn around disengaged workers</w:t>
      </w:r>
      <w:r w:rsidRPr="006F298E">
        <w:rPr>
          <w:rFonts w:asciiTheme="minorHAnsi" w:hAnsiTheme="minorHAnsi" w:cstheme="minorHAnsi"/>
          <w:sz w:val="22"/>
          <w:szCs w:val="22"/>
        </w:rPr>
        <w:t>. [online] Peoplemanagement.co.uk. Available at: https://www.peoplemanagement.co.uk/article/1856160/quiet-quitting-grumpy-stayers-%E2%80%93-hr-identify-turn-around-disengaged-workers#:~:text=The%20best%20approach%20to%20resolve [Accessed 5 Aug. 2024].</w:t>
      </w:r>
    </w:p>
    <w:p w:rsidR="006F298E" w:rsidRPr="006F298E" w:rsidRDefault="006F298E" w:rsidP="006F298E">
      <w:pPr>
        <w:pStyle w:val="NormalWeb"/>
        <w:spacing w:before="0" w:beforeAutospacing="0" w:after="240" w:afterAutospacing="0" w:line="360" w:lineRule="auto"/>
        <w:rPr>
          <w:rFonts w:asciiTheme="minorHAnsi" w:hAnsiTheme="minorHAnsi" w:cstheme="minorHAnsi"/>
          <w:sz w:val="22"/>
          <w:szCs w:val="22"/>
        </w:rPr>
      </w:pPr>
      <w:r w:rsidRPr="006F298E">
        <w:rPr>
          <w:rFonts w:asciiTheme="minorHAnsi" w:hAnsiTheme="minorHAnsi" w:cstheme="minorHAnsi"/>
          <w:sz w:val="22"/>
          <w:szCs w:val="22"/>
        </w:rPr>
        <w:lastRenderedPageBreak/>
        <w:t xml:space="preserve">Race Equality Foundation (2024). </w:t>
      </w:r>
      <w:r w:rsidRPr="006F298E">
        <w:rPr>
          <w:rFonts w:asciiTheme="minorHAnsi" w:hAnsiTheme="minorHAnsi" w:cstheme="minorHAnsi"/>
          <w:i/>
          <w:iCs/>
          <w:sz w:val="22"/>
          <w:szCs w:val="22"/>
        </w:rPr>
        <w:t>Labour unveils Race Equality Act plans</w:t>
      </w:r>
      <w:r w:rsidRPr="006F298E">
        <w:rPr>
          <w:rFonts w:asciiTheme="minorHAnsi" w:hAnsiTheme="minorHAnsi" w:cstheme="minorHAnsi"/>
          <w:sz w:val="22"/>
          <w:szCs w:val="22"/>
        </w:rPr>
        <w:t>. [online] Race Equality Foundation. Available at: https://raceequalityfoundation.org.uk/news/labour-unveils-race-equality-act-plans/ [Accessed 6 Aug. 2024].</w:t>
      </w:r>
    </w:p>
    <w:p w:rsidR="006F298E" w:rsidRPr="006F298E" w:rsidRDefault="006F298E" w:rsidP="006F298E">
      <w:pPr>
        <w:pStyle w:val="NormalWeb"/>
        <w:spacing w:before="0" w:beforeAutospacing="0" w:after="240" w:afterAutospacing="0" w:line="360" w:lineRule="auto"/>
        <w:rPr>
          <w:rFonts w:asciiTheme="minorHAnsi" w:hAnsiTheme="minorHAnsi" w:cstheme="minorHAnsi"/>
          <w:sz w:val="22"/>
          <w:szCs w:val="22"/>
        </w:rPr>
      </w:pPr>
      <w:r w:rsidRPr="006F298E">
        <w:rPr>
          <w:rFonts w:asciiTheme="minorHAnsi" w:hAnsiTheme="minorHAnsi" w:cstheme="minorHAnsi"/>
          <w:sz w:val="22"/>
          <w:szCs w:val="22"/>
        </w:rPr>
        <w:t xml:space="preserve">REBA (2021). </w:t>
      </w:r>
      <w:r w:rsidRPr="006F298E">
        <w:rPr>
          <w:rFonts w:asciiTheme="minorHAnsi" w:hAnsiTheme="minorHAnsi" w:cstheme="minorHAnsi"/>
          <w:i/>
          <w:iCs/>
          <w:sz w:val="22"/>
          <w:szCs w:val="22"/>
        </w:rPr>
        <w:t>Why transparency and openness are critical to reward strategy – and how to achieve it</w:t>
      </w:r>
      <w:r w:rsidRPr="006F298E">
        <w:rPr>
          <w:rFonts w:asciiTheme="minorHAnsi" w:hAnsiTheme="minorHAnsi" w:cstheme="minorHAnsi"/>
          <w:sz w:val="22"/>
          <w:szCs w:val="22"/>
        </w:rPr>
        <w:t>. [online] reba.global. Available at: https://reba.global/resource/why-transparency-and-openness-are-critical-to-reward-strategy-and-how-to-achieve-it.html [Accessed 8 Jul. 2024].</w:t>
      </w:r>
    </w:p>
    <w:p w:rsidR="006F298E" w:rsidRPr="006F298E" w:rsidRDefault="006F298E" w:rsidP="006F298E">
      <w:pPr>
        <w:pStyle w:val="NormalWeb"/>
        <w:spacing w:before="0" w:beforeAutospacing="0" w:after="240" w:afterAutospacing="0" w:line="360" w:lineRule="auto"/>
        <w:rPr>
          <w:rFonts w:asciiTheme="minorHAnsi" w:hAnsiTheme="minorHAnsi" w:cstheme="minorHAnsi"/>
          <w:sz w:val="22"/>
          <w:szCs w:val="22"/>
        </w:rPr>
      </w:pPr>
      <w:r w:rsidRPr="006F298E">
        <w:rPr>
          <w:rFonts w:asciiTheme="minorHAnsi" w:hAnsiTheme="minorHAnsi" w:cstheme="minorHAnsi"/>
          <w:sz w:val="22"/>
          <w:szCs w:val="22"/>
        </w:rPr>
        <w:t xml:space="preserve">Taylor, S. and Woodhams, C. (2022a). </w:t>
      </w:r>
      <w:r w:rsidRPr="006F298E">
        <w:rPr>
          <w:rFonts w:asciiTheme="minorHAnsi" w:hAnsiTheme="minorHAnsi" w:cstheme="minorHAnsi"/>
          <w:i/>
          <w:iCs/>
          <w:sz w:val="22"/>
          <w:szCs w:val="22"/>
        </w:rPr>
        <w:t>Human resource management : people and organisations</w:t>
      </w:r>
      <w:r w:rsidRPr="006F298E">
        <w:rPr>
          <w:rFonts w:asciiTheme="minorHAnsi" w:hAnsiTheme="minorHAnsi" w:cstheme="minorHAnsi"/>
          <w:sz w:val="22"/>
          <w:szCs w:val="22"/>
        </w:rPr>
        <w:t>. 3rd ed. New York, Ny: Kogan Page Inc.</w:t>
      </w:r>
    </w:p>
    <w:p w:rsidR="006F298E" w:rsidRPr="006F298E" w:rsidRDefault="006F298E" w:rsidP="006F298E">
      <w:pPr>
        <w:pStyle w:val="NormalWeb"/>
        <w:spacing w:before="0" w:beforeAutospacing="0" w:after="240" w:afterAutospacing="0" w:line="360" w:lineRule="auto"/>
        <w:rPr>
          <w:rFonts w:asciiTheme="minorHAnsi" w:hAnsiTheme="minorHAnsi" w:cstheme="minorHAnsi"/>
          <w:sz w:val="22"/>
          <w:szCs w:val="22"/>
        </w:rPr>
      </w:pPr>
      <w:r w:rsidRPr="006F298E">
        <w:rPr>
          <w:rFonts w:asciiTheme="minorHAnsi" w:hAnsiTheme="minorHAnsi" w:cstheme="minorHAnsi"/>
          <w:sz w:val="22"/>
          <w:szCs w:val="22"/>
        </w:rPr>
        <w:t xml:space="preserve">Taylor, S. and Woodhams, C. (2022b). </w:t>
      </w:r>
      <w:r w:rsidRPr="006F298E">
        <w:rPr>
          <w:rFonts w:asciiTheme="minorHAnsi" w:hAnsiTheme="minorHAnsi" w:cstheme="minorHAnsi"/>
          <w:i/>
          <w:iCs/>
          <w:sz w:val="22"/>
          <w:szCs w:val="22"/>
        </w:rPr>
        <w:t>STUDYING HUMAN RESOURCE MANAGEMENT : a Guide to the study, Context and Practice of hr.</w:t>
      </w:r>
      <w:r w:rsidRPr="006F298E">
        <w:rPr>
          <w:rFonts w:asciiTheme="minorHAnsi" w:hAnsiTheme="minorHAnsi" w:cstheme="minorHAnsi"/>
          <w:sz w:val="22"/>
          <w:szCs w:val="22"/>
        </w:rPr>
        <w:t xml:space="preserve"> S.L.: Kogan Page.</w:t>
      </w:r>
    </w:p>
    <w:p w:rsidR="006F298E" w:rsidRPr="006F298E" w:rsidRDefault="006F298E" w:rsidP="006F298E">
      <w:pPr>
        <w:pStyle w:val="NormalWeb"/>
        <w:spacing w:before="0" w:beforeAutospacing="0" w:after="240" w:afterAutospacing="0" w:line="360" w:lineRule="auto"/>
        <w:rPr>
          <w:rFonts w:asciiTheme="minorHAnsi" w:hAnsiTheme="minorHAnsi" w:cstheme="minorHAnsi"/>
          <w:sz w:val="22"/>
          <w:szCs w:val="22"/>
        </w:rPr>
      </w:pPr>
      <w:r w:rsidRPr="006F298E">
        <w:rPr>
          <w:rFonts w:asciiTheme="minorHAnsi" w:hAnsiTheme="minorHAnsi" w:cstheme="minorHAnsi"/>
          <w:sz w:val="22"/>
          <w:szCs w:val="22"/>
        </w:rPr>
        <w:t xml:space="preserve">UK Government (2011). </w:t>
      </w:r>
      <w:r w:rsidRPr="006F298E">
        <w:rPr>
          <w:rFonts w:asciiTheme="minorHAnsi" w:hAnsiTheme="minorHAnsi" w:cstheme="minorHAnsi"/>
          <w:i/>
          <w:iCs/>
          <w:sz w:val="22"/>
          <w:szCs w:val="22"/>
        </w:rPr>
        <w:t>The Working Time Regulations 1998</w:t>
      </w:r>
      <w:r w:rsidRPr="006F298E">
        <w:rPr>
          <w:rFonts w:asciiTheme="minorHAnsi" w:hAnsiTheme="minorHAnsi" w:cstheme="minorHAnsi"/>
          <w:sz w:val="22"/>
          <w:szCs w:val="22"/>
        </w:rPr>
        <w:t>. [online] Legislation.gov.uk. Available at: https://www.legislation.gov.uk/uksi/1998/1833/contents [Accessed 29 Jul. 2024].</w:t>
      </w:r>
    </w:p>
    <w:p w:rsidR="006F298E" w:rsidRPr="006F298E" w:rsidRDefault="006F298E" w:rsidP="006F298E">
      <w:pPr>
        <w:pStyle w:val="NormalWeb"/>
        <w:spacing w:before="0" w:beforeAutospacing="0" w:after="240" w:afterAutospacing="0" w:line="360" w:lineRule="auto"/>
        <w:rPr>
          <w:rFonts w:asciiTheme="minorHAnsi" w:hAnsiTheme="minorHAnsi" w:cstheme="minorHAnsi"/>
          <w:sz w:val="22"/>
          <w:szCs w:val="22"/>
        </w:rPr>
      </w:pPr>
      <w:r w:rsidRPr="006F298E">
        <w:rPr>
          <w:rFonts w:asciiTheme="minorHAnsi" w:hAnsiTheme="minorHAnsi" w:cstheme="minorHAnsi"/>
          <w:sz w:val="22"/>
          <w:szCs w:val="22"/>
        </w:rPr>
        <w:t xml:space="preserve">Waite, K., Beevers, K., Small, N., Tomlinson, K. and Hussain, S. (2021). </w:t>
      </w:r>
      <w:r w:rsidRPr="006F298E">
        <w:rPr>
          <w:rFonts w:asciiTheme="minorHAnsi" w:hAnsiTheme="minorHAnsi" w:cstheme="minorHAnsi"/>
          <w:i/>
          <w:iCs/>
          <w:sz w:val="22"/>
          <w:szCs w:val="22"/>
        </w:rPr>
        <w:t>People Practice : A Complete Guide</w:t>
      </w:r>
      <w:r w:rsidRPr="006F298E">
        <w:rPr>
          <w:rFonts w:asciiTheme="minorHAnsi" w:hAnsiTheme="minorHAnsi" w:cstheme="minorHAnsi"/>
          <w:sz w:val="22"/>
          <w:szCs w:val="22"/>
        </w:rPr>
        <w:t>. London, United Kingdom ; New York, Ny: Kogan Page.</w:t>
      </w:r>
    </w:p>
    <w:p w:rsidR="006F298E" w:rsidRPr="006F298E" w:rsidRDefault="006F298E" w:rsidP="006F298E">
      <w:pPr>
        <w:pStyle w:val="NormalWeb"/>
        <w:spacing w:before="0" w:beforeAutospacing="0" w:after="240" w:afterAutospacing="0" w:line="360" w:lineRule="auto"/>
        <w:rPr>
          <w:rFonts w:asciiTheme="minorHAnsi" w:hAnsiTheme="minorHAnsi" w:cstheme="minorHAnsi"/>
          <w:sz w:val="22"/>
          <w:szCs w:val="22"/>
        </w:rPr>
      </w:pPr>
      <w:r w:rsidRPr="006F298E">
        <w:rPr>
          <w:rFonts w:asciiTheme="minorHAnsi" w:hAnsiTheme="minorHAnsi" w:cstheme="minorHAnsi"/>
          <w:sz w:val="22"/>
          <w:szCs w:val="22"/>
        </w:rPr>
        <w:t xml:space="preserve">Young, J. (2024). </w:t>
      </w:r>
      <w:r w:rsidRPr="006F298E">
        <w:rPr>
          <w:rFonts w:asciiTheme="minorHAnsi" w:hAnsiTheme="minorHAnsi" w:cstheme="minorHAnsi"/>
          <w:i/>
          <w:iCs/>
          <w:sz w:val="22"/>
          <w:szCs w:val="22"/>
        </w:rPr>
        <w:t>CIPD | Evidence-based practice for effective decision-making | Factsheets</w:t>
      </w:r>
      <w:r w:rsidRPr="006F298E">
        <w:rPr>
          <w:rFonts w:asciiTheme="minorHAnsi" w:hAnsiTheme="minorHAnsi" w:cstheme="minorHAnsi"/>
          <w:sz w:val="22"/>
          <w:szCs w:val="22"/>
        </w:rPr>
        <w:t>. [online] CIPD. Available at: https://www.cipd.org/uk/knowledge/factsheets/evidence-based-practice-factsheet/#:~:text=and%20further%20reading- [Accessed 7 Aug. 2024].</w:t>
      </w:r>
    </w:p>
    <w:p w:rsidR="006F298E" w:rsidRDefault="006F298E" w:rsidP="006424EB">
      <w:pPr>
        <w:pStyle w:val="Nornal"/>
        <w:ind w:left="720"/>
        <w:jc w:val="both"/>
        <w:rPr>
          <w:rFonts w:ascii="Calibri" w:hAnsi="Calibri" w:cs="Calibri"/>
          <w:color w:val="000000" w:themeColor="text1"/>
        </w:rPr>
      </w:pPr>
    </w:p>
    <w:sectPr w:rsidR="006F298E">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07770" w:rsidRDefault="00707770" w:rsidP="00083725">
      <w:pPr>
        <w:spacing w:after="0" w:line="240" w:lineRule="auto"/>
      </w:pPr>
      <w:r>
        <w:separator/>
      </w:r>
    </w:p>
  </w:endnote>
  <w:endnote w:type="continuationSeparator" w:id="0">
    <w:p w:rsidR="00707770" w:rsidRDefault="00707770" w:rsidP="000837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E5654" w:rsidRDefault="000E565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E5654" w:rsidRDefault="000E565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E5654" w:rsidRDefault="000E56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07770" w:rsidRDefault="00707770" w:rsidP="00083725">
      <w:pPr>
        <w:spacing w:after="0" w:line="240" w:lineRule="auto"/>
      </w:pPr>
      <w:r>
        <w:separator/>
      </w:r>
    </w:p>
  </w:footnote>
  <w:footnote w:type="continuationSeparator" w:id="0">
    <w:p w:rsidR="00707770" w:rsidRDefault="00707770" w:rsidP="000837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E5654" w:rsidRDefault="000E565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E5654" w:rsidRPr="004631AA" w:rsidRDefault="000E5654" w:rsidP="000556C0">
    <w:pPr>
      <w:pStyle w:val="Heading1"/>
      <w:shd w:val="clear" w:color="auto" w:fill="FFFFFF"/>
      <w:spacing w:before="0" w:beforeAutospacing="0"/>
      <w:rPr>
        <w:rFonts w:ascii="Segoe UI" w:hAnsi="Segoe UI" w:cs="Segoe UI"/>
        <w:color w:val="1D2125"/>
      </w:rPr>
    </w:pPr>
    <w:r w:rsidRPr="000556C0">
      <w:rPr>
        <w:rFonts w:asciiTheme="minorHAnsi" w:hAnsiTheme="minorHAnsi" w:cstheme="minorHAnsi"/>
        <w:sz w:val="22"/>
        <w:szCs w:val="22"/>
      </w:rPr>
      <w:t xml:space="preserve">Laura </w:t>
    </w:r>
    <w:r w:rsidRPr="004631AA">
      <w:rPr>
        <w:rFonts w:asciiTheme="minorHAnsi" w:hAnsiTheme="minorHAnsi" w:cstheme="minorHAnsi"/>
        <w:sz w:val="22"/>
        <w:szCs w:val="22"/>
      </w:rPr>
      <w:t>Parry</w:t>
    </w:r>
    <w:r w:rsidRPr="004631AA">
      <w:rPr>
        <w:rFonts w:asciiTheme="minorHAnsi" w:hAnsiTheme="minorHAnsi" w:cstheme="minorHAnsi"/>
        <w:sz w:val="22"/>
        <w:szCs w:val="22"/>
      </w:rPr>
      <w:ptab w:relativeTo="margin" w:alignment="center" w:leader="none"/>
    </w:r>
    <w:r w:rsidRPr="004631AA">
      <w:rPr>
        <w:rFonts w:asciiTheme="minorHAnsi" w:hAnsiTheme="minorHAnsi" w:cstheme="minorHAnsi"/>
        <w:color w:val="1D2125"/>
        <w:sz w:val="22"/>
        <w:szCs w:val="22"/>
      </w:rPr>
      <w:t>Reward for Performance and Contribution (BMPD5021)</w:t>
    </w:r>
  </w:p>
  <w:p w:rsidR="000E5654" w:rsidRDefault="000E565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E5654" w:rsidRDefault="000E565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366F63"/>
    <w:multiLevelType w:val="hybridMultilevel"/>
    <w:tmpl w:val="CC0A2D92"/>
    <w:lvl w:ilvl="0" w:tplc="46767DE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A934909"/>
    <w:multiLevelType w:val="hybridMultilevel"/>
    <w:tmpl w:val="BA9A4068"/>
    <w:lvl w:ilvl="0" w:tplc="9612BF06">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 w15:restartNumberingAfterBreak="0">
    <w:nsid w:val="0D4F4507"/>
    <w:multiLevelType w:val="hybridMultilevel"/>
    <w:tmpl w:val="C38EA0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AAF5307"/>
    <w:multiLevelType w:val="hybridMultilevel"/>
    <w:tmpl w:val="FE5CB9E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40E5F56"/>
    <w:multiLevelType w:val="hybridMultilevel"/>
    <w:tmpl w:val="DC6CAB80"/>
    <w:lvl w:ilvl="0" w:tplc="7376E80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265F5760"/>
    <w:multiLevelType w:val="hybridMultilevel"/>
    <w:tmpl w:val="821CCB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678107B"/>
    <w:multiLevelType w:val="hybridMultilevel"/>
    <w:tmpl w:val="D8E2015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28614BE6"/>
    <w:multiLevelType w:val="hybridMultilevel"/>
    <w:tmpl w:val="542A46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8963581"/>
    <w:multiLevelType w:val="hybridMultilevel"/>
    <w:tmpl w:val="C8AC1B0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2D123ACB"/>
    <w:multiLevelType w:val="hybridMultilevel"/>
    <w:tmpl w:val="909E76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305C7CA8"/>
    <w:multiLevelType w:val="hybridMultilevel"/>
    <w:tmpl w:val="3BD0F54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307953DC"/>
    <w:multiLevelType w:val="hybridMultilevel"/>
    <w:tmpl w:val="DEB6759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3A5D4FCA"/>
    <w:multiLevelType w:val="hybridMultilevel"/>
    <w:tmpl w:val="EF3EBFDC"/>
    <w:lvl w:ilvl="0" w:tplc="0BA4188A">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3A657F62"/>
    <w:multiLevelType w:val="hybridMultilevel"/>
    <w:tmpl w:val="410CDF8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3BD33EDB"/>
    <w:multiLevelType w:val="hybridMultilevel"/>
    <w:tmpl w:val="546C223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6" w15:restartNumberingAfterBreak="0">
    <w:nsid w:val="4600317C"/>
    <w:multiLevelType w:val="hybridMultilevel"/>
    <w:tmpl w:val="69C876E2"/>
    <w:lvl w:ilvl="0" w:tplc="8F983E8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46AB4B37"/>
    <w:multiLevelType w:val="hybridMultilevel"/>
    <w:tmpl w:val="26D4FA3C"/>
    <w:lvl w:ilvl="0" w:tplc="BBAA10B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4DE512AD"/>
    <w:multiLevelType w:val="hybridMultilevel"/>
    <w:tmpl w:val="738EA5E4"/>
    <w:lvl w:ilvl="0" w:tplc="08090001">
      <w:start w:val="1"/>
      <w:numFmt w:val="bullet"/>
      <w:lvlText w:val=""/>
      <w:lvlJc w:val="left"/>
      <w:pPr>
        <w:ind w:left="1488" w:hanging="360"/>
      </w:pPr>
      <w:rPr>
        <w:rFonts w:ascii="Symbol" w:hAnsi="Symbol" w:hint="default"/>
      </w:rPr>
    </w:lvl>
    <w:lvl w:ilvl="1" w:tplc="08090003" w:tentative="1">
      <w:start w:val="1"/>
      <w:numFmt w:val="bullet"/>
      <w:lvlText w:val="o"/>
      <w:lvlJc w:val="left"/>
      <w:pPr>
        <w:ind w:left="2208" w:hanging="360"/>
      </w:pPr>
      <w:rPr>
        <w:rFonts w:ascii="Courier New" w:hAnsi="Courier New" w:cs="Courier New" w:hint="default"/>
      </w:rPr>
    </w:lvl>
    <w:lvl w:ilvl="2" w:tplc="08090005" w:tentative="1">
      <w:start w:val="1"/>
      <w:numFmt w:val="bullet"/>
      <w:lvlText w:val=""/>
      <w:lvlJc w:val="left"/>
      <w:pPr>
        <w:ind w:left="2928" w:hanging="360"/>
      </w:pPr>
      <w:rPr>
        <w:rFonts w:ascii="Wingdings" w:hAnsi="Wingdings" w:hint="default"/>
      </w:rPr>
    </w:lvl>
    <w:lvl w:ilvl="3" w:tplc="08090001" w:tentative="1">
      <w:start w:val="1"/>
      <w:numFmt w:val="bullet"/>
      <w:lvlText w:val=""/>
      <w:lvlJc w:val="left"/>
      <w:pPr>
        <w:ind w:left="3648" w:hanging="360"/>
      </w:pPr>
      <w:rPr>
        <w:rFonts w:ascii="Symbol" w:hAnsi="Symbol" w:hint="default"/>
      </w:rPr>
    </w:lvl>
    <w:lvl w:ilvl="4" w:tplc="08090003" w:tentative="1">
      <w:start w:val="1"/>
      <w:numFmt w:val="bullet"/>
      <w:lvlText w:val="o"/>
      <w:lvlJc w:val="left"/>
      <w:pPr>
        <w:ind w:left="4368" w:hanging="360"/>
      </w:pPr>
      <w:rPr>
        <w:rFonts w:ascii="Courier New" w:hAnsi="Courier New" w:cs="Courier New" w:hint="default"/>
      </w:rPr>
    </w:lvl>
    <w:lvl w:ilvl="5" w:tplc="08090005" w:tentative="1">
      <w:start w:val="1"/>
      <w:numFmt w:val="bullet"/>
      <w:lvlText w:val=""/>
      <w:lvlJc w:val="left"/>
      <w:pPr>
        <w:ind w:left="5088" w:hanging="360"/>
      </w:pPr>
      <w:rPr>
        <w:rFonts w:ascii="Wingdings" w:hAnsi="Wingdings" w:hint="default"/>
      </w:rPr>
    </w:lvl>
    <w:lvl w:ilvl="6" w:tplc="08090001" w:tentative="1">
      <w:start w:val="1"/>
      <w:numFmt w:val="bullet"/>
      <w:lvlText w:val=""/>
      <w:lvlJc w:val="left"/>
      <w:pPr>
        <w:ind w:left="5808" w:hanging="360"/>
      </w:pPr>
      <w:rPr>
        <w:rFonts w:ascii="Symbol" w:hAnsi="Symbol" w:hint="default"/>
      </w:rPr>
    </w:lvl>
    <w:lvl w:ilvl="7" w:tplc="08090003" w:tentative="1">
      <w:start w:val="1"/>
      <w:numFmt w:val="bullet"/>
      <w:lvlText w:val="o"/>
      <w:lvlJc w:val="left"/>
      <w:pPr>
        <w:ind w:left="6528" w:hanging="360"/>
      </w:pPr>
      <w:rPr>
        <w:rFonts w:ascii="Courier New" w:hAnsi="Courier New" w:cs="Courier New" w:hint="default"/>
      </w:rPr>
    </w:lvl>
    <w:lvl w:ilvl="8" w:tplc="08090005" w:tentative="1">
      <w:start w:val="1"/>
      <w:numFmt w:val="bullet"/>
      <w:lvlText w:val=""/>
      <w:lvlJc w:val="left"/>
      <w:pPr>
        <w:ind w:left="7248" w:hanging="360"/>
      </w:pPr>
      <w:rPr>
        <w:rFonts w:ascii="Wingdings" w:hAnsi="Wingdings" w:hint="default"/>
      </w:rPr>
    </w:lvl>
  </w:abstractNum>
  <w:abstractNum w:abstractNumId="19" w15:restartNumberingAfterBreak="0">
    <w:nsid w:val="58197988"/>
    <w:multiLevelType w:val="hybridMultilevel"/>
    <w:tmpl w:val="4B80F99E"/>
    <w:lvl w:ilvl="0" w:tplc="08090001">
      <w:start w:val="1"/>
      <w:numFmt w:val="bullet"/>
      <w:lvlText w:val=""/>
      <w:lvlJc w:val="left"/>
      <w:pPr>
        <w:ind w:left="1536" w:hanging="360"/>
      </w:pPr>
      <w:rPr>
        <w:rFonts w:ascii="Symbol" w:hAnsi="Symbol" w:hint="default"/>
      </w:rPr>
    </w:lvl>
    <w:lvl w:ilvl="1" w:tplc="08090003" w:tentative="1">
      <w:start w:val="1"/>
      <w:numFmt w:val="bullet"/>
      <w:lvlText w:val="o"/>
      <w:lvlJc w:val="left"/>
      <w:pPr>
        <w:ind w:left="2256" w:hanging="360"/>
      </w:pPr>
      <w:rPr>
        <w:rFonts w:ascii="Courier New" w:hAnsi="Courier New" w:cs="Courier New" w:hint="default"/>
      </w:rPr>
    </w:lvl>
    <w:lvl w:ilvl="2" w:tplc="08090005" w:tentative="1">
      <w:start w:val="1"/>
      <w:numFmt w:val="bullet"/>
      <w:lvlText w:val=""/>
      <w:lvlJc w:val="left"/>
      <w:pPr>
        <w:ind w:left="2976" w:hanging="360"/>
      </w:pPr>
      <w:rPr>
        <w:rFonts w:ascii="Wingdings" w:hAnsi="Wingdings" w:hint="default"/>
      </w:rPr>
    </w:lvl>
    <w:lvl w:ilvl="3" w:tplc="08090001" w:tentative="1">
      <w:start w:val="1"/>
      <w:numFmt w:val="bullet"/>
      <w:lvlText w:val=""/>
      <w:lvlJc w:val="left"/>
      <w:pPr>
        <w:ind w:left="3696" w:hanging="360"/>
      </w:pPr>
      <w:rPr>
        <w:rFonts w:ascii="Symbol" w:hAnsi="Symbol" w:hint="default"/>
      </w:rPr>
    </w:lvl>
    <w:lvl w:ilvl="4" w:tplc="08090003" w:tentative="1">
      <w:start w:val="1"/>
      <w:numFmt w:val="bullet"/>
      <w:lvlText w:val="o"/>
      <w:lvlJc w:val="left"/>
      <w:pPr>
        <w:ind w:left="4416" w:hanging="360"/>
      </w:pPr>
      <w:rPr>
        <w:rFonts w:ascii="Courier New" w:hAnsi="Courier New" w:cs="Courier New" w:hint="default"/>
      </w:rPr>
    </w:lvl>
    <w:lvl w:ilvl="5" w:tplc="08090005" w:tentative="1">
      <w:start w:val="1"/>
      <w:numFmt w:val="bullet"/>
      <w:lvlText w:val=""/>
      <w:lvlJc w:val="left"/>
      <w:pPr>
        <w:ind w:left="5136" w:hanging="360"/>
      </w:pPr>
      <w:rPr>
        <w:rFonts w:ascii="Wingdings" w:hAnsi="Wingdings" w:hint="default"/>
      </w:rPr>
    </w:lvl>
    <w:lvl w:ilvl="6" w:tplc="08090001" w:tentative="1">
      <w:start w:val="1"/>
      <w:numFmt w:val="bullet"/>
      <w:lvlText w:val=""/>
      <w:lvlJc w:val="left"/>
      <w:pPr>
        <w:ind w:left="5856" w:hanging="360"/>
      </w:pPr>
      <w:rPr>
        <w:rFonts w:ascii="Symbol" w:hAnsi="Symbol" w:hint="default"/>
      </w:rPr>
    </w:lvl>
    <w:lvl w:ilvl="7" w:tplc="08090003" w:tentative="1">
      <w:start w:val="1"/>
      <w:numFmt w:val="bullet"/>
      <w:lvlText w:val="o"/>
      <w:lvlJc w:val="left"/>
      <w:pPr>
        <w:ind w:left="6576" w:hanging="360"/>
      </w:pPr>
      <w:rPr>
        <w:rFonts w:ascii="Courier New" w:hAnsi="Courier New" w:cs="Courier New" w:hint="default"/>
      </w:rPr>
    </w:lvl>
    <w:lvl w:ilvl="8" w:tplc="08090005" w:tentative="1">
      <w:start w:val="1"/>
      <w:numFmt w:val="bullet"/>
      <w:lvlText w:val=""/>
      <w:lvlJc w:val="left"/>
      <w:pPr>
        <w:ind w:left="7296" w:hanging="360"/>
      </w:pPr>
      <w:rPr>
        <w:rFonts w:ascii="Wingdings" w:hAnsi="Wingdings" w:hint="default"/>
      </w:rPr>
    </w:lvl>
  </w:abstractNum>
  <w:abstractNum w:abstractNumId="20" w15:restartNumberingAfterBreak="0">
    <w:nsid w:val="5952565C"/>
    <w:multiLevelType w:val="hybridMultilevel"/>
    <w:tmpl w:val="AAEA80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5E50D2"/>
    <w:multiLevelType w:val="hybridMultilevel"/>
    <w:tmpl w:val="BD6C60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611C313C"/>
    <w:multiLevelType w:val="hybridMultilevel"/>
    <w:tmpl w:val="2B6293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C45911"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FF01E7B"/>
    <w:multiLevelType w:val="hybridMultilevel"/>
    <w:tmpl w:val="011032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70234947"/>
    <w:multiLevelType w:val="hybridMultilevel"/>
    <w:tmpl w:val="C0AAD93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71AA6872"/>
    <w:multiLevelType w:val="hybridMultilevel"/>
    <w:tmpl w:val="4F24A9D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7" w15:restartNumberingAfterBreak="0">
    <w:nsid w:val="73F8361B"/>
    <w:multiLevelType w:val="hybridMultilevel"/>
    <w:tmpl w:val="BEA8CB5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8" w15:restartNumberingAfterBreak="0">
    <w:nsid w:val="74622A38"/>
    <w:multiLevelType w:val="hybridMultilevel"/>
    <w:tmpl w:val="E75695F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9" w15:restartNumberingAfterBreak="0">
    <w:nsid w:val="78970726"/>
    <w:multiLevelType w:val="hybridMultilevel"/>
    <w:tmpl w:val="B6A688D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0" w15:restartNumberingAfterBreak="0">
    <w:nsid w:val="7BE14129"/>
    <w:multiLevelType w:val="hybridMultilevel"/>
    <w:tmpl w:val="14764F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1" w15:restartNumberingAfterBreak="0">
    <w:nsid w:val="7CA52178"/>
    <w:multiLevelType w:val="hybridMultilevel"/>
    <w:tmpl w:val="7286DC6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23"/>
  </w:num>
  <w:num w:numId="2">
    <w:abstractNumId w:val="0"/>
  </w:num>
  <w:num w:numId="3">
    <w:abstractNumId w:val="29"/>
  </w:num>
  <w:num w:numId="4">
    <w:abstractNumId w:val="26"/>
  </w:num>
  <w:num w:numId="5">
    <w:abstractNumId w:val="31"/>
  </w:num>
  <w:num w:numId="6">
    <w:abstractNumId w:val="30"/>
  </w:num>
  <w:num w:numId="7">
    <w:abstractNumId w:val="18"/>
  </w:num>
  <w:num w:numId="8">
    <w:abstractNumId w:val="4"/>
  </w:num>
  <w:num w:numId="9">
    <w:abstractNumId w:val="22"/>
  </w:num>
  <w:num w:numId="10">
    <w:abstractNumId w:val="11"/>
  </w:num>
  <w:num w:numId="11">
    <w:abstractNumId w:val="15"/>
  </w:num>
  <w:num w:numId="12">
    <w:abstractNumId w:val="27"/>
  </w:num>
  <w:num w:numId="13">
    <w:abstractNumId w:val="24"/>
  </w:num>
  <w:num w:numId="14">
    <w:abstractNumId w:val="28"/>
  </w:num>
  <w:num w:numId="15">
    <w:abstractNumId w:val="19"/>
  </w:num>
  <w:num w:numId="16">
    <w:abstractNumId w:val="21"/>
  </w:num>
  <w:num w:numId="17">
    <w:abstractNumId w:val="3"/>
  </w:num>
  <w:num w:numId="18">
    <w:abstractNumId w:val="12"/>
  </w:num>
  <w:num w:numId="19">
    <w:abstractNumId w:val="2"/>
  </w:num>
  <w:num w:numId="20">
    <w:abstractNumId w:val="10"/>
  </w:num>
  <w:num w:numId="21">
    <w:abstractNumId w:val="14"/>
  </w:num>
  <w:num w:numId="22">
    <w:abstractNumId w:val="25"/>
  </w:num>
  <w:num w:numId="23">
    <w:abstractNumId w:val="20"/>
  </w:num>
  <w:num w:numId="24">
    <w:abstractNumId w:val="9"/>
  </w:num>
  <w:num w:numId="25">
    <w:abstractNumId w:val="7"/>
  </w:num>
  <w:num w:numId="26">
    <w:abstractNumId w:val="17"/>
  </w:num>
  <w:num w:numId="27">
    <w:abstractNumId w:val="13"/>
  </w:num>
  <w:num w:numId="28">
    <w:abstractNumId w:val="6"/>
  </w:num>
  <w:num w:numId="29">
    <w:abstractNumId w:val="8"/>
  </w:num>
  <w:num w:numId="30">
    <w:abstractNumId w:val="5"/>
  </w:num>
  <w:num w:numId="31">
    <w:abstractNumId w:val="16"/>
  </w:num>
  <w:num w:numId="32">
    <w:abstractNumId w:val="1"/>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83725"/>
    <w:rsid w:val="00001274"/>
    <w:rsid w:val="000056F9"/>
    <w:rsid w:val="00005F20"/>
    <w:rsid w:val="00006979"/>
    <w:rsid w:val="00006ACE"/>
    <w:rsid w:val="00007CA2"/>
    <w:rsid w:val="000104DA"/>
    <w:rsid w:val="00017687"/>
    <w:rsid w:val="000177C6"/>
    <w:rsid w:val="00021068"/>
    <w:rsid w:val="00021263"/>
    <w:rsid w:val="00022B3F"/>
    <w:rsid w:val="0002303C"/>
    <w:rsid w:val="00024243"/>
    <w:rsid w:val="0003236F"/>
    <w:rsid w:val="000408A4"/>
    <w:rsid w:val="00040EC9"/>
    <w:rsid w:val="000451EE"/>
    <w:rsid w:val="00046F74"/>
    <w:rsid w:val="000476F3"/>
    <w:rsid w:val="00053284"/>
    <w:rsid w:val="000556C0"/>
    <w:rsid w:val="00056581"/>
    <w:rsid w:val="00061A40"/>
    <w:rsid w:val="00062A54"/>
    <w:rsid w:val="00065811"/>
    <w:rsid w:val="00074405"/>
    <w:rsid w:val="000767AB"/>
    <w:rsid w:val="00081BF6"/>
    <w:rsid w:val="00081D55"/>
    <w:rsid w:val="000824F5"/>
    <w:rsid w:val="0008349F"/>
    <w:rsid w:val="00083725"/>
    <w:rsid w:val="000850B3"/>
    <w:rsid w:val="000861E6"/>
    <w:rsid w:val="00090BD9"/>
    <w:rsid w:val="00094DE8"/>
    <w:rsid w:val="00096DF2"/>
    <w:rsid w:val="00097610"/>
    <w:rsid w:val="000A595B"/>
    <w:rsid w:val="000A7219"/>
    <w:rsid w:val="000A786E"/>
    <w:rsid w:val="000B4074"/>
    <w:rsid w:val="000B5E3B"/>
    <w:rsid w:val="000B6AFB"/>
    <w:rsid w:val="000C0DB7"/>
    <w:rsid w:val="000C2EFE"/>
    <w:rsid w:val="000C674B"/>
    <w:rsid w:val="000D05CB"/>
    <w:rsid w:val="000D0D7F"/>
    <w:rsid w:val="000D5C63"/>
    <w:rsid w:val="000E33FC"/>
    <w:rsid w:val="000E5654"/>
    <w:rsid w:val="000F03CA"/>
    <w:rsid w:val="000F2A7B"/>
    <w:rsid w:val="000F3653"/>
    <w:rsid w:val="000F644A"/>
    <w:rsid w:val="00101034"/>
    <w:rsid w:val="0010563E"/>
    <w:rsid w:val="00106531"/>
    <w:rsid w:val="00107D1F"/>
    <w:rsid w:val="0012328C"/>
    <w:rsid w:val="00130AAA"/>
    <w:rsid w:val="00131676"/>
    <w:rsid w:val="00133B79"/>
    <w:rsid w:val="00134883"/>
    <w:rsid w:val="00135304"/>
    <w:rsid w:val="00136A43"/>
    <w:rsid w:val="00141AA7"/>
    <w:rsid w:val="001421BC"/>
    <w:rsid w:val="001459A3"/>
    <w:rsid w:val="0014775D"/>
    <w:rsid w:val="00147F04"/>
    <w:rsid w:val="0015606B"/>
    <w:rsid w:val="00156A0A"/>
    <w:rsid w:val="00160AFF"/>
    <w:rsid w:val="00161123"/>
    <w:rsid w:val="001619D8"/>
    <w:rsid w:val="001627E0"/>
    <w:rsid w:val="00163B0D"/>
    <w:rsid w:val="00163E17"/>
    <w:rsid w:val="0016522C"/>
    <w:rsid w:val="00165E5E"/>
    <w:rsid w:val="00171BC6"/>
    <w:rsid w:val="00171D29"/>
    <w:rsid w:val="00172F92"/>
    <w:rsid w:val="001753FB"/>
    <w:rsid w:val="0019697B"/>
    <w:rsid w:val="00197236"/>
    <w:rsid w:val="00197CFD"/>
    <w:rsid w:val="001A425A"/>
    <w:rsid w:val="001A5377"/>
    <w:rsid w:val="001A54E3"/>
    <w:rsid w:val="001C02D7"/>
    <w:rsid w:val="001C1568"/>
    <w:rsid w:val="001C1F91"/>
    <w:rsid w:val="001C38E0"/>
    <w:rsid w:val="001D3C32"/>
    <w:rsid w:val="001D4316"/>
    <w:rsid w:val="001E417D"/>
    <w:rsid w:val="001E63D1"/>
    <w:rsid w:val="001E7BC2"/>
    <w:rsid w:val="001F1F0F"/>
    <w:rsid w:val="001F2C98"/>
    <w:rsid w:val="001F788F"/>
    <w:rsid w:val="002012CF"/>
    <w:rsid w:val="002053B1"/>
    <w:rsid w:val="002069E3"/>
    <w:rsid w:val="002075B0"/>
    <w:rsid w:val="00214D41"/>
    <w:rsid w:val="00221886"/>
    <w:rsid w:val="00222A17"/>
    <w:rsid w:val="00223CE5"/>
    <w:rsid w:val="0022666F"/>
    <w:rsid w:val="00231AFB"/>
    <w:rsid w:val="00233751"/>
    <w:rsid w:val="00234F34"/>
    <w:rsid w:val="002358E0"/>
    <w:rsid w:val="00235AEA"/>
    <w:rsid w:val="0024007C"/>
    <w:rsid w:val="002404D1"/>
    <w:rsid w:val="00240D3F"/>
    <w:rsid w:val="00242FFE"/>
    <w:rsid w:val="00243B00"/>
    <w:rsid w:val="00243DA4"/>
    <w:rsid w:val="002441E6"/>
    <w:rsid w:val="0024674C"/>
    <w:rsid w:val="002474E8"/>
    <w:rsid w:val="002515FA"/>
    <w:rsid w:val="00251ADB"/>
    <w:rsid w:val="00251DFB"/>
    <w:rsid w:val="002531C0"/>
    <w:rsid w:val="002565D2"/>
    <w:rsid w:val="0026004D"/>
    <w:rsid w:val="00261A4F"/>
    <w:rsid w:val="0026250D"/>
    <w:rsid w:val="002627D3"/>
    <w:rsid w:val="00263F6A"/>
    <w:rsid w:val="002657CD"/>
    <w:rsid w:val="00266CA6"/>
    <w:rsid w:val="00266E55"/>
    <w:rsid w:val="00266EDD"/>
    <w:rsid w:val="002676CC"/>
    <w:rsid w:val="002717D9"/>
    <w:rsid w:val="00271DEE"/>
    <w:rsid w:val="00273185"/>
    <w:rsid w:val="0027351C"/>
    <w:rsid w:val="00280F85"/>
    <w:rsid w:val="00282820"/>
    <w:rsid w:val="0028357A"/>
    <w:rsid w:val="00284987"/>
    <w:rsid w:val="00285C5C"/>
    <w:rsid w:val="00287163"/>
    <w:rsid w:val="0029135E"/>
    <w:rsid w:val="00293DE1"/>
    <w:rsid w:val="002A07E9"/>
    <w:rsid w:val="002B16A1"/>
    <w:rsid w:val="002B441E"/>
    <w:rsid w:val="002C15A2"/>
    <w:rsid w:val="002C2465"/>
    <w:rsid w:val="002C6DEC"/>
    <w:rsid w:val="002D222F"/>
    <w:rsid w:val="002D328D"/>
    <w:rsid w:val="002D3AC7"/>
    <w:rsid w:val="002D3CEF"/>
    <w:rsid w:val="002D52DD"/>
    <w:rsid w:val="002D6455"/>
    <w:rsid w:val="002E128C"/>
    <w:rsid w:val="002E1333"/>
    <w:rsid w:val="002E3790"/>
    <w:rsid w:val="002E4F23"/>
    <w:rsid w:val="002E78A1"/>
    <w:rsid w:val="002F047F"/>
    <w:rsid w:val="002F252F"/>
    <w:rsid w:val="002F35F5"/>
    <w:rsid w:val="002F5C63"/>
    <w:rsid w:val="00302440"/>
    <w:rsid w:val="00302D14"/>
    <w:rsid w:val="00305484"/>
    <w:rsid w:val="0031073F"/>
    <w:rsid w:val="00310BD3"/>
    <w:rsid w:val="00315E2F"/>
    <w:rsid w:val="00316796"/>
    <w:rsid w:val="00325018"/>
    <w:rsid w:val="003304BA"/>
    <w:rsid w:val="00337418"/>
    <w:rsid w:val="00337A12"/>
    <w:rsid w:val="00344CBF"/>
    <w:rsid w:val="003461EA"/>
    <w:rsid w:val="003527D0"/>
    <w:rsid w:val="00352A26"/>
    <w:rsid w:val="003530B3"/>
    <w:rsid w:val="003572C3"/>
    <w:rsid w:val="00362575"/>
    <w:rsid w:val="00363DA4"/>
    <w:rsid w:val="003648A2"/>
    <w:rsid w:val="00365291"/>
    <w:rsid w:val="0036647C"/>
    <w:rsid w:val="00374A8C"/>
    <w:rsid w:val="003759D3"/>
    <w:rsid w:val="00382BD1"/>
    <w:rsid w:val="00385A4F"/>
    <w:rsid w:val="00385CB2"/>
    <w:rsid w:val="0039189F"/>
    <w:rsid w:val="00393D78"/>
    <w:rsid w:val="00394FB6"/>
    <w:rsid w:val="003956F5"/>
    <w:rsid w:val="003971D3"/>
    <w:rsid w:val="00397912"/>
    <w:rsid w:val="00397A92"/>
    <w:rsid w:val="003A76F3"/>
    <w:rsid w:val="003A7C37"/>
    <w:rsid w:val="003B1720"/>
    <w:rsid w:val="003B1E3F"/>
    <w:rsid w:val="003B249C"/>
    <w:rsid w:val="003B2641"/>
    <w:rsid w:val="003B3AFA"/>
    <w:rsid w:val="003B4B3D"/>
    <w:rsid w:val="003C2BD1"/>
    <w:rsid w:val="003C4276"/>
    <w:rsid w:val="003C60FD"/>
    <w:rsid w:val="003C7666"/>
    <w:rsid w:val="003D25B6"/>
    <w:rsid w:val="003D25D3"/>
    <w:rsid w:val="003D2A4D"/>
    <w:rsid w:val="003D5900"/>
    <w:rsid w:val="003D6349"/>
    <w:rsid w:val="003D6C02"/>
    <w:rsid w:val="003D6CEB"/>
    <w:rsid w:val="003D7088"/>
    <w:rsid w:val="003E09F7"/>
    <w:rsid w:val="003E1AF6"/>
    <w:rsid w:val="003E1E44"/>
    <w:rsid w:val="003E6A93"/>
    <w:rsid w:val="003E6BFC"/>
    <w:rsid w:val="003E7F68"/>
    <w:rsid w:val="003F019F"/>
    <w:rsid w:val="003F0672"/>
    <w:rsid w:val="003F2C0F"/>
    <w:rsid w:val="003F2E00"/>
    <w:rsid w:val="003F368B"/>
    <w:rsid w:val="003F6046"/>
    <w:rsid w:val="003F65FE"/>
    <w:rsid w:val="003F71AA"/>
    <w:rsid w:val="0040224E"/>
    <w:rsid w:val="00404331"/>
    <w:rsid w:val="00405CEC"/>
    <w:rsid w:val="00407FC1"/>
    <w:rsid w:val="0041077F"/>
    <w:rsid w:val="00413E12"/>
    <w:rsid w:val="00414D88"/>
    <w:rsid w:val="00417220"/>
    <w:rsid w:val="00417B41"/>
    <w:rsid w:val="00420E96"/>
    <w:rsid w:val="0042285C"/>
    <w:rsid w:val="00422F44"/>
    <w:rsid w:val="004235E8"/>
    <w:rsid w:val="004336B9"/>
    <w:rsid w:val="00434505"/>
    <w:rsid w:val="0043568F"/>
    <w:rsid w:val="004356CD"/>
    <w:rsid w:val="00440619"/>
    <w:rsid w:val="00440A80"/>
    <w:rsid w:val="00441A50"/>
    <w:rsid w:val="00442692"/>
    <w:rsid w:val="004449AA"/>
    <w:rsid w:val="004464B0"/>
    <w:rsid w:val="00450AF8"/>
    <w:rsid w:val="00452D6C"/>
    <w:rsid w:val="004547D6"/>
    <w:rsid w:val="004556A2"/>
    <w:rsid w:val="00455956"/>
    <w:rsid w:val="00457059"/>
    <w:rsid w:val="00460DD3"/>
    <w:rsid w:val="00462D6A"/>
    <w:rsid w:val="004631AA"/>
    <w:rsid w:val="00465681"/>
    <w:rsid w:val="00470E81"/>
    <w:rsid w:val="00471DCB"/>
    <w:rsid w:val="004723FB"/>
    <w:rsid w:val="00472D04"/>
    <w:rsid w:val="00473B79"/>
    <w:rsid w:val="00474702"/>
    <w:rsid w:val="004748F4"/>
    <w:rsid w:val="00474A3D"/>
    <w:rsid w:val="00481B0A"/>
    <w:rsid w:val="00481E12"/>
    <w:rsid w:val="00483D24"/>
    <w:rsid w:val="00485FA6"/>
    <w:rsid w:val="004917E4"/>
    <w:rsid w:val="00491D1C"/>
    <w:rsid w:val="004928EB"/>
    <w:rsid w:val="004933F5"/>
    <w:rsid w:val="00494602"/>
    <w:rsid w:val="004956FA"/>
    <w:rsid w:val="00495751"/>
    <w:rsid w:val="004A1D36"/>
    <w:rsid w:val="004A1EBC"/>
    <w:rsid w:val="004A39D8"/>
    <w:rsid w:val="004A454B"/>
    <w:rsid w:val="004A59C8"/>
    <w:rsid w:val="004B1BF4"/>
    <w:rsid w:val="004B4AA7"/>
    <w:rsid w:val="004B4E11"/>
    <w:rsid w:val="004B53E9"/>
    <w:rsid w:val="004B7BF1"/>
    <w:rsid w:val="004C48F1"/>
    <w:rsid w:val="004C5F74"/>
    <w:rsid w:val="004C691C"/>
    <w:rsid w:val="004D1BF5"/>
    <w:rsid w:val="004D303C"/>
    <w:rsid w:val="004D307C"/>
    <w:rsid w:val="004D3436"/>
    <w:rsid w:val="004D47C6"/>
    <w:rsid w:val="004D70D5"/>
    <w:rsid w:val="004D7D91"/>
    <w:rsid w:val="004E19E8"/>
    <w:rsid w:val="004E40D0"/>
    <w:rsid w:val="004E70CF"/>
    <w:rsid w:val="004E7AB2"/>
    <w:rsid w:val="004F02C7"/>
    <w:rsid w:val="004F17BF"/>
    <w:rsid w:val="004F3D55"/>
    <w:rsid w:val="004F5A7C"/>
    <w:rsid w:val="004F730B"/>
    <w:rsid w:val="004F7C14"/>
    <w:rsid w:val="00500399"/>
    <w:rsid w:val="00500A4A"/>
    <w:rsid w:val="00502835"/>
    <w:rsid w:val="00504930"/>
    <w:rsid w:val="00504E03"/>
    <w:rsid w:val="00505BCE"/>
    <w:rsid w:val="00511613"/>
    <w:rsid w:val="005116F2"/>
    <w:rsid w:val="00512A07"/>
    <w:rsid w:val="0051391F"/>
    <w:rsid w:val="00520E76"/>
    <w:rsid w:val="00521137"/>
    <w:rsid w:val="005233BA"/>
    <w:rsid w:val="00524863"/>
    <w:rsid w:val="005304E2"/>
    <w:rsid w:val="005306F4"/>
    <w:rsid w:val="0053094F"/>
    <w:rsid w:val="00532039"/>
    <w:rsid w:val="0053464B"/>
    <w:rsid w:val="00540F66"/>
    <w:rsid w:val="005419EA"/>
    <w:rsid w:val="00541DBF"/>
    <w:rsid w:val="00544ECE"/>
    <w:rsid w:val="00547A25"/>
    <w:rsid w:val="0055024A"/>
    <w:rsid w:val="00553498"/>
    <w:rsid w:val="005552C8"/>
    <w:rsid w:val="0055706E"/>
    <w:rsid w:val="00560164"/>
    <w:rsid w:val="0056083A"/>
    <w:rsid w:val="005644FA"/>
    <w:rsid w:val="00570208"/>
    <w:rsid w:val="005711F8"/>
    <w:rsid w:val="0058504C"/>
    <w:rsid w:val="005924A2"/>
    <w:rsid w:val="00594C81"/>
    <w:rsid w:val="00596425"/>
    <w:rsid w:val="00596B8F"/>
    <w:rsid w:val="00596C5E"/>
    <w:rsid w:val="00597837"/>
    <w:rsid w:val="005A0F0D"/>
    <w:rsid w:val="005A260A"/>
    <w:rsid w:val="005A3648"/>
    <w:rsid w:val="005A5F59"/>
    <w:rsid w:val="005A725E"/>
    <w:rsid w:val="005A79C6"/>
    <w:rsid w:val="005B1895"/>
    <w:rsid w:val="005B207C"/>
    <w:rsid w:val="005B2738"/>
    <w:rsid w:val="005B3227"/>
    <w:rsid w:val="005B4542"/>
    <w:rsid w:val="005B5874"/>
    <w:rsid w:val="005B60E5"/>
    <w:rsid w:val="005C2A24"/>
    <w:rsid w:val="005C60ED"/>
    <w:rsid w:val="005D0DF1"/>
    <w:rsid w:val="005D2817"/>
    <w:rsid w:val="005D3112"/>
    <w:rsid w:val="005D5909"/>
    <w:rsid w:val="005E3C30"/>
    <w:rsid w:val="005E5B0D"/>
    <w:rsid w:val="005F05AA"/>
    <w:rsid w:val="005F455B"/>
    <w:rsid w:val="005F4BFF"/>
    <w:rsid w:val="005F76A8"/>
    <w:rsid w:val="005F7B91"/>
    <w:rsid w:val="00600F8D"/>
    <w:rsid w:val="006028A1"/>
    <w:rsid w:val="00603EBC"/>
    <w:rsid w:val="006069FA"/>
    <w:rsid w:val="00615040"/>
    <w:rsid w:val="00627327"/>
    <w:rsid w:val="00634513"/>
    <w:rsid w:val="00635B3D"/>
    <w:rsid w:val="00637444"/>
    <w:rsid w:val="00637967"/>
    <w:rsid w:val="0064237C"/>
    <w:rsid w:val="006424EB"/>
    <w:rsid w:val="00642A3A"/>
    <w:rsid w:val="0064607C"/>
    <w:rsid w:val="0064723B"/>
    <w:rsid w:val="00651147"/>
    <w:rsid w:val="00651B4E"/>
    <w:rsid w:val="006573ED"/>
    <w:rsid w:val="00661E79"/>
    <w:rsid w:val="006656B8"/>
    <w:rsid w:val="006665D6"/>
    <w:rsid w:val="00667861"/>
    <w:rsid w:val="00671E4C"/>
    <w:rsid w:val="00671FE5"/>
    <w:rsid w:val="00672469"/>
    <w:rsid w:val="0067368C"/>
    <w:rsid w:val="00673C8F"/>
    <w:rsid w:val="0067453D"/>
    <w:rsid w:val="0068039D"/>
    <w:rsid w:val="00680D36"/>
    <w:rsid w:val="00680D72"/>
    <w:rsid w:val="00683116"/>
    <w:rsid w:val="00683D02"/>
    <w:rsid w:val="00683EE7"/>
    <w:rsid w:val="00684B3B"/>
    <w:rsid w:val="006908BC"/>
    <w:rsid w:val="00692D50"/>
    <w:rsid w:val="00692FDB"/>
    <w:rsid w:val="006950DB"/>
    <w:rsid w:val="0069686E"/>
    <w:rsid w:val="006969D5"/>
    <w:rsid w:val="0069737F"/>
    <w:rsid w:val="006A2FBE"/>
    <w:rsid w:val="006A32FB"/>
    <w:rsid w:val="006A3D30"/>
    <w:rsid w:val="006A4FAA"/>
    <w:rsid w:val="006B167A"/>
    <w:rsid w:val="006B33BB"/>
    <w:rsid w:val="006C389F"/>
    <w:rsid w:val="006C41CC"/>
    <w:rsid w:val="006C48CA"/>
    <w:rsid w:val="006D0E4A"/>
    <w:rsid w:val="006D3E36"/>
    <w:rsid w:val="006D490D"/>
    <w:rsid w:val="006D7743"/>
    <w:rsid w:val="006E01CF"/>
    <w:rsid w:val="006E2C3E"/>
    <w:rsid w:val="006E2D75"/>
    <w:rsid w:val="006E6F02"/>
    <w:rsid w:val="006F21C6"/>
    <w:rsid w:val="006F298E"/>
    <w:rsid w:val="006F4D27"/>
    <w:rsid w:val="006F5CF2"/>
    <w:rsid w:val="00702FDB"/>
    <w:rsid w:val="00705533"/>
    <w:rsid w:val="00707770"/>
    <w:rsid w:val="00712619"/>
    <w:rsid w:val="00712BCE"/>
    <w:rsid w:val="00713313"/>
    <w:rsid w:val="00714375"/>
    <w:rsid w:val="00715C4F"/>
    <w:rsid w:val="00715D83"/>
    <w:rsid w:val="00720CAC"/>
    <w:rsid w:val="00723526"/>
    <w:rsid w:val="00724D1C"/>
    <w:rsid w:val="00727BAE"/>
    <w:rsid w:val="00735BEC"/>
    <w:rsid w:val="00745D8E"/>
    <w:rsid w:val="00746594"/>
    <w:rsid w:val="007500A0"/>
    <w:rsid w:val="0075529B"/>
    <w:rsid w:val="007567E4"/>
    <w:rsid w:val="007634EC"/>
    <w:rsid w:val="00770480"/>
    <w:rsid w:val="00771230"/>
    <w:rsid w:val="007716E7"/>
    <w:rsid w:val="0077198C"/>
    <w:rsid w:val="00771A53"/>
    <w:rsid w:val="00773814"/>
    <w:rsid w:val="007831FA"/>
    <w:rsid w:val="007918CE"/>
    <w:rsid w:val="00792282"/>
    <w:rsid w:val="00792479"/>
    <w:rsid w:val="00797F97"/>
    <w:rsid w:val="007A265A"/>
    <w:rsid w:val="007A2813"/>
    <w:rsid w:val="007A7383"/>
    <w:rsid w:val="007B31CE"/>
    <w:rsid w:val="007B6824"/>
    <w:rsid w:val="007D23DA"/>
    <w:rsid w:val="007D3DC3"/>
    <w:rsid w:val="007D4115"/>
    <w:rsid w:val="007D5C7F"/>
    <w:rsid w:val="007E0EFC"/>
    <w:rsid w:val="007E1A5D"/>
    <w:rsid w:val="007E52A7"/>
    <w:rsid w:val="007E54B1"/>
    <w:rsid w:val="007F1349"/>
    <w:rsid w:val="007F19CD"/>
    <w:rsid w:val="007F240C"/>
    <w:rsid w:val="007F52B9"/>
    <w:rsid w:val="007F64A7"/>
    <w:rsid w:val="00801E8B"/>
    <w:rsid w:val="00802049"/>
    <w:rsid w:val="0080214C"/>
    <w:rsid w:val="00803053"/>
    <w:rsid w:val="00810896"/>
    <w:rsid w:val="008114AE"/>
    <w:rsid w:val="008134CF"/>
    <w:rsid w:val="008210BF"/>
    <w:rsid w:val="00824082"/>
    <w:rsid w:val="0082450E"/>
    <w:rsid w:val="008257AA"/>
    <w:rsid w:val="008264EA"/>
    <w:rsid w:val="00827ABA"/>
    <w:rsid w:val="00835756"/>
    <w:rsid w:val="00835B97"/>
    <w:rsid w:val="008360A2"/>
    <w:rsid w:val="00840499"/>
    <w:rsid w:val="00840F3C"/>
    <w:rsid w:val="00841D85"/>
    <w:rsid w:val="00844803"/>
    <w:rsid w:val="00846D1F"/>
    <w:rsid w:val="00850E4C"/>
    <w:rsid w:val="00853B68"/>
    <w:rsid w:val="00854ED7"/>
    <w:rsid w:val="00856960"/>
    <w:rsid w:val="008578C0"/>
    <w:rsid w:val="008604D6"/>
    <w:rsid w:val="00861CC6"/>
    <w:rsid w:val="00862461"/>
    <w:rsid w:val="008626C4"/>
    <w:rsid w:val="008655D8"/>
    <w:rsid w:val="0086650B"/>
    <w:rsid w:val="00872072"/>
    <w:rsid w:val="008724C1"/>
    <w:rsid w:val="00880849"/>
    <w:rsid w:val="008836EF"/>
    <w:rsid w:val="00884414"/>
    <w:rsid w:val="00884673"/>
    <w:rsid w:val="008846EB"/>
    <w:rsid w:val="00886313"/>
    <w:rsid w:val="0088641D"/>
    <w:rsid w:val="008A12F9"/>
    <w:rsid w:val="008A49DC"/>
    <w:rsid w:val="008A79C0"/>
    <w:rsid w:val="008B0FEC"/>
    <w:rsid w:val="008B3AB5"/>
    <w:rsid w:val="008B5315"/>
    <w:rsid w:val="008B6EB3"/>
    <w:rsid w:val="008C0C1F"/>
    <w:rsid w:val="008C0CC3"/>
    <w:rsid w:val="008C0FFB"/>
    <w:rsid w:val="008C7A33"/>
    <w:rsid w:val="008D36A8"/>
    <w:rsid w:val="008D5C96"/>
    <w:rsid w:val="008D6065"/>
    <w:rsid w:val="008E0C0E"/>
    <w:rsid w:val="008E3A1E"/>
    <w:rsid w:val="008E4484"/>
    <w:rsid w:val="008E7C04"/>
    <w:rsid w:val="008F68FD"/>
    <w:rsid w:val="0090054A"/>
    <w:rsid w:val="009008A4"/>
    <w:rsid w:val="00913DD8"/>
    <w:rsid w:val="00914F26"/>
    <w:rsid w:val="00916027"/>
    <w:rsid w:val="009178D5"/>
    <w:rsid w:val="009218D7"/>
    <w:rsid w:val="00926A4D"/>
    <w:rsid w:val="00931CD9"/>
    <w:rsid w:val="00935D9F"/>
    <w:rsid w:val="00936268"/>
    <w:rsid w:val="009407E8"/>
    <w:rsid w:val="0094110D"/>
    <w:rsid w:val="00943050"/>
    <w:rsid w:val="0094402F"/>
    <w:rsid w:val="0094681F"/>
    <w:rsid w:val="00947288"/>
    <w:rsid w:val="00947FB8"/>
    <w:rsid w:val="009503A8"/>
    <w:rsid w:val="00954984"/>
    <w:rsid w:val="00960283"/>
    <w:rsid w:val="00960EE5"/>
    <w:rsid w:val="009611E1"/>
    <w:rsid w:val="00964D6F"/>
    <w:rsid w:val="009658FD"/>
    <w:rsid w:val="00970BB4"/>
    <w:rsid w:val="00973D05"/>
    <w:rsid w:val="00974CCF"/>
    <w:rsid w:val="00975423"/>
    <w:rsid w:val="0097655D"/>
    <w:rsid w:val="009826FD"/>
    <w:rsid w:val="0098492E"/>
    <w:rsid w:val="00992368"/>
    <w:rsid w:val="00997154"/>
    <w:rsid w:val="0099725D"/>
    <w:rsid w:val="009A0BA4"/>
    <w:rsid w:val="009A3946"/>
    <w:rsid w:val="009A3D84"/>
    <w:rsid w:val="009A7ECB"/>
    <w:rsid w:val="009B46F1"/>
    <w:rsid w:val="009C02EA"/>
    <w:rsid w:val="009C17C5"/>
    <w:rsid w:val="009C286E"/>
    <w:rsid w:val="009C46B3"/>
    <w:rsid w:val="009C6773"/>
    <w:rsid w:val="009C70FC"/>
    <w:rsid w:val="009D4083"/>
    <w:rsid w:val="009D4321"/>
    <w:rsid w:val="009E0597"/>
    <w:rsid w:val="009E5D3D"/>
    <w:rsid w:val="009E77EE"/>
    <w:rsid w:val="009F1194"/>
    <w:rsid w:val="009F172B"/>
    <w:rsid w:val="009F4129"/>
    <w:rsid w:val="009F5501"/>
    <w:rsid w:val="009F6A65"/>
    <w:rsid w:val="00A0076E"/>
    <w:rsid w:val="00A01CC5"/>
    <w:rsid w:val="00A02F28"/>
    <w:rsid w:val="00A0593E"/>
    <w:rsid w:val="00A11EB7"/>
    <w:rsid w:val="00A11EC0"/>
    <w:rsid w:val="00A140DC"/>
    <w:rsid w:val="00A14823"/>
    <w:rsid w:val="00A165FD"/>
    <w:rsid w:val="00A21D9E"/>
    <w:rsid w:val="00A23749"/>
    <w:rsid w:val="00A23A0B"/>
    <w:rsid w:val="00A23EDE"/>
    <w:rsid w:val="00A2428A"/>
    <w:rsid w:val="00A3059C"/>
    <w:rsid w:val="00A31F3D"/>
    <w:rsid w:val="00A3229C"/>
    <w:rsid w:val="00A33E14"/>
    <w:rsid w:val="00A34823"/>
    <w:rsid w:val="00A40EE1"/>
    <w:rsid w:val="00A423ED"/>
    <w:rsid w:val="00A44616"/>
    <w:rsid w:val="00A451EC"/>
    <w:rsid w:val="00A4625B"/>
    <w:rsid w:val="00A47A90"/>
    <w:rsid w:val="00A47D5B"/>
    <w:rsid w:val="00A51110"/>
    <w:rsid w:val="00A52494"/>
    <w:rsid w:val="00A52BF5"/>
    <w:rsid w:val="00A53493"/>
    <w:rsid w:val="00A551C0"/>
    <w:rsid w:val="00A61168"/>
    <w:rsid w:val="00A631A6"/>
    <w:rsid w:val="00A6608A"/>
    <w:rsid w:val="00A6689C"/>
    <w:rsid w:val="00A70073"/>
    <w:rsid w:val="00A70464"/>
    <w:rsid w:val="00A72515"/>
    <w:rsid w:val="00A75CF0"/>
    <w:rsid w:val="00A80CF5"/>
    <w:rsid w:val="00A84EBE"/>
    <w:rsid w:val="00A8523D"/>
    <w:rsid w:val="00A86A48"/>
    <w:rsid w:val="00A86D80"/>
    <w:rsid w:val="00A973A6"/>
    <w:rsid w:val="00AA491C"/>
    <w:rsid w:val="00AA63E8"/>
    <w:rsid w:val="00AB1369"/>
    <w:rsid w:val="00AB2C1B"/>
    <w:rsid w:val="00AB3013"/>
    <w:rsid w:val="00AB38E8"/>
    <w:rsid w:val="00AB546E"/>
    <w:rsid w:val="00AB5BDA"/>
    <w:rsid w:val="00AB5F46"/>
    <w:rsid w:val="00AB7060"/>
    <w:rsid w:val="00AB7B1A"/>
    <w:rsid w:val="00AB7CC4"/>
    <w:rsid w:val="00AC0674"/>
    <w:rsid w:val="00AC1184"/>
    <w:rsid w:val="00AC3D61"/>
    <w:rsid w:val="00AC40CB"/>
    <w:rsid w:val="00AC5CB5"/>
    <w:rsid w:val="00AC6796"/>
    <w:rsid w:val="00AD60EE"/>
    <w:rsid w:val="00AD7947"/>
    <w:rsid w:val="00AE08ED"/>
    <w:rsid w:val="00AE183B"/>
    <w:rsid w:val="00AE5EFA"/>
    <w:rsid w:val="00AE68F7"/>
    <w:rsid w:val="00AF32C8"/>
    <w:rsid w:val="00AF4BC9"/>
    <w:rsid w:val="00B0158B"/>
    <w:rsid w:val="00B04C63"/>
    <w:rsid w:val="00B1003F"/>
    <w:rsid w:val="00B104A2"/>
    <w:rsid w:val="00B1139D"/>
    <w:rsid w:val="00B11912"/>
    <w:rsid w:val="00B11BB3"/>
    <w:rsid w:val="00B146B7"/>
    <w:rsid w:val="00B16C1F"/>
    <w:rsid w:val="00B20E33"/>
    <w:rsid w:val="00B2142B"/>
    <w:rsid w:val="00B21FB7"/>
    <w:rsid w:val="00B22305"/>
    <w:rsid w:val="00B22A8C"/>
    <w:rsid w:val="00B22D81"/>
    <w:rsid w:val="00B238D6"/>
    <w:rsid w:val="00B2442A"/>
    <w:rsid w:val="00B271F9"/>
    <w:rsid w:val="00B3183F"/>
    <w:rsid w:val="00B41025"/>
    <w:rsid w:val="00B43681"/>
    <w:rsid w:val="00B44404"/>
    <w:rsid w:val="00B46E96"/>
    <w:rsid w:val="00B5056F"/>
    <w:rsid w:val="00B51D70"/>
    <w:rsid w:val="00B53606"/>
    <w:rsid w:val="00B55627"/>
    <w:rsid w:val="00B57ECD"/>
    <w:rsid w:val="00B67366"/>
    <w:rsid w:val="00B70A21"/>
    <w:rsid w:val="00B72515"/>
    <w:rsid w:val="00B7253F"/>
    <w:rsid w:val="00B72F25"/>
    <w:rsid w:val="00B76DFA"/>
    <w:rsid w:val="00B77598"/>
    <w:rsid w:val="00B83823"/>
    <w:rsid w:val="00B85296"/>
    <w:rsid w:val="00B8538E"/>
    <w:rsid w:val="00B85812"/>
    <w:rsid w:val="00B86742"/>
    <w:rsid w:val="00B8745B"/>
    <w:rsid w:val="00B907BB"/>
    <w:rsid w:val="00B97737"/>
    <w:rsid w:val="00BA26E6"/>
    <w:rsid w:val="00BA3995"/>
    <w:rsid w:val="00BA3EEE"/>
    <w:rsid w:val="00BA4FBC"/>
    <w:rsid w:val="00BA7746"/>
    <w:rsid w:val="00BA7950"/>
    <w:rsid w:val="00BA7EA4"/>
    <w:rsid w:val="00BC6706"/>
    <w:rsid w:val="00BC713D"/>
    <w:rsid w:val="00BD04EF"/>
    <w:rsid w:val="00BD1C5F"/>
    <w:rsid w:val="00BD1E3C"/>
    <w:rsid w:val="00BD3253"/>
    <w:rsid w:val="00BD3DD5"/>
    <w:rsid w:val="00BD453D"/>
    <w:rsid w:val="00BD50DA"/>
    <w:rsid w:val="00BD5D3F"/>
    <w:rsid w:val="00BE3D66"/>
    <w:rsid w:val="00BE4648"/>
    <w:rsid w:val="00BE6A7E"/>
    <w:rsid w:val="00BF09D5"/>
    <w:rsid w:val="00BF1036"/>
    <w:rsid w:val="00BF3CF5"/>
    <w:rsid w:val="00BF5AFF"/>
    <w:rsid w:val="00BF5DCF"/>
    <w:rsid w:val="00BF6EDA"/>
    <w:rsid w:val="00C00E1D"/>
    <w:rsid w:val="00C0111D"/>
    <w:rsid w:val="00C02520"/>
    <w:rsid w:val="00C052DE"/>
    <w:rsid w:val="00C05B18"/>
    <w:rsid w:val="00C11140"/>
    <w:rsid w:val="00C14D9B"/>
    <w:rsid w:val="00C15FB2"/>
    <w:rsid w:val="00C1641A"/>
    <w:rsid w:val="00C16E24"/>
    <w:rsid w:val="00C223D7"/>
    <w:rsid w:val="00C2497D"/>
    <w:rsid w:val="00C31210"/>
    <w:rsid w:val="00C319D8"/>
    <w:rsid w:val="00C3298A"/>
    <w:rsid w:val="00C40C34"/>
    <w:rsid w:val="00C422B3"/>
    <w:rsid w:val="00C50712"/>
    <w:rsid w:val="00C510FF"/>
    <w:rsid w:val="00C542C8"/>
    <w:rsid w:val="00C55400"/>
    <w:rsid w:val="00C556BB"/>
    <w:rsid w:val="00C55704"/>
    <w:rsid w:val="00C56825"/>
    <w:rsid w:val="00C6088D"/>
    <w:rsid w:val="00C61231"/>
    <w:rsid w:val="00C62D10"/>
    <w:rsid w:val="00C650A9"/>
    <w:rsid w:val="00C67B13"/>
    <w:rsid w:val="00C715FF"/>
    <w:rsid w:val="00C726E7"/>
    <w:rsid w:val="00C73757"/>
    <w:rsid w:val="00C74DF2"/>
    <w:rsid w:val="00C83575"/>
    <w:rsid w:val="00C83E8A"/>
    <w:rsid w:val="00C84933"/>
    <w:rsid w:val="00C93482"/>
    <w:rsid w:val="00C94127"/>
    <w:rsid w:val="00C96410"/>
    <w:rsid w:val="00C978A1"/>
    <w:rsid w:val="00CA2919"/>
    <w:rsid w:val="00CA29D2"/>
    <w:rsid w:val="00CA31FE"/>
    <w:rsid w:val="00CA3560"/>
    <w:rsid w:val="00CA4D1E"/>
    <w:rsid w:val="00CA5C82"/>
    <w:rsid w:val="00CA62A0"/>
    <w:rsid w:val="00CB1265"/>
    <w:rsid w:val="00CB286C"/>
    <w:rsid w:val="00CB29B4"/>
    <w:rsid w:val="00CB30EE"/>
    <w:rsid w:val="00CB6707"/>
    <w:rsid w:val="00CC31CE"/>
    <w:rsid w:val="00CC6A5B"/>
    <w:rsid w:val="00CD0956"/>
    <w:rsid w:val="00CD0E9C"/>
    <w:rsid w:val="00CD1CB5"/>
    <w:rsid w:val="00CD7CCF"/>
    <w:rsid w:val="00CE2281"/>
    <w:rsid w:val="00CE595F"/>
    <w:rsid w:val="00CF0982"/>
    <w:rsid w:val="00CF33B8"/>
    <w:rsid w:val="00CF558B"/>
    <w:rsid w:val="00D00AAD"/>
    <w:rsid w:val="00D01076"/>
    <w:rsid w:val="00D02D72"/>
    <w:rsid w:val="00D04693"/>
    <w:rsid w:val="00D04F80"/>
    <w:rsid w:val="00D0577B"/>
    <w:rsid w:val="00D14193"/>
    <w:rsid w:val="00D1443F"/>
    <w:rsid w:val="00D175B2"/>
    <w:rsid w:val="00D17D8F"/>
    <w:rsid w:val="00D20C3F"/>
    <w:rsid w:val="00D25805"/>
    <w:rsid w:val="00D328D3"/>
    <w:rsid w:val="00D33EFC"/>
    <w:rsid w:val="00D34F30"/>
    <w:rsid w:val="00D3749D"/>
    <w:rsid w:val="00D47529"/>
    <w:rsid w:val="00D50357"/>
    <w:rsid w:val="00D5191C"/>
    <w:rsid w:val="00D52ECF"/>
    <w:rsid w:val="00D5658B"/>
    <w:rsid w:val="00D628F7"/>
    <w:rsid w:val="00D62E79"/>
    <w:rsid w:val="00D63823"/>
    <w:rsid w:val="00D64314"/>
    <w:rsid w:val="00D64F7C"/>
    <w:rsid w:val="00D6571B"/>
    <w:rsid w:val="00D678F5"/>
    <w:rsid w:val="00D67AC4"/>
    <w:rsid w:val="00D713ED"/>
    <w:rsid w:val="00D744F6"/>
    <w:rsid w:val="00D7758E"/>
    <w:rsid w:val="00D81027"/>
    <w:rsid w:val="00D854C7"/>
    <w:rsid w:val="00D86D7D"/>
    <w:rsid w:val="00D87F59"/>
    <w:rsid w:val="00D959D5"/>
    <w:rsid w:val="00D96FDF"/>
    <w:rsid w:val="00D973A3"/>
    <w:rsid w:val="00D973EB"/>
    <w:rsid w:val="00D97B41"/>
    <w:rsid w:val="00DA3836"/>
    <w:rsid w:val="00DB118D"/>
    <w:rsid w:val="00DB1F67"/>
    <w:rsid w:val="00DB32AE"/>
    <w:rsid w:val="00DB3A21"/>
    <w:rsid w:val="00DB5C07"/>
    <w:rsid w:val="00DB5E71"/>
    <w:rsid w:val="00DC0CAE"/>
    <w:rsid w:val="00DC2316"/>
    <w:rsid w:val="00DC58C1"/>
    <w:rsid w:val="00DC6652"/>
    <w:rsid w:val="00DC7296"/>
    <w:rsid w:val="00DD0D3D"/>
    <w:rsid w:val="00DD62B4"/>
    <w:rsid w:val="00DE28F8"/>
    <w:rsid w:val="00DE358A"/>
    <w:rsid w:val="00DE5591"/>
    <w:rsid w:val="00DE57C8"/>
    <w:rsid w:val="00DE6A0F"/>
    <w:rsid w:val="00DE7D28"/>
    <w:rsid w:val="00DF1C49"/>
    <w:rsid w:val="00DF4505"/>
    <w:rsid w:val="00DF6A27"/>
    <w:rsid w:val="00DF7B4D"/>
    <w:rsid w:val="00E00083"/>
    <w:rsid w:val="00E00A64"/>
    <w:rsid w:val="00E011F4"/>
    <w:rsid w:val="00E01B4F"/>
    <w:rsid w:val="00E04405"/>
    <w:rsid w:val="00E04DC9"/>
    <w:rsid w:val="00E07947"/>
    <w:rsid w:val="00E10766"/>
    <w:rsid w:val="00E10924"/>
    <w:rsid w:val="00E15251"/>
    <w:rsid w:val="00E1564E"/>
    <w:rsid w:val="00E15B8E"/>
    <w:rsid w:val="00E17C1D"/>
    <w:rsid w:val="00E24B7A"/>
    <w:rsid w:val="00E30998"/>
    <w:rsid w:val="00E30BF1"/>
    <w:rsid w:val="00E31E69"/>
    <w:rsid w:val="00E3596E"/>
    <w:rsid w:val="00E4256C"/>
    <w:rsid w:val="00E4635B"/>
    <w:rsid w:val="00E504F4"/>
    <w:rsid w:val="00E52261"/>
    <w:rsid w:val="00E533AD"/>
    <w:rsid w:val="00E552DA"/>
    <w:rsid w:val="00E5628F"/>
    <w:rsid w:val="00E57A93"/>
    <w:rsid w:val="00E60EB9"/>
    <w:rsid w:val="00E60EDA"/>
    <w:rsid w:val="00E63BD4"/>
    <w:rsid w:val="00E648AF"/>
    <w:rsid w:val="00E7415E"/>
    <w:rsid w:val="00E75CC4"/>
    <w:rsid w:val="00E767AD"/>
    <w:rsid w:val="00E76AF1"/>
    <w:rsid w:val="00E81A88"/>
    <w:rsid w:val="00E81AAA"/>
    <w:rsid w:val="00E82005"/>
    <w:rsid w:val="00E8713E"/>
    <w:rsid w:val="00E9002C"/>
    <w:rsid w:val="00EA43D0"/>
    <w:rsid w:val="00EA4804"/>
    <w:rsid w:val="00EA6353"/>
    <w:rsid w:val="00EB2A05"/>
    <w:rsid w:val="00EB54BD"/>
    <w:rsid w:val="00EB6C34"/>
    <w:rsid w:val="00EC26D4"/>
    <w:rsid w:val="00EC3218"/>
    <w:rsid w:val="00EC3F76"/>
    <w:rsid w:val="00EC4D98"/>
    <w:rsid w:val="00EC5249"/>
    <w:rsid w:val="00ED0B1E"/>
    <w:rsid w:val="00ED0CE4"/>
    <w:rsid w:val="00ED1B64"/>
    <w:rsid w:val="00ED28F0"/>
    <w:rsid w:val="00ED4040"/>
    <w:rsid w:val="00ED526A"/>
    <w:rsid w:val="00ED5474"/>
    <w:rsid w:val="00ED79DE"/>
    <w:rsid w:val="00EE1DE3"/>
    <w:rsid w:val="00EE25A0"/>
    <w:rsid w:val="00EE72EF"/>
    <w:rsid w:val="00EF1157"/>
    <w:rsid w:val="00EF1317"/>
    <w:rsid w:val="00EF1EF7"/>
    <w:rsid w:val="00EF47BF"/>
    <w:rsid w:val="00EF57F6"/>
    <w:rsid w:val="00F02A9A"/>
    <w:rsid w:val="00F055C4"/>
    <w:rsid w:val="00F1013E"/>
    <w:rsid w:val="00F11963"/>
    <w:rsid w:val="00F11E5E"/>
    <w:rsid w:val="00F15E4B"/>
    <w:rsid w:val="00F16E40"/>
    <w:rsid w:val="00F20323"/>
    <w:rsid w:val="00F2125F"/>
    <w:rsid w:val="00F2318C"/>
    <w:rsid w:val="00F24350"/>
    <w:rsid w:val="00F26DAE"/>
    <w:rsid w:val="00F26FA8"/>
    <w:rsid w:val="00F3086E"/>
    <w:rsid w:val="00F354BE"/>
    <w:rsid w:val="00F361E9"/>
    <w:rsid w:val="00F370AB"/>
    <w:rsid w:val="00F405D5"/>
    <w:rsid w:val="00F42BC3"/>
    <w:rsid w:val="00F42CB4"/>
    <w:rsid w:val="00F469F2"/>
    <w:rsid w:val="00F46E05"/>
    <w:rsid w:val="00F472B5"/>
    <w:rsid w:val="00F5174C"/>
    <w:rsid w:val="00F54845"/>
    <w:rsid w:val="00F54DFF"/>
    <w:rsid w:val="00F565D8"/>
    <w:rsid w:val="00F61429"/>
    <w:rsid w:val="00F62601"/>
    <w:rsid w:val="00F643D3"/>
    <w:rsid w:val="00F64CF8"/>
    <w:rsid w:val="00F6515D"/>
    <w:rsid w:val="00F669AB"/>
    <w:rsid w:val="00F677FA"/>
    <w:rsid w:val="00F706D3"/>
    <w:rsid w:val="00F725C3"/>
    <w:rsid w:val="00F72CB0"/>
    <w:rsid w:val="00F73A26"/>
    <w:rsid w:val="00F75128"/>
    <w:rsid w:val="00F80069"/>
    <w:rsid w:val="00F813F1"/>
    <w:rsid w:val="00F81999"/>
    <w:rsid w:val="00F85C65"/>
    <w:rsid w:val="00F864A5"/>
    <w:rsid w:val="00F91427"/>
    <w:rsid w:val="00F92D1D"/>
    <w:rsid w:val="00F95C5B"/>
    <w:rsid w:val="00FA6562"/>
    <w:rsid w:val="00FA7972"/>
    <w:rsid w:val="00FB2CB2"/>
    <w:rsid w:val="00FB6E91"/>
    <w:rsid w:val="00FC0F80"/>
    <w:rsid w:val="00FC2D8A"/>
    <w:rsid w:val="00FC3375"/>
    <w:rsid w:val="00FD236D"/>
    <w:rsid w:val="00FD3CA1"/>
    <w:rsid w:val="00FE1B1A"/>
    <w:rsid w:val="00FE2B8A"/>
    <w:rsid w:val="00FE335B"/>
    <w:rsid w:val="00FE401F"/>
    <w:rsid w:val="00FE4A24"/>
    <w:rsid w:val="00FE5CE5"/>
    <w:rsid w:val="00FE6AF8"/>
    <w:rsid w:val="00FE7E49"/>
    <w:rsid w:val="00FF290D"/>
    <w:rsid w:val="00FF44A3"/>
    <w:rsid w:val="00FF56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EA146FD"/>
  <w15:chartTrackingRefBased/>
  <w15:docId w15:val="{F86AEC09-6A0E-49B4-B0FB-FF7B2FB18E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23375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393D7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393D78"/>
    <w:pPr>
      <w:keepNext/>
      <w:keepLines/>
      <w:spacing w:before="40" w:after="0" w:line="256" w:lineRule="auto"/>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837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3725"/>
  </w:style>
  <w:style w:type="paragraph" w:styleId="Footer">
    <w:name w:val="footer"/>
    <w:basedOn w:val="Normal"/>
    <w:link w:val="FooterChar"/>
    <w:uiPriority w:val="99"/>
    <w:unhideWhenUsed/>
    <w:rsid w:val="000837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3725"/>
  </w:style>
  <w:style w:type="paragraph" w:customStyle="1" w:styleId="Nornal">
    <w:name w:val="Nornal"/>
    <w:basedOn w:val="Normal"/>
    <w:link w:val="NornalChar"/>
    <w:qFormat/>
    <w:rsid w:val="00083725"/>
    <w:pPr>
      <w:spacing w:line="264" w:lineRule="auto"/>
    </w:pPr>
    <w:rPr>
      <w:rFonts w:ascii="Arial" w:hAnsi="Arial" w:cs="Arial"/>
    </w:rPr>
  </w:style>
  <w:style w:type="character" w:customStyle="1" w:styleId="NornalChar">
    <w:name w:val="Nornal Char"/>
    <w:basedOn w:val="DefaultParagraphFont"/>
    <w:link w:val="Nornal"/>
    <w:rsid w:val="00083725"/>
    <w:rPr>
      <w:rFonts w:ascii="Arial" w:hAnsi="Arial" w:cs="Arial"/>
    </w:rPr>
  </w:style>
  <w:style w:type="paragraph" w:styleId="ListParagraph">
    <w:name w:val="List Paragraph"/>
    <w:basedOn w:val="Normal"/>
    <w:link w:val="ListParagraphChar"/>
    <w:uiPriority w:val="1"/>
    <w:qFormat/>
    <w:rsid w:val="00083725"/>
    <w:pPr>
      <w:ind w:left="720"/>
      <w:contextualSpacing/>
    </w:pPr>
  </w:style>
  <w:style w:type="paragraph" w:customStyle="1" w:styleId="Listparag">
    <w:name w:val="List parag"/>
    <w:basedOn w:val="ListParagraph"/>
    <w:link w:val="ListparagChar"/>
    <w:qFormat/>
    <w:rsid w:val="009D4083"/>
    <w:pPr>
      <w:numPr>
        <w:numId w:val="1"/>
      </w:numPr>
      <w:spacing w:after="120" w:line="264" w:lineRule="auto"/>
      <w:contextualSpacing w:val="0"/>
    </w:pPr>
    <w:rPr>
      <w:rFonts w:eastAsia="Times New Roman" w:cstheme="minorHAnsi"/>
      <w:color w:val="000000"/>
      <w:lang w:eastAsia="en-GB"/>
    </w:rPr>
  </w:style>
  <w:style w:type="character" w:customStyle="1" w:styleId="ListparagChar">
    <w:name w:val="List parag Char"/>
    <w:basedOn w:val="DefaultParagraphFont"/>
    <w:link w:val="Listparag"/>
    <w:rsid w:val="009D4083"/>
    <w:rPr>
      <w:rFonts w:eastAsia="Times New Roman" w:cstheme="minorHAnsi"/>
      <w:color w:val="000000"/>
      <w:lang w:eastAsia="en-GB"/>
    </w:rPr>
  </w:style>
  <w:style w:type="character" w:customStyle="1" w:styleId="ListParagraphChar">
    <w:name w:val="List Paragraph Char"/>
    <w:basedOn w:val="DefaultParagraphFont"/>
    <w:link w:val="ListParagraph"/>
    <w:uiPriority w:val="34"/>
    <w:rsid w:val="00B67366"/>
  </w:style>
  <w:style w:type="paragraph" w:styleId="NormalWeb">
    <w:name w:val="Normal (Web)"/>
    <w:basedOn w:val="Normal"/>
    <w:uiPriority w:val="99"/>
    <w:unhideWhenUsed/>
    <w:rsid w:val="00006AC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006ACE"/>
    <w:rPr>
      <w:color w:val="0563C1" w:themeColor="hyperlink"/>
      <w:u w:val="single"/>
    </w:rPr>
  </w:style>
  <w:style w:type="character" w:styleId="Emphasis">
    <w:name w:val="Emphasis"/>
    <w:basedOn w:val="DefaultParagraphFont"/>
    <w:uiPriority w:val="20"/>
    <w:qFormat/>
    <w:rsid w:val="00305484"/>
    <w:rPr>
      <w:i/>
      <w:iCs/>
    </w:rPr>
  </w:style>
  <w:style w:type="character" w:customStyle="1" w:styleId="Heading1Char">
    <w:name w:val="Heading 1 Char"/>
    <w:basedOn w:val="DefaultParagraphFont"/>
    <w:link w:val="Heading1"/>
    <w:uiPriority w:val="9"/>
    <w:rsid w:val="00233751"/>
    <w:rPr>
      <w:rFonts w:ascii="Times New Roman" w:eastAsia="Times New Roman" w:hAnsi="Times New Roman" w:cs="Times New Roman"/>
      <w:b/>
      <w:bCs/>
      <w:kern w:val="36"/>
      <w:sz w:val="48"/>
      <w:szCs w:val="48"/>
      <w:lang w:eastAsia="en-GB"/>
    </w:rPr>
  </w:style>
  <w:style w:type="character" w:styleId="CommentReference">
    <w:name w:val="annotation reference"/>
    <w:basedOn w:val="DefaultParagraphFont"/>
    <w:uiPriority w:val="99"/>
    <w:semiHidden/>
    <w:unhideWhenUsed/>
    <w:rsid w:val="000D05CB"/>
    <w:rPr>
      <w:sz w:val="16"/>
      <w:szCs w:val="16"/>
    </w:rPr>
  </w:style>
  <w:style w:type="paragraph" w:styleId="CommentText">
    <w:name w:val="annotation text"/>
    <w:basedOn w:val="Normal"/>
    <w:link w:val="CommentTextChar"/>
    <w:uiPriority w:val="99"/>
    <w:semiHidden/>
    <w:unhideWhenUsed/>
    <w:rsid w:val="000D05CB"/>
    <w:pPr>
      <w:spacing w:line="240" w:lineRule="auto"/>
    </w:pPr>
    <w:rPr>
      <w:sz w:val="20"/>
      <w:szCs w:val="20"/>
    </w:rPr>
  </w:style>
  <w:style w:type="character" w:customStyle="1" w:styleId="CommentTextChar">
    <w:name w:val="Comment Text Char"/>
    <w:basedOn w:val="DefaultParagraphFont"/>
    <w:link w:val="CommentText"/>
    <w:uiPriority w:val="99"/>
    <w:semiHidden/>
    <w:rsid w:val="000D05CB"/>
    <w:rPr>
      <w:sz w:val="20"/>
      <w:szCs w:val="20"/>
    </w:rPr>
  </w:style>
  <w:style w:type="paragraph" w:styleId="CommentSubject">
    <w:name w:val="annotation subject"/>
    <w:basedOn w:val="CommentText"/>
    <w:next w:val="CommentText"/>
    <w:link w:val="CommentSubjectChar"/>
    <w:uiPriority w:val="99"/>
    <w:semiHidden/>
    <w:unhideWhenUsed/>
    <w:rsid w:val="000D05CB"/>
    <w:rPr>
      <w:b/>
      <w:bCs/>
    </w:rPr>
  </w:style>
  <w:style w:type="character" w:customStyle="1" w:styleId="CommentSubjectChar">
    <w:name w:val="Comment Subject Char"/>
    <w:basedOn w:val="CommentTextChar"/>
    <w:link w:val="CommentSubject"/>
    <w:uiPriority w:val="99"/>
    <w:semiHidden/>
    <w:rsid w:val="000D05CB"/>
    <w:rPr>
      <w:b/>
      <w:bCs/>
      <w:sz w:val="20"/>
      <w:szCs w:val="20"/>
    </w:rPr>
  </w:style>
  <w:style w:type="paragraph" w:styleId="BalloonText">
    <w:name w:val="Balloon Text"/>
    <w:basedOn w:val="Normal"/>
    <w:link w:val="BalloonTextChar"/>
    <w:uiPriority w:val="99"/>
    <w:semiHidden/>
    <w:unhideWhenUsed/>
    <w:rsid w:val="000D05C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D05CB"/>
    <w:rPr>
      <w:rFonts w:ascii="Segoe UI" w:hAnsi="Segoe UI" w:cs="Segoe UI"/>
      <w:sz w:val="18"/>
      <w:szCs w:val="18"/>
    </w:rPr>
  </w:style>
  <w:style w:type="character" w:customStyle="1" w:styleId="Heading2Char">
    <w:name w:val="Heading 2 Char"/>
    <w:basedOn w:val="DefaultParagraphFont"/>
    <w:link w:val="Heading2"/>
    <w:uiPriority w:val="9"/>
    <w:semiHidden/>
    <w:rsid w:val="00393D78"/>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393D78"/>
    <w:rPr>
      <w:rFonts w:asciiTheme="majorHAnsi" w:eastAsiaTheme="majorEastAsia" w:hAnsiTheme="majorHAnsi" w:cstheme="majorBidi"/>
      <w:color w:val="1F4D78" w:themeColor="accent1" w:themeShade="7F"/>
      <w:sz w:val="24"/>
      <w:szCs w:val="24"/>
    </w:rPr>
  </w:style>
  <w:style w:type="table" w:styleId="TableGrid">
    <w:name w:val="Table Grid"/>
    <w:basedOn w:val="TableNormal"/>
    <w:uiPriority w:val="39"/>
    <w:rsid w:val="00393D78"/>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ED0CE4"/>
    <w:rPr>
      <w:b/>
      <w:bCs/>
    </w:rPr>
  </w:style>
  <w:style w:type="paragraph" w:customStyle="1" w:styleId="case-ref">
    <w:name w:val="case-ref"/>
    <w:basedOn w:val="Normal"/>
    <w:rsid w:val="00165E5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judgementdate">
    <w:name w:val="judgementdate"/>
    <w:basedOn w:val="DefaultParagraphFont"/>
    <w:rsid w:val="00165E5E"/>
  </w:style>
  <w:style w:type="character" w:customStyle="1" w:styleId="pubref">
    <w:name w:val="pubref"/>
    <w:basedOn w:val="DefaultParagraphFont"/>
    <w:rsid w:val="00165E5E"/>
  </w:style>
  <w:style w:type="character" w:customStyle="1" w:styleId="court">
    <w:name w:val="court"/>
    <w:basedOn w:val="DefaultParagraphFont"/>
    <w:rsid w:val="00165E5E"/>
  </w:style>
  <w:style w:type="paragraph" w:customStyle="1" w:styleId="Description">
    <w:name w:val="Description"/>
    <w:basedOn w:val="Normal"/>
    <w:qFormat/>
    <w:rsid w:val="004631AA"/>
    <w:pPr>
      <w:spacing w:after="0" w:line="264" w:lineRule="auto"/>
    </w:pPr>
    <w:rPr>
      <w:rFonts w:ascii="Arial" w:hAnsi="Arial" w:cs="Arial"/>
      <w:color w:val="000000" w:themeColor="tex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25630">
      <w:bodyDiv w:val="1"/>
      <w:marLeft w:val="0"/>
      <w:marRight w:val="0"/>
      <w:marTop w:val="0"/>
      <w:marBottom w:val="0"/>
      <w:divBdr>
        <w:top w:val="none" w:sz="0" w:space="0" w:color="auto"/>
        <w:left w:val="none" w:sz="0" w:space="0" w:color="auto"/>
        <w:bottom w:val="none" w:sz="0" w:space="0" w:color="auto"/>
        <w:right w:val="none" w:sz="0" w:space="0" w:color="auto"/>
      </w:divBdr>
    </w:div>
    <w:div w:id="41445676">
      <w:bodyDiv w:val="1"/>
      <w:marLeft w:val="0"/>
      <w:marRight w:val="0"/>
      <w:marTop w:val="0"/>
      <w:marBottom w:val="0"/>
      <w:divBdr>
        <w:top w:val="none" w:sz="0" w:space="0" w:color="auto"/>
        <w:left w:val="none" w:sz="0" w:space="0" w:color="auto"/>
        <w:bottom w:val="none" w:sz="0" w:space="0" w:color="auto"/>
        <w:right w:val="none" w:sz="0" w:space="0" w:color="auto"/>
      </w:divBdr>
    </w:div>
    <w:div w:id="50035742">
      <w:bodyDiv w:val="1"/>
      <w:marLeft w:val="0"/>
      <w:marRight w:val="0"/>
      <w:marTop w:val="0"/>
      <w:marBottom w:val="0"/>
      <w:divBdr>
        <w:top w:val="none" w:sz="0" w:space="0" w:color="auto"/>
        <w:left w:val="none" w:sz="0" w:space="0" w:color="auto"/>
        <w:bottom w:val="none" w:sz="0" w:space="0" w:color="auto"/>
        <w:right w:val="none" w:sz="0" w:space="0" w:color="auto"/>
      </w:divBdr>
    </w:div>
    <w:div w:id="63645449">
      <w:bodyDiv w:val="1"/>
      <w:marLeft w:val="0"/>
      <w:marRight w:val="0"/>
      <w:marTop w:val="0"/>
      <w:marBottom w:val="0"/>
      <w:divBdr>
        <w:top w:val="none" w:sz="0" w:space="0" w:color="auto"/>
        <w:left w:val="none" w:sz="0" w:space="0" w:color="auto"/>
        <w:bottom w:val="none" w:sz="0" w:space="0" w:color="auto"/>
        <w:right w:val="none" w:sz="0" w:space="0" w:color="auto"/>
      </w:divBdr>
    </w:div>
    <w:div w:id="93943478">
      <w:bodyDiv w:val="1"/>
      <w:marLeft w:val="0"/>
      <w:marRight w:val="0"/>
      <w:marTop w:val="0"/>
      <w:marBottom w:val="0"/>
      <w:divBdr>
        <w:top w:val="none" w:sz="0" w:space="0" w:color="auto"/>
        <w:left w:val="none" w:sz="0" w:space="0" w:color="auto"/>
        <w:bottom w:val="none" w:sz="0" w:space="0" w:color="auto"/>
        <w:right w:val="none" w:sz="0" w:space="0" w:color="auto"/>
      </w:divBdr>
      <w:divsChild>
        <w:div w:id="56898410">
          <w:marLeft w:val="0"/>
          <w:marRight w:val="0"/>
          <w:marTop w:val="0"/>
          <w:marBottom w:val="0"/>
          <w:divBdr>
            <w:top w:val="none" w:sz="0" w:space="0" w:color="auto"/>
            <w:left w:val="none" w:sz="0" w:space="0" w:color="auto"/>
            <w:bottom w:val="none" w:sz="0" w:space="0" w:color="auto"/>
            <w:right w:val="none" w:sz="0" w:space="0" w:color="auto"/>
          </w:divBdr>
        </w:div>
      </w:divsChild>
    </w:div>
    <w:div w:id="129443780">
      <w:bodyDiv w:val="1"/>
      <w:marLeft w:val="0"/>
      <w:marRight w:val="0"/>
      <w:marTop w:val="0"/>
      <w:marBottom w:val="0"/>
      <w:divBdr>
        <w:top w:val="none" w:sz="0" w:space="0" w:color="auto"/>
        <w:left w:val="none" w:sz="0" w:space="0" w:color="auto"/>
        <w:bottom w:val="none" w:sz="0" w:space="0" w:color="auto"/>
        <w:right w:val="none" w:sz="0" w:space="0" w:color="auto"/>
      </w:divBdr>
    </w:div>
    <w:div w:id="133455582">
      <w:bodyDiv w:val="1"/>
      <w:marLeft w:val="0"/>
      <w:marRight w:val="0"/>
      <w:marTop w:val="0"/>
      <w:marBottom w:val="0"/>
      <w:divBdr>
        <w:top w:val="none" w:sz="0" w:space="0" w:color="auto"/>
        <w:left w:val="none" w:sz="0" w:space="0" w:color="auto"/>
        <w:bottom w:val="none" w:sz="0" w:space="0" w:color="auto"/>
        <w:right w:val="none" w:sz="0" w:space="0" w:color="auto"/>
      </w:divBdr>
    </w:div>
    <w:div w:id="133724312">
      <w:bodyDiv w:val="1"/>
      <w:marLeft w:val="0"/>
      <w:marRight w:val="0"/>
      <w:marTop w:val="0"/>
      <w:marBottom w:val="0"/>
      <w:divBdr>
        <w:top w:val="none" w:sz="0" w:space="0" w:color="auto"/>
        <w:left w:val="none" w:sz="0" w:space="0" w:color="auto"/>
        <w:bottom w:val="none" w:sz="0" w:space="0" w:color="auto"/>
        <w:right w:val="none" w:sz="0" w:space="0" w:color="auto"/>
      </w:divBdr>
      <w:divsChild>
        <w:div w:id="681123098">
          <w:marLeft w:val="0"/>
          <w:marRight w:val="0"/>
          <w:marTop w:val="0"/>
          <w:marBottom w:val="0"/>
          <w:divBdr>
            <w:top w:val="none" w:sz="0" w:space="0" w:color="auto"/>
            <w:left w:val="none" w:sz="0" w:space="0" w:color="auto"/>
            <w:bottom w:val="none" w:sz="0" w:space="0" w:color="auto"/>
            <w:right w:val="none" w:sz="0" w:space="0" w:color="auto"/>
          </w:divBdr>
        </w:div>
      </w:divsChild>
    </w:div>
    <w:div w:id="140318093">
      <w:bodyDiv w:val="1"/>
      <w:marLeft w:val="0"/>
      <w:marRight w:val="0"/>
      <w:marTop w:val="0"/>
      <w:marBottom w:val="0"/>
      <w:divBdr>
        <w:top w:val="none" w:sz="0" w:space="0" w:color="auto"/>
        <w:left w:val="none" w:sz="0" w:space="0" w:color="auto"/>
        <w:bottom w:val="none" w:sz="0" w:space="0" w:color="auto"/>
        <w:right w:val="none" w:sz="0" w:space="0" w:color="auto"/>
      </w:divBdr>
      <w:divsChild>
        <w:div w:id="767580106">
          <w:marLeft w:val="0"/>
          <w:marRight w:val="0"/>
          <w:marTop w:val="0"/>
          <w:marBottom w:val="0"/>
          <w:divBdr>
            <w:top w:val="none" w:sz="0" w:space="0" w:color="auto"/>
            <w:left w:val="none" w:sz="0" w:space="0" w:color="auto"/>
            <w:bottom w:val="none" w:sz="0" w:space="0" w:color="auto"/>
            <w:right w:val="none" w:sz="0" w:space="0" w:color="auto"/>
          </w:divBdr>
        </w:div>
      </w:divsChild>
    </w:div>
    <w:div w:id="144319152">
      <w:bodyDiv w:val="1"/>
      <w:marLeft w:val="0"/>
      <w:marRight w:val="0"/>
      <w:marTop w:val="0"/>
      <w:marBottom w:val="0"/>
      <w:divBdr>
        <w:top w:val="none" w:sz="0" w:space="0" w:color="auto"/>
        <w:left w:val="none" w:sz="0" w:space="0" w:color="auto"/>
        <w:bottom w:val="none" w:sz="0" w:space="0" w:color="auto"/>
        <w:right w:val="none" w:sz="0" w:space="0" w:color="auto"/>
      </w:divBdr>
    </w:div>
    <w:div w:id="144859241">
      <w:bodyDiv w:val="1"/>
      <w:marLeft w:val="0"/>
      <w:marRight w:val="0"/>
      <w:marTop w:val="0"/>
      <w:marBottom w:val="0"/>
      <w:divBdr>
        <w:top w:val="none" w:sz="0" w:space="0" w:color="auto"/>
        <w:left w:val="none" w:sz="0" w:space="0" w:color="auto"/>
        <w:bottom w:val="none" w:sz="0" w:space="0" w:color="auto"/>
        <w:right w:val="none" w:sz="0" w:space="0" w:color="auto"/>
      </w:divBdr>
      <w:divsChild>
        <w:div w:id="1195193494">
          <w:marLeft w:val="0"/>
          <w:marRight w:val="0"/>
          <w:marTop w:val="0"/>
          <w:marBottom w:val="0"/>
          <w:divBdr>
            <w:top w:val="none" w:sz="0" w:space="0" w:color="auto"/>
            <w:left w:val="none" w:sz="0" w:space="0" w:color="auto"/>
            <w:bottom w:val="none" w:sz="0" w:space="0" w:color="auto"/>
            <w:right w:val="none" w:sz="0" w:space="0" w:color="auto"/>
          </w:divBdr>
        </w:div>
      </w:divsChild>
    </w:div>
    <w:div w:id="146627700">
      <w:bodyDiv w:val="1"/>
      <w:marLeft w:val="0"/>
      <w:marRight w:val="0"/>
      <w:marTop w:val="0"/>
      <w:marBottom w:val="0"/>
      <w:divBdr>
        <w:top w:val="none" w:sz="0" w:space="0" w:color="auto"/>
        <w:left w:val="none" w:sz="0" w:space="0" w:color="auto"/>
        <w:bottom w:val="none" w:sz="0" w:space="0" w:color="auto"/>
        <w:right w:val="none" w:sz="0" w:space="0" w:color="auto"/>
      </w:divBdr>
    </w:div>
    <w:div w:id="168912392">
      <w:bodyDiv w:val="1"/>
      <w:marLeft w:val="0"/>
      <w:marRight w:val="0"/>
      <w:marTop w:val="0"/>
      <w:marBottom w:val="0"/>
      <w:divBdr>
        <w:top w:val="none" w:sz="0" w:space="0" w:color="auto"/>
        <w:left w:val="none" w:sz="0" w:space="0" w:color="auto"/>
        <w:bottom w:val="none" w:sz="0" w:space="0" w:color="auto"/>
        <w:right w:val="none" w:sz="0" w:space="0" w:color="auto"/>
      </w:divBdr>
    </w:div>
    <w:div w:id="202134517">
      <w:bodyDiv w:val="1"/>
      <w:marLeft w:val="0"/>
      <w:marRight w:val="0"/>
      <w:marTop w:val="0"/>
      <w:marBottom w:val="0"/>
      <w:divBdr>
        <w:top w:val="none" w:sz="0" w:space="0" w:color="auto"/>
        <w:left w:val="none" w:sz="0" w:space="0" w:color="auto"/>
        <w:bottom w:val="none" w:sz="0" w:space="0" w:color="auto"/>
        <w:right w:val="none" w:sz="0" w:space="0" w:color="auto"/>
      </w:divBdr>
    </w:div>
    <w:div w:id="290673070">
      <w:bodyDiv w:val="1"/>
      <w:marLeft w:val="0"/>
      <w:marRight w:val="0"/>
      <w:marTop w:val="0"/>
      <w:marBottom w:val="0"/>
      <w:divBdr>
        <w:top w:val="none" w:sz="0" w:space="0" w:color="auto"/>
        <w:left w:val="none" w:sz="0" w:space="0" w:color="auto"/>
        <w:bottom w:val="none" w:sz="0" w:space="0" w:color="auto"/>
        <w:right w:val="none" w:sz="0" w:space="0" w:color="auto"/>
      </w:divBdr>
      <w:divsChild>
        <w:div w:id="766733443">
          <w:marLeft w:val="0"/>
          <w:marRight w:val="0"/>
          <w:marTop w:val="0"/>
          <w:marBottom w:val="0"/>
          <w:divBdr>
            <w:top w:val="none" w:sz="0" w:space="0" w:color="auto"/>
            <w:left w:val="none" w:sz="0" w:space="0" w:color="auto"/>
            <w:bottom w:val="none" w:sz="0" w:space="0" w:color="auto"/>
            <w:right w:val="none" w:sz="0" w:space="0" w:color="auto"/>
          </w:divBdr>
        </w:div>
      </w:divsChild>
    </w:div>
    <w:div w:id="316033620">
      <w:bodyDiv w:val="1"/>
      <w:marLeft w:val="0"/>
      <w:marRight w:val="0"/>
      <w:marTop w:val="0"/>
      <w:marBottom w:val="0"/>
      <w:divBdr>
        <w:top w:val="none" w:sz="0" w:space="0" w:color="auto"/>
        <w:left w:val="none" w:sz="0" w:space="0" w:color="auto"/>
        <w:bottom w:val="none" w:sz="0" w:space="0" w:color="auto"/>
        <w:right w:val="none" w:sz="0" w:space="0" w:color="auto"/>
      </w:divBdr>
    </w:div>
    <w:div w:id="362750789">
      <w:bodyDiv w:val="1"/>
      <w:marLeft w:val="0"/>
      <w:marRight w:val="0"/>
      <w:marTop w:val="0"/>
      <w:marBottom w:val="0"/>
      <w:divBdr>
        <w:top w:val="none" w:sz="0" w:space="0" w:color="auto"/>
        <w:left w:val="none" w:sz="0" w:space="0" w:color="auto"/>
        <w:bottom w:val="none" w:sz="0" w:space="0" w:color="auto"/>
        <w:right w:val="none" w:sz="0" w:space="0" w:color="auto"/>
      </w:divBdr>
    </w:div>
    <w:div w:id="383601443">
      <w:bodyDiv w:val="1"/>
      <w:marLeft w:val="0"/>
      <w:marRight w:val="0"/>
      <w:marTop w:val="0"/>
      <w:marBottom w:val="0"/>
      <w:divBdr>
        <w:top w:val="none" w:sz="0" w:space="0" w:color="auto"/>
        <w:left w:val="none" w:sz="0" w:space="0" w:color="auto"/>
        <w:bottom w:val="none" w:sz="0" w:space="0" w:color="auto"/>
        <w:right w:val="none" w:sz="0" w:space="0" w:color="auto"/>
      </w:divBdr>
    </w:div>
    <w:div w:id="391582515">
      <w:bodyDiv w:val="1"/>
      <w:marLeft w:val="0"/>
      <w:marRight w:val="0"/>
      <w:marTop w:val="0"/>
      <w:marBottom w:val="0"/>
      <w:divBdr>
        <w:top w:val="none" w:sz="0" w:space="0" w:color="auto"/>
        <w:left w:val="none" w:sz="0" w:space="0" w:color="auto"/>
        <w:bottom w:val="none" w:sz="0" w:space="0" w:color="auto"/>
        <w:right w:val="none" w:sz="0" w:space="0" w:color="auto"/>
      </w:divBdr>
    </w:div>
    <w:div w:id="391664461">
      <w:bodyDiv w:val="1"/>
      <w:marLeft w:val="0"/>
      <w:marRight w:val="0"/>
      <w:marTop w:val="0"/>
      <w:marBottom w:val="0"/>
      <w:divBdr>
        <w:top w:val="none" w:sz="0" w:space="0" w:color="auto"/>
        <w:left w:val="none" w:sz="0" w:space="0" w:color="auto"/>
        <w:bottom w:val="none" w:sz="0" w:space="0" w:color="auto"/>
        <w:right w:val="none" w:sz="0" w:space="0" w:color="auto"/>
      </w:divBdr>
      <w:divsChild>
        <w:div w:id="1092897277">
          <w:marLeft w:val="0"/>
          <w:marRight w:val="0"/>
          <w:marTop w:val="0"/>
          <w:marBottom w:val="0"/>
          <w:divBdr>
            <w:top w:val="none" w:sz="0" w:space="0" w:color="auto"/>
            <w:left w:val="none" w:sz="0" w:space="0" w:color="auto"/>
            <w:bottom w:val="none" w:sz="0" w:space="0" w:color="auto"/>
            <w:right w:val="none" w:sz="0" w:space="0" w:color="auto"/>
          </w:divBdr>
        </w:div>
      </w:divsChild>
    </w:div>
    <w:div w:id="420220354">
      <w:bodyDiv w:val="1"/>
      <w:marLeft w:val="0"/>
      <w:marRight w:val="0"/>
      <w:marTop w:val="0"/>
      <w:marBottom w:val="0"/>
      <w:divBdr>
        <w:top w:val="none" w:sz="0" w:space="0" w:color="auto"/>
        <w:left w:val="none" w:sz="0" w:space="0" w:color="auto"/>
        <w:bottom w:val="none" w:sz="0" w:space="0" w:color="auto"/>
        <w:right w:val="none" w:sz="0" w:space="0" w:color="auto"/>
      </w:divBdr>
    </w:div>
    <w:div w:id="449325109">
      <w:bodyDiv w:val="1"/>
      <w:marLeft w:val="0"/>
      <w:marRight w:val="0"/>
      <w:marTop w:val="0"/>
      <w:marBottom w:val="0"/>
      <w:divBdr>
        <w:top w:val="none" w:sz="0" w:space="0" w:color="auto"/>
        <w:left w:val="none" w:sz="0" w:space="0" w:color="auto"/>
        <w:bottom w:val="none" w:sz="0" w:space="0" w:color="auto"/>
        <w:right w:val="none" w:sz="0" w:space="0" w:color="auto"/>
      </w:divBdr>
    </w:div>
    <w:div w:id="457334303">
      <w:bodyDiv w:val="1"/>
      <w:marLeft w:val="0"/>
      <w:marRight w:val="0"/>
      <w:marTop w:val="0"/>
      <w:marBottom w:val="0"/>
      <w:divBdr>
        <w:top w:val="none" w:sz="0" w:space="0" w:color="auto"/>
        <w:left w:val="none" w:sz="0" w:space="0" w:color="auto"/>
        <w:bottom w:val="none" w:sz="0" w:space="0" w:color="auto"/>
        <w:right w:val="none" w:sz="0" w:space="0" w:color="auto"/>
      </w:divBdr>
    </w:div>
    <w:div w:id="496115676">
      <w:bodyDiv w:val="1"/>
      <w:marLeft w:val="0"/>
      <w:marRight w:val="0"/>
      <w:marTop w:val="0"/>
      <w:marBottom w:val="0"/>
      <w:divBdr>
        <w:top w:val="none" w:sz="0" w:space="0" w:color="auto"/>
        <w:left w:val="none" w:sz="0" w:space="0" w:color="auto"/>
        <w:bottom w:val="none" w:sz="0" w:space="0" w:color="auto"/>
        <w:right w:val="none" w:sz="0" w:space="0" w:color="auto"/>
      </w:divBdr>
    </w:div>
    <w:div w:id="504588028">
      <w:bodyDiv w:val="1"/>
      <w:marLeft w:val="0"/>
      <w:marRight w:val="0"/>
      <w:marTop w:val="0"/>
      <w:marBottom w:val="0"/>
      <w:divBdr>
        <w:top w:val="none" w:sz="0" w:space="0" w:color="auto"/>
        <w:left w:val="none" w:sz="0" w:space="0" w:color="auto"/>
        <w:bottom w:val="none" w:sz="0" w:space="0" w:color="auto"/>
        <w:right w:val="none" w:sz="0" w:space="0" w:color="auto"/>
      </w:divBdr>
    </w:div>
    <w:div w:id="586891771">
      <w:bodyDiv w:val="1"/>
      <w:marLeft w:val="0"/>
      <w:marRight w:val="0"/>
      <w:marTop w:val="0"/>
      <w:marBottom w:val="0"/>
      <w:divBdr>
        <w:top w:val="none" w:sz="0" w:space="0" w:color="auto"/>
        <w:left w:val="none" w:sz="0" w:space="0" w:color="auto"/>
        <w:bottom w:val="none" w:sz="0" w:space="0" w:color="auto"/>
        <w:right w:val="none" w:sz="0" w:space="0" w:color="auto"/>
      </w:divBdr>
    </w:div>
    <w:div w:id="649870416">
      <w:bodyDiv w:val="1"/>
      <w:marLeft w:val="0"/>
      <w:marRight w:val="0"/>
      <w:marTop w:val="0"/>
      <w:marBottom w:val="0"/>
      <w:divBdr>
        <w:top w:val="none" w:sz="0" w:space="0" w:color="auto"/>
        <w:left w:val="none" w:sz="0" w:space="0" w:color="auto"/>
        <w:bottom w:val="none" w:sz="0" w:space="0" w:color="auto"/>
        <w:right w:val="none" w:sz="0" w:space="0" w:color="auto"/>
      </w:divBdr>
    </w:div>
    <w:div w:id="682978072">
      <w:bodyDiv w:val="1"/>
      <w:marLeft w:val="0"/>
      <w:marRight w:val="0"/>
      <w:marTop w:val="0"/>
      <w:marBottom w:val="0"/>
      <w:divBdr>
        <w:top w:val="none" w:sz="0" w:space="0" w:color="auto"/>
        <w:left w:val="none" w:sz="0" w:space="0" w:color="auto"/>
        <w:bottom w:val="none" w:sz="0" w:space="0" w:color="auto"/>
        <w:right w:val="none" w:sz="0" w:space="0" w:color="auto"/>
      </w:divBdr>
    </w:div>
    <w:div w:id="683746004">
      <w:bodyDiv w:val="1"/>
      <w:marLeft w:val="0"/>
      <w:marRight w:val="0"/>
      <w:marTop w:val="0"/>
      <w:marBottom w:val="0"/>
      <w:divBdr>
        <w:top w:val="none" w:sz="0" w:space="0" w:color="auto"/>
        <w:left w:val="none" w:sz="0" w:space="0" w:color="auto"/>
        <w:bottom w:val="none" w:sz="0" w:space="0" w:color="auto"/>
        <w:right w:val="none" w:sz="0" w:space="0" w:color="auto"/>
      </w:divBdr>
    </w:div>
    <w:div w:id="730079683">
      <w:bodyDiv w:val="1"/>
      <w:marLeft w:val="0"/>
      <w:marRight w:val="0"/>
      <w:marTop w:val="0"/>
      <w:marBottom w:val="0"/>
      <w:divBdr>
        <w:top w:val="none" w:sz="0" w:space="0" w:color="auto"/>
        <w:left w:val="none" w:sz="0" w:space="0" w:color="auto"/>
        <w:bottom w:val="none" w:sz="0" w:space="0" w:color="auto"/>
        <w:right w:val="none" w:sz="0" w:space="0" w:color="auto"/>
      </w:divBdr>
    </w:div>
    <w:div w:id="794640047">
      <w:bodyDiv w:val="1"/>
      <w:marLeft w:val="0"/>
      <w:marRight w:val="0"/>
      <w:marTop w:val="0"/>
      <w:marBottom w:val="0"/>
      <w:divBdr>
        <w:top w:val="none" w:sz="0" w:space="0" w:color="auto"/>
        <w:left w:val="none" w:sz="0" w:space="0" w:color="auto"/>
        <w:bottom w:val="none" w:sz="0" w:space="0" w:color="auto"/>
        <w:right w:val="none" w:sz="0" w:space="0" w:color="auto"/>
      </w:divBdr>
    </w:div>
    <w:div w:id="821313120">
      <w:bodyDiv w:val="1"/>
      <w:marLeft w:val="0"/>
      <w:marRight w:val="0"/>
      <w:marTop w:val="0"/>
      <w:marBottom w:val="0"/>
      <w:divBdr>
        <w:top w:val="none" w:sz="0" w:space="0" w:color="auto"/>
        <w:left w:val="none" w:sz="0" w:space="0" w:color="auto"/>
        <w:bottom w:val="none" w:sz="0" w:space="0" w:color="auto"/>
        <w:right w:val="none" w:sz="0" w:space="0" w:color="auto"/>
      </w:divBdr>
      <w:divsChild>
        <w:div w:id="913123375">
          <w:marLeft w:val="0"/>
          <w:marRight w:val="0"/>
          <w:marTop w:val="0"/>
          <w:marBottom w:val="0"/>
          <w:divBdr>
            <w:top w:val="none" w:sz="0" w:space="0" w:color="auto"/>
            <w:left w:val="none" w:sz="0" w:space="0" w:color="auto"/>
            <w:bottom w:val="none" w:sz="0" w:space="0" w:color="auto"/>
            <w:right w:val="none" w:sz="0" w:space="0" w:color="auto"/>
          </w:divBdr>
        </w:div>
      </w:divsChild>
    </w:div>
    <w:div w:id="865024008">
      <w:bodyDiv w:val="1"/>
      <w:marLeft w:val="0"/>
      <w:marRight w:val="0"/>
      <w:marTop w:val="0"/>
      <w:marBottom w:val="0"/>
      <w:divBdr>
        <w:top w:val="none" w:sz="0" w:space="0" w:color="auto"/>
        <w:left w:val="none" w:sz="0" w:space="0" w:color="auto"/>
        <w:bottom w:val="none" w:sz="0" w:space="0" w:color="auto"/>
        <w:right w:val="none" w:sz="0" w:space="0" w:color="auto"/>
      </w:divBdr>
    </w:div>
    <w:div w:id="917982942">
      <w:bodyDiv w:val="1"/>
      <w:marLeft w:val="0"/>
      <w:marRight w:val="0"/>
      <w:marTop w:val="0"/>
      <w:marBottom w:val="0"/>
      <w:divBdr>
        <w:top w:val="none" w:sz="0" w:space="0" w:color="auto"/>
        <w:left w:val="none" w:sz="0" w:space="0" w:color="auto"/>
        <w:bottom w:val="none" w:sz="0" w:space="0" w:color="auto"/>
        <w:right w:val="none" w:sz="0" w:space="0" w:color="auto"/>
      </w:divBdr>
    </w:div>
    <w:div w:id="933591855">
      <w:bodyDiv w:val="1"/>
      <w:marLeft w:val="0"/>
      <w:marRight w:val="0"/>
      <w:marTop w:val="0"/>
      <w:marBottom w:val="0"/>
      <w:divBdr>
        <w:top w:val="none" w:sz="0" w:space="0" w:color="auto"/>
        <w:left w:val="none" w:sz="0" w:space="0" w:color="auto"/>
        <w:bottom w:val="none" w:sz="0" w:space="0" w:color="auto"/>
        <w:right w:val="none" w:sz="0" w:space="0" w:color="auto"/>
      </w:divBdr>
    </w:div>
    <w:div w:id="1001472832">
      <w:bodyDiv w:val="1"/>
      <w:marLeft w:val="0"/>
      <w:marRight w:val="0"/>
      <w:marTop w:val="0"/>
      <w:marBottom w:val="0"/>
      <w:divBdr>
        <w:top w:val="none" w:sz="0" w:space="0" w:color="auto"/>
        <w:left w:val="none" w:sz="0" w:space="0" w:color="auto"/>
        <w:bottom w:val="none" w:sz="0" w:space="0" w:color="auto"/>
        <w:right w:val="none" w:sz="0" w:space="0" w:color="auto"/>
      </w:divBdr>
    </w:div>
    <w:div w:id="1070036461">
      <w:bodyDiv w:val="1"/>
      <w:marLeft w:val="0"/>
      <w:marRight w:val="0"/>
      <w:marTop w:val="0"/>
      <w:marBottom w:val="0"/>
      <w:divBdr>
        <w:top w:val="none" w:sz="0" w:space="0" w:color="auto"/>
        <w:left w:val="none" w:sz="0" w:space="0" w:color="auto"/>
        <w:bottom w:val="none" w:sz="0" w:space="0" w:color="auto"/>
        <w:right w:val="none" w:sz="0" w:space="0" w:color="auto"/>
      </w:divBdr>
    </w:div>
    <w:div w:id="1099251073">
      <w:bodyDiv w:val="1"/>
      <w:marLeft w:val="0"/>
      <w:marRight w:val="0"/>
      <w:marTop w:val="0"/>
      <w:marBottom w:val="0"/>
      <w:divBdr>
        <w:top w:val="none" w:sz="0" w:space="0" w:color="auto"/>
        <w:left w:val="none" w:sz="0" w:space="0" w:color="auto"/>
        <w:bottom w:val="none" w:sz="0" w:space="0" w:color="auto"/>
        <w:right w:val="none" w:sz="0" w:space="0" w:color="auto"/>
      </w:divBdr>
    </w:div>
    <w:div w:id="1124277308">
      <w:bodyDiv w:val="1"/>
      <w:marLeft w:val="0"/>
      <w:marRight w:val="0"/>
      <w:marTop w:val="0"/>
      <w:marBottom w:val="0"/>
      <w:divBdr>
        <w:top w:val="none" w:sz="0" w:space="0" w:color="auto"/>
        <w:left w:val="none" w:sz="0" w:space="0" w:color="auto"/>
        <w:bottom w:val="none" w:sz="0" w:space="0" w:color="auto"/>
        <w:right w:val="none" w:sz="0" w:space="0" w:color="auto"/>
      </w:divBdr>
    </w:div>
    <w:div w:id="1126266931">
      <w:bodyDiv w:val="1"/>
      <w:marLeft w:val="0"/>
      <w:marRight w:val="0"/>
      <w:marTop w:val="0"/>
      <w:marBottom w:val="0"/>
      <w:divBdr>
        <w:top w:val="none" w:sz="0" w:space="0" w:color="auto"/>
        <w:left w:val="none" w:sz="0" w:space="0" w:color="auto"/>
        <w:bottom w:val="none" w:sz="0" w:space="0" w:color="auto"/>
        <w:right w:val="none" w:sz="0" w:space="0" w:color="auto"/>
      </w:divBdr>
    </w:div>
    <w:div w:id="1141653839">
      <w:bodyDiv w:val="1"/>
      <w:marLeft w:val="0"/>
      <w:marRight w:val="0"/>
      <w:marTop w:val="0"/>
      <w:marBottom w:val="0"/>
      <w:divBdr>
        <w:top w:val="none" w:sz="0" w:space="0" w:color="auto"/>
        <w:left w:val="none" w:sz="0" w:space="0" w:color="auto"/>
        <w:bottom w:val="none" w:sz="0" w:space="0" w:color="auto"/>
        <w:right w:val="none" w:sz="0" w:space="0" w:color="auto"/>
      </w:divBdr>
    </w:div>
    <w:div w:id="1188106269">
      <w:bodyDiv w:val="1"/>
      <w:marLeft w:val="0"/>
      <w:marRight w:val="0"/>
      <w:marTop w:val="0"/>
      <w:marBottom w:val="0"/>
      <w:divBdr>
        <w:top w:val="none" w:sz="0" w:space="0" w:color="auto"/>
        <w:left w:val="none" w:sz="0" w:space="0" w:color="auto"/>
        <w:bottom w:val="none" w:sz="0" w:space="0" w:color="auto"/>
        <w:right w:val="none" w:sz="0" w:space="0" w:color="auto"/>
      </w:divBdr>
    </w:div>
    <w:div w:id="1223522018">
      <w:bodyDiv w:val="1"/>
      <w:marLeft w:val="0"/>
      <w:marRight w:val="0"/>
      <w:marTop w:val="0"/>
      <w:marBottom w:val="0"/>
      <w:divBdr>
        <w:top w:val="none" w:sz="0" w:space="0" w:color="auto"/>
        <w:left w:val="none" w:sz="0" w:space="0" w:color="auto"/>
        <w:bottom w:val="none" w:sz="0" w:space="0" w:color="auto"/>
        <w:right w:val="none" w:sz="0" w:space="0" w:color="auto"/>
      </w:divBdr>
    </w:div>
    <w:div w:id="1228539766">
      <w:bodyDiv w:val="1"/>
      <w:marLeft w:val="0"/>
      <w:marRight w:val="0"/>
      <w:marTop w:val="0"/>
      <w:marBottom w:val="0"/>
      <w:divBdr>
        <w:top w:val="none" w:sz="0" w:space="0" w:color="auto"/>
        <w:left w:val="none" w:sz="0" w:space="0" w:color="auto"/>
        <w:bottom w:val="none" w:sz="0" w:space="0" w:color="auto"/>
        <w:right w:val="none" w:sz="0" w:space="0" w:color="auto"/>
      </w:divBdr>
    </w:div>
    <w:div w:id="1258487972">
      <w:bodyDiv w:val="1"/>
      <w:marLeft w:val="0"/>
      <w:marRight w:val="0"/>
      <w:marTop w:val="0"/>
      <w:marBottom w:val="0"/>
      <w:divBdr>
        <w:top w:val="none" w:sz="0" w:space="0" w:color="auto"/>
        <w:left w:val="none" w:sz="0" w:space="0" w:color="auto"/>
        <w:bottom w:val="none" w:sz="0" w:space="0" w:color="auto"/>
        <w:right w:val="none" w:sz="0" w:space="0" w:color="auto"/>
      </w:divBdr>
      <w:divsChild>
        <w:div w:id="1843543396">
          <w:marLeft w:val="0"/>
          <w:marRight w:val="0"/>
          <w:marTop w:val="0"/>
          <w:marBottom w:val="0"/>
          <w:divBdr>
            <w:top w:val="none" w:sz="0" w:space="0" w:color="auto"/>
            <w:left w:val="none" w:sz="0" w:space="0" w:color="auto"/>
            <w:bottom w:val="none" w:sz="0" w:space="0" w:color="auto"/>
            <w:right w:val="none" w:sz="0" w:space="0" w:color="auto"/>
          </w:divBdr>
        </w:div>
      </w:divsChild>
    </w:div>
    <w:div w:id="1330333269">
      <w:bodyDiv w:val="1"/>
      <w:marLeft w:val="0"/>
      <w:marRight w:val="0"/>
      <w:marTop w:val="0"/>
      <w:marBottom w:val="0"/>
      <w:divBdr>
        <w:top w:val="none" w:sz="0" w:space="0" w:color="auto"/>
        <w:left w:val="none" w:sz="0" w:space="0" w:color="auto"/>
        <w:bottom w:val="none" w:sz="0" w:space="0" w:color="auto"/>
        <w:right w:val="none" w:sz="0" w:space="0" w:color="auto"/>
      </w:divBdr>
    </w:div>
    <w:div w:id="1332640762">
      <w:bodyDiv w:val="1"/>
      <w:marLeft w:val="0"/>
      <w:marRight w:val="0"/>
      <w:marTop w:val="0"/>
      <w:marBottom w:val="0"/>
      <w:divBdr>
        <w:top w:val="none" w:sz="0" w:space="0" w:color="auto"/>
        <w:left w:val="none" w:sz="0" w:space="0" w:color="auto"/>
        <w:bottom w:val="none" w:sz="0" w:space="0" w:color="auto"/>
        <w:right w:val="none" w:sz="0" w:space="0" w:color="auto"/>
      </w:divBdr>
    </w:div>
    <w:div w:id="1379933032">
      <w:bodyDiv w:val="1"/>
      <w:marLeft w:val="0"/>
      <w:marRight w:val="0"/>
      <w:marTop w:val="0"/>
      <w:marBottom w:val="0"/>
      <w:divBdr>
        <w:top w:val="none" w:sz="0" w:space="0" w:color="auto"/>
        <w:left w:val="none" w:sz="0" w:space="0" w:color="auto"/>
        <w:bottom w:val="none" w:sz="0" w:space="0" w:color="auto"/>
        <w:right w:val="none" w:sz="0" w:space="0" w:color="auto"/>
      </w:divBdr>
    </w:div>
    <w:div w:id="1399549195">
      <w:bodyDiv w:val="1"/>
      <w:marLeft w:val="0"/>
      <w:marRight w:val="0"/>
      <w:marTop w:val="0"/>
      <w:marBottom w:val="0"/>
      <w:divBdr>
        <w:top w:val="none" w:sz="0" w:space="0" w:color="auto"/>
        <w:left w:val="none" w:sz="0" w:space="0" w:color="auto"/>
        <w:bottom w:val="none" w:sz="0" w:space="0" w:color="auto"/>
        <w:right w:val="none" w:sz="0" w:space="0" w:color="auto"/>
      </w:divBdr>
    </w:div>
    <w:div w:id="1404646362">
      <w:bodyDiv w:val="1"/>
      <w:marLeft w:val="0"/>
      <w:marRight w:val="0"/>
      <w:marTop w:val="0"/>
      <w:marBottom w:val="0"/>
      <w:divBdr>
        <w:top w:val="none" w:sz="0" w:space="0" w:color="auto"/>
        <w:left w:val="none" w:sz="0" w:space="0" w:color="auto"/>
        <w:bottom w:val="none" w:sz="0" w:space="0" w:color="auto"/>
        <w:right w:val="none" w:sz="0" w:space="0" w:color="auto"/>
      </w:divBdr>
    </w:div>
    <w:div w:id="1413431617">
      <w:bodyDiv w:val="1"/>
      <w:marLeft w:val="0"/>
      <w:marRight w:val="0"/>
      <w:marTop w:val="0"/>
      <w:marBottom w:val="0"/>
      <w:divBdr>
        <w:top w:val="none" w:sz="0" w:space="0" w:color="auto"/>
        <w:left w:val="none" w:sz="0" w:space="0" w:color="auto"/>
        <w:bottom w:val="none" w:sz="0" w:space="0" w:color="auto"/>
        <w:right w:val="none" w:sz="0" w:space="0" w:color="auto"/>
      </w:divBdr>
    </w:div>
    <w:div w:id="1416050417">
      <w:bodyDiv w:val="1"/>
      <w:marLeft w:val="0"/>
      <w:marRight w:val="0"/>
      <w:marTop w:val="0"/>
      <w:marBottom w:val="0"/>
      <w:divBdr>
        <w:top w:val="none" w:sz="0" w:space="0" w:color="auto"/>
        <w:left w:val="none" w:sz="0" w:space="0" w:color="auto"/>
        <w:bottom w:val="none" w:sz="0" w:space="0" w:color="auto"/>
        <w:right w:val="none" w:sz="0" w:space="0" w:color="auto"/>
      </w:divBdr>
    </w:div>
    <w:div w:id="1445418189">
      <w:bodyDiv w:val="1"/>
      <w:marLeft w:val="0"/>
      <w:marRight w:val="0"/>
      <w:marTop w:val="0"/>
      <w:marBottom w:val="0"/>
      <w:divBdr>
        <w:top w:val="none" w:sz="0" w:space="0" w:color="auto"/>
        <w:left w:val="none" w:sz="0" w:space="0" w:color="auto"/>
        <w:bottom w:val="none" w:sz="0" w:space="0" w:color="auto"/>
        <w:right w:val="none" w:sz="0" w:space="0" w:color="auto"/>
      </w:divBdr>
      <w:divsChild>
        <w:div w:id="366881487">
          <w:marLeft w:val="0"/>
          <w:marRight w:val="0"/>
          <w:marTop w:val="0"/>
          <w:marBottom w:val="0"/>
          <w:divBdr>
            <w:top w:val="none" w:sz="0" w:space="0" w:color="auto"/>
            <w:left w:val="none" w:sz="0" w:space="0" w:color="auto"/>
            <w:bottom w:val="none" w:sz="0" w:space="0" w:color="auto"/>
            <w:right w:val="none" w:sz="0" w:space="0" w:color="auto"/>
          </w:divBdr>
        </w:div>
      </w:divsChild>
    </w:div>
    <w:div w:id="1464226704">
      <w:bodyDiv w:val="1"/>
      <w:marLeft w:val="0"/>
      <w:marRight w:val="0"/>
      <w:marTop w:val="0"/>
      <w:marBottom w:val="0"/>
      <w:divBdr>
        <w:top w:val="none" w:sz="0" w:space="0" w:color="auto"/>
        <w:left w:val="none" w:sz="0" w:space="0" w:color="auto"/>
        <w:bottom w:val="none" w:sz="0" w:space="0" w:color="auto"/>
        <w:right w:val="none" w:sz="0" w:space="0" w:color="auto"/>
      </w:divBdr>
    </w:div>
    <w:div w:id="1467089857">
      <w:bodyDiv w:val="1"/>
      <w:marLeft w:val="0"/>
      <w:marRight w:val="0"/>
      <w:marTop w:val="0"/>
      <w:marBottom w:val="0"/>
      <w:divBdr>
        <w:top w:val="none" w:sz="0" w:space="0" w:color="auto"/>
        <w:left w:val="none" w:sz="0" w:space="0" w:color="auto"/>
        <w:bottom w:val="none" w:sz="0" w:space="0" w:color="auto"/>
        <w:right w:val="none" w:sz="0" w:space="0" w:color="auto"/>
      </w:divBdr>
    </w:div>
    <w:div w:id="1479683177">
      <w:bodyDiv w:val="1"/>
      <w:marLeft w:val="0"/>
      <w:marRight w:val="0"/>
      <w:marTop w:val="0"/>
      <w:marBottom w:val="0"/>
      <w:divBdr>
        <w:top w:val="none" w:sz="0" w:space="0" w:color="auto"/>
        <w:left w:val="none" w:sz="0" w:space="0" w:color="auto"/>
        <w:bottom w:val="none" w:sz="0" w:space="0" w:color="auto"/>
        <w:right w:val="none" w:sz="0" w:space="0" w:color="auto"/>
      </w:divBdr>
    </w:div>
    <w:div w:id="1498112574">
      <w:bodyDiv w:val="1"/>
      <w:marLeft w:val="0"/>
      <w:marRight w:val="0"/>
      <w:marTop w:val="0"/>
      <w:marBottom w:val="0"/>
      <w:divBdr>
        <w:top w:val="none" w:sz="0" w:space="0" w:color="auto"/>
        <w:left w:val="none" w:sz="0" w:space="0" w:color="auto"/>
        <w:bottom w:val="none" w:sz="0" w:space="0" w:color="auto"/>
        <w:right w:val="none" w:sz="0" w:space="0" w:color="auto"/>
      </w:divBdr>
    </w:div>
    <w:div w:id="1513832348">
      <w:bodyDiv w:val="1"/>
      <w:marLeft w:val="0"/>
      <w:marRight w:val="0"/>
      <w:marTop w:val="0"/>
      <w:marBottom w:val="0"/>
      <w:divBdr>
        <w:top w:val="none" w:sz="0" w:space="0" w:color="auto"/>
        <w:left w:val="none" w:sz="0" w:space="0" w:color="auto"/>
        <w:bottom w:val="none" w:sz="0" w:space="0" w:color="auto"/>
        <w:right w:val="none" w:sz="0" w:space="0" w:color="auto"/>
      </w:divBdr>
    </w:div>
    <w:div w:id="1575385186">
      <w:bodyDiv w:val="1"/>
      <w:marLeft w:val="0"/>
      <w:marRight w:val="0"/>
      <w:marTop w:val="0"/>
      <w:marBottom w:val="0"/>
      <w:divBdr>
        <w:top w:val="none" w:sz="0" w:space="0" w:color="auto"/>
        <w:left w:val="none" w:sz="0" w:space="0" w:color="auto"/>
        <w:bottom w:val="none" w:sz="0" w:space="0" w:color="auto"/>
        <w:right w:val="none" w:sz="0" w:space="0" w:color="auto"/>
      </w:divBdr>
    </w:div>
    <w:div w:id="1581669729">
      <w:bodyDiv w:val="1"/>
      <w:marLeft w:val="0"/>
      <w:marRight w:val="0"/>
      <w:marTop w:val="0"/>
      <w:marBottom w:val="0"/>
      <w:divBdr>
        <w:top w:val="none" w:sz="0" w:space="0" w:color="auto"/>
        <w:left w:val="none" w:sz="0" w:space="0" w:color="auto"/>
        <w:bottom w:val="none" w:sz="0" w:space="0" w:color="auto"/>
        <w:right w:val="none" w:sz="0" w:space="0" w:color="auto"/>
      </w:divBdr>
    </w:div>
    <w:div w:id="1617522029">
      <w:bodyDiv w:val="1"/>
      <w:marLeft w:val="0"/>
      <w:marRight w:val="0"/>
      <w:marTop w:val="0"/>
      <w:marBottom w:val="0"/>
      <w:divBdr>
        <w:top w:val="none" w:sz="0" w:space="0" w:color="auto"/>
        <w:left w:val="none" w:sz="0" w:space="0" w:color="auto"/>
        <w:bottom w:val="none" w:sz="0" w:space="0" w:color="auto"/>
        <w:right w:val="none" w:sz="0" w:space="0" w:color="auto"/>
      </w:divBdr>
      <w:divsChild>
        <w:div w:id="203637247">
          <w:marLeft w:val="0"/>
          <w:marRight w:val="0"/>
          <w:marTop w:val="0"/>
          <w:marBottom w:val="0"/>
          <w:divBdr>
            <w:top w:val="none" w:sz="0" w:space="0" w:color="auto"/>
            <w:left w:val="none" w:sz="0" w:space="0" w:color="auto"/>
            <w:bottom w:val="none" w:sz="0" w:space="0" w:color="auto"/>
            <w:right w:val="none" w:sz="0" w:space="0" w:color="auto"/>
          </w:divBdr>
        </w:div>
      </w:divsChild>
    </w:div>
    <w:div w:id="1628664059">
      <w:bodyDiv w:val="1"/>
      <w:marLeft w:val="0"/>
      <w:marRight w:val="0"/>
      <w:marTop w:val="0"/>
      <w:marBottom w:val="0"/>
      <w:divBdr>
        <w:top w:val="none" w:sz="0" w:space="0" w:color="auto"/>
        <w:left w:val="none" w:sz="0" w:space="0" w:color="auto"/>
        <w:bottom w:val="none" w:sz="0" w:space="0" w:color="auto"/>
        <w:right w:val="none" w:sz="0" w:space="0" w:color="auto"/>
      </w:divBdr>
    </w:div>
    <w:div w:id="1668559893">
      <w:bodyDiv w:val="1"/>
      <w:marLeft w:val="0"/>
      <w:marRight w:val="0"/>
      <w:marTop w:val="0"/>
      <w:marBottom w:val="0"/>
      <w:divBdr>
        <w:top w:val="none" w:sz="0" w:space="0" w:color="auto"/>
        <w:left w:val="none" w:sz="0" w:space="0" w:color="auto"/>
        <w:bottom w:val="none" w:sz="0" w:space="0" w:color="auto"/>
        <w:right w:val="none" w:sz="0" w:space="0" w:color="auto"/>
      </w:divBdr>
    </w:div>
    <w:div w:id="1669820104">
      <w:bodyDiv w:val="1"/>
      <w:marLeft w:val="0"/>
      <w:marRight w:val="0"/>
      <w:marTop w:val="0"/>
      <w:marBottom w:val="0"/>
      <w:divBdr>
        <w:top w:val="none" w:sz="0" w:space="0" w:color="auto"/>
        <w:left w:val="none" w:sz="0" w:space="0" w:color="auto"/>
        <w:bottom w:val="none" w:sz="0" w:space="0" w:color="auto"/>
        <w:right w:val="none" w:sz="0" w:space="0" w:color="auto"/>
      </w:divBdr>
      <w:divsChild>
        <w:div w:id="402291943">
          <w:marLeft w:val="547"/>
          <w:marRight w:val="0"/>
          <w:marTop w:val="140"/>
          <w:marBottom w:val="0"/>
          <w:divBdr>
            <w:top w:val="none" w:sz="0" w:space="0" w:color="auto"/>
            <w:left w:val="none" w:sz="0" w:space="0" w:color="auto"/>
            <w:bottom w:val="none" w:sz="0" w:space="0" w:color="auto"/>
            <w:right w:val="none" w:sz="0" w:space="0" w:color="auto"/>
          </w:divBdr>
        </w:div>
      </w:divsChild>
    </w:div>
    <w:div w:id="1718043948">
      <w:bodyDiv w:val="1"/>
      <w:marLeft w:val="0"/>
      <w:marRight w:val="0"/>
      <w:marTop w:val="0"/>
      <w:marBottom w:val="0"/>
      <w:divBdr>
        <w:top w:val="none" w:sz="0" w:space="0" w:color="auto"/>
        <w:left w:val="none" w:sz="0" w:space="0" w:color="auto"/>
        <w:bottom w:val="none" w:sz="0" w:space="0" w:color="auto"/>
        <w:right w:val="none" w:sz="0" w:space="0" w:color="auto"/>
      </w:divBdr>
    </w:div>
    <w:div w:id="1853832479">
      <w:bodyDiv w:val="1"/>
      <w:marLeft w:val="0"/>
      <w:marRight w:val="0"/>
      <w:marTop w:val="0"/>
      <w:marBottom w:val="0"/>
      <w:divBdr>
        <w:top w:val="none" w:sz="0" w:space="0" w:color="auto"/>
        <w:left w:val="none" w:sz="0" w:space="0" w:color="auto"/>
        <w:bottom w:val="none" w:sz="0" w:space="0" w:color="auto"/>
        <w:right w:val="none" w:sz="0" w:space="0" w:color="auto"/>
      </w:divBdr>
    </w:div>
    <w:div w:id="1860005274">
      <w:bodyDiv w:val="1"/>
      <w:marLeft w:val="0"/>
      <w:marRight w:val="0"/>
      <w:marTop w:val="0"/>
      <w:marBottom w:val="0"/>
      <w:divBdr>
        <w:top w:val="none" w:sz="0" w:space="0" w:color="auto"/>
        <w:left w:val="none" w:sz="0" w:space="0" w:color="auto"/>
        <w:bottom w:val="none" w:sz="0" w:space="0" w:color="auto"/>
        <w:right w:val="none" w:sz="0" w:space="0" w:color="auto"/>
      </w:divBdr>
      <w:divsChild>
        <w:div w:id="46342219">
          <w:marLeft w:val="0"/>
          <w:marRight w:val="0"/>
          <w:marTop w:val="0"/>
          <w:marBottom w:val="0"/>
          <w:divBdr>
            <w:top w:val="none" w:sz="0" w:space="0" w:color="auto"/>
            <w:left w:val="none" w:sz="0" w:space="0" w:color="auto"/>
            <w:bottom w:val="none" w:sz="0" w:space="0" w:color="auto"/>
            <w:right w:val="none" w:sz="0" w:space="0" w:color="auto"/>
          </w:divBdr>
        </w:div>
      </w:divsChild>
    </w:div>
    <w:div w:id="1883790617">
      <w:bodyDiv w:val="1"/>
      <w:marLeft w:val="0"/>
      <w:marRight w:val="0"/>
      <w:marTop w:val="0"/>
      <w:marBottom w:val="0"/>
      <w:divBdr>
        <w:top w:val="none" w:sz="0" w:space="0" w:color="auto"/>
        <w:left w:val="none" w:sz="0" w:space="0" w:color="auto"/>
        <w:bottom w:val="none" w:sz="0" w:space="0" w:color="auto"/>
        <w:right w:val="none" w:sz="0" w:space="0" w:color="auto"/>
      </w:divBdr>
    </w:div>
    <w:div w:id="1884906017">
      <w:bodyDiv w:val="1"/>
      <w:marLeft w:val="0"/>
      <w:marRight w:val="0"/>
      <w:marTop w:val="0"/>
      <w:marBottom w:val="0"/>
      <w:divBdr>
        <w:top w:val="none" w:sz="0" w:space="0" w:color="auto"/>
        <w:left w:val="none" w:sz="0" w:space="0" w:color="auto"/>
        <w:bottom w:val="none" w:sz="0" w:space="0" w:color="auto"/>
        <w:right w:val="none" w:sz="0" w:space="0" w:color="auto"/>
      </w:divBdr>
      <w:divsChild>
        <w:div w:id="1993634633">
          <w:marLeft w:val="0"/>
          <w:marRight w:val="0"/>
          <w:marTop w:val="0"/>
          <w:marBottom w:val="0"/>
          <w:divBdr>
            <w:top w:val="none" w:sz="0" w:space="0" w:color="auto"/>
            <w:left w:val="none" w:sz="0" w:space="0" w:color="auto"/>
            <w:bottom w:val="none" w:sz="0" w:space="0" w:color="auto"/>
            <w:right w:val="none" w:sz="0" w:space="0" w:color="auto"/>
          </w:divBdr>
        </w:div>
      </w:divsChild>
    </w:div>
    <w:div w:id="1889954220">
      <w:bodyDiv w:val="1"/>
      <w:marLeft w:val="0"/>
      <w:marRight w:val="0"/>
      <w:marTop w:val="0"/>
      <w:marBottom w:val="0"/>
      <w:divBdr>
        <w:top w:val="none" w:sz="0" w:space="0" w:color="auto"/>
        <w:left w:val="none" w:sz="0" w:space="0" w:color="auto"/>
        <w:bottom w:val="none" w:sz="0" w:space="0" w:color="auto"/>
        <w:right w:val="none" w:sz="0" w:space="0" w:color="auto"/>
      </w:divBdr>
      <w:divsChild>
        <w:div w:id="1977636216">
          <w:marLeft w:val="0"/>
          <w:marRight w:val="0"/>
          <w:marTop w:val="0"/>
          <w:marBottom w:val="0"/>
          <w:divBdr>
            <w:top w:val="none" w:sz="0" w:space="0" w:color="auto"/>
            <w:left w:val="none" w:sz="0" w:space="0" w:color="auto"/>
            <w:bottom w:val="none" w:sz="0" w:space="0" w:color="auto"/>
            <w:right w:val="none" w:sz="0" w:space="0" w:color="auto"/>
          </w:divBdr>
        </w:div>
      </w:divsChild>
    </w:div>
    <w:div w:id="1944340999">
      <w:bodyDiv w:val="1"/>
      <w:marLeft w:val="0"/>
      <w:marRight w:val="0"/>
      <w:marTop w:val="0"/>
      <w:marBottom w:val="0"/>
      <w:divBdr>
        <w:top w:val="none" w:sz="0" w:space="0" w:color="auto"/>
        <w:left w:val="none" w:sz="0" w:space="0" w:color="auto"/>
        <w:bottom w:val="none" w:sz="0" w:space="0" w:color="auto"/>
        <w:right w:val="none" w:sz="0" w:space="0" w:color="auto"/>
      </w:divBdr>
    </w:div>
    <w:div w:id="1945651642">
      <w:bodyDiv w:val="1"/>
      <w:marLeft w:val="0"/>
      <w:marRight w:val="0"/>
      <w:marTop w:val="0"/>
      <w:marBottom w:val="0"/>
      <w:divBdr>
        <w:top w:val="none" w:sz="0" w:space="0" w:color="auto"/>
        <w:left w:val="none" w:sz="0" w:space="0" w:color="auto"/>
        <w:bottom w:val="none" w:sz="0" w:space="0" w:color="auto"/>
        <w:right w:val="none" w:sz="0" w:space="0" w:color="auto"/>
      </w:divBdr>
    </w:div>
    <w:div w:id="1976719732">
      <w:bodyDiv w:val="1"/>
      <w:marLeft w:val="0"/>
      <w:marRight w:val="0"/>
      <w:marTop w:val="0"/>
      <w:marBottom w:val="0"/>
      <w:divBdr>
        <w:top w:val="none" w:sz="0" w:space="0" w:color="auto"/>
        <w:left w:val="none" w:sz="0" w:space="0" w:color="auto"/>
        <w:bottom w:val="none" w:sz="0" w:space="0" w:color="auto"/>
        <w:right w:val="none" w:sz="0" w:space="0" w:color="auto"/>
      </w:divBdr>
    </w:div>
    <w:div w:id="2022586079">
      <w:bodyDiv w:val="1"/>
      <w:marLeft w:val="0"/>
      <w:marRight w:val="0"/>
      <w:marTop w:val="0"/>
      <w:marBottom w:val="0"/>
      <w:divBdr>
        <w:top w:val="none" w:sz="0" w:space="0" w:color="auto"/>
        <w:left w:val="none" w:sz="0" w:space="0" w:color="auto"/>
        <w:bottom w:val="none" w:sz="0" w:space="0" w:color="auto"/>
        <w:right w:val="none" w:sz="0" w:space="0" w:color="auto"/>
      </w:divBdr>
      <w:divsChild>
        <w:div w:id="2061905850">
          <w:marLeft w:val="0"/>
          <w:marRight w:val="0"/>
          <w:marTop w:val="0"/>
          <w:marBottom w:val="0"/>
          <w:divBdr>
            <w:top w:val="none" w:sz="0" w:space="0" w:color="auto"/>
            <w:left w:val="none" w:sz="0" w:space="0" w:color="auto"/>
            <w:bottom w:val="none" w:sz="0" w:space="0" w:color="auto"/>
            <w:right w:val="none" w:sz="0" w:space="0" w:color="auto"/>
          </w:divBdr>
        </w:div>
      </w:divsChild>
    </w:div>
    <w:div w:id="2045129696">
      <w:bodyDiv w:val="1"/>
      <w:marLeft w:val="0"/>
      <w:marRight w:val="0"/>
      <w:marTop w:val="0"/>
      <w:marBottom w:val="0"/>
      <w:divBdr>
        <w:top w:val="none" w:sz="0" w:space="0" w:color="auto"/>
        <w:left w:val="none" w:sz="0" w:space="0" w:color="auto"/>
        <w:bottom w:val="none" w:sz="0" w:space="0" w:color="auto"/>
        <w:right w:val="none" w:sz="0" w:space="0" w:color="auto"/>
      </w:divBdr>
      <w:divsChild>
        <w:div w:id="2129355980">
          <w:marLeft w:val="0"/>
          <w:marRight w:val="0"/>
          <w:marTop w:val="0"/>
          <w:marBottom w:val="0"/>
          <w:divBdr>
            <w:top w:val="none" w:sz="0" w:space="0" w:color="auto"/>
            <w:left w:val="none" w:sz="0" w:space="0" w:color="auto"/>
            <w:bottom w:val="none" w:sz="0" w:space="0" w:color="auto"/>
            <w:right w:val="none" w:sz="0" w:space="0" w:color="auto"/>
          </w:divBdr>
        </w:div>
      </w:divsChild>
    </w:div>
    <w:div w:id="2131782373">
      <w:bodyDiv w:val="1"/>
      <w:marLeft w:val="0"/>
      <w:marRight w:val="0"/>
      <w:marTop w:val="0"/>
      <w:marBottom w:val="0"/>
      <w:divBdr>
        <w:top w:val="none" w:sz="0" w:space="0" w:color="auto"/>
        <w:left w:val="none" w:sz="0" w:space="0" w:color="auto"/>
        <w:bottom w:val="none" w:sz="0" w:space="0" w:color="auto"/>
        <w:right w:val="none" w:sz="0" w:space="0" w:color="auto"/>
      </w:divBdr>
    </w:div>
    <w:div w:id="2140147879">
      <w:bodyDiv w:val="1"/>
      <w:marLeft w:val="0"/>
      <w:marRight w:val="0"/>
      <w:marTop w:val="0"/>
      <w:marBottom w:val="0"/>
      <w:divBdr>
        <w:top w:val="none" w:sz="0" w:space="0" w:color="auto"/>
        <w:left w:val="none" w:sz="0" w:space="0" w:color="auto"/>
        <w:bottom w:val="none" w:sz="0" w:space="0" w:color="auto"/>
        <w:right w:val="none" w:sz="0" w:space="0" w:color="auto"/>
      </w:divBdr>
      <w:divsChild>
        <w:div w:id="1292977774">
          <w:marLeft w:val="0"/>
          <w:marRight w:val="0"/>
          <w:marTop w:val="0"/>
          <w:marBottom w:val="0"/>
          <w:divBdr>
            <w:top w:val="none" w:sz="0" w:space="0" w:color="auto"/>
            <w:left w:val="none" w:sz="0" w:space="0" w:color="auto"/>
            <w:bottom w:val="none" w:sz="0" w:space="0" w:color="auto"/>
            <w:right w:val="none" w:sz="0" w:space="0" w:color="auto"/>
          </w:divBdr>
        </w:div>
      </w:divsChild>
    </w:div>
    <w:div w:id="21454186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10431</TotalTime>
  <Pages>17</Pages>
  <Words>6685</Words>
  <Characters>38109</Characters>
  <Application>Microsoft Office Word</Application>
  <DocSecurity>0</DocSecurity>
  <Lines>317</Lines>
  <Paragraphs>89</Paragraphs>
  <ScaleCrop>false</ScaleCrop>
  <HeadingPairs>
    <vt:vector size="2" baseType="variant">
      <vt:variant>
        <vt:lpstr>Title</vt:lpstr>
      </vt:variant>
      <vt:variant>
        <vt:i4>1</vt:i4>
      </vt:variant>
    </vt:vector>
  </HeadingPairs>
  <TitlesOfParts>
    <vt:vector size="1" baseType="lpstr">
      <vt:lpstr/>
    </vt:vector>
  </TitlesOfParts>
  <Company>NPTCBC</Company>
  <LinksUpToDate>false</LinksUpToDate>
  <CharactersWithSpaces>44705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Parry</dc:creator>
  <cp:keywords/>
  <dc:description/>
  <cp:lastModifiedBy>Laura Parry</cp:lastModifiedBy>
  <cp:revision>76</cp:revision>
  <dcterms:created xsi:type="dcterms:W3CDTF">2024-07-04T16:26:00Z</dcterms:created>
  <dcterms:modified xsi:type="dcterms:W3CDTF">2024-08-11T10:03:00Z</dcterms:modified>
</cp:coreProperties>
</file>