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39151981"/>
        <w:docPartObj>
          <w:docPartGallery w:val="Cover Pages"/>
          <w:docPartUnique/>
        </w:docPartObj>
      </w:sdtPr>
      <w:sdtContent>
        <w:p w14:paraId="0E0FF6B6" w14:textId="319895E7" w:rsidR="00515CDB" w:rsidRDefault="00515CDB">
          <w:r>
            <w:rPr>
              <w:noProof/>
            </w:rPr>
            <mc:AlternateContent>
              <mc:Choice Requires="wpg">
                <w:drawing>
                  <wp:anchor distT="0" distB="0" distL="114300" distR="114300" simplePos="0" relativeHeight="251662336" behindDoc="0" locked="0" layoutInCell="1" allowOverlap="1" wp14:anchorId="15785A38" wp14:editId="4529CF5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0919E7E"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0050563" wp14:editId="0BACA8A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E9D3905" w14:textId="3F19049E" w:rsidR="00515CDB" w:rsidRDefault="00515CDB">
                                    <w:pPr>
                                      <w:pStyle w:val="NoSpacing"/>
                                      <w:jc w:val="right"/>
                                      <w:rPr>
                                        <w:color w:val="595959" w:themeColor="text1" w:themeTint="A6"/>
                                        <w:sz w:val="28"/>
                                        <w:szCs w:val="28"/>
                                      </w:rPr>
                                    </w:pPr>
                                    <w:r>
                                      <w:rPr>
                                        <w:color w:val="595959" w:themeColor="text1" w:themeTint="A6"/>
                                        <w:sz w:val="28"/>
                                        <w:szCs w:val="28"/>
                                      </w:rPr>
                                      <w:t>Drew McClennon (2312801)</w:t>
                                    </w:r>
                                  </w:p>
                                </w:sdtContent>
                              </w:sdt>
                              <w:p w14:paraId="50A16270" w14:textId="3A7503BA" w:rsidR="00515CDB" w:rsidRDefault="00515CD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2312801@student.uwtsd.ac.uk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0050563"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E9D3905" w14:textId="3F19049E" w:rsidR="00515CDB" w:rsidRDefault="00515CDB">
                              <w:pPr>
                                <w:pStyle w:val="NoSpacing"/>
                                <w:jc w:val="right"/>
                                <w:rPr>
                                  <w:color w:val="595959" w:themeColor="text1" w:themeTint="A6"/>
                                  <w:sz w:val="28"/>
                                  <w:szCs w:val="28"/>
                                </w:rPr>
                              </w:pPr>
                              <w:r>
                                <w:rPr>
                                  <w:color w:val="595959" w:themeColor="text1" w:themeTint="A6"/>
                                  <w:sz w:val="28"/>
                                  <w:szCs w:val="28"/>
                                </w:rPr>
                                <w:t>Drew McClennon (2312801)</w:t>
                              </w:r>
                            </w:p>
                          </w:sdtContent>
                        </w:sdt>
                        <w:p w14:paraId="50A16270" w14:textId="3A7503BA" w:rsidR="00515CDB" w:rsidRDefault="00515CD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2312801@student.uwtsd.ac.uk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FD3C589" wp14:editId="45BB965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1A25D6" w14:textId="3EF5AD0D" w:rsidR="00515CDB" w:rsidRDefault="00515CDB">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Data security and compliance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62A5F6E" w14:textId="2A990286" w:rsidR="00515CDB" w:rsidRDefault="00515CDB">
                                    <w:pPr>
                                      <w:jc w:val="right"/>
                                      <w:rPr>
                                        <w:smallCaps/>
                                        <w:color w:val="404040" w:themeColor="text1" w:themeTint="BF"/>
                                        <w:sz w:val="36"/>
                                        <w:szCs w:val="36"/>
                                      </w:rPr>
                                    </w:pPr>
                                    <w:r>
                                      <w:rPr>
                                        <w:color w:val="404040" w:themeColor="text1" w:themeTint="BF"/>
                                        <w:sz w:val="36"/>
                                        <w:szCs w:val="36"/>
                                      </w:rPr>
                                      <w:t>ACCA5034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FD3C589"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401A25D6" w14:textId="3EF5AD0D" w:rsidR="00515CDB" w:rsidRDefault="00515CDB">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Data security and compliance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62A5F6E" w14:textId="2A990286" w:rsidR="00515CDB" w:rsidRDefault="00515CDB">
                              <w:pPr>
                                <w:jc w:val="right"/>
                                <w:rPr>
                                  <w:smallCaps/>
                                  <w:color w:val="404040" w:themeColor="text1" w:themeTint="BF"/>
                                  <w:sz w:val="36"/>
                                  <w:szCs w:val="36"/>
                                </w:rPr>
                              </w:pPr>
                              <w:r>
                                <w:rPr>
                                  <w:color w:val="404040" w:themeColor="text1" w:themeTint="BF"/>
                                  <w:sz w:val="36"/>
                                  <w:szCs w:val="36"/>
                                </w:rPr>
                                <w:t>ACCA5034</w:t>
                              </w:r>
                            </w:p>
                          </w:sdtContent>
                        </w:sdt>
                      </w:txbxContent>
                    </v:textbox>
                    <w10:wrap type="square" anchorx="page" anchory="page"/>
                  </v:shape>
                </w:pict>
              </mc:Fallback>
            </mc:AlternateContent>
          </w:r>
        </w:p>
        <w:p w14:paraId="7B3924D4" w14:textId="514CEE11" w:rsidR="00515CDB" w:rsidRDefault="00515CDB">
          <w:r>
            <w:br w:type="page"/>
          </w:r>
        </w:p>
      </w:sdtContent>
    </w:sdt>
    <w:sdt>
      <w:sdtPr>
        <w:id w:val="-1160853190"/>
        <w:docPartObj>
          <w:docPartGallery w:val="Table of Contents"/>
          <w:docPartUnique/>
        </w:docPartObj>
      </w:sdtPr>
      <w:sdtEndPr>
        <w:rPr>
          <w:rFonts w:ascii="Ubuntu" w:eastAsiaTheme="minorHAnsi" w:hAnsi="Ubuntu" w:cstheme="minorBidi"/>
          <w:b/>
          <w:bCs/>
          <w:noProof/>
          <w:color w:val="auto"/>
          <w:kern w:val="2"/>
          <w:sz w:val="24"/>
          <w:szCs w:val="24"/>
          <w:lang w:val="en-GB"/>
          <w14:ligatures w14:val="standardContextual"/>
        </w:rPr>
      </w:sdtEndPr>
      <w:sdtContent>
        <w:p w14:paraId="5022C7F9" w14:textId="589B6B12" w:rsidR="00515CDB" w:rsidRDefault="00515CDB">
          <w:pPr>
            <w:pStyle w:val="TOCHeading"/>
          </w:pPr>
          <w:r>
            <w:t>Table of Contents</w:t>
          </w:r>
        </w:p>
        <w:p w14:paraId="0DE060EA" w14:textId="14006C79" w:rsidR="001621C2" w:rsidRDefault="00515CDB">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18594996" w:history="1">
            <w:r w:rsidR="001621C2" w:rsidRPr="00B0648B">
              <w:rPr>
                <w:rStyle w:val="Hyperlink"/>
                <w:noProof/>
              </w:rPr>
              <w:t>Task 1 - Governance of AI and Machine Learning Systems: Managing risk, ethics, and compliance for AI data and models.</w:t>
            </w:r>
            <w:r w:rsidR="001621C2">
              <w:rPr>
                <w:noProof/>
                <w:webHidden/>
              </w:rPr>
              <w:tab/>
            </w:r>
            <w:r w:rsidR="001621C2">
              <w:rPr>
                <w:noProof/>
                <w:webHidden/>
              </w:rPr>
              <w:fldChar w:fldCharType="begin"/>
            </w:r>
            <w:r w:rsidR="001621C2">
              <w:rPr>
                <w:noProof/>
                <w:webHidden/>
              </w:rPr>
              <w:instrText xml:space="preserve"> PAGEREF _Toc218594996 \h </w:instrText>
            </w:r>
            <w:r w:rsidR="001621C2">
              <w:rPr>
                <w:noProof/>
                <w:webHidden/>
              </w:rPr>
            </w:r>
            <w:r w:rsidR="001621C2">
              <w:rPr>
                <w:noProof/>
                <w:webHidden/>
              </w:rPr>
              <w:fldChar w:fldCharType="separate"/>
            </w:r>
            <w:r w:rsidR="001621C2">
              <w:rPr>
                <w:noProof/>
                <w:webHidden/>
              </w:rPr>
              <w:t>2</w:t>
            </w:r>
            <w:r w:rsidR="001621C2">
              <w:rPr>
                <w:noProof/>
                <w:webHidden/>
              </w:rPr>
              <w:fldChar w:fldCharType="end"/>
            </w:r>
          </w:hyperlink>
        </w:p>
        <w:p w14:paraId="73F2B57D" w14:textId="20EE61C6" w:rsidR="001621C2" w:rsidRDefault="001621C2">
          <w:pPr>
            <w:pStyle w:val="TOC2"/>
            <w:tabs>
              <w:tab w:val="right" w:leader="dot" w:pos="9016"/>
            </w:tabs>
            <w:rPr>
              <w:rFonts w:asciiTheme="minorHAnsi" w:eastAsiaTheme="minorEastAsia" w:hAnsiTheme="minorHAnsi"/>
              <w:noProof/>
              <w:lang w:eastAsia="en-GB"/>
            </w:rPr>
          </w:pPr>
          <w:hyperlink w:anchor="_Toc218594997" w:history="1">
            <w:r w:rsidRPr="00B0648B">
              <w:rPr>
                <w:rStyle w:val="Hyperlink"/>
                <w:noProof/>
              </w:rPr>
              <w:t>Introduction</w:t>
            </w:r>
            <w:r>
              <w:rPr>
                <w:noProof/>
                <w:webHidden/>
              </w:rPr>
              <w:tab/>
            </w:r>
            <w:r>
              <w:rPr>
                <w:noProof/>
                <w:webHidden/>
              </w:rPr>
              <w:fldChar w:fldCharType="begin"/>
            </w:r>
            <w:r>
              <w:rPr>
                <w:noProof/>
                <w:webHidden/>
              </w:rPr>
              <w:instrText xml:space="preserve"> PAGEREF _Toc218594997 \h </w:instrText>
            </w:r>
            <w:r>
              <w:rPr>
                <w:noProof/>
                <w:webHidden/>
              </w:rPr>
            </w:r>
            <w:r>
              <w:rPr>
                <w:noProof/>
                <w:webHidden/>
              </w:rPr>
              <w:fldChar w:fldCharType="separate"/>
            </w:r>
            <w:r>
              <w:rPr>
                <w:noProof/>
                <w:webHidden/>
              </w:rPr>
              <w:t>2</w:t>
            </w:r>
            <w:r>
              <w:rPr>
                <w:noProof/>
                <w:webHidden/>
              </w:rPr>
              <w:fldChar w:fldCharType="end"/>
            </w:r>
          </w:hyperlink>
        </w:p>
        <w:p w14:paraId="41297D5D" w14:textId="7F05698C" w:rsidR="001621C2" w:rsidRDefault="001621C2">
          <w:pPr>
            <w:pStyle w:val="TOC2"/>
            <w:tabs>
              <w:tab w:val="right" w:leader="dot" w:pos="9016"/>
            </w:tabs>
            <w:rPr>
              <w:rFonts w:asciiTheme="minorHAnsi" w:eastAsiaTheme="minorEastAsia" w:hAnsiTheme="minorHAnsi"/>
              <w:noProof/>
              <w:lang w:eastAsia="en-GB"/>
            </w:rPr>
          </w:pPr>
          <w:hyperlink w:anchor="_Toc218594998" w:history="1">
            <w:r w:rsidRPr="00B0648B">
              <w:rPr>
                <w:rStyle w:val="Hyperlink"/>
                <w:noProof/>
              </w:rPr>
              <w:t>Artificial intelligence and Machine learning as a governance challenge</w:t>
            </w:r>
            <w:r>
              <w:rPr>
                <w:noProof/>
                <w:webHidden/>
              </w:rPr>
              <w:tab/>
            </w:r>
            <w:r>
              <w:rPr>
                <w:noProof/>
                <w:webHidden/>
              </w:rPr>
              <w:fldChar w:fldCharType="begin"/>
            </w:r>
            <w:r>
              <w:rPr>
                <w:noProof/>
                <w:webHidden/>
              </w:rPr>
              <w:instrText xml:space="preserve"> PAGEREF _Toc218594998 \h </w:instrText>
            </w:r>
            <w:r>
              <w:rPr>
                <w:noProof/>
                <w:webHidden/>
              </w:rPr>
            </w:r>
            <w:r>
              <w:rPr>
                <w:noProof/>
                <w:webHidden/>
              </w:rPr>
              <w:fldChar w:fldCharType="separate"/>
            </w:r>
            <w:r>
              <w:rPr>
                <w:noProof/>
                <w:webHidden/>
              </w:rPr>
              <w:t>2</w:t>
            </w:r>
            <w:r>
              <w:rPr>
                <w:noProof/>
                <w:webHidden/>
              </w:rPr>
              <w:fldChar w:fldCharType="end"/>
            </w:r>
          </w:hyperlink>
        </w:p>
        <w:p w14:paraId="6FBB237C" w14:textId="1381CB26" w:rsidR="001621C2" w:rsidRDefault="001621C2">
          <w:pPr>
            <w:pStyle w:val="TOC3"/>
            <w:tabs>
              <w:tab w:val="right" w:leader="dot" w:pos="9016"/>
            </w:tabs>
            <w:rPr>
              <w:rFonts w:asciiTheme="minorHAnsi" w:eastAsiaTheme="minorEastAsia" w:hAnsiTheme="minorHAnsi"/>
              <w:noProof/>
              <w:lang w:eastAsia="en-GB"/>
            </w:rPr>
          </w:pPr>
          <w:hyperlink w:anchor="_Toc218594999" w:history="1">
            <w:r w:rsidRPr="00B0648B">
              <w:rPr>
                <w:rStyle w:val="Hyperlink"/>
                <w:noProof/>
              </w:rPr>
              <w:t>Unique risks of AI systems</w:t>
            </w:r>
            <w:r>
              <w:rPr>
                <w:noProof/>
                <w:webHidden/>
              </w:rPr>
              <w:tab/>
            </w:r>
            <w:r>
              <w:rPr>
                <w:noProof/>
                <w:webHidden/>
              </w:rPr>
              <w:fldChar w:fldCharType="begin"/>
            </w:r>
            <w:r>
              <w:rPr>
                <w:noProof/>
                <w:webHidden/>
              </w:rPr>
              <w:instrText xml:space="preserve"> PAGEREF _Toc218594999 \h </w:instrText>
            </w:r>
            <w:r>
              <w:rPr>
                <w:noProof/>
                <w:webHidden/>
              </w:rPr>
            </w:r>
            <w:r>
              <w:rPr>
                <w:noProof/>
                <w:webHidden/>
              </w:rPr>
              <w:fldChar w:fldCharType="separate"/>
            </w:r>
            <w:r>
              <w:rPr>
                <w:noProof/>
                <w:webHidden/>
              </w:rPr>
              <w:t>2</w:t>
            </w:r>
            <w:r>
              <w:rPr>
                <w:noProof/>
                <w:webHidden/>
              </w:rPr>
              <w:fldChar w:fldCharType="end"/>
            </w:r>
          </w:hyperlink>
        </w:p>
        <w:p w14:paraId="794D4FEB" w14:textId="43B9D945" w:rsidR="001621C2" w:rsidRDefault="001621C2">
          <w:pPr>
            <w:pStyle w:val="TOC3"/>
            <w:tabs>
              <w:tab w:val="right" w:leader="dot" w:pos="9016"/>
            </w:tabs>
            <w:rPr>
              <w:rFonts w:asciiTheme="minorHAnsi" w:eastAsiaTheme="minorEastAsia" w:hAnsiTheme="minorHAnsi"/>
              <w:noProof/>
              <w:lang w:eastAsia="en-GB"/>
            </w:rPr>
          </w:pPr>
          <w:hyperlink w:anchor="_Toc218595000" w:history="1">
            <w:r w:rsidRPr="00B0648B">
              <w:rPr>
                <w:rStyle w:val="Hyperlink"/>
                <w:noProof/>
              </w:rPr>
              <w:t>Regulatory and Standards environment</w:t>
            </w:r>
            <w:r>
              <w:rPr>
                <w:noProof/>
                <w:webHidden/>
              </w:rPr>
              <w:tab/>
            </w:r>
            <w:r>
              <w:rPr>
                <w:noProof/>
                <w:webHidden/>
              </w:rPr>
              <w:fldChar w:fldCharType="begin"/>
            </w:r>
            <w:r>
              <w:rPr>
                <w:noProof/>
                <w:webHidden/>
              </w:rPr>
              <w:instrText xml:space="preserve"> PAGEREF _Toc218595000 \h </w:instrText>
            </w:r>
            <w:r>
              <w:rPr>
                <w:noProof/>
                <w:webHidden/>
              </w:rPr>
            </w:r>
            <w:r>
              <w:rPr>
                <w:noProof/>
                <w:webHidden/>
              </w:rPr>
              <w:fldChar w:fldCharType="separate"/>
            </w:r>
            <w:r>
              <w:rPr>
                <w:noProof/>
                <w:webHidden/>
              </w:rPr>
              <w:t>3</w:t>
            </w:r>
            <w:r>
              <w:rPr>
                <w:noProof/>
                <w:webHidden/>
              </w:rPr>
              <w:fldChar w:fldCharType="end"/>
            </w:r>
          </w:hyperlink>
        </w:p>
        <w:p w14:paraId="25FFDE96" w14:textId="2BE53214" w:rsidR="001621C2" w:rsidRDefault="001621C2">
          <w:pPr>
            <w:pStyle w:val="TOC2"/>
            <w:tabs>
              <w:tab w:val="right" w:leader="dot" w:pos="9016"/>
            </w:tabs>
            <w:rPr>
              <w:rFonts w:asciiTheme="minorHAnsi" w:eastAsiaTheme="minorEastAsia" w:hAnsiTheme="minorHAnsi"/>
              <w:noProof/>
              <w:lang w:eastAsia="en-GB"/>
            </w:rPr>
          </w:pPr>
          <w:hyperlink w:anchor="_Toc218595001" w:history="1">
            <w:r w:rsidRPr="00B0648B">
              <w:rPr>
                <w:rStyle w:val="Hyperlink"/>
                <w:noProof/>
              </w:rPr>
              <w:t>Anticipating threats in AI and ML systems</w:t>
            </w:r>
            <w:r>
              <w:rPr>
                <w:noProof/>
                <w:webHidden/>
              </w:rPr>
              <w:tab/>
            </w:r>
            <w:r>
              <w:rPr>
                <w:noProof/>
                <w:webHidden/>
              </w:rPr>
              <w:fldChar w:fldCharType="begin"/>
            </w:r>
            <w:r>
              <w:rPr>
                <w:noProof/>
                <w:webHidden/>
              </w:rPr>
              <w:instrText xml:space="preserve"> PAGEREF _Toc218595001 \h </w:instrText>
            </w:r>
            <w:r>
              <w:rPr>
                <w:noProof/>
                <w:webHidden/>
              </w:rPr>
            </w:r>
            <w:r>
              <w:rPr>
                <w:noProof/>
                <w:webHidden/>
              </w:rPr>
              <w:fldChar w:fldCharType="separate"/>
            </w:r>
            <w:r>
              <w:rPr>
                <w:noProof/>
                <w:webHidden/>
              </w:rPr>
              <w:t>3</w:t>
            </w:r>
            <w:r>
              <w:rPr>
                <w:noProof/>
                <w:webHidden/>
              </w:rPr>
              <w:fldChar w:fldCharType="end"/>
            </w:r>
          </w:hyperlink>
        </w:p>
        <w:p w14:paraId="640AEFD7" w14:textId="4074A7B2" w:rsidR="001621C2" w:rsidRDefault="001621C2">
          <w:pPr>
            <w:pStyle w:val="TOC3"/>
            <w:tabs>
              <w:tab w:val="right" w:leader="dot" w:pos="9016"/>
            </w:tabs>
            <w:rPr>
              <w:rFonts w:asciiTheme="minorHAnsi" w:eastAsiaTheme="minorEastAsia" w:hAnsiTheme="minorHAnsi"/>
              <w:noProof/>
              <w:lang w:eastAsia="en-GB"/>
            </w:rPr>
          </w:pPr>
          <w:hyperlink w:anchor="_Toc218595002" w:history="1">
            <w:r w:rsidRPr="00B0648B">
              <w:rPr>
                <w:rStyle w:val="Hyperlink"/>
                <w:noProof/>
              </w:rPr>
              <w:t>Risk management and Threat modelling</w:t>
            </w:r>
            <w:r>
              <w:rPr>
                <w:noProof/>
                <w:webHidden/>
              </w:rPr>
              <w:tab/>
            </w:r>
            <w:r>
              <w:rPr>
                <w:noProof/>
                <w:webHidden/>
              </w:rPr>
              <w:fldChar w:fldCharType="begin"/>
            </w:r>
            <w:r>
              <w:rPr>
                <w:noProof/>
                <w:webHidden/>
              </w:rPr>
              <w:instrText xml:space="preserve"> PAGEREF _Toc218595002 \h </w:instrText>
            </w:r>
            <w:r>
              <w:rPr>
                <w:noProof/>
                <w:webHidden/>
              </w:rPr>
            </w:r>
            <w:r>
              <w:rPr>
                <w:noProof/>
                <w:webHidden/>
              </w:rPr>
              <w:fldChar w:fldCharType="separate"/>
            </w:r>
            <w:r>
              <w:rPr>
                <w:noProof/>
                <w:webHidden/>
              </w:rPr>
              <w:t>3</w:t>
            </w:r>
            <w:r>
              <w:rPr>
                <w:noProof/>
                <w:webHidden/>
              </w:rPr>
              <w:fldChar w:fldCharType="end"/>
            </w:r>
          </w:hyperlink>
        </w:p>
        <w:p w14:paraId="129FF2A9" w14:textId="278A52D5" w:rsidR="001621C2" w:rsidRDefault="001621C2">
          <w:pPr>
            <w:pStyle w:val="TOC3"/>
            <w:tabs>
              <w:tab w:val="right" w:leader="dot" w:pos="9016"/>
            </w:tabs>
            <w:rPr>
              <w:rFonts w:asciiTheme="minorHAnsi" w:eastAsiaTheme="minorEastAsia" w:hAnsiTheme="minorHAnsi"/>
              <w:noProof/>
              <w:lang w:eastAsia="en-GB"/>
            </w:rPr>
          </w:pPr>
          <w:hyperlink w:anchor="_Toc218595003" w:history="1">
            <w:r w:rsidRPr="00B0648B">
              <w:rPr>
                <w:rStyle w:val="Hyperlink"/>
                <w:noProof/>
              </w:rPr>
              <w:t>Ethical impact assessment</w:t>
            </w:r>
            <w:r>
              <w:rPr>
                <w:noProof/>
                <w:webHidden/>
              </w:rPr>
              <w:tab/>
            </w:r>
            <w:r>
              <w:rPr>
                <w:noProof/>
                <w:webHidden/>
              </w:rPr>
              <w:fldChar w:fldCharType="begin"/>
            </w:r>
            <w:r>
              <w:rPr>
                <w:noProof/>
                <w:webHidden/>
              </w:rPr>
              <w:instrText xml:space="preserve"> PAGEREF _Toc218595003 \h </w:instrText>
            </w:r>
            <w:r>
              <w:rPr>
                <w:noProof/>
                <w:webHidden/>
              </w:rPr>
            </w:r>
            <w:r>
              <w:rPr>
                <w:noProof/>
                <w:webHidden/>
              </w:rPr>
              <w:fldChar w:fldCharType="separate"/>
            </w:r>
            <w:r>
              <w:rPr>
                <w:noProof/>
                <w:webHidden/>
              </w:rPr>
              <w:t>4</w:t>
            </w:r>
            <w:r>
              <w:rPr>
                <w:noProof/>
                <w:webHidden/>
              </w:rPr>
              <w:fldChar w:fldCharType="end"/>
            </w:r>
          </w:hyperlink>
        </w:p>
        <w:p w14:paraId="1D2CF1EC" w14:textId="77A42A0C" w:rsidR="001621C2" w:rsidRDefault="001621C2">
          <w:pPr>
            <w:pStyle w:val="TOC2"/>
            <w:tabs>
              <w:tab w:val="right" w:leader="dot" w:pos="9016"/>
            </w:tabs>
            <w:rPr>
              <w:rFonts w:asciiTheme="minorHAnsi" w:eastAsiaTheme="minorEastAsia" w:hAnsiTheme="minorHAnsi"/>
              <w:noProof/>
              <w:lang w:eastAsia="en-GB"/>
            </w:rPr>
          </w:pPr>
          <w:hyperlink w:anchor="_Toc218595004" w:history="1">
            <w:r w:rsidRPr="00B0648B">
              <w:rPr>
                <w:rStyle w:val="Hyperlink"/>
                <w:noProof/>
              </w:rPr>
              <w:t>Protecting Artificial intelligence and Machine learning systems</w:t>
            </w:r>
            <w:r>
              <w:rPr>
                <w:noProof/>
                <w:webHidden/>
              </w:rPr>
              <w:tab/>
            </w:r>
            <w:r>
              <w:rPr>
                <w:noProof/>
                <w:webHidden/>
              </w:rPr>
              <w:fldChar w:fldCharType="begin"/>
            </w:r>
            <w:r>
              <w:rPr>
                <w:noProof/>
                <w:webHidden/>
              </w:rPr>
              <w:instrText xml:space="preserve"> PAGEREF _Toc218595004 \h </w:instrText>
            </w:r>
            <w:r>
              <w:rPr>
                <w:noProof/>
                <w:webHidden/>
              </w:rPr>
            </w:r>
            <w:r>
              <w:rPr>
                <w:noProof/>
                <w:webHidden/>
              </w:rPr>
              <w:fldChar w:fldCharType="separate"/>
            </w:r>
            <w:r>
              <w:rPr>
                <w:noProof/>
                <w:webHidden/>
              </w:rPr>
              <w:t>4</w:t>
            </w:r>
            <w:r>
              <w:rPr>
                <w:noProof/>
                <w:webHidden/>
              </w:rPr>
              <w:fldChar w:fldCharType="end"/>
            </w:r>
          </w:hyperlink>
        </w:p>
        <w:p w14:paraId="6049AADF" w14:textId="19D151B0" w:rsidR="001621C2" w:rsidRDefault="001621C2">
          <w:pPr>
            <w:pStyle w:val="TOC3"/>
            <w:tabs>
              <w:tab w:val="right" w:leader="dot" w:pos="9016"/>
            </w:tabs>
            <w:rPr>
              <w:rFonts w:asciiTheme="minorHAnsi" w:eastAsiaTheme="minorEastAsia" w:hAnsiTheme="minorHAnsi"/>
              <w:noProof/>
              <w:lang w:eastAsia="en-GB"/>
            </w:rPr>
          </w:pPr>
          <w:hyperlink w:anchor="_Toc218595005" w:history="1">
            <w:r w:rsidRPr="00B0648B">
              <w:rPr>
                <w:rStyle w:val="Hyperlink"/>
                <w:noProof/>
              </w:rPr>
              <w:t>Data governance and protection</w:t>
            </w:r>
            <w:r>
              <w:rPr>
                <w:noProof/>
                <w:webHidden/>
              </w:rPr>
              <w:tab/>
            </w:r>
            <w:r>
              <w:rPr>
                <w:noProof/>
                <w:webHidden/>
              </w:rPr>
              <w:fldChar w:fldCharType="begin"/>
            </w:r>
            <w:r>
              <w:rPr>
                <w:noProof/>
                <w:webHidden/>
              </w:rPr>
              <w:instrText xml:space="preserve"> PAGEREF _Toc218595005 \h </w:instrText>
            </w:r>
            <w:r>
              <w:rPr>
                <w:noProof/>
                <w:webHidden/>
              </w:rPr>
            </w:r>
            <w:r>
              <w:rPr>
                <w:noProof/>
                <w:webHidden/>
              </w:rPr>
              <w:fldChar w:fldCharType="separate"/>
            </w:r>
            <w:r>
              <w:rPr>
                <w:noProof/>
                <w:webHidden/>
              </w:rPr>
              <w:t>4</w:t>
            </w:r>
            <w:r>
              <w:rPr>
                <w:noProof/>
                <w:webHidden/>
              </w:rPr>
              <w:fldChar w:fldCharType="end"/>
            </w:r>
          </w:hyperlink>
        </w:p>
        <w:p w14:paraId="052D1970" w14:textId="05489186" w:rsidR="001621C2" w:rsidRDefault="001621C2">
          <w:pPr>
            <w:pStyle w:val="TOC3"/>
            <w:tabs>
              <w:tab w:val="right" w:leader="dot" w:pos="9016"/>
            </w:tabs>
            <w:rPr>
              <w:rFonts w:asciiTheme="minorHAnsi" w:eastAsiaTheme="minorEastAsia" w:hAnsiTheme="minorHAnsi"/>
              <w:noProof/>
              <w:lang w:eastAsia="en-GB"/>
            </w:rPr>
          </w:pPr>
          <w:hyperlink w:anchor="_Toc218595006" w:history="1">
            <w:r w:rsidRPr="00B0648B">
              <w:rPr>
                <w:rStyle w:val="Hyperlink"/>
                <w:noProof/>
              </w:rPr>
              <w:t>Model security and Operational controls</w:t>
            </w:r>
            <w:r>
              <w:rPr>
                <w:noProof/>
                <w:webHidden/>
              </w:rPr>
              <w:tab/>
            </w:r>
            <w:r>
              <w:rPr>
                <w:noProof/>
                <w:webHidden/>
              </w:rPr>
              <w:fldChar w:fldCharType="begin"/>
            </w:r>
            <w:r>
              <w:rPr>
                <w:noProof/>
                <w:webHidden/>
              </w:rPr>
              <w:instrText xml:space="preserve"> PAGEREF _Toc218595006 \h </w:instrText>
            </w:r>
            <w:r>
              <w:rPr>
                <w:noProof/>
                <w:webHidden/>
              </w:rPr>
            </w:r>
            <w:r>
              <w:rPr>
                <w:noProof/>
                <w:webHidden/>
              </w:rPr>
              <w:fldChar w:fldCharType="separate"/>
            </w:r>
            <w:r>
              <w:rPr>
                <w:noProof/>
                <w:webHidden/>
              </w:rPr>
              <w:t>4</w:t>
            </w:r>
            <w:r>
              <w:rPr>
                <w:noProof/>
                <w:webHidden/>
              </w:rPr>
              <w:fldChar w:fldCharType="end"/>
            </w:r>
          </w:hyperlink>
        </w:p>
        <w:p w14:paraId="2E358ACC" w14:textId="3CD78403" w:rsidR="001621C2" w:rsidRDefault="001621C2">
          <w:pPr>
            <w:pStyle w:val="TOC2"/>
            <w:tabs>
              <w:tab w:val="right" w:leader="dot" w:pos="9016"/>
            </w:tabs>
            <w:rPr>
              <w:rFonts w:asciiTheme="minorHAnsi" w:eastAsiaTheme="minorEastAsia" w:hAnsiTheme="minorHAnsi"/>
              <w:noProof/>
              <w:lang w:eastAsia="en-GB"/>
            </w:rPr>
          </w:pPr>
          <w:hyperlink w:anchor="_Toc218595007" w:history="1">
            <w:r w:rsidRPr="00B0648B">
              <w:rPr>
                <w:rStyle w:val="Hyperlink"/>
                <w:noProof/>
              </w:rPr>
              <w:t>Detecting threats and Irregular behaviour</w:t>
            </w:r>
            <w:r>
              <w:rPr>
                <w:noProof/>
                <w:webHidden/>
              </w:rPr>
              <w:tab/>
            </w:r>
            <w:r>
              <w:rPr>
                <w:noProof/>
                <w:webHidden/>
              </w:rPr>
              <w:fldChar w:fldCharType="begin"/>
            </w:r>
            <w:r>
              <w:rPr>
                <w:noProof/>
                <w:webHidden/>
              </w:rPr>
              <w:instrText xml:space="preserve"> PAGEREF _Toc218595007 \h </w:instrText>
            </w:r>
            <w:r>
              <w:rPr>
                <w:noProof/>
                <w:webHidden/>
              </w:rPr>
            </w:r>
            <w:r>
              <w:rPr>
                <w:noProof/>
                <w:webHidden/>
              </w:rPr>
              <w:fldChar w:fldCharType="separate"/>
            </w:r>
            <w:r>
              <w:rPr>
                <w:noProof/>
                <w:webHidden/>
              </w:rPr>
              <w:t>4</w:t>
            </w:r>
            <w:r>
              <w:rPr>
                <w:noProof/>
                <w:webHidden/>
              </w:rPr>
              <w:fldChar w:fldCharType="end"/>
            </w:r>
          </w:hyperlink>
        </w:p>
        <w:p w14:paraId="571A74EC" w14:textId="4625BA10" w:rsidR="001621C2" w:rsidRDefault="001621C2">
          <w:pPr>
            <w:pStyle w:val="TOC2"/>
            <w:tabs>
              <w:tab w:val="right" w:leader="dot" w:pos="9016"/>
            </w:tabs>
            <w:rPr>
              <w:rFonts w:asciiTheme="minorHAnsi" w:eastAsiaTheme="minorEastAsia" w:hAnsiTheme="minorHAnsi"/>
              <w:noProof/>
              <w:lang w:eastAsia="en-GB"/>
            </w:rPr>
          </w:pPr>
          <w:hyperlink w:anchor="_Toc218595008" w:history="1">
            <w:r w:rsidRPr="00B0648B">
              <w:rPr>
                <w:rStyle w:val="Hyperlink"/>
                <w:noProof/>
              </w:rPr>
              <w:t>Automated response and Organisational resilience</w:t>
            </w:r>
            <w:r>
              <w:rPr>
                <w:noProof/>
                <w:webHidden/>
              </w:rPr>
              <w:tab/>
            </w:r>
            <w:r>
              <w:rPr>
                <w:noProof/>
                <w:webHidden/>
              </w:rPr>
              <w:fldChar w:fldCharType="begin"/>
            </w:r>
            <w:r>
              <w:rPr>
                <w:noProof/>
                <w:webHidden/>
              </w:rPr>
              <w:instrText xml:space="preserve"> PAGEREF _Toc218595008 \h </w:instrText>
            </w:r>
            <w:r>
              <w:rPr>
                <w:noProof/>
                <w:webHidden/>
              </w:rPr>
            </w:r>
            <w:r>
              <w:rPr>
                <w:noProof/>
                <w:webHidden/>
              </w:rPr>
              <w:fldChar w:fldCharType="separate"/>
            </w:r>
            <w:r>
              <w:rPr>
                <w:noProof/>
                <w:webHidden/>
              </w:rPr>
              <w:t>5</w:t>
            </w:r>
            <w:r>
              <w:rPr>
                <w:noProof/>
                <w:webHidden/>
              </w:rPr>
              <w:fldChar w:fldCharType="end"/>
            </w:r>
          </w:hyperlink>
        </w:p>
        <w:p w14:paraId="2D046025" w14:textId="6887737E" w:rsidR="001621C2" w:rsidRDefault="001621C2">
          <w:pPr>
            <w:pStyle w:val="TOC3"/>
            <w:tabs>
              <w:tab w:val="right" w:leader="dot" w:pos="9016"/>
            </w:tabs>
            <w:rPr>
              <w:rFonts w:asciiTheme="minorHAnsi" w:eastAsiaTheme="minorEastAsia" w:hAnsiTheme="minorHAnsi"/>
              <w:noProof/>
              <w:lang w:eastAsia="en-GB"/>
            </w:rPr>
          </w:pPr>
          <w:hyperlink w:anchor="_Toc218595009" w:history="1">
            <w:r w:rsidRPr="00B0648B">
              <w:rPr>
                <w:rStyle w:val="Hyperlink"/>
                <w:noProof/>
              </w:rPr>
              <w:t>Automated response mechanisms</w:t>
            </w:r>
            <w:r>
              <w:rPr>
                <w:noProof/>
                <w:webHidden/>
              </w:rPr>
              <w:tab/>
            </w:r>
            <w:r>
              <w:rPr>
                <w:noProof/>
                <w:webHidden/>
              </w:rPr>
              <w:fldChar w:fldCharType="begin"/>
            </w:r>
            <w:r>
              <w:rPr>
                <w:noProof/>
                <w:webHidden/>
              </w:rPr>
              <w:instrText xml:space="preserve"> PAGEREF _Toc218595009 \h </w:instrText>
            </w:r>
            <w:r>
              <w:rPr>
                <w:noProof/>
                <w:webHidden/>
              </w:rPr>
            </w:r>
            <w:r>
              <w:rPr>
                <w:noProof/>
                <w:webHidden/>
              </w:rPr>
              <w:fldChar w:fldCharType="separate"/>
            </w:r>
            <w:r>
              <w:rPr>
                <w:noProof/>
                <w:webHidden/>
              </w:rPr>
              <w:t>5</w:t>
            </w:r>
            <w:r>
              <w:rPr>
                <w:noProof/>
                <w:webHidden/>
              </w:rPr>
              <w:fldChar w:fldCharType="end"/>
            </w:r>
          </w:hyperlink>
        </w:p>
        <w:p w14:paraId="1BE94030" w14:textId="0B9F07D9" w:rsidR="001621C2" w:rsidRDefault="001621C2">
          <w:pPr>
            <w:pStyle w:val="TOC3"/>
            <w:tabs>
              <w:tab w:val="right" w:leader="dot" w:pos="9016"/>
            </w:tabs>
            <w:rPr>
              <w:rFonts w:asciiTheme="minorHAnsi" w:eastAsiaTheme="minorEastAsia" w:hAnsiTheme="minorHAnsi"/>
              <w:noProof/>
              <w:lang w:eastAsia="en-GB"/>
            </w:rPr>
          </w:pPr>
          <w:hyperlink w:anchor="_Toc218595010" w:history="1">
            <w:r w:rsidRPr="00B0648B">
              <w:rPr>
                <w:rStyle w:val="Hyperlink"/>
                <w:noProof/>
              </w:rPr>
              <w:t>Human oversight and Accountability</w:t>
            </w:r>
            <w:r>
              <w:rPr>
                <w:noProof/>
                <w:webHidden/>
              </w:rPr>
              <w:tab/>
            </w:r>
            <w:r>
              <w:rPr>
                <w:noProof/>
                <w:webHidden/>
              </w:rPr>
              <w:fldChar w:fldCharType="begin"/>
            </w:r>
            <w:r>
              <w:rPr>
                <w:noProof/>
                <w:webHidden/>
              </w:rPr>
              <w:instrText xml:space="preserve"> PAGEREF _Toc218595010 \h </w:instrText>
            </w:r>
            <w:r>
              <w:rPr>
                <w:noProof/>
                <w:webHidden/>
              </w:rPr>
            </w:r>
            <w:r>
              <w:rPr>
                <w:noProof/>
                <w:webHidden/>
              </w:rPr>
              <w:fldChar w:fldCharType="separate"/>
            </w:r>
            <w:r>
              <w:rPr>
                <w:noProof/>
                <w:webHidden/>
              </w:rPr>
              <w:t>5</w:t>
            </w:r>
            <w:r>
              <w:rPr>
                <w:noProof/>
                <w:webHidden/>
              </w:rPr>
              <w:fldChar w:fldCharType="end"/>
            </w:r>
          </w:hyperlink>
        </w:p>
        <w:p w14:paraId="5E50359F" w14:textId="71A9C1B2" w:rsidR="001621C2" w:rsidRDefault="001621C2">
          <w:pPr>
            <w:pStyle w:val="TOC2"/>
            <w:tabs>
              <w:tab w:val="right" w:leader="dot" w:pos="9016"/>
            </w:tabs>
            <w:rPr>
              <w:rFonts w:asciiTheme="minorHAnsi" w:eastAsiaTheme="minorEastAsia" w:hAnsiTheme="minorHAnsi"/>
              <w:noProof/>
              <w:lang w:eastAsia="en-GB"/>
            </w:rPr>
          </w:pPr>
          <w:hyperlink w:anchor="_Toc218595011" w:history="1">
            <w:r w:rsidRPr="00B0648B">
              <w:rPr>
                <w:rStyle w:val="Hyperlink"/>
                <w:noProof/>
              </w:rPr>
              <w:t>Critical evaluation of AI governance</w:t>
            </w:r>
            <w:r>
              <w:rPr>
                <w:noProof/>
                <w:webHidden/>
              </w:rPr>
              <w:tab/>
            </w:r>
            <w:r>
              <w:rPr>
                <w:noProof/>
                <w:webHidden/>
              </w:rPr>
              <w:fldChar w:fldCharType="begin"/>
            </w:r>
            <w:r>
              <w:rPr>
                <w:noProof/>
                <w:webHidden/>
              </w:rPr>
              <w:instrText xml:space="preserve"> PAGEREF _Toc218595011 \h </w:instrText>
            </w:r>
            <w:r>
              <w:rPr>
                <w:noProof/>
                <w:webHidden/>
              </w:rPr>
            </w:r>
            <w:r>
              <w:rPr>
                <w:noProof/>
                <w:webHidden/>
              </w:rPr>
              <w:fldChar w:fldCharType="separate"/>
            </w:r>
            <w:r>
              <w:rPr>
                <w:noProof/>
                <w:webHidden/>
              </w:rPr>
              <w:t>6</w:t>
            </w:r>
            <w:r>
              <w:rPr>
                <w:noProof/>
                <w:webHidden/>
              </w:rPr>
              <w:fldChar w:fldCharType="end"/>
            </w:r>
          </w:hyperlink>
        </w:p>
        <w:p w14:paraId="4625F9D7" w14:textId="6C722091" w:rsidR="001621C2" w:rsidRDefault="001621C2">
          <w:pPr>
            <w:pStyle w:val="TOC2"/>
            <w:tabs>
              <w:tab w:val="right" w:leader="dot" w:pos="9016"/>
            </w:tabs>
            <w:rPr>
              <w:rFonts w:asciiTheme="minorHAnsi" w:eastAsiaTheme="minorEastAsia" w:hAnsiTheme="minorHAnsi"/>
              <w:noProof/>
              <w:lang w:eastAsia="en-GB"/>
            </w:rPr>
          </w:pPr>
          <w:hyperlink w:anchor="_Toc218595012" w:history="1">
            <w:r w:rsidRPr="00B0648B">
              <w:rPr>
                <w:rStyle w:val="Hyperlink"/>
                <w:noProof/>
              </w:rPr>
              <w:t>Conclusion</w:t>
            </w:r>
            <w:r>
              <w:rPr>
                <w:noProof/>
                <w:webHidden/>
              </w:rPr>
              <w:tab/>
            </w:r>
            <w:r>
              <w:rPr>
                <w:noProof/>
                <w:webHidden/>
              </w:rPr>
              <w:fldChar w:fldCharType="begin"/>
            </w:r>
            <w:r>
              <w:rPr>
                <w:noProof/>
                <w:webHidden/>
              </w:rPr>
              <w:instrText xml:space="preserve"> PAGEREF _Toc218595012 \h </w:instrText>
            </w:r>
            <w:r>
              <w:rPr>
                <w:noProof/>
                <w:webHidden/>
              </w:rPr>
            </w:r>
            <w:r>
              <w:rPr>
                <w:noProof/>
                <w:webHidden/>
              </w:rPr>
              <w:fldChar w:fldCharType="separate"/>
            </w:r>
            <w:r>
              <w:rPr>
                <w:noProof/>
                <w:webHidden/>
              </w:rPr>
              <w:t>6</w:t>
            </w:r>
            <w:r>
              <w:rPr>
                <w:noProof/>
                <w:webHidden/>
              </w:rPr>
              <w:fldChar w:fldCharType="end"/>
            </w:r>
          </w:hyperlink>
        </w:p>
        <w:p w14:paraId="39EE8838" w14:textId="62927EDD" w:rsidR="001621C2" w:rsidRDefault="001621C2">
          <w:pPr>
            <w:pStyle w:val="TOC1"/>
            <w:tabs>
              <w:tab w:val="right" w:leader="dot" w:pos="9016"/>
            </w:tabs>
            <w:rPr>
              <w:rFonts w:asciiTheme="minorHAnsi" w:eastAsiaTheme="minorEastAsia" w:hAnsiTheme="minorHAnsi"/>
              <w:noProof/>
              <w:lang w:eastAsia="en-GB"/>
            </w:rPr>
          </w:pPr>
          <w:hyperlink w:anchor="_Toc218595013" w:history="1">
            <w:r w:rsidRPr="00B0648B">
              <w:rPr>
                <w:rStyle w:val="Hyperlink"/>
                <w:noProof/>
              </w:rPr>
              <w:t>Task 2 – ResilientIntellect Ltd Case Scenario</w:t>
            </w:r>
            <w:r>
              <w:rPr>
                <w:noProof/>
                <w:webHidden/>
              </w:rPr>
              <w:tab/>
            </w:r>
            <w:r>
              <w:rPr>
                <w:noProof/>
                <w:webHidden/>
              </w:rPr>
              <w:fldChar w:fldCharType="begin"/>
            </w:r>
            <w:r>
              <w:rPr>
                <w:noProof/>
                <w:webHidden/>
              </w:rPr>
              <w:instrText xml:space="preserve"> PAGEREF _Toc218595013 \h </w:instrText>
            </w:r>
            <w:r>
              <w:rPr>
                <w:noProof/>
                <w:webHidden/>
              </w:rPr>
            </w:r>
            <w:r>
              <w:rPr>
                <w:noProof/>
                <w:webHidden/>
              </w:rPr>
              <w:fldChar w:fldCharType="separate"/>
            </w:r>
            <w:r>
              <w:rPr>
                <w:noProof/>
                <w:webHidden/>
              </w:rPr>
              <w:t>8</w:t>
            </w:r>
            <w:r>
              <w:rPr>
                <w:noProof/>
                <w:webHidden/>
              </w:rPr>
              <w:fldChar w:fldCharType="end"/>
            </w:r>
          </w:hyperlink>
        </w:p>
        <w:p w14:paraId="0EECA164" w14:textId="5F87F64A" w:rsidR="001621C2" w:rsidRDefault="001621C2">
          <w:pPr>
            <w:pStyle w:val="TOC2"/>
            <w:tabs>
              <w:tab w:val="right" w:leader="dot" w:pos="9016"/>
            </w:tabs>
            <w:rPr>
              <w:rFonts w:asciiTheme="minorHAnsi" w:eastAsiaTheme="minorEastAsia" w:hAnsiTheme="minorHAnsi"/>
              <w:noProof/>
              <w:lang w:eastAsia="en-GB"/>
            </w:rPr>
          </w:pPr>
          <w:hyperlink w:anchor="_Toc218595014" w:history="1">
            <w:r w:rsidRPr="00B0648B">
              <w:rPr>
                <w:rStyle w:val="Hyperlink"/>
                <w:noProof/>
              </w:rPr>
              <w:t>Strategic Design Overview</w:t>
            </w:r>
            <w:r>
              <w:rPr>
                <w:noProof/>
                <w:webHidden/>
              </w:rPr>
              <w:tab/>
            </w:r>
            <w:r>
              <w:rPr>
                <w:noProof/>
                <w:webHidden/>
              </w:rPr>
              <w:fldChar w:fldCharType="begin"/>
            </w:r>
            <w:r>
              <w:rPr>
                <w:noProof/>
                <w:webHidden/>
              </w:rPr>
              <w:instrText xml:space="preserve"> PAGEREF _Toc218595014 \h </w:instrText>
            </w:r>
            <w:r>
              <w:rPr>
                <w:noProof/>
                <w:webHidden/>
              </w:rPr>
            </w:r>
            <w:r>
              <w:rPr>
                <w:noProof/>
                <w:webHidden/>
              </w:rPr>
              <w:fldChar w:fldCharType="separate"/>
            </w:r>
            <w:r>
              <w:rPr>
                <w:noProof/>
                <w:webHidden/>
              </w:rPr>
              <w:t>8</w:t>
            </w:r>
            <w:r>
              <w:rPr>
                <w:noProof/>
                <w:webHidden/>
              </w:rPr>
              <w:fldChar w:fldCharType="end"/>
            </w:r>
          </w:hyperlink>
        </w:p>
        <w:p w14:paraId="26F83306" w14:textId="7053F8C9" w:rsidR="001621C2" w:rsidRDefault="001621C2">
          <w:pPr>
            <w:pStyle w:val="TOC2"/>
            <w:tabs>
              <w:tab w:val="right" w:leader="dot" w:pos="9016"/>
            </w:tabs>
            <w:rPr>
              <w:rFonts w:asciiTheme="minorHAnsi" w:eastAsiaTheme="minorEastAsia" w:hAnsiTheme="minorHAnsi"/>
              <w:noProof/>
              <w:lang w:eastAsia="en-GB"/>
            </w:rPr>
          </w:pPr>
          <w:hyperlink w:anchor="_Toc218595015" w:history="1">
            <w:r w:rsidRPr="00B0648B">
              <w:rPr>
                <w:rStyle w:val="Hyperlink"/>
                <w:noProof/>
              </w:rPr>
              <w:t>Organisational Structure</w:t>
            </w:r>
            <w:r>
              <w:rPr>
                <w:noProof/>
                <w:webHidden/>
              </w:rPr>
              <w:tab/>
            </w:r>
            <w:r>
              <w:rPr>
                <w:noProof/>
                <w:webHidden/>
              </w:rPr>
              <w:fldChar w:fldCharType="begin"/>
            </w:r>
            <w:r>
              <w:rPr>
                <w:noProof/>
                <w:webHidden/>
              </w:rPr>
              <w:instrText xml:space="preserve"> PAGEREF _Toc218595015 \h </w:instrText>
            </w:r>
            <w:r>
              <w:rPr>
                <w:noProof/>
                <w:webHidden/>
              </w:rPr>
            </w:r>
            <w:r>
              <w:rPr>
                <w:noProof/>
                <w:webHidden/>
              </w:rPr>
              <w:fldChar w:fldCharType="separate"/>
            </w:r>
            <w:r>
              <w:rPr>
                <w:noProof/>
                <w:webHidden/>
              </w:rPr>
              <w:t>8</w:t>
            </w:r>
            <w:r>
              <w:rPr>
                <w:noProof/>
                <w:webHidden/>
              </w:rPr>
              <w:fldChar w:fldCharType="end"/>
            </w:r>
          </w:hyperlink>
        </w:p>
        <w:p w14:paraId="1ACA41C7" w14:textId="16936C26" w:rsidR="001621C2" w:rsidRDefault="001621C2">
          <w:pPr>
            <w:pStyle w:val="TOC2"/>
            <w:tabs>
              <w:tab w:val="right" w:leader="dot" w:pos="9016"/>
            </w:tabs>
            <w:rPr>
              <w:rFonts w:asciiTheme="minorHAnsi" w:eastAsiaTheme="minorEastAsia" w:hAnsiTheme="minorHAnsi"/>
              <w:noProof/>
              <w:lang w:eastAsia="en-GB"/>
            </w:rPr>
          </w:pPr>
          <w:hyperlink w:anchor="_Toc218595016" w:history="1">
            <w:r w:rsidRPr="00B0648B">
              <w:rPr>
                <w:rStyle w:val="Hyperlink"/>
                <w:noProof/>
              </w:rPr>
              <w:t>Policies and Procedures</w:t>
            </w:r>
            <w:r>
              <w:rPr>
                <w:noProof/>
                <w:webHidden/>
              </w:rPr>
              <w:tab/>
            </w:r>
            <w:r>
              <w:rPr>
                <w:noProof/>
                <w:webHidden/>
              </w:rPr>
              <w:fldChar w:fldCharType="begin"/>
            </w:r>
            <w:r>
              <w:rPr>
                <w:noProof/>
                <w:webHidden/>
              </w:rPr>
              <w:instrText xml:space="preserve"> PAGEREF _Toc218595016 \h </w:instrText>
            </w:r>
            <w:r>
              <w:rPr>
                <w:noProof/>
                <w:webHidden/>
              </w:rPr>
            </w:r>
            <w:r>
              <w:rPr>
                <w:noProof/>
                <w:webHidden/>
              </w:rPr>
              <w:fldChar w:fldCharType="separate"/>
            </w:r>
            <w:r>
              <w:rPr>
                <w:noProof/>
                <w:webHidden/>
              </w:rPr>
              <w:t>9</w:t>
            </w:r>
            <w:r>
              <w:rPr>
                <w:noProof/>
                <w:webHidden/>
              </w:rPr>
              <w:fldChar w:fldCharType="end"/>
            </w:r>
          </w:hyperlink>
        </w:p>
        <w:p w14:paraId="5C4A258A" w14:textId="524E2129" w:rsidR="001621C2" w:rsidRDefault="001621C2">
          <w:pPr>
            <w:pStyle w:val="TOC2"/>
            <w:tabs>
              <w:tab w:val="right" w:leader="dot" w:pos="9016"/>
            </w:tabs>
            <w:rPr>
              <w:rFonts w:asciiTheme="minorHAnsi" w:eastAsiaTheme="minorEastAsia" w:hAnsiTheme="minorHAnsi"/>
              <w:noProof/>
              <w:lang w:eastAsia="en-GB"/>
            </w:rPr>
          </w:pPr>
          <w:hyperlink w:anchor="_Toc218595017" w:history="1">
            <w:r w:rsidRPr="00B0648B">
              <w:rPr>
                <w:rStyle w:val="Hyperlink"/>
                <w:noProof/>
              </w:rPr>
              <w:t>Compliance</w:t>
            </w:r>
            <w:r>
              <w:rPr>
                <w:noProof/>
                <w:webHidden/>
              </w:rPr>
              <w:tab/>
            </w:r>
            <w:r>
              <w:rPr>
                <w:noProof/>
                <w:webHidden/>
              </w:rPr>
              <w:fldChar w:fldCharType="begin"/>
            </w:r>
            <w:r>
              <w:rPr>
                <w:noProof/>
                <w:webHidden/>
              </w:rPr>
              <w:instrText xml:space="preserve"> PAGEREF _Toc218595017 \h </w:instrText>
            </w:r>
            <w:r>
              <w:rPr>
                <w:noProof/>
                <w:webHidden/>
              </w:rPr>
            </w:r>
            <w:r>
              <w:rPr>
                <w:noProof/>
                <w:webHidden/>
              </w:rPr>
              <w:fldChar w:fldCharType="separate"/>
            </w:r>
            <w:r>
              <w:rPr>
                <w:noProof/>
                <w:webHidden/>
              </w:rPr>
              <w:t>10</w:t>
            </w:r>
            <w:r>
              <w:rPr>
                <w:noProof/>
                <w:webHidden/>
              </w:rPr>
              <w:fldChar w:fldCharType="end"/>
            </w:r>
          </w:hyperlink>
        </w:p>
        <w:p w14:paraId="238F0C75" w14:textId="315DF71D" w:rsidR="001621C2" w:rsidRDefault="001621C2">
          <w:pPr>
            <w:pStyle w:val="TOC2"/>
            <w:tabs>
              <w:tab w:val="right" w:leader="dot" w:pos="9016"/>
            </w:tabs>
            <w:rPr>
              <w:rFonts w:asciiTheme="minorHAnsi" w:eastAsiaTheme="minorEastAsia" w:hAnsiTheme="minorHAnsi"/>
              <w:noProof/>
              <w:lang w:eastAsia="en-GB"/>
            </w:rPr>
          </w:pPr>
          <w:hyperlink w:anchor="_Toc218595018" w:history="1">
            <w:r w:rsidRPr="00B0648B">
              <w:rPr>
                <w:rStyle w:val="Hyperlink"/>
                <w:noProof/>
              </w:rPr>
              <w:t>Governance and Strategy</w:t>
            </w:r>
            <w:r>
              <w:rPr>
                <w:noProof/>
                <w:webHidden/>
              </w:rPr>
              <w:tab/>
            </w:r>
            <w:r>
              <w:rPr>
                <w:noProof/>
                <w:webHidden/>
              </w:rPr>
              <w:fldChar w:fldCharType="begin"/>
            </w:r>
            <w:r>
              <w:rPr>
                <w:noProof/>
                <w:webHidden/>
              </w:rPr>
              <w:instrText xml:space="preserve"> PAGEREF _Toc218595018 \h </w:instrText>
            </w:r>
            <w:r>
              <w:rPr>
                <w:noProof/>
                <w:webHidden/>
              </w:rPr>
            </w:r>
            <w:r>
              <w:rPr>
                <w:noProof/>
                <w:webHidden/>
              </w:rPr>
              <w:fldChar w:fldCharType="separate"/>
            </w:r>
            <w:r>
              <w:rPr>
                <w:noProof/>
                <w:webHidden/>
              </w:rPr>
              <w:t>10</w:t>
            </w:r>
            <w:r>
              <w:rPr>
                <w:noProof/>
                <w:webHidden/>
              </w:rPr>
              <w:fldChar w:fldCharType="end"/>
            </w:r>
          </w:hyperlink>
        </w:p>
        <w:p w14:paraId="41DD9881" w14:textId="67F3F88A" w:rsidR="001621C2" w:rsidRDefault="001621C2">
          <w:pPr>
            <w:pStyle w:val="TOC2"/>
            <w:tabs>
              <w:tab w:val="right" w:leader="dot" w:pos="9016"/>
            </w:tabs>
            <w:rPr>
              <w:rFonts w:asciiTheme="minorHAnsi" w:eastAsiaTheme="minorEastAsia" w:hAnsiTheme="minorHAnsi"/>
              <w:noProof/>
              <w:lang w:eastAsia="en-GB"/>
            </w:rPr>
          </w:pPr>
          <w:hyperlink w:anchor="_Toc218595019" w:history="1">
            <w:r w:rsidRPr="00B0648B">
              <w:rPr>
                <w:rStyle w:val="Hyperlink"/>
                <w:noProof/>
              </w:rPr>
              <w:t>High Level Risk Assessment</w:t>
            </w:r>
            <w:r>
              <w:rPr>
                <w:noProof/>
                <w:webHidden/>
              </w:rPr>
              <w:tab/>
            </w:r>
            <w:r>
              <w:rPr>
                <w:noProof/>
                <w:webHidden/>
              </w:rPr>
              <w:fldChar w:fldCharType="begin"/>
            </w:r>
            <w:r>
              <w:rPr>
                <w:noProof/>
                <w:webHidden/>
              </w:rPr>
              <w:instrText xml:space="preserve"> PAGEREF _Toc218595019 \h </w:instrText>
            </w:r>
            <w:r>
              <w:rPr>
                <w:noProof/>
                <w:webHidden/>
              </w:rPr>
            </w:r>
            <w:r>
              <w:rPr>
                <w:noProof/>
                <w:webHidden/>
              </w:rPr>
              <w:fldChar w:fldCharType="separate"/>
            </w:r>
            <w:r>
              <w:rPr>
                <w:noProof/>
                <w:webHidden/>
              </w:rPr>
              <w:t>11</w:t>
            </w:r>
            <w:r>
              <w:rPr>
                <w:noProof/>
                <w:webHidden/>
              </w:rPr>
              <w:fldChar w:fldCharType="end"/>
            </w:r>
          </w:hyperlink>
        </w:p>
        <w:p w14:paraId="6D3068F3" w14:textId="35C21D1D" w:rsidR="001621C2" w:rsidRDefault="001621C2">
          <w:pPr>
            <w:pStyle w:val="TOC2"/>
            <w:tabs>
              <w:tab w:val="right" w:leader="dot" w:pos="9016"/>
            </w:tabs>
            <w:rPr>
              <w:rFonts w:asciiTheme="minorHAnsi" w:eastAsiaTheme="minorEastAsia" w:hAnsiTheme="minorHAnsi"/>
              <w:noProof/>
              <w:lang w:eastAsia="en-GB"/>
            </w:rPr>
          </w:pPr>
          <w:hyperlink w:anchor="_Toc218595020" w:history="1">
            <w:r w:rsidRPr="00B0648B">
              <w:rPr>
                <w:rStyle w:val="Hyperlink"/>
                <w:noProof/>
              </w:rPr>
              <w:t>Contingency and Disaster Recovery Planning</w:t>
            </w:r>
            <w:r>
              <w:rPr>
                <w:noProof/>
                <w:webHidden/>
              </w:rPr>
              <w:tab/>
            </w:r>
            <w:r>
              <w:rPr>
                <w:noProof/>
                <w:webHidden/>
              </w:rPr>
              <w:fldChar w:fldCharType="begin"/>
            </w:r>
            <w:r>
              <w:rPr>
                <w:noProof/>
                <w:webHidden/>
              </w:rPr>
              <w:instrText xml:space="preserve"> PAGEREF _Toc218595020 \h </w:instrText>
            </w:r>
            <w:r>
              <w:rPr>
                <w:noProof/>
                <w:webHidden/>
              </w:rPr>
            </w:r>
            <w:r>
              <w:rPr>
                <w:noProof/>
                <w:webHidden/>
              </w:rPr>
              <w:fldChar w:fldCharType="separate"/>
            </w:r>
            <w:r>
              <w:rPr>
                <w:noProof/>
                <w:webHidden/>
              </w:rPr>
              <w:t>12</w:t>
            </w:r>
            <w:r>
              <w:rPr>
                <w:noProof/>
                <w:webHidden/>
              </w:rPr>
              <w:fldChar w:fldCharType="end"/>
            </w:r>
          </w:hyperlink>
        </w:p>
        <w:p w14:paraId="7537152E" w14:textId="21BB500A" w:rsidR="001621C2" w:rsidRDefault="001621C2">
          <w:pPr>
            <w:pStyle w:val="TOC2"/>
            <w:tabs>
              <w:tab w:val="right" w:leader="dot" w:pos="9016"/>
            </w:tabs>
            <w:rPr>
              <w:rFonts w:asciiTheme="minorHAnsi" w:eastAsiaTheme="minorEastAsia" w:hAnsiTheme="minorHAnsi"/>
              <w:noProof/>
              <w:lang w:eastAsia="en-GB"/>
            </w:rPr>
          </w:pPr>
          <w:hyperlink w:anchor="_Toc218595021" w:history="1">
            <w:r w:rsidRPr="00B0648B">
              <w:rPr>
                <w:rStyle w:val="Hyperlink"/>
                <w:noProof/>
              </w:rPr>
              <w:t>Protection Mechanisms</w:t>
            </w:r>
            <w:r>
              <w:rPr>
                <w:noProof/>
                <w:webHidden/>
              </w:rPr>
              <w:tab/>
            </w:r>
            <w:r>
              <w:rPr>
                <w:noProof/>
                <w:webHidden/>
              </w:rPr>
              <w:fldChar w:fldCharType="begin"/>
            </w:r>
            <w:r>
              <w:rPr>
                <w:noProof/>
                <w:webHidden/>
              </w:rPr>
              <w:instrText xml:space="preserve"> PAGEREF _Toc218595021 \h </w:instrText>
            </w:r>
            <w:r>
              <w:rPr>
                <w:noProof/>
                <w:webHidden/>
              </w:rPr>
            </w:r>
            <w:r>
              <w:rPr>
                <w:noProof/>
                <w:webHidden/>
              </w:rPr>
              <w:fldChar w:fldCharType="separate"/>
            </w:r>
            <w:r>
              <w:rPr>
                <w:noProof/>
                <w:webHidden/>
              </w:rPr>
              <w:t>13</w:t>
            </w:r>
            <w:r>
              <w:rPr>
                <w:noProof/>
                <w:webHidden/>
              </w:rPr>
              <w:fldChar w:fldCharType="end"/>
            </w:r>
          </w:hyperlink>
        </w:p>
        <w:p w14:paraId="5D347CEC" w14:textId="009CDE78" w:rsidR="001621C2" w:rsidRDefault="001621C2">
          <w:pPr>
            <w:pStyle w:val="TOC2"/>
            <w:tabs>
              <w:tab w:val="right" w:leader="dot" w:pos="9016"/>
            </w:tabs>
            <w:rPr>
              <w:rFonts w:asciiTheme="minorHAnsi" w:eastAsiaTheme="minorEastAsia" w:hAnsiTheme="minorHAnsi"/>
              <w:noProof/>
              <w:lang w:eastAsia="en-GB"/>
            </w:rPr>
          </w:pPr>
          <w:hyperlink w:anchor="_Toc218595022" w:history="1">
            <w:r w:rsidRPr="00B0648B">
              <w:rPr>
                <w:rStyle w:val="Hyperlink"/>
                <w:noProof/>
              </w:rPr>
              <w:t>Conclusion</w:t>
            </w:r>
            <w:r>
              <w:rPr>
                <w:noProof/>
                <w:webHidden/>
              </w:rPr>
              <w:tab/>
            </w:r>
            <w:r>
              <w:rPr>
                <w:noProof/>
                <w:webHidden/>
              </w:rPr>
              <w:fldChar w:fldCharType="begin"/>
            </w:r>
            <w:r>
              <w:rPr>
                <w:noProof/>
                <w:webHidden/>
              </w:rPr>
              <w:instrText xml:space="preserve"> PAGEREF _Toc218595022 \h </w:instrText>
            </w:r>
            <w:r>
              <w:rPr>
                <w:noProof/>
                <w:webHidden/>
              </w:rPr>
            </w:r>
            <w:r>
              <w:rPr>
                <w:noProof/>
                <w:webHidden/>
              </w:rPr>
              <w:fldChar w:fldCharType="separate"/>
            </w:r>
            <w:r>
              <w:rPr>
                <w:noProof/>
                <w:webHidden/>
              </w:rPr>
              <w:t>14</w:t>
            </w:r>
            <w:r>
              <w:rPr>
                <w:noProof/>
                <w:webHidden/>
              </w:rPr>
              <w:fldChar w:fldCharType="end"/>
            </w:r>
          </w:hyperlink>
        </w:p>
        <w:p w14:paraId="41A94346" w14:textId="7039A578" w:rsidR="001621C2" w:rsidRDefault="001621C2">
          <w:pPr>
            <w:pStyle w:val="TOC1"/>
            <w:tabs>
              <w:tab w:val="right" w:leader="dot" w:pos="9016"/>
            </w:tabs>
            <w:rPr>
              <w:rFonts w:asciiTheme="minorHAnsi" w:eastAsiaTheme="minorEastAsia" w:hAnsiTheme="minorHAnsi"/>
              <w:noProof/>
              <w:lang w:eastAsia="en-GB"/>
            </w:rPr>
          </w:pPr>
          <w:hyperlink w:anchor="_Toc218595023" w:history="1">
            <w:r w:rsidRPr="00B0648B">
              <w:rPr>
                <w:rStyle w:val="Hyperlink"/>
                <w:noProof/>
              </w:rPr>
              <w:t>References</w:t>
            </w:r>
            <w:r>
              <w:rPr>
                <w:noProof/>
                <w:webHidden/>
              </w:rPr>
              <w:tab/>
            </w:r>
            <w:r>
              <w:rPr>
                <w:noProof/>
                <w:webHidden/>
              </w:rPr>
              <w:fldChar w:fldCharType="begin"/>
            </w:r>
            <w:r>
              <w:rPr>
                <w:noProof/>
                <w:webHidden/>
              </w:rPr>
              <w:instrText xml:space="preserve"> PAGEREF _Toc218595023 \h </w:instrText>
            </w:r>
            <w:r>
              <w:rPr>
                <w:noProof/>
                <w:webHidden/>
              </w:rPr>
            </w:r>
            <w:r>
              <w:rPr>
                <w:noProof/>
                <w:webHidden/>
              </w:rPr>
              <w:fldChar w:fldCharType="separate"/>
            </w:r>
            <w:r>
              <w:rPr>
                <w:noProof/>
                <w:webHidden/>
              </w:rPr>
              <w:t>15</w:t>
            </w:r>
            <w:r>
              <w:rPr>
                <w:noProof/>
                <w:webHidden/>
              </w:rPr>
              <w:fldChar w:fldCharType="end"/>
            </w:r>
          </w:hyperlink>
        </w:p>
        <w:p w14:paraId="615E816F" w14:textId="1586B098" w:rsidR="00515CDB" w:rsidRDefault="00515CDB">
          <w:r>
            <w:rPr>
              <w:b/>
              <w:bCs/>
              <w:noProof/>
            </w:rPr>
            <w:fldChar w:fldCharType="end"/>
          </w:r>
        </w:p>
      </w:sdtContent>
    </w:sdt>
    <w:p w14:paraId="4F3E0202" w14:textId="42A59103" w:rsidR="00515CDB" w:rsidRDefault="00515CDB"/>
    <w:p w14:paraId="64B8E852" w14:textId="77777777" w:rsidR="00515CDB" w:rsidRDefault="00515CDB">
      <w:r>
        <w:br w:type="page"/>
      </w:r>
    </w:p>
    <w:p w14:paraId="2E4FB37D" w14:textId="3D340306" w:rsidR="00091266" w:rsidRDefault="00515CDB" w:rsidP="00515CDB">
      <w:pPr>
        <w:pStyle w:val="Heading1"/>
      </w:pPr>
      <w:bookmarkStart w:id="0" w:name="_Toc218594996"/>
      <w:r>
        <w:lastRenderedPageBreak/>
        <w:t xml:space="preserve">Task 1 - </w:t>
      </w:r>
      <w:r w:rsidRPr="00515CDB">
        <w:t>Governance of AI and Machine Learning Systems: Managing risk, ethics, and compliance for AI data and models.</w:t>
      </w:r>
      <w:bookmarkEnd w:id="0"/>
    </w:p>
    <w:p w14:paraId="28AB42BC" w14:textId="77777777" w:rsidR="00515CDB" w:rsidRDefault="00515CDB" w:rsidP="00515CDB"/>
    <w:p w14:paraId="28FA73D3" w14:textId="2D341FEC" w:rsidR="00515CDB" w:rsidRDefault="00515CDB" w:rsidP="00515CDB">
      <w:pPr>
        <w:pStyle w:val="Heading2"/>
      </w:pPr>
      <w:bookmarkStart w:id="1" w:name="_Toc218594997"/>
      <w:r>
        <w:t>Introduction</w:t>
      </w:r>
      <w:bookmarkEnd w:id="1"/>
    </w:p>
    <w:p w14:paraId="6FB1D061" w14:textId="741FBD95" w:rsidR="001C7811" w:rsidRDefault="001C7811">
      <w:r>
        <w:t>Artificial intelligence (AI) and machine learning (ML) systems are increasingly embedded wit</w:t>
      </w:r>
      <w:r w:rsidR="00671020">
        <w:t>h</w:t>
      </w:r>
      <w:r>
        <w:t>in critical organisational operations, including financial decision making, healthcare diagnostics, recruitment, cybersecurity, and autonomous systems. These technologies rely on large volumes of data and complex models, which makes them valuable assets but also attractive targets for misuse and attack. At the same time, poorly governed AI systems can produce biased outcomes, expose sensitive data, or make decisions that are difficult to explain or justify.</w:t>
      </w:r>
    </w:p>
    <w:p w14:paraId="639B2E10" w14:textId="77777777" w:rsidR="001C7811" w:rsidRDefault="001C7811">
      <w:r>
        <w:t xml:space="preserve">Unlike traditional information systems, AI systems are adaptive and probabilistic in nature. This means that their behaviour can change over time as new data is introduced, making them harder to predict and control. As a result, organisations face growing pressure to manage not only technical security risks, but also ethical and legal responsibilities. Effective governance is therefore essential to ensure that AI systems operate lawfully, safely, and in a way that aligns with societal expectations. </w:t>
      </w:r>
    </w:p>
    <w:p w14:paraId="04C2CB7C" w14:textId="77777777" w:rsidR="00C87851" w:rsidRDefault="00C87851">
      <w:r>
        <w:t>Within this paper I aim to explore the challenges involved in the governance of AI and ML systems from a data security and compliance perspective. It examines how organisations can create environments that anticipate risks, protect sensitive data and models, detect threats, and respond automatically to incidents, while still supporting innovation.</w:t>
      </w:r>
    </w:p>
    <w:p w14:paraId="1A7782F1" w14:textId="77777777" w:rsidR="00C87851" w:rsidRDefault="00C87851"/>
    <w:p w14:paraId="1C3CAA86" w14:textId="77777777" w:rsidR="00C87851" w:rsidRDefault="00C87851" w:rsidP="00C87851">
      <w:pPr>
        <w:pStyle w:val="Heading2"/>
      </w:pPr>
      <w:bookmarkStart w:id="2" w:name="_Toc218594998"/>
      <w:r>
        <w:t>Artificial intelligence and Machine learning as a governance challenge</w:t>
      </w:r>
      <w:bookmarkEnd w:id="2"/>
    </w:p>
    <w:p w14:paraId="5E2A9A51" w14:textId="77777777" w:rsidR="00C87851" w:rsidRDefault="00C87851" w:rsidP="00C87851">
      <w:pPr>
        <w:pStyle w:val="Heading3"/>
      </w:pPr>
      <w:bookmarkStart w:id="3" w:name="_Toc218594999"/>
      <w:r>
        <w:t>Unique risks of AI systems</w:t>
      </w:r>
      <w:bookmarkEnd w:id="3"/>
    </w:p>
    <w:p w14:paraId="33ACBDB3" w14:textId="77777777" w:rsidR="00C87851" w:rsidRDefault="00C87851" w:rsidP="00C87851">
      <w:r>
        <w:t>AI and ML systems introduce a range of risks that are not typically present in conventional software systems. One of the main challenges is that models are trained on historical data, which may be incomplete, biased, or inaccurate. If these issues are not identified early, they can lead to unfair or discriminatory outcomes once the system is deployed.</w:t>
      </w:r>
    </w:p>
    <w:p w14:paraId="30A2D48C" w14:textId="2366AE1E" w:rsidR="00B25B64" w:rsidRDefault="00C87851" w:rsidP="00C87851">
      <w:r>
        <w:t xml:space="preserve">From a security perspective, AI systems are vulnerable to attacks such as data poisoning, where training data is deliberately manipulated or as </w:t>
      </w:r>
      <w:proofErr w:type="spellStart"/>
      <w:proofErr w:type="gramStart"/>
      <w:r>
        <w:t>T.Krantz</w:t>
      </w:r>
      <w:proofErr w:type="spellEnd"/>
      <w:proofErr w:type="gramEnd"/>
      <w:r>
        <w:t xml:space="preserve"> and </w:t>
      </w:r>
      <w:proofErr w:type="spellStart"/>
      <w:proofErr w:type="gramStart"/>
      <w:r>
        <w:t>A.Jonker</w:t>
      </w:r>
      <w:proofErr w:type="spellEnd"/>
      <w:proofErr w:type="gramEnd"/>
      <w:r>
        <w:t xml:space="preserve"> of IBM describe it as ‘</w:t>
      </w:r>
      <w:r w:rsidRPr="00C87851">
        <w:t xml:space="preserve">data manipulation through poisoning can lead to </w:t>
      </w:r>
      <w:r w:rsidRPr="00C87851">
        <w:lastRenderedPageBreak/>
        <w:t>data misclassification, which reduces the efficacy and accuracy of AI and ML systems. What’s more, these attacks can introduce serious cybersecurity risks, especially in industries such as healthcare and autonomous vehicles.</w:t>
      </w:r>
      <w:r>
        <w:t>’</w:t>
      </w:r>
      <w:sdt>
        <w:sdtPr>
          <w:id w:val="-1839223327"/>
          <w:citation/>
        </w:sdtPr>
        <w:sdtContent>
          <w:r>
            <w:fldChar w:fldCharType="begin"/>
          </w:r>
          <w:r>
            <w:instrText xml:space="preserve"> CITATION IBM26 \l 2057 </w:instrText>
          </w:r>
          <w:r>
            <w:fldChar w:fldCharType="separate"/>
          </w:r>
          <w:r w:rsidR="001621C2">
            <w:rPr>
              <w:noProof/>
            </w:rPr>
            <w:t xml:space="preserve"> </w:t>
          </w:r>
          <w:r w:rsidR="001621C2" w:rsidRPr="001621C2">
            <w:rPr>
              <w:noProof/>
            </w:rPr>
            <w:t>[1]</w:t>
          </w:r>
          <w:r>
            <w:fldChar w:fldCharType="end"/>
          </w:r>
        </w:sdtContent>
      </w:sdt>
      <w:r w:rsidR="00B25B64">
        <w:t xml:space="preserve"> In addition, trained models themselves are valuable intellectual property and can be targeted through theft or reverse engineering. These risks highlight the need for governance approaches that extend beyond traditional IT security controls.</w:t>
      </w:r>
    </w:p>
    <w:p w14:paraId="0E153EE7" w14:textId="77777777" w:rsidR="00B25B64" w:rsidRDefault="00B25B64" w:rsidP="00C87851"/>
    <w:p w14:paraId="644F01EC" w14:textId="77777777" w:rsidR="00B25B64" w:rsidRDefault="00B25B64" w:rsidP="00B25B64">
      <w:pPr>
        <w:pStyle w:val="Heading3"/>
      </w:pPr>
      <w:bookmarkStart w:id="4" w:name="_Toc218595000"/>
      <w:r>
        <w:t>Regulatory and Standards environment</w:t>
      </w:r>
      <w:bookmarkEnd w:id="4"/>
    </w:p>
    <w:p w14:paraId="3C093EB7" w14:textId="1D5517D6" w:rsidR="00B25B64" w:rsidRPr="00E209EA" w:rsidRDefault="00B25B64" w:rsidP="00B25B64">
      <w:pPr>
        <w:rPr>
          <w:u w:val="single"/>
        </w:rPr>
      </w:pPr>
      <w:r>
        <w:t>Governance of AI systems is increasingly shaped by regulatory and standards based frameworks. Data protection regulations, such as the General Data Protection Regulation (GDPR), place strict requirements on how personal data is collected, processed, and stored. More recently, AI specific standards and regulations have begun to emerge, focussing on transparency, accountability, and risk management.</w:t>
      </w:r>
      <w:r w:rsidR="00E209EA">
        <w:t xml:space="preserve"> Such as the European Union’s recent regulation framework which aims to ‘</w:t>
      </w:r>
      <w:r w:rsidR="00E209EA" w:rsidRPr="00E209EA">
        <w:t>make sure that AI systems used in the EU are safe, transparent, traceable, non-discriminatory and environmentally friendl</w:t>
      </w:r>
      <w:r w:rsidR="00E209EA">
        <w:t>y’.</w:t>
      </w:r>
      <w:sdt>
        <w:sdtPr>
          <w:id w:val="-1050382663"/>
          <w:citation/>
        </w:sdtPr>
        <w:sdtContent>
          <w:r w:rsidR="00E209EA">
            <w:fldChar w:fldCharType="begin"/>
          </w:r>
          <w:r w:rsidR="00E209EA">
            <w:instrText xml:space="preserve"> CITATION Eur23 \l 2057 </w:instrText>
          </w:r>
          <w:r w:rsidR="00E209EA">
            <w:fldChar w:fldCharType="separate"/>
          </w:r>
          <w:r w:rsidR="001621C2">
            <w:rPr>
              <w:noProof/>
            </w:rPr>
            <w:t xml:space="preserve"> </w:t>
          </w:r>
          <w:r w:rsidR="001621C2" w:rsidRPr="001621C2">
            <w:rPr>
              <w:noProof/>
            </w:rPr>
            <w:t>[2]</w:t>
          </w:r>
          <w:r w:rsidR="00E209EA">
            <w:fldChar w:fldCharType="end"/>
          </w:r>
        </w:sdtContent>
      </w:sdt>
    </w:p>
    <w:p w14:paraId="375F88AC" w14:textId="2DE014C3" w:rsidR="00B25B64" w:rsidRDefault="00B25B64" w:rsidP="00B25B64">
      <w:r>
        <w:t>While regulation can slow innovation, it exists for a clear reason. Regulations are generally introduced to protect individuals and ensure a minimum standard of safety and fairness. Although some major technological advances have historically followed serious failures or disasters, relying on harm to drive progress is not acceptable in modern society. In the context of AI, regulation plays a key role in preventing harm before it occurs, even if this means slower deployment of new technologies.</w:t>
      </w:r>
    </w:p>
    <w:p w14:paraId="4BC0C591" w14:textId="77777777" w:rsidR="00BC2032" w:rsidRDefault="00BC2032" w:rsidP="00B25B64"/>
    <w:p w14:paraId="107A50D8" w14:textId="77777777" w:rsidR="00B25B64" w:rsidRDefault="00B25B64" w:rsidP="00B25B64">
      <w:pPr>
        <w:pStyle w:val="Heading2"/>
      </w:pPr>
      <w:bookmarkStart w:id="5" w:name="_Toc218595001"/>
      <w:r>
        <w:t>Anticipating threats in AI and ML systems</w:t>
      </w:r>
      <w:bookmarkEnd w:id="5"/>
    </w:p>
    <w:p w14:paraId="5F6D1672" w14:textId="77777777" w:rsidR="00B25B64" w:rsidRDefault="00B25B64" w:rsidP="00B25B64">
      <w:pPr>
        <w:pStyle w:val="Heading3"/>
      </w:pPr>
      <w:bookmarkStart w:id="6" w:name="_Toc218595002"/>
      <w:r>
        <w:t>Risk management and Threat modelling</w:t>
      </w:r>
      <w:bookmarkEnd w:id="6"/>
      <w:r>
        <w:t xml:space="preserve"> </w:t>
      </w:r>
    </w:p>
    <w:p w14:paraId="5DE3E11D" w14:textId="77777777" w:rsidR="00E73689" w:rsidRDefault="00B25B64" w:rsidP="00B25B64">
      <w:r>
        <w:t xml:space="preserve">Anticipating threats is a critical part of </w:t>
      </w:r>
      <w:r w:rsidR="00EE06CF">
        <w:t>AI governance</w:t>
      </w:r>
      <w:r w:rsidR="00E73689">
        <w:t xml:space="preserve">. Organisations must carry out structured risk assessments that consider the full life cycle of an AI system, from data collection and model training to deployment and ongoing use. This helps identify where failures or attacks are most likely to occur and what the potential impact might be. </w:t>
      </w:r>
    </w:p>
    <w:p w14:paraId="71111CBD" w14:textId="77777777" w:rsidR="00E73689" w:rsidRDefault="00E73689" w:rsidP="00B25B64">
      <w:r>
        <w:t>Traditional threat modelling approaches can be adapted to include AI specific risks, such as biased training data, model drift, and misuse of automated decisions. By identifying these risks early, organisations can design controls that reduce the likelihood of harm before systems are placed into production.</w:t>
      </w:r>
    </w:p>
    <w:p w14:paraId="7D492248" w14:textId="77777777" w:rsidR="00E73689" w:rsidRDefault="00E73689" w:rsidP="00E73689">
      <w:pPr>
        <w:pStyle w:val="Heading3"/>
      </w:pPr>
      <w:bookmarkStart w:id="7" w:name="_Toc218595003"/>
      <w:r>
        <w:lastRenderedPageBreak/>
        <w:t>Ethical impact assessment</w:t>
      </w:r>
      <w:bookmarkEnd w:id="7"/>
    </w:p>
    <w:p w14:paraId="6B69593D" w14:textId="77777777" w:rsidR="00DD1542" w:rsidRDefault="00E73689" w:rsidP="00E73689">
      <w:r>
        <w:t>In addition to technical risk assessments, organisations should conduct ethical impact assessments for AI systems. These assessments consider how many systems may affect individuals or groups, particularly</w:t>
      </w:r>
      <w:r w:rsidR="00DD1542">
        <w:t xml:space="preserve"> in </w:t>
      </w:r>
      <w:proofErr w:type="gramStart"/>
      <w:r w:rsidR="00DD1542">
        <w:t>high risk</w:t>
      </w:r>
      <w:proofErr w:type="gramEnd"/>
      <w:r w:rsidR="00DD1542">
        <w:t xml:space="preserve"> areas such as hiring, credit scoring, or healthcare. Ethical reviews encourage organisations to think beyond legal compliance and consider the broader consequences of AI driven decisions.</w:t>
      </w:r>
    </w:p>
    <w:p w14:paraId="44FD82CA" w14:textId="77777777" w:rsidR="00BC2032" w:rsidRDefault="00BC2032" w:rsidP="00E73689"/>
    <w:p w14:paraId="2313AFC0" w14:textId="77777777" w:rsidR="00DD1542" w:rsidRDefault="00DD1542" w:rsidP="00DD1542">
      <w:pPr>
        <w:pStyle w:val="Heading2"/>
      </w:pPr>
      <w:bookmarkStart w:id="8" w:name="_Toc218595004"/>
      <w:r>
        <w:t>Protecting Artificial intelligence and Machine learning systems</w:t>
      </w:r>
      <w:bookmarkEnd w:id="8"/>
    </w:p>
    <w:p w14:paraId="46E32A39" w14:textId="77777777" w:rsidR="00DD1542" w:rsidRDefault="00DD1542" w:rsidP="00DD1542">
      <w:pPr>
        <w:pStyle w:val="Heading3"/>
      </w:pPr>
      <w:bookmarkStart w:id="9" w:name="_Toc218595005"/>
      <w:r>
        <w:t>Data governance and protection</w:t>
      </w:r>
      <w:bookmarkEnd w:id="9"/>
    </w:p>
    <w:p w14:paraId="4F2C5FF9" w14:textId="77777777" w:rsidR="00DD1542" w:rsidRDefault="00DD1542" w:rsidP="00DD1542">
      <w:r>
        <w:t>Strong data governance is essential for protecting AI systems. Organisations must ensure that data used for training and operation is accurate, relevant, and lawfully obtained. Access to sensitive datasets should be restricted, and encryption should be used to protect data both at rest and in transit.</w:t>
      </w:r>
    </w:p>
    <w:p w14:paraId="7FCC7DC1" w14:textId="77777777" w:rsidR="00DD1542" w:rsidRDefault="00DD1542" w:rsidP="00DD1542">
      <w:r>
        <w:t>Techniques such as data versioning and provenance tracking can help organisations understand where data comes from and how it has been used. This not only improves security but also supports compliance and audit requirements.</w:t>
      </w:r>
    </w:p>
    <w:p w14:paraId="02047043" w14:textId="77777777" w:rsidR="00DD1542" w:rsidRDefault="00DD1542" w:rsidP="00DD1542">
      <w:pPr>
        <w:pStyle w:val="Heading3"/>
      </w:pPr>
      <w:bookmarkStart w:id="10" w:name="_Toc218595006"/>
      <w:r>
        <w:t>Model security and Operational controls</w:t>
      </w:r>
      <w:bookmarkEnd w:id="10"/>
    </w:p>
    <w:p w14:paraId="1481A227" w14:textId="77777777" w:rsidR="00DD1542" w:rsidRDefault="00DD1542" w:rsidP="00DD1542">
      <w:r>
        <w:t xml:space="preserve">ML models should be treated as critical assets. Secure development practices including controlled access to model repositories and secure deployment pipelines, help prevent unauthorised changes or theft. Monitoring tools can also be used to detect unusual patterns in model usage that may indicate abuse or compromise.  </w:t>
      </w:r>
    </w:p>
    <w:p w14:paraId="22856A24" w14:textId="1DDFFAD3" w:rsidR="00DD1542" w:rsidRDefault="00DD1542" w:rsidP="00DD1542">
      <w:r>
        <w:t xml:space="preserve">Embedding AI systems within established secure development and operational processes, such as </w:t>
      </w:r>
      <w:proofErr w:type="spellStart"/>
      <w:r>
        <w:t>MLOp</w:t>
      </w:r>
      <w:r w:rsidR="00833A4B">
        <w:t>s</w:t>
      </w:r>
      <w:proofErr w:type="spellEnd"/>
      <w:r w:rsidR="00833A4B">
        <w:t xml:space="preserve"> ‘</w:t>
      </w:r>
      <w:r w:rsidR="00833A4B" w:rsidRPr="00833A4B">
        <w:t>a ML engineering culture and practice that aims at unifying ML system development (Dev) and ML system operation (Ops).</w:t>
      </w:r>
      <w:r w:rsidR="00833A4B">
        <w:t>’</w:t>
      </w:r>
      <w:sdt>
        <w:sdtPr>
          <w:id w:val="-1573035652"/>
          <w:citation/>
        </w:sdtPr>
        <w:sdtContent>
          <w:r w:rsidR="00833A4B">
            <w:fldChar w:fldCharType="begin"/>
          </w:r>
          <w:r w:rsidR="00833A4B">
            <w:instrText xml:space="preserve"> CITATION Goo26 \l 2057 </w:instrText>
          </w:r>
          <w:r w:rsidR="00833A4B">
            <w:fldChar w:fldCharType="separate"/>
          </w:r>
          <w:r w:rsidR="001621C2">
            <w:rPr>
              <w:noProof/>
            </w:rPr>
            <w:t xml:space="preserve"> </w:t>
          </w:r>
          <w:r w:rsidR="001621C2" w:rsidRPr="001621C2">
            <w:rPr>
              <w:noProof/>
            </w:rPr>
            <w:t>[3]</w:t>
          </w:r>
          <w:r w:rsidR="00833A4B">
            <w:fldChar w:fldCharType="end"/>
          </w:r>
        </w:sdtContent>
      </w:sdt>
      <w:r>
        <w:t xml:space="preserve"> helps to ensure that security and governance are maintained throughout the system life cycle.</w:t>
      </w:r>
    </w:p>
    <w:p w14:paraId="436C293E" w14:textId="77777777" w:rsidR="00BC2032" w:rsidRDefault="00BC2032" w:rsidP="00DD1542"/>
    <w:p w14:paraId="3489F74F" w14:textId="77777777" w:rsidR="00DD1542" w:rsidRDefault="00DD1542" w:rsidP="00DD1542">
      <w:pPr>
        <w:pStyle w:val="Heading2"/>
      </w:pPr>
      <w:bookmarkStart w:id="11" w:name="_Toc218595007"/>
      <w:r>
        <w:t>Detecting threats and Irregular behaviour</w:t>
      </w:r>
      <w:bookmarkEnd w:id="11"/>
    </w:p>
    <w:p w14:paraId="7A9DF872" w14:textId="77777777" w:rsidR="00BC2032" w:rsidRDefault="00BC2032" w:rsidP="00BC2032">
      <w:r>
        <w:t xml:space="preserve">Detection plays a critical role in the governance of AI and ML systems, as it allows organisations to identify issues before they result in serious security, ethical, or compliance failures. Unlike traditional systems, AI models may continue operating even when their outputs are gradually degrading, meaning that problems can persist unnoticed for long periods of time if monitoring is not in place. </w:t>
      </w:r>
    </w:p>
    <w:p w14:paraId="1951351D" w14:textId="77777777" w:rsidR="00BC2032" w:rsidRDefault="00BC2032" w:rsidP="00BC2032">
      <w:r>
        <w:t xml:space="preserve">Continuous monitoring of model performance is one of the most effective detection mechanisms. Metrics such as accuracy, precision, error rates, and confidence scores can be tracked over time to identify abnormal behaviour. Sudden </w:t>
      </w:r>
      <w:r>
        <w:lastRenderedPageBreak/>
        <w:t>or unexplained changes in these metrics may indicate data drift, changes in user behaviour, or deliberate manipulation of inputs. Without effective monitoring, these issues may only become apparent after harmful outcomes have already occurred.</w:t>
      </w:r>
    </w:p>
    <w:p w14:paraId="5B6F4B36" w14:textId="77777777" w:rsidR="00BC2032" w:rsidRDefault="00BC2032" w:rsidP="00BC2032">
      <w:r>
        <w:t>In addition to performance monitoring, organisations should implement security focussed monitoring for AI systems. Logging access to training data, models, and prediction endpoints helps to identify unauthorised use or misuse. When integrated with existing Security Information and Event Management (SIEM) systems, AI related events can be analysed alongside wider organisational security data, improving the ability to detect coordinated or sophisticated attacks.</w:t>
      </w:r>
    </w:p>
    <w:p w14:paraId="57A540DD" w14:textId="27CA9246" w:rsidR="00BC2032" w:rsidRDefault="00BC2032" w:rsidP="00BC2032">
      <w:r>
        <w:t xml:space="preserve">Explainable AI (XAI) techniques can further support detection by making model behaviour more transparent. When decision making processes can be interpreted and reviewed, it becomes easier to identify unexpected or unjustifiable outcomes, such as biased decisions or inconsistent predictions. This is particularly important in </w:t>
      </w:r>
      <w:proofErr w:type="gramStart"/>
      <w:r>
        <w:t>high risk</w:t>
      </w:r>
      <w:proofErr w:type="gramEnd"/>
      <w:r>
        <w:t xml:space="preserve"> applications where organisations must be able to justify automated decisions to regulators and affected individuals.</w:t>
      </w:r>
      <w:r w:rsidR="008E758F">
        <w:t xml:space="preserve"> One of the leading XAI techniques at the moment includes ‘</w:t>
      </w:r>
      <w:r w:rsidR="008E758F" w:rsidRPr="008E758F">
        <w:t>building white/</w:t>
      </w:r>
      <w:proofErr w:type="spellStart"/>
      <w:r w:rsidR="008E758F" w:rsidRPr="008E758F">
        <w:t>gray</w:t>
      </w:r>
      <w:proofErr w:type="spellEnd"/>
      <w:r w:rsidR="008E758F" w:rsidRPr="008E758F">
        <w:t>-box ML models which are interpretable by design</w:t>
      </w:r>
      <w:r w:rsidR="008E758F">
        <w:t>’ or ‘</w:t>
      </w:r>
      <w:r w:rsidR="008E758F" w:rsidRPr="008E758F">
        <w:t>endowing black-box models with a minimum level of interpretability when white/</w:t>
      </w:r>
      <w:proofErr w:type="spellStart"/>
      <w:r w:rsidR="008E758F" w:rsidRPr="008E758F">
        <w:t>gray</w:t>
      </w:r>
      <w:proofErr w:type="spellEnd"/>
      <w:r w:rsidR="008E758F" w:rsidRPr="008E758F">
        <w:t>-box models are not able to achieve an admissible level of accuracy.</w:t>
      </w:r>
      <w:r w:rsidR="008E758F">
        <w:t>’</w:t>
      </w:r>
      <w:sdt>
        <w:sdtPr>
          <w:id w:val="1735819766"/>
          <w:citation/>
        </w:sdtPr>
        <w:sdtContent>
          <w:r w:rsidR="008E758F">
            <w:fldChar w:fldCharType="begin"/>
          </w:r>
          <w:r w:rsidR="0060658A">
            <w:instrText xml:space="preserve">CITATION Saj23 \l 2057 </w:instrText>
          </w:r>
          <w:r w:rsidR="008E758F">
            <w:fldChar w:fldCharType="separate"/>
          </w:r>
          <w:r w:rsidR="001621C2">
            <w:rPr>
              <w:noProof/>
            </w:rPr>
            <w:t xml:space="preserve"> </w:t>
          </w:r>
          <w:r w:rsidR="001621C2" w:rsidRPr="001621C2">
            <w:rPr>
              <w:noProof/>
            </w:rPr>
            <w:t>[4]</w:t>
          </w:r>
          <w:r w:rsidR="008E758F">
            <w:fldChar w:fldCharType="end"/>
          </w:r>
        </w:sdtContent>
      </w:sdt>
    </w:p>
    <w:p w14:paraId="79B64DDA" w14:textId="77777777" w:rsidR="00BC2032" w:rsidRPr="005C1A85" w:rsidRDefault="00BC2032" w:rsidP="00BC2032">
      <w:r>
        <w:t>Effective detection relies on a combination of technical monitoring, transparency, and governance oversight. Organisations that fail to invest in detection mechanisms risk discovering issues only after significant damage has already been done.</w:t>
      </w:r>
    </w:p>
    <w:p w14:paraId="6DA8AA66" w14:textId="77777777" w:rsidR="00BC2032" w:rsidRPr="00BC2032" w:rsidRDefault="00BC2032" w:rsidP="00BC2032"/>
    <w:p w14:paraId="04F4D81B" w14:textId="77777777" w:rsidR="00B90B57" w:rsidRDefault="00B90B57" w:rsidP="00BC2032">
      <w:pPr>
        <w:pStyle w:val="Heading2"/>
      </w:pPr>
      <w:bookmarkStart w:id="12" w:name="_Toc218595008"/>
      <w:r>
        <w:t>Automated response and Organisational resilience</w:t>
      </w:r>
      <w:bookmarkEnd w:id="12"/>
    </w:p>
    <w:p w14:paraId="19FCF39C" w14:textId="77777777" w:rsidR="00B90B57" w:rsidRDefault="00B90B57" w:rsidP="00B90B57">
      <w:pPr>
        <w:pStyle w:val="Heading3"/>
      </w:pPr>
      <w:bookmarkStart w:id="13" w:name="_Toc218595009"/>
      <w:r>
        <w:t>Automated response mechanisms</w:t>
      </w:r>
      <w:bookmarkEnd w:id="13"/>
    </w:p>
    <w:p w14:paraId="392BFA74" w14:textId="77777777" w:rsidR="0067135B" w:rsidRDefault="00B90B57" w:rsidP="00B90B57">
      <w:r>
        <w:t xml:space="preserve">Given the speed at which AI systems operate, automated response mechanisms are increasingly important. These may include </w:t>
      </w:r>
      <w:r w:rsidR="0067135B">
        <w:t>automatically rolling back to a previous model version, isolating affected data sources, or temporarily disabling automated decision making when anomalies are detected.</w:t>
      </w:r>
    </w:p>
    <w:p w14:paraId="2D919FFB" w14:textId="77777777" w:rsidR="0067135B" w:rsidRDefault="0067135B" w:rsidP="00B90B57">
      <w:r>
        <w:t>Linking AI systems to broader security automation platforms allows organisations to respond quickly and consistently to incidents, reducing the potential impact of failures of attacks.</w:t>
      </w:r>
    </w:p>
    <w:p w14:paraId="5D7EA59F" w14:textId="77777777" w:rsidR="0067135B" w:rsidRDefault="0067135B" w:rsidP="0067135B">
      <w:pPr>
        <w:pStyle w:val="Heading3"/>
      </w:pPr>
      <w:bookmarkStart w:id="14" w:name="_Toc218595010"/>
      <w:r>
        <w:t>Human oversight and Accountability</w:t>
      </w:r>
      <w:bookmarkEnd w:id="14"/>
    </w:p>
    <w:p w14:paraId="296C252F" w14:textId="6C8AC327" w:rsidR="0067135B" w:rsidRDefault="0067135B" w:rsidP="0067135B">
      <w:r>
        <w:t>Despite the use of automation, human oversight remains essential</w:t>
      </w:r>
      <w:r w:rsidR="00805C45">
        <w:t xml:space="preserve"> ‘</w:t>
      </w:r>
      <w:r w:rsidR="00805C45" w:rsidRPr="00805C45">
        <w:t>to prevent or minimise the risks to health, safety or fundamental right</w:t>
      </w:r>
      <w:r w:rsidR="00805C45">
        <w:t>s’</w:t>
      </w:r>
      <w:sdt>
        <w:sdtPr>
          <w:id w:val="-497583145"/>
          <w:citation/>
        </w:sdtPr>
        <w:sdtContent>
          <w:r w:rsidR="00805C45">
            <w:fldChar w:fldCharType="begin"/>
          </w:r>
          <w:r w:rsidR="00805C45">
            <w:instrText xml:space="preserve"> CITATION EUA26 \l 2057 </w:instrText>
          </w:r>
          <w:r w:rsidR="00805C45">
            <w:fldChar w:fldCharType="separate"/>
          </w:r>
          <w:r w:rsidR="001621C2">
            <w:rPr>
              <w:noProof/>
            </w:rPr>
            <w:t xml:space="preserve"> </w:t>
          </w:r>
          <w:r w:rsidR="001621C2" w:rsidRPr="001621C2">
            <w:rPr>
              <w:noProof/>
            </w:rPr>
            <w:t>[5]</w:t>
          </w:r>
          <w:r w:rsidR="00805C45">
            <w:fldChar w:fldCharType="end"/>
          </w:r>
        </w:sdtContent>
      </w:sdt>
      <w:r>
        <w:t xml:space="preserve">. Clear accountability structures ensure that responsibility for AI decisions and failures is understood. </w:t>
      </w:r>
      <w:r>
        <w:lastRenderedPageBreak/>
        <w:t xml:space="preserve">Human in the loop approaches are particularly important for </w:t>
      </w:r>
      <w:r w:rsidR="00A62A66">
        <w:t>high-risk</w:t>
      </w:r>
      <w:r>
        <w:t xml:space="preserve"> applications, where automated decisions can have serious consequences for individuals.</w:t>
      </w:r>
    </w:p>
    <w:p w14:paraId="4184CCD5" w14:textId="77777777" w:rsidR="0067135B" w:rsidRDefault="0067135B" w:rsidP="0067135B">
      <w:r>
        <w:t>Regular testing, review, and governance updates help organisations remain resilient as both technology and threats continue to evolve.</w:t>
      </w:r>
    </w:p>
    <w:p w14:paraId="258F0088" w14:textId="77777777" w:rsidR="00BC2032" w:rsidRDefault="00BC2032" w:rsidP="0067135B"/>
    <w:p w14:paraId="1B36B6C2" w14:textId="77777777" w:rsidR="0067135B" w:rsidRDefault="0067135B" w:rsidP="0067135B">
      <w:pPr>
        <w:pStyle w:val="Heading2"/>
      </w:pPr>
      <w:bookmarkStart w:id="15" w:name="_Toc218595011"/>
      <w:r>
        <w:t>Critical evaluation of AI governance</w:t>
      </w:r>
      <w:bookmarkEnd w:id="15"/>
    </w:p>
    <w:p w14:paraId="4801E50C" w14:textId="582E452E" w:rsidR="0099576F" w:rsidRDefault="0099576F" w:rsidP="0099576F">
      <w:r>
        <w:t xml:space="preserve">While AI governance frameworks provide structure for maintaining risk, their effectiveness varies significantly between organisations. One of the main challenges is finding the right balance between governance and innovation. Overly restrictive controls can slow development and discourage experimentation, while weak governance only increases the likelihood of security breaches, ethical failures, and regulatory </w:t>
      </w:r>
      <w:proofErr w:type="gramStart"/>
      <w:r>
        <w:t>non compliance</w:t>
      </w:r>
      <w:proofErr w:type="gramEnd"/>
      <w:r>
        <w:t>.</w:t>
      </w:r>
    </w:p>
    <w:p w14:paraId="41BE2F43" w14:textId="22672284" w:rsidR="0099576F" w:rsidRDefault="0099576F" w:rsidP="0099576F">
      <w:r>
        <w:t xml:space="preserve">A further limitation is the gap between high level principles and practical implementation. Many organisations publish ethical AI </w:t>
      </w:r>
      <w:r w:rsidR="00BC2032">
        <w:t>guidelines but</w:t>
      </w:r>
      <w:r>
        <w:t xml:space="preserve"> struggle to translate these principles into enforceable technical and operational controls. Without clear accountability, measurable requirements, and consistent enforcement, ethical commitments risk becoming symbolic rather than meaningful.</w:t>
      </w:r>
    </w:p>
    <w:p w14:paraId="2C82BD65" w14:textId="5320FC9A" w:rsidR="0099576F" w:rsidRDefault="0099576F" w:rsidP="0099576F">
      <w:r>
        <w:t>Regulation presents an additional challenge. Although regulation often slows innovation, it exists to protect the individuals and ensure minimum standards of safety and fairness. History has shown that major technological advances are sometimes driven by failure or harm, but relying on this approach is no longer acceptable</w:t>
      </w:r>
      <w:r w:rsidR="001D72B3">
        <w:t>, particularly where AI systems can significantly affect people’s lives. In this context, proactive governance is preferable to reactive regulation introduced after damage has occurred.</w:t>
      </w:r>
    </w:p>
    <w:p w14:paraId="72CD3DDB" w14:textId="1C9CF6F7" w:rsidR="001D72B3" w:rsidRDefault="001D72B3" w:rsidP="0099576F">
      <w:r>
        <w:t xml:space="preserve">Another issue is the rapid pace of change in AI technologies. Governance frameworks can quickly become outdated as new models, tools, and use cases emerge. This requires organisations to treat AI governance as an ongoing process rather than a </w:t>
      </w:r>
      <w:proofErr w:type="gramStart"/>
      <w:r>
        <w:t>one time</w:t>
      </w:r>
      <w:proofErr w:type="gramEnd"/>
      <w:r>
        <w:t xml:space="preserve"> exercise, supported by regular review, auditing, and adaptation.</w:t>
      </w:r>
    </w:p>
    <w:p w14:paraId="43A75BB5" w14:textId="49390053" w:rsidR="001D72B3" w:rsidRDefault="001D72B3" w:rsidP="0099576F">
      <w:r>
        <w:t>Effective AI governance provides long term benefits. It improves trust, supports compliance, and reduces the risk of costly incidents. Organisations that invest in governance early are better positioned to deploy AI responsibly and sustainably.</w:t>
      </w:r>
    </w:p>
    <w:p w14:paraId="74DA0580" w14:textId="77777777" w:rsidR="00BC2032" w:rsidRPr="0099576F" w:rsidRDefault="00BC2032" w:rsidP="0099576F"/>
    <w:p w14:paraId="57BA37BA" w14:textId="77777777" w:rsidR="00A62A66" w:rsidRDefault="00A62A66" w:rsidP="00A62A66">
      <w:pPr>
        <w:pStyle w:val="Heading2"/>
      </w:pPr>
      <w:bookmarkStart w:id="16" w:name="_Toc218595012"/>
      <w:r>
        <w:t>Conclusion</w:t>
      </w:r>
      <w:bookmarkEnd w:id="16"/>
    </w:p>
    <w:p w14:paraId="17F00CDA" w14:textId="77777777" w:rsidR="001D72B3" w:rsidRDefault="001D72B3" w:rsidP="00A62A66">
      <w:r>
        <w:t xml:space="preserve">Governance of AI and Machine learning systems represents a significant challenge for modern organisations, particularly in relation to data security, ethics, and </w:t>
      </w:r>
      <w:r>
        <w:lastRenderedPageBreak/>
        <w:t>regulatory compliance. As AI systems become more deeply embedded in critical operations, the consequences of failure become increasingly serious, making effective governance essential.</w:t>
      </w:r>
    </w:p>
    <w:p w14:paraId="69963367" w14:textId="77777777" w:rsidR="001D72B3" w:rsidRDefault="001D72B3" w:rsidP="00A62A66">
      <w:r>
        <w:t>This report has shown that organisations must move beyond reactive approaches and instead develop governance environments that actively anticipate risks, protect sensitive data and models, detect threats and irregular behaviour, and respond effectively when incidents occur. Technical controls alone are not sufficient; strong governance also requires clear policies, accountability structures, and appropriate human oversight.</w:t>
      </w:r>
    </w:p>
    <w:p w14:paraId="55768CE2" w14:textId="77777777" w:rsidR="009224D5" w:rsidRDefault="001D72B3" w:rsidP="00A62A66">
      <w:r>
        <w:t>While governance and regulation may slow innovation, they play a vital role in protecting individuals and maintaining trust in AI systems. The challenge for organisations is not to avoid governance</w:t>
      </w:r>
      <w:r w:rsidR="009224D5">
        <w:t xml:space="preserve">, but to implement it in a way that supports safe and responsible innovation rather than unnecessarily restricting progress. </w:t>
      </w:r>
    </w:p>
    <w:p w14:paraId="13E0EFD7" w14:textId="77777777" w:rsidR="00ED6E79" w:rsidRDefault="009224D5" w:rsidP="00A62A66">
      <w:r>
        <w:t>Ultimately, organisations that adopt adaptable and well implemented AI governance frameworks are better positioned to benefit from AI technologies while minimising harm. As AI continues to evolve, ongoing investment in governance, monitoring and review will remain critical to ensuring AI systems are secure, ethical, and compliant</w:t>
      </w:r>
      <w:r w:rsidR="00292140">
        <w:t>.</w:t>
      </w:r>
    </w:p>
    <w:p w14:paraId="24A411F0" w14:textId="77777777" w:rsidR="00ED6E79" w:rsidRDefault="00ED6E79">
      <w:r>
        <w:br w:type="page"/>
      </w:r>
    </w:p>
    <w:p w14:paraId="5D02883E" w14:textId="77777777" w:rsidR="00ED6E79" w:rsidRDefault="00ED6E79" w:rsidP="00ED6E79">
      <w:pPr>
        <w:pStyle w:val="Heading1"/>
      </w:pPr>
      <w:bookmarkStart w:id="17" w:name="_Toc218595013"/>
      <w:r>
        <w:lastRenderedPageBreak/>
        <w:t xml:space="preserve">Task 2 – </w:t>
      </w:r>
      <w:proofErr w:type="spellStart"/>
      <w:r>
        <w:t>ResilientIntellect</w:t>
      </w:r>
      <w:proofErr w:type="spellEnd"/>
      <w:r>
        <w:t xml:space="preserve"> Ltd Case Scenario</w:t>
      </w:r>
      <w:bookmarkEnd w:id="17"/>
    </w:p>
    <w:p w14:paraId="13C17ADD" w14:textId="77777777" w:rsidR="00325D2B" w:rsidRDefault="00325D2B" w:rsidP="00ED6E79">
      <w:pPr>
        <w:pStyle w:val="Heading2"/>
      </w:pPr>
      <w:bookmarkStart w:id="18" w:name="_Toc218595014"/>
      <w:r>
        <w:t>Strategic Design Overview</w:t>
      </w:r>
      <w:bookmarkEnd w:id="18"/>
    </w:p>
    <w:p w14:paraId="0304F178" w14:textId="77777777" w:rsidR="00325D2B" w:rsidRDefault="00325D2B" w:rsidP="00325D2B">
      <w:proofErr w:type="spellStart"/>
      <w:r>
        <w:t>ResilientIntellect</w:t>
      </w:r>
      <w:proofErr w:type="spellEnd"/>
      <w:r>
        <w:t xml:space="preserve"> Ltd is expanding into the European Union, which brings a more complex regulatory landscape and exposes the company to new cyber risks due to its hybrid workforce and cloud-hosted AI systems. To tackle this, a Zero Trust aligned security programme is essential. Zero Trust operates on the principle of never trust, always verify, meaning that every user, device, and system is continuously authenticated and authorised before gaining access to critical resources.</w:t>
      </w:r>
    </w:p>
    <w:p w14:paraId="4D2243E6" w14:textId="77777777" w:rsidR="000B1AC9" w:rsidRDefault="00325D2B" w:rsidP="00325D2B">
      <w:r>
        <w:t xml:space="preserve">This is particularly important for </w:t>
      </w:r>
      <w:proofErr w:type="spellStart"/>
      <w:r>
        <w:t>ResilientIntellect</w:t>
      </w:r>
      <w:proofErr w:type="spellEnd"/>
      <w:r>
        <w:t xml:space="preserve"> because of the sensitive nature of its AI powered threat intelligence software. AI models, training data, and cloud environments are high value targets, and any compromise could directly affect clients’ security. A Zero Trust approach would ensure that even if one component is breached, </w:t>
      </w:r>
      <w:r w:rsidR="000B1AC9">
        <w:t>attackers cannot mover laterally or access any sensitive resources.</w:t>
      </w:r>
    </w:p>
    <w:p w14:paraId="07507247" w14:textId="77777777" w:rsidR="000B1AC9" w:rsidRDefault="000B1AC9" w:rsidP="00325D2B">
      <w:r>
        <w:t xml:space="preserve">The programme is designed to protect AI development assets, cloud services, and </w:t>
      </w:r>
      <w:proofErr w:type="spellStart"/>
      <w:r>
        <w:t>hubrid</w:t>
      </w:r>
      <w:proofErr w:type="spellEnd"/>
      <w:r>
        <w:t xml:space="preserve"> workforce devices while enabling operational continuity and innovation. Core components include identity and access management (IAM), device and endpoint security, network micro segmentation, continuous monitoring, automated threat detection and response, and compliance alignment. Implementing these controls would help to safeguard client trust, maintain regulatory compliance, and allow innovation to continue without unnecessary risk.</w:t>
      </w:r>
    </w:p>
    <w:p w14:paraId="07ED71BD" w14:textId="77777777" w:rsidR="00BA4B97" w:rsidRDefault="000B1AC9" w:rsidP="00325D2B">
      <w:r>
        <w:t>The Zero Trust architecture uses identity gateways to control access to cloud services and AI resources, along with micro segmented network zones for sensi</w:t>
      </w:r>
      <w:r w:rsidR="00DA62D1">
        <w:t xml:space="preserve">tive workloads. Continuous monitoring is achieved through SEIM and EDR systems, integrated with automated response workflows. This setup enables </w:t>
      </w:r>
      <w:proofErr w:type="spellStart"/>
      <w:r w:rsidR="00DA62D1">
        <w:t>ResilientIntellect</w:t>
      </w:r>
      <w:proofErr w:type="spellEnd"/>
      <w:r w:rsidR="00DA62D1">
        <w:t xml:space="preserve"> to detect, contain, and</w:t>
      </w:r>
      <w:r w:rsidR="00BA4B97">
        <w:t xml:space="preserve"> respond to incidents before they escalate, which is critical for maintaining operational resilience and meeting regulatory compliance requirements.</w:t>
      </w:r>
    </w:p>
    <w:p w14:paraId="63EBE091" w14:textId="77777777" w:rsidR="00BA4B97" w:rsidRDefault="00BA4B97" w:rsidP="00325D2B"/>
    <w:p w14:paraId="6C86133D" w14:textId="77777777" w:rsidR="00BA4B97" w:rsidRDefault="00BA4B97" w:rsidP="00BA4B97">
      <w:pPr>
        <w:pStyle w:val="Heading2"/>
      </w:pPr>
      <w:bookmarkStart w:id="19" w:name="_Toc218595015"/>
      <w:r>
        <w:t>Organisational Structure</w:t>
      </w:r>
      <w:bookmarkEnd w:id="19"/>
    </w:p>
    <w:p w14:paraId="09294BEA" w14:textId="77777777" w:rsidR="00BA4B97" w:rsidRDefault="00BA4B97" w:rsidP="00BA4B97">
      <w:r>
        <w:t xml:space="preserve">To implement a Zero Trust model effectively, </w:t>
      </w:r>
      <w:proofErr w:type="spellStart"/>
      <w:r>
        <w:t>ResilientIntellect</w:t>
      </w:r>
      <w:proofErr w:type="spellEnd"/>
      <w:r>
        <w:t xml:space="preserve"> needs a clear and accountable security structure. The roles found in the table below are critical.</w:t>
      </w:r>
    </w:p>
    <w:tbl>
      <w:tblPr>
        <w:tblStyle w:val="TableGrid"/>
        <w:tblW w:w="0" w:type="auto"/>
        <w:tblLook w:val="04A0" w:firstRow="1" w:lastRow="0" w:firstColumn="1" w:lastColumn="0" w:noHBand="0" w:noVBand="1"/>
      </w:tblPr>
      <w:tblGrid>
        <w:gridCol w:w="4508"/>
        <w:gridCol w:w="4508"/>
      </w:tblGrid>
      <w:tr w:rsidR="007E355C" w14:paraId="45C42BE6" w14:textId="77777777" w:rsidTr="007E355C">
        <w:tc>
          <w:tcPr>
            <w:tcW w:w="4508" w:type="dxa"/>
          </w:tcPr>
          <w:p w14:paraId="155A78D8" w14:textId="458823BC" w:rsidR="007E355C" w:rsidRPr="007E355C" w:rsidRDefault="007E355C" w:rsidP="00BA4B97">
            <w:pPr>
              <w:rPr>
                <w:b/>
                <w:bCs/>
              </w:rPr>
            </w:pPr>
            <w:r w:rsidRPr="007E355C">
              <w:rPr>
                <w:b/>
                <w:bCs/>
              </w:rPr>
              <w:t>Role</w:t>
            </w:r>
          </w:p>
        </w:tc>
        <w:tc>
          <w:tcPr>
            <w:tcW w:w="4508" w:type="dxa"/>
          </w:tcPr>
          <w:p w14:paraId="4ADAC4FE" w14:textId="727AF21E" w:rsidR="007E355C" w:rsidRDefault="007E355C" w:rsidP="00BA4B97">
            <w:r>
              <w:t>Responsibilities</w:t>
            </w:r>
          </w:p>
        </w:tc>
      </w:tr>
      <w:tr w:rsidR="007E355C" w14:paraId="77491F79" w14:textId="77777777" w:rsidTr="007E355C">
        <w:tc>
          <w:tcPr>
            <w:tcW w:w="4508" w:type="dxa"/>
          </w:tcPr>
          <w:p w14:paraId="11D4F86A" w14:textId="7B4CB512" w:rsidR="007E355C" w:rsidRPr="007E355C" w:rsidRDefault="007E355C" w:rsidP="00BA4B97">
            <w:pPr>
              <w:rPr>
                <w:b/>
                <w:bCs/>
              </w:rPr>
            </w:pPr>
            <w:r>
              <w:rPr>
                <w:b/>
                <w:bCs/>
              </w:rPr>
              <w:t>Cloud Security Architect</w:t>
            </w:r>
          </w:p>
        </w:tc>
        <w:tc>
          <w:tcPr>
            <w:tcW w:w="4508" w:type="dxa"/>
          </w:tcPr>
          <w:p w14:paraId="324AB687" w14:textId="42254AC1" w:rsidR="007E355C" w:rsidRDefault="007E355C" w:rsidP="00BA4B97">
            <w:r>
              <w:t>Designs secure cloud infrastructure, enforces CSPM controls, Manages IAM policies, implements network micro segmentation, ensures DORA and NIS2 compliance.</w:t>
            </w:r>
          </w:p>
        </w:tc>
      </w:tr>
      <w:tr w:rsidR="007E355C" w14:paraId="0C6F855F" w14:textId="77777777" w:rsidTr="007E355C">
        <w:tc>
          <w:tcPr>
            <w:tcW w:w="4508" w:type="dxa"/>
          </w:tcPr>
          <w:p w14:paraId="4B495B45" w14:textId="0642F25D" w:rsidR="007E355C" w:rsidRPr="007E355C" w:rsidRDefault="007E355C" w:rsidP="00BA4B97">
            <w:pPr>
              <w:rPr>
                <w:b/>
                <w:bCs/>
              </w:rPr>
            </w:pPr>
            <w:proofErr w:type="spellStart"/>
            <w:r>
              <w:rPr>
                <w:b/>
                <w:bCs/>
              </w:rPr>
              <w:lastRenderedPageBreak/>
              <w:t>DevSecOps</w:t>
            </w:r>
            <w:proofErr w:type="spellEnd"/>
            <w:r>
              <w:rPr>
                <w:b/>
                <w:bCs/>
              </w:rPr>
              <w:t xml:space="preserve"> Lead</w:t>
            </w:r>
          </w:p>
        </w:tc>
        <w:tc>
          <w:tcPr>
            <w:tcW w:w="4508" w:type="dxa"/>
          </w:tcPr>
          <w:p w14:paraId="583F38B6" w14:textId="18EC13C1" w:rsidR="007E355C" w:rsidRDefault="007E355C" w:rsidP="00BA4B97">
            <w:r>
              <w:t>Integrates security into CI/CD pipelines, secures AI model training and deployment, performs automated code scanning, monitors vulnerabilities, and manages supply chain risks.</w:t>
            </w:r>
          </w:p>
        </w:tc>
      </w:tr>
      <w:tr w:rsidR="007E355C" w14:paraId="535D0FAE" w14:textId="77777777" w:rsidTr="007E355C">
        <w:tc>
          <w:tcPr>
            <w:tcW w:w="4508" w:type="dxa"/>
          </w:tcPr>
          <w:p w14:paraId="2D5C4C87" w14:textId="1D53D213" w:rsidR="007E355C" w:rsidRPr="007E355C" w:rsidRDefault="007E355C" w:rsidP="00BA4B97">
            <w:pPr>
              <w:rPr>
                <w:b/>
                <w:bCs/>
              </w:rPr>
            </w:pPr>
            <w:r>
              <w:rPr>
                <w:b/>
                <w:bCs/>
              </w:rPr>
              <w:t>Chief Information Security Officer (CISO)</w:t>
            </w:r>
          </w:p>
        </w:tc>
        <w:tc>
          <w:tcPr>
            <w:tcW w:w="4508" w:type="dxa"/>
          </w:tcPr>
          <w:p w14:paraId="48F0A7AA" w14:textId="3073903A" w:rsidR="007E355C" w:rsidRDefault="007E355C" w:rsidP="00BA4B97">
            <w:r>
              <w:t>Oversees the overall security strategy, governance, and incident response planning.</w:t>
            </w:r>
          </w:p>
        </w:tc>
      </w:tr>
      <w:tr w:rsidR="007E355C" w14:paraId="11F82AD3" w14:textId="77777777" w:rsidTr="007E355C">
        <w:tc>
          <w:tcPr>
            <w:tcW w:w="4508" w:type="dxa"/>
          </w:tcPr>
          <w:p w14:paraId="342F67C5" w14:textId="746B2F00" w:rsidR="007E355C" w:rsidRPr="007E355C" w:rsidRDefault="007E355C" w:rsidP="00BA4B97">
            <w:pPr>
              <w:rPr>
                <w:b/>
                <w:bCs/>
              </w:rPr>
            </w:pPr>
            <w:r>
              <w:rPr>
                <w:b/>
                <w:bCs/>
              </w:rPr>
              <w:t>Security Analysts</w:t>
            </w:r>
          </w:p>
        </w:tc>
        <w:tc>
          <w:tcPr>
            <w:tcW w:w="4508" w:type="dxa"/>
          </w:tcPr>
          <w:p w14:paraId="19ACB714" w14:textId="631E65A6" w:rsidR="007E355C" w:rsidRDefault="007E355C" w:rsidP="00BA4B97">
            <w:r>
              <w:t>Monitor endpoints and cloud systems using EDR, SEIM, and automated alerts; triage and remediate threats.</w:t>
            </w:r>
          </w:p>
        </w:tc>
      </w:tr>
      <w:tr w:rsidR="007E355C" w14:paraId="2EBC588E" w14:textId="77777777" w:rsidTr="007E355C">
        <w:tc>
          <w:tcPr>
            <w:tcW w:w="4508" w:type="dxa"/>
          </w:tcPr>
          <w:p w14:paraId="788F88BC" w14:textId="2631BD32" w:rsidR="007E355C" w:rsidRPr="007E355C" w:rsidRDefault="007E355C" w:rsidP="00BA4B97">
            <w:pPr>
              <w:rPr>
                <w:b/>
                <w:bCs/>
              </w:rPr>
            </w:pPr>
            <w:r>
              <w:rPr>
                <w:b/>
                <w:bCs/>
              </w:rPr>
              <w:t>Compliance Officer</w:t>
            </w:r>
          </w:p>
        </w:tc>
        <w:tc>
          <w:tcPr>
            <w:tcW w:w="4508" w:type="dxa"/>
          </w:tcPr>
          <w:p w14:paraId="357D9B52" w14:textId="27FEA376" w:rsidR="007E355C" w:rsidRDefault="007E355C" w:rsidP="00BA4B97">
            <w:r>
              <w:t>Ensures adherence to DORA operational resilience and NIS2 reporting obligations.</w:t>
            </w:r>
          </w:p>
        </w:tc>
      </w:tr>
    </w:tbl>
    <w:p w14:paraId="1F8DF379" w14:textId="77777777" w:rsidR="007E355C" w:rsidRDefault="007E355C" w:rsidP="00BA4B97"/>
    <w:p w14:paraId="69AE90B5" w14:textId="77777777" w:rsidR="007E355C" w:rsidRDefault="007E355C" w:rsidP="00BA4B97">
      <w:r>
        <w:t xml:space="preserve">Having both a Cloud Security Architect and a </w:t>
      </w:r>
      <w:proofErr w:type="spellStart"/>
      <w:r>
        <w:t>DevSecOps</w:t>
      </w:r>
      <w:proofErr w:type="spellEnd"/>
      <w:r>
        <w:t xml:space="preserve"> Lead ensures that both infrastructure and AI software development are secured by dedicated experts. The Cloud Security Architect focuses on protecting cloud hosted data and SaaS applications, while the </w:t>
      </w:r>
      <w:proofErr w:type="spellStart"/>
      <w:r>
        <w:t>DevSecOps</w:t>
      </w:r>
      <w:proofErr w:type="spellEnd"/>
      <w:r>
        <w:t xml:space="preserve"> Lead embeds security into AI development pipelines to prevent issues such as poisoned models or vulnerable dependencies.</w:t>
      </w:r>
    </w:p>
    <w:p w14:paraId="1840AF26" w14:textId="77777777" w:rsidR="007E355C" w:rsidRDefault="007E355C" w:rsidP="00BA4B97">
      <w:r>
        <w:t xml:space="preserve">For example, the </w:t>
      </w:r>
      <w:proofErr w:type="spellStart"/>
      <w:r>
        <w:t>DevSecOps</w:t>
      </w:r>
      <w:proofErr w:type="spellEnd"/>
      <w:r>
        <w:t xml:space="preserve"> Lead runs daily automated scans of code repositories and AI model versions to detect anomalies or compromised inputs before deployment. Meanwhile, the Cloud Security Architect implements network segmentation and least privilege access policies to prevent attackers from moving laterally, limiting potential damage in case of a breach.</w:t>
      </w:r>
    </w:p>
    <w:p w14:paraId="7D7612E6" w14:textId="77777777" w:rsidR="004863E2" w:rsidRDefault="004863E2" w:rsidP="00BA4B97"/>
    <w:p w14:paraId="23E1EC46" w14:textId="534599DC" w:rsidR="004863E2" w:rsidRDefault="004863E2" w:rsidP="004863E2">
      <w:pPr>
        <w:pStyle w:val="Heading2"/>
      </w:pPr>
      <w:bookmarkStart w:id="20" w:name="_Toc218595016"/>
      <w:r>
        <w:t>Policies and Procedures</w:t>
      </w:r>
      <w:bookmarkEnd w:id="20"/>
    </w:p>
    <w:p w14:paraId="35A81365" w14:textId="1CF8662F" w:rsidR="004863E2" w:rsidRDefault="004863E2" w:rsidP="004863E2">
      <w:r>
        <w:t>Supporting Zero Trust and hybrid operations requires clear policies for AI usage, SaaS configuration, and BYOD.</w:t>
      </w:r>
    </w:p>
    <w:p w14:paraId="1EF72AF2" w14:textId="239E47B1" w:rsidR="004863E2" w:rsidRDefault="004863E2" w:rsidP="004863E2">
      <w:r>
        <w:t xml:space="preserve">The AI usage policy requires verification of data sources, model testing for bias and version control. For instance, if a malicious actor attempted to inject biased data into a model, automated checks would flag inconsistencies, preventing </w:t>
      </w:r>
      <w:r w:rsidR="008B2490">
        <w:t>deployment.</w:t>
      </w:r>
    </w:p>
    <w:p w14:paraId="19DB2691" w14:textId="65DDD085" w:rsidR="008B2490" w:rsidRDefault="008B2490" w:rsidP="004863E2">
      <w:r>
        <w:t>The BYOD policy would address the hybrid workforce. BYOD devices must meet security requirements before connecting to corporate resources, ensuring that remote or unmanaged endpoints cannot be exploited. MFA and endpoint monitoring reduce the risk of credential theft or malware spread.</w:t>
      </w:r>
    </w:p>
    <w:p w14:paraId="45EFF3D3" w14:textId="5E446DA0" w:rsidR="008B2490" w:rsidRDefault="008B2490" w:rsidP="004863E2">
      <w:r>
        <w:t>The Secure SaaS Configuration policy would ensure that cloud applications are configured securely from the outset. CSPM tools continuously monitor for misconfigurations, enforce encryption, and ensure logging is enabled, aligning with operational resilience obligations under DORA.</w:t>
      </w:r>
    </w:p>
    <w:p w14:paraId="4CEE50AF" w14:textId="2BACEDAB" w:rsidR="008B2490" w:rsidRDefault="008B2490" w:rsidP="008B2490">
      <w:pPr>
        <w:pStyle w:val="Heading2"/>
      </w:pPr>
      <w:bookmarkStart w:id="21" w:name="_Toc218595017"/>
      <w:r>
        <w:lastRenderedPageBreak/>
        <w:t>Compliance</w:t>
      </w:r>
      <w:bookmarkEnd w:id="21"/>
    </w:p>
    <w:p w14:paraId="2E450395" w14:textId="2491A61C" w:rsidR="008B2490" w:rsidRDefault="00F70941" w:rsidP="008B2490">
      <w:r>
        <w:t xml:space="preserve">Expanding into the European Union brings obligations under DORA and NIS2, both of which the security programme must address. </w:t>
      </w:r>
    </w:p>
    <w:p w14:paraId="0A24B97F" w14:textId="658F4C97" w:rsidR="00F70941" w:rsidRDefault="00F70941" w:rsidP="008B2490">
      <w:r>
        <w:t xml:space="preserve">The Digital Operational Resilience Act (DORA) entails that </w:t>
      </w:r>
      <w:proofErr w:type="spellStart"/>
      <w:r>
        <w:t>ResilientIntellect</w:t>
      </w:r>
      <w:proofErr w:type="spellEnd"/>
      <w:r>
        <w:t xml:space="preserve"> must ensure operational resilience for critical ICT systems, including AI pipelines and cloud infrastructure. This involves mapping dependencies, conducting regular tests of failover and recovery processes, and demonstrating the ability to maintain business continuity in disruptive events.</w:t>
      </w:r>
    </w:p>
    <w:p w14:paraId="7BB94ECF" w14:textId="49E10E6E" w:rsidR="00F70941" w:rsidRDefault="00F70941" w:rsidP="008B2490">
      <w:r>
        <w:t xml:space="preserve">The Network and Information Systems Directive (NIS2) </w:t>
      </w:r>
      <w:proofErr w:type="gramStart"/>
      <w:r>
        <w:t>requires</w:t>
      </w:r>
      <w:proofErr w:type="gramEnd"/>
      <w:r>
        <w:t xml:space="preserve"> the reporting of significant cybersecurity incidents within 24 to 72 hours. This covers ransomware attacks affecting AI models, cloud misconfigurations, or other incidents disrupting services.</w:t>
      </w:r>
      <w:r w:rsidR="009A1D93">
        <w:t xml:space="preserve"> Maintaining comprehensive documentation ensures that </w:t>
      </w:r>
      <w:proofErr w:type="spellStart"/>
      <w:r w:rsidR="009A1D93">
        <w:t>ResilientIntellect</w:t>
      </w:r>
      <w:proofErr w:type="spellEnd"/>
      <w:r w:rsidR="009A1D93">
        <w:t xml:space="preserve"> can comply with audits and regulator requests.</w:t>
      </w:r>
    </w:p>
    <w:p w14:paraId="6BB4BB0C" w14:textId="10011884" w:rsidR="009A1D93" w:rsidRDefault="009A1D93" w:rsidP="008B2490">
      <w:r>
        <w:t xml:space="preserve">For example, a ransomware attack encrypting AI training data would require a documented incident response workflow that includes restoring from offline backups and reporting to regulators within the required timeframe. By embedding these compliance obligations into Zero Trust controls, policies, and monitoring systems, </w:t>
      </w:r>
      <w:proofErr w:type="spellStart"/>
      <w:r>
        <w:t>ResilientIntellect</w:t>
      </w:r>
      <w:proofErr w:type="spellEnd"/>
      <w:r>
        <w:t xml:space="preserve"> ensures that security and regulatory requirements are aligned.</w:t>
      </w:r>
    </w:p>
    <w:p w14:paraId="0FF6722E" w14:textId="77777777" w:rsidR="009A1D93" w:rsidRDefault="009A1D93" w:rsidP="008B2490"/>
    <w:p w14:paraId="621E2099" w14:textId="5F98A4AC" w:rsidR="009A1D93" w:rsidRDefault="009A1D93" w:rsidP="009A1D93">
      <w:pPr>
        <w:pStyle w:val="Heading2"/>
      </w:pPr>
      <w:bookmarkStart w:id="22" w:name="_Toc218595018"/>
      <w:r>
        <w:t>Governance and Strategy</w:t>
      </w:r>
      <w:bookmarkEnd w:id="22"/>
    </w:p>
    <w:p w14:paraId="28C94B59" w14:textId="0975D8A3" w:rsidR="009A1D93" w:rsidRDefault="000115E0" w:rsidP="009A1D93">
      <w:r>
        <w:t>Effective governance is essential to ensure that secur</w:t>
      </w:r>
      <w:r w:rsidR="00156996">
        <w:t xml:space="preserve">ity controls are not implemented in isolation but instead support the wider business objectives of </w:t>
      </w:r>
      <w:proofErr w:type="spellStart"/>
      <w:r w:rsidR="00156996">
        <w:t>ResilientIntellect</w:t>
      </w:r>
      <w:proofErr w:type="spellEnd"/>
      <w:r w:rsidR="00156996">
        <w:t>. The governance model for the EU unit is based on the NIST Cybersecurity Framework (CSF) 2.0, which provides a structured and widely recognised approach to managing cybersecurity risk while remaining flexible enough to adapt to evolving threats and regulatory requirements. Using NIST CSF2.0 also allows security decisions to be clearly mapped to both operational resilience and compliance obligations under DORA and NIS2.</w:t>
      </w:r>
    </w:p>
    <w:p w14:paraId="0EFE2E64" w14:textId="4FF67292" w:rsidR="00156996" w:rsidRDefault="00156996" w:rsidP="009A1D93">
      <w:r>
        <w:t xml:space="preserve">The identify policy focuses on maintaining a clear understanding of critical assets, including AI models, training data, cloud services, and </w:t>
      </w:r>
      <w:proofErr w:type="gramStart"/>
      <w:r>
        <w:t>third party</w:t>
      </w:r>
      <w:proofErr w:type="gramEnd"/>
      <w:r>
        <w:t xml:space="preserve"> dependencies. This visibility is particularly important for an organisation developing AI powered threat intelligence software, as compromised data or models could have direct consequences for clients. Asset inventories, dependency mapping, and data classification ensure that the most critical systems receive the highest level of protection.</w:t>
      </w:r>
    </w:p>
    <w:p w14:paraId="66F7BE92" w14:textId="30AB5280" w:rsidR="00156996" w:rsidRDefault="00156996" w:rsidP="009A1D93">
      <w:r>
        <w:t>The protect policy imple</w:t>
      </w:r>
      <w:r w:rsidR="005563D0">
        <w:t xml:space="preserve">mented through identity centric access controls, encryption, endpoint security, and network micro segmentation. Zero Trust </w:t>
      </w:r>
      <w:r w:rsidR="005563D0">
        <w:lastRenderedPageBreak/>
        <w:t>principles ensure that access is granted based on verified identity, devise posture, and context rather than network location. This approach reduces the risk of unauthorised access and limits the potential impact of a breach, supporting both business continuity and regulatory expectations for safeguarding sensitive data.</w:t>
      </w:r>
    </w:p>
    <w:p w14:paraId="5A642932" w14:textId="2AA59199" w:rsidR="005563D0" w:rsidRDefault="005563D0" w:rsidP="009A1D93">
      <w:r>
        <w:t>The detect policy is enabled through continuous monitoring using SEIM, EDR, and behavioural analytics. Logs and telemetry from cloud platforms, endpoints, and AI systems are correlated to identify unusual activity or indicators of compromise. In the context of AI development, monitoring also extends to model behaviour and training pipelines to detect anomalies that could indicate model poisoning or tampering.</w:t>
      </w:r>
    </w:p>
    <w:p w14:paraId="2AAFC791" w14:textId="0C82E3E5" w:rsidR="005563D0" w:rsidRDefault="005563D0" w:rsidP="009A1D93">
      <w:r>
        <w:t>The respond policy emphasises automation and predefined response workflows. When a threat is detected, automated playbooks isolate affected systems, revoke compromised credentials, and alert the security team. This reduces response times and limits disruption, which is essential for meeting DORA’s operational resilience requirements and NIS2 incident reporting timelines.</w:t>
      </w:r>
    </w:p>
    <w:p w14:paraId="46568A7E" w14:textId="7EDD0809" w:rsidR="005563D0" w:rsidRDefault="005563D0" w:rsidP="009A1D93">
      <w:proofErr w:type="gramStart"/>
      <w:r>
        <w:t>Finally</w:t>
      </w:r>
      <w:proofErr w:type="gramEnd"/>
      <w:r>
        <w:t xml:space="preserve"> the recover policy ensures that systems and data can be restored quickly following an incident. Immutable backups, regular recovery testing, and post incident reviews enable </w:t>
      </w:r>
      <w:proofErr w:type="spellStart"/>
      <w:r>
        <w:t>ResilienIntellect</w:t>
      </w:r>
      <w:proofErr w:type="spellEnd"/>
      <w:r>
        <w:t xml:space="preserve"> to resume normal operations while learning from security events. Recover activities are treated as a part of a continuous improvement process, ensuring that governance and strategy evolve alongside emerging threats and business growth.</w:t>
      </w:r>
    </w:p>
    <w:p w14:paraId="65FC01ED" w14:textId="77777777" w:rsidR="004130C1" w:rsidRDefault="004130C1" w:rsidP="009A1D93"/>
    <w:p w14:paraId="0DD039D0" w14:textId="1093EC45" w:rsidR="004130C1" w:rsidRDefault="004130C1" w:rsidP="004130C1">
      <w:pPr>
        <w:pStyle w:val="Heading2"/>
      </w:pPr>
      <w:bookmarkStart w:id="23" w:name="_Toc218595019"/>
      <w:r>
        <w:t>High Level Risk Assessment</w:t>
      </w:r>
      <w:bookmarkEnd w:id="23"/>
    </w:p>
    <w:p w14:paraId="2D92DAB1" w14:textId="0831987C" w:rsidR="004130C1" w:rsidRDefault="004130C1" w:rsidP="004130C1">
      <w:r>
        <w:t xml:space="preserve">As </w:t>
      </w:r>
      <w:proofErr w:type="spellStart"/>
      <w:r>
        <w:t>ResilientIntellect</w:t>
      </w:r>
      <w:proofErr w:type="spellEnd"/>
      <w:r>
        <w:t xml:space="preserve"> expands into the EU, it faces </w:t>
      </w:r>
      <w:proofErr w:type="gramStart"/>
      <w:r>
        <w:t>a number of</w:t>
      </w:r>
      <w:proofErr w:type="gramEnd"/>
      <w:r>
        <w:t xml:space="preserve"> risks that are closely linked to is reliance on AI development, cloud infrastructure, and </w:t>
      </w:r>
      <w:proofErr w:type="gramStart"/>
      <w:r>
        <w:t>third party</w:t>
      </w:r>
      <w:proofErr w:type="gramEnd"/>
      <w:r>
        <w:t xml:space="preserve"> software components. A </w:t>
      </w:r>
      <w:proofErr w:type="gramStart"/>
      <w:r>
        <w:t>high level</w:t>
      </w:r>
      <w:proofErr w:type="gramEnd"/>
      <w:r>
        <w:t xml:space="preserve"> risk assessment allows the organisation to prioritise these risks and apply appropriate controls in line with Zero Trust principles.</w:t>
      </w:r>
    </w:p>
    <w:p w14:paraId="0E3F6764" w14:textId="04D6F23F" w:rsidR="004130C1" w:rsidRDefault="004130C1" w:rsidP="004130C1">
      <w:r>
        <w:t>One of the most significant risks is the potential for poisoned AI models. Because the company relies so heavily on large datasets and automated training pipelines, there is a risk that malicious or biased data could be introduced during the training process. This could result in inaccurate</w:t>
      </w:r>
      <w:r w:rsidR="007C4682">
        <w:t xml:space="preserve"> </w:t>
      </w:r>
      <w:r w:rsidR="002043E4">
        <w:t xml:space="preserve">threat intelligence or biased outputs being delivered to clients, ultimately damaging trust and credibility. To mitigate this risk, strict validation of training data, version control of models, and continuous monitoring of model behaviour are required. Integrating these controls into </w:t>
      </w:r>
      <w:proofErr w:type="spellStart"/>
      <w:r w:rsidR="002043E4">
        <w:t>DevSecOps</w:t>
      </w:r>
      <w:proofErr w:type="spellEnd"/>
      <w:r w:rsidR="002043E4">
        <w:t xml:space="preserve"> pipelines helps ensure that compromised models are detected before deployment. </w:t>
      </w:r>
    </w:p>
    <w:p w14:paraId="44879301" w14:textId="6F5225C5" w:rsidR="002043E4" w:rsidRDefault="002043E4" w:rsidP="004130C1">
      <w:r>
        <w:t xml:space="preserve">Another major concern is software supply chain vulnerabilities, particularly within </w:t>
      </w:r>
      <w:proofErr w:type="gramStart"/>
      <w:r>
        <w:t>open source</w:t>
      </w:r>
      <w:proofErr w:type="gramEnd"/>
      <w:r>
        <w:t xml:space="preserve"> libraries and </w:t>
      </w:r>
      <w:proofErr w:type="gramStart"/>
      <w:r>
        <w:t>third party</w:t>
      </w:r>
      <w:proofErr w:type="gramEnd"/>
      <w:r>
        <w:t xml:space="preserve"> dependencies. Vulnerable or outdated </w:t>
      </w:r>
      <w:r>
        <w:lastRenderedPageBreak/>
        <w:t xml:space="preserve">components can be exploited by attackers to gain unauthorised access to systems or inject malicious code. Given the </w:t>
      </w:r>
      <w:proofErr w:type="gramStart"/>
      <w:r>
        <w:t>fast paced</w:t>
      </w:r>
      <w:proofErr w:type="gramEnd"/>
      <w:r>
        <w:t xml:space="preserve"> nature of AI development, these risks are difficult to eliminate entirely. However, automated software composition analysis, dependency scanning, and regular patch management significantly reduce exposure. Governance oversight is also required to ensure that critical dependencies are reviewed and approved before use in production environments.</w:t>
      </w:r>
    </w:p>
    <w:p w14:paraId="6CACE90B" w14:textId="5562F676" w:rsidR="002043E4" w:rsidRDefault="002043E4" w:rsidP="004130C1">
      <w:r>
        <w:t xml:space="preserve">Cloud misconfigurations represent a further high impact risk, especially as </w:t>
      </w:r>
      <w:proofErr w:type="spellStart"/>
      <w:r>
        <w:t>ResilientIntellect</w:t>
      </w:r>
      <w:proofErr w:type="spellEnd"/>
      <w:r>
        <w:t xml:space="preserve"> relies heavily on cloud platforms and SaaS services. Misconfigured storage. Excessive permissions, or disabled logging can expose sensitive AI training data and customer information. To address this, continuous cloud posture monitoring is essential. Enforcing least privilege access and regularly auditing cloud configurations reduces the likelihood of accidental exposure and supports regulatory expectations under DORA.</w:t>
      </w:r>
    </w:p>
    <w:p w14:paraId="21E01E01" w14:textId="45975C7F" w:rsidR="002043E4" w:rsidRDefault="002043E4" w:rsidP="004130C1">
      <w:r>
        <w:t>Although less frequent, insider threats remain a risk, particularly within a hybrid</w:t>
      </w:r>
      <w:r w:rsidR="00BC4274">
        <w:t xml:space="preserve"> workforce. Employees or contractors with legitimate access may unintentionally or deliberately misuse systems. Zero Trust principles help mitigate this by limiting access based on role, monitoring user activity, and enforcing strong authentication. Continuous logging and behavioural monitoring allow unusual activity to be detected early, reducing potential impact.</w:t>
      </w:r>
    </w:p>
    <w:p w14:paraId="1A208640" w14:textId="76590704" w:rsidR="00BC4274" w:rsidRDefault="00BC4274" w:rsidP="004130C1">
      <w:r>
        <w:t xml:space="preserve">Overall, the most serious threats that </w:t>
      </w:r>
      <w:proofErr w:type="spellStart"/>
      <w:r>
        <w:t>ResilientIntellect</w:t>
      </w:r>
      <w:proofErr w:type="spellEnd"/>
      <w:r>
        <w:t xml:space="preserve"> may face are not isolated technical issues, but systemic risks linked to AI development, cloud reliance, and </w:t>
      </w:r>
      <w:proofErr w:type="gramStart"/>
      <w:r>
        <w:t>third party</w:t>
      </w:r>
      <w:proofErr w:type="gramEnd"/>
      <w:r>
        <w:t xml:space="preserve"> components. Addressing these risks requires a combination of technical controls, governance processes and continuous monitoring rather than one off security measures.</w:t>
      </w:r>
    </w:p>
    <w:p w14:paraId="4FB936FD" w14:textId="77777777" w:rsidR="00BC4274" w:rsidRDefault="00BC4274" w:rsidP="004130C1"/>
    <w:p w14:paraId="2642E400" w14:textId="3EAD08A1" w:rsidR="00BC4274" w:rsidRDefault="00BC4274" w:rsidP="00BC4274">
      <w:pPr>
        <w:pStyle w:val="Heading2"/>
      </w:pPr>
      <w:bookmarkStart w:id="24" w:name="_Toc218595020"/>
      <w:r>
        <w:t>Contingency and Disaster Recovery Planning</w:t>
      </w:r>
      <w:bookmarkEnd w:id="24"/>
    </w:p>
    <w:p w14:paraId="5E5F651B" w14:textId="7A54ECA7" w:rsidR="00BC4274" w:rsidRDefault="00BC4274" w:rsidP="00BC4274">
      <w:r>
        <w:t xml:space="preserve">Contingency planning is a critical part of the Zero Trust security programme, particularly for an organisation such as </w:t>
      </w:r>
      <w:proofErr w:type="spellStart"/>
      <w:r>
        <w:t>ResilientIntellect</w:t>
      </w:r>
      <w:proofErr w:type="spellEnd"/>
      <w:r>
        <w:t xml:space="preserve"> that relies heavily on AI training data, source code repositories, and </w:t>
      </w:r>
      <w:proofErr w:type="gramStart"/>
      <w:r>
        <w:t>cloud based</w:t>
      </w:r>
      <w:proofErr w:type="gramEnd"/>
      <w:r>
        <w:t xml:space="preserve"> services. A ransomware attack targeting these assets could significantly disrupt operations and impact both clients and regulatory compliance. As a result, a well defined and regularly tested disaster recovery plan is essential</w:t>
      </w:r>
      <w:r w:rsidR="00CA56E6">
        <w:t>.</w:t>
      </w:r>
    </w:p>
    <w:p w14:paraId="6BF782EE" w14:textId="6172A60E" w:rsidR="00CA56E6" w:rsidRDefault="00CA56E6" w:rsidP="00BC4274">
      <w:r>
        <w:t xml:space="preserve">In the event of a ransomware attack that encrypts AI training data and source code repositories, the </w:t>
      </w:r>
      <w:proofErr w:type="gramStart"/>
      <w:r>
        <w:t>first priority</w:t>
      </w:r>
      <w:proofErr w:type="gramEnd"/>
      <w:r>
        <w:t xml:space="preserve"> is rapid detection and containment. Endpoint Detection and Response (EDR) tools, combined with SEIM tools are used to identify suspicious activity, after which affected systems are isolated and compromised credentials are revoked to prevent further spread. These actions help limit disruption and potential damage.</w:t>
      </w:r>
    </w:p>
    <w:p w14:paraId="2D8642F2" w14:textId="53DE14CA" w:rsidR="00CA56E6" w:rsidRDefault="00CA56E6" w:rsidP="00BC4274">
      <w:r>
        <w:lastRenderedPageBreak/>
        <w:t>Recovery centres on restoring AI training data, models, and source code from encrypted, immutable backups that are isolated from production systems. Restoration is prioritised based on business impact, ensuring that critical services are brought back online first without relying on ransom payments.</w:t>
      </w:r>
    </w:p>
    <w:p w14:paraId="19FCD912" w14:textId="3A2A7A9B" w:rsidR="00CA56E6" w:rsidRDefault="00CA56E6" w:rsidP="00BC4274">
      <w:r>
        <w:t>Communication and reporting are handled in line with NIS2 requirements. Significant incidents are reported within the required timeframes, and affected clients are informed transparently. All actions are documented to support regulatory review and post incident analysis.</w:t>
      </w:r>
    </w:p>
    <w:p w14:paraId="5C0DD9F4" w14:textId="6EC83544" w:rsidR="00CA56E6" w:rsidRDefault="00CA56E6" w:rsidP="00BC4274">
      <w:r>
        <w:t>Following recovery, a post incident review is conducted to identify root causes and improve response procedures. Regular recovery exercises ensure that the data recovery plan remains effective and continues to meet DORA’s operational resilience requirements.</w:t>
      </w:r>
    </w:p>
    <w:p w14:paraId="36AD3E72" w14:textId="77777777" w:rsidR="00CA56E6" w:rsidRDefault="00CA56E6" w:rsidP="00BC4274"/>
    <w:p w14:paraId="7CE8B408" w14:textId="373B7292" w:rsidR="00CA56E6" w:rsidRPr="00BC4274" w:rsidRDefault="0091631A" w:rsidP="0091631A">
      <w:pPr>
        <w:pStyle w:val="Heading2"/>
      </w:pPr>
      <w:bookmarkStart w:id="25" w:name="_Toc218595021"/>
      <w:r>
        <w:t>Protection Mechanisms</w:t>
      </w:r>
      <w:bookmarkEnd w:id="25"/>
    </w:p>
    <w:p w14:paraId="0C0C5DE0" w14:textId="6EF34E7E" w:rsidR="007E355C" w:rsidRDefault="001A201D" w:rsidP="00BA4B97">
      <w:r>
        <w:t xml:space="preserve">The Zero Trust security programme for </w:t>
      </w:r>
      <w:proofErr w:type="spellStart"/>
      <w:r>
        <w:t>ResilientIntellect</w:t>
      </w:r>
      <w:proofErr w:type="spellEnd"/>
      <w:r>
        <w:t xml:space="preserve"> relies on a combination of modern, integrated protection mechanisms designed to secure AI systems, cloud infrastructure, and a hybrid workforce. These controls are selected to reduce risk while supporting automation, visibility, and regulatory compliance.</w:t>
      </w:r>
    </w:p>
    <w:p w14:paraId="20D9A2D9" w14:textId="37981256" w:rsidR="001A201D" w:rsidRDefault="001A201D" w:rsidP="00BA4B97">
      <w:r>
        <w:t>Cloud Security Posture Management (CSPM) tools are used to continuously assess cloud environments for misconfigurations, excessive permissions, and policy violations. This helps prevent common cloud security issues and supports operational resilience by ensuring that cloud services remain securely configured.</w:t>
      </w:r>
    </w:p>
    <w:p w14:paraId="1EF404A2" w14:textId="75EFA9C0" w:rsidR="001A201D" w:rsidRDefault="001A201D" w:rsidP="00BA4B97">
      <w:r>
        <w:t xml:space="preserve">Endpoint Detection and Response </w:t>
      </w:r>
      <w:proofErr w:type="gramStart"/>
      <w:r>
        <w:t>provides</w:t>
      </w:r>
      <w:proofErr w:type="gramEnd"/>
      <w:r>
        <w:t xml:space="preserve"> continuous monitoring of employee devices and servers, allowing suspicious behaviour to be detected and automatically contained. When combined with phishing resilient multi factor authentication, EDR significantly reduces the risk of credential theft and unauthorised access, particularly within a hybrid workforce.</w:t>
      </w:r>
    </w:p>
    <w:p w14:paraId="4D3EDC5E" w14:textId="70BCA63F" w:rsidR="001A201D" w:rsidRDefault="001A201D" w:rsidP="00BA4B97">
      <w:r>
        <w:t>A centralised SEIM platform aggregates logs from cloud services, endpoints, and AI systems. Automated response workflows enable faster containment of threats, reducing response times and limiting potential impact. This capability is essential for meeting incident response and reporting requirements under NIS2.</w:t>
      </w:r>
    </w:p>
    <w:p w14:paraId="678216F3" w14:textId="4BD26A47" w:rsidR="001A201D" w:rsidRDefault="001A201D" w:rsidP="00BA4B97">
      <w:r>
        <w:t xml:space="preserve">Security is also embedded into software and AI development through </w:t>
      </w:r>
      <w:proofErr w:type="spellStart"/>
      <w:r>
        <w:t>DevSecOps</w:t>
      </w:r>
      <w:proofErr w:type="spellEnd"/>
      <w:r>
        <w:t xml:space="preserve"> practices. Automated code scanning, dependency checks, and model validation reduce the risk of vulnerable or poisoned components entering production. Identity based access controls and micro segmentation further restrict access to sensitive AI assets, ensuring that only authorised users and systems can interact with critical resources.</w:t>
      </w:r>
    </w:p>
    <w:p w14:paraId="666D931D" w14:textId="6561638E" w:rsidR="001A201D" w:rsidRDefault="001A201D" w:rsidP="00BA4B97">
      <w:r>
        <w:lastRenderedPageBreak/>
        <w:t>Together, these protection mechanisms re</w:t>
      </w:r>
      <w:r w:rsidR="00326777">
        <w:t>inforce Zero Trust principles by enabling continuous verification, rapid detection, and effective response, while maintaining operational resilience and compliance.</w:t>
      </w:r>
    </w:p>
    <w:p w14:paraId="640DDE3C" w14:textId="77777777" w:rsidR="00326777" w:rsidRDefault="00326777" w:rsidP="00BA4B97"/>
    <w:p w14:paraId="109FD7C7" w14:textId="77777777" w:rsidR="00326777" w:rsidRDefault="00326777" w:rsidP="00326777">
      <w:pPr>
        <w:pStyle w:val="Heading2"/>
      </w:pPr>
      <w:bookmarkStart w:id="26" w:name="_Toc218595022"/>
      <w:r>
        <w:t>Conclusion</w:t>
      </w:r>
      <w:bookmarkEnd w:id="26"/>
    </w:p>
    <w:p w14:paraId="7D50D444" w14:textId="77777777" w:rsidR="00326777" w:rsidRDefault="00326777" w:rsidP="00326777">
      <w:r>
        <w:t xml:space="preserve">As </w:t>
      </w:r>
      <w:proofErr w:type="spellStart"/>
      <w:r>
        <w:t>ResilientIntellect</w:t>
      </w:r>
      <w:proofErr w:type="spellEnd"/>
      <w:r>
        <w:t xml:space="preserve"> expands into the EU, it becomes clear that security cannot be treated as an afterthought. The combination of AI driven systems, cloud infrastructure, and a hybrid workforce creates a complex risk environment that requires a more deliberate approach to security. A Zero Trust aligned programme provides a practical way to manage these risks while still allowing the organisation to operate effectively and grow.</w:t>
      </w:r>
    </w:p>
    <w:p w14:paraId="2EC17C44" w14:textId="77777777" w:rsidR="00326777" w:rsidRDefault="00326777" w:rsidP="00326777">
      <w:r>
        <w:t xml:space="preserve">By focussing on continuous verification, limiting access through least privilege principles, and improving visibility across systems, </w:t>
      </w:r>
      <w:proofErr w:type="spellStart"/>
      <w:r>
        <w:t>ResilientIntellect</w:t>
      </w:r>
      <w:proofErr w:type="spellEnd"/>
      <w:r>
        <w:t xml:space="preserve"> can reduce the impact of cyber incidents and respond more effectively when issues do occur. Security governance, risk management, and compliance are built into everyday operations through clearly defined roles, policies, and technical controls rather than being handled separately.</w:t>
      </w:r>
    </w:p>
    <w:p w14:paraId="2DFC9C16" w14:textId="77637662" w:rsidR="00515CDB" w:rsidRDefault="00326777" w:rsidP="00326777">
      <w:r>
        <w:t>While adopting Zero Trust does require</w:t>
      </w:r>
      <w:r w:rsidR="001621C2">
        <w:t xml:space="preserve"> ongoing effort and investment, it supports the company’s wider goals by protecting critical AI assets, maintaining client trust, and meeting EU regulatory requirements such as DORA or NIS2. Regular review, testing, and improvement of security measures will be essential, but this approach places </w:t>
      </w:r>
      <w:proofErr w:type="spellStart"/>
      <w:r w:rsidR="001621C2">
        <w:t>ReslilientIntellect</w:t>
      </w:r>
      <w:proofErr w:type="spellEnd"/>
      <w:r w:rsidR="001621C2">
        <w:t xml:space="preserve"> in a strong position to operate securely and responsibly as it continues to expand.</w:t>
      </w:r>
      <w:r w:rsidR="00515CDB">
        <w:br w:type="page"/>
      </w:r>
    </w:p>
    <w:p w14:paraId="00919FFC" w14:textId="0DB4E1A7" w:rsidR="00DD1542" w:rsidRPr="00DD1542" w:rsidRDefault="00DD1542" w:rsidP="00DD1542"/>
    <w:bookmarkStart w:id="27" w:name="_Toc218595023" w:displacedByCustomXml="next"/>
    <w:sdt>
      <w:sdtPr>
        <w:id w:val="-345403826"/>
        <w:docPartObj>
          <w:docPartGallery w:val="Bibliographies"/>
          <w:docPartUnique/>
        </w:docPartObj>
      </w:sdtPr>
      <w:sdtEndPr>
        <w:rPr>
          <w:rFonts w:ascii="Ubuntu" w:eastAsiaTheme="minorHAnsi" w:hAnsi="Ubuntu" w:cstheme="minorBidi"/>
          <w:color w:val="auto"/>
          <w:sz w:val="24"/>
          <w:szCs w:val="24"/>
        </w:rPr>
      </w:sdtEndPr>
      <w:sdtContent>
        <w:p w14:paraId="65FFCCC0" w14:textId="1EBDE2DF" w:rsidR="00515CDB" w:rsidRDefault="00515CDB">
          <w:pPr>
            <w:pStyle w:val="Heading1"/>
          </w:pPr>
          <w:r>
            <w:t>References</w:t>
          </w:r>
          <w:bookmarkEnd w:id="27"/>
        </w:p>
        <w:sdt>
          <w:sdtPr>
            <w:id w:val="-573587230"/>
            <w:bibliography/>
          </w:sdtPr>
          <w:sdtContent>
            <w:p w14:paraId="7E49D213" w14:textId="77777777" w:rsidR="001621C2" w:rsidRDefault="00515CD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9"/>
                <w:gridCol w:w="8657"/>
              </w:tblGrid>
              <w:tr w:rsidR="001621C2" w14:paraId="71998F21" w14:textId="77777777">
                <w:trPr>
                  <w:divId w:val="1846553554"/>
                  <w:tblCellSpacing w:w="15" w:type="dxa"/>
                </w:trPr>
                <w:tc>
                  <w:tcPr>
                    <w:tcW w:w="50" w:type="pct"/>
                    <w:hideMark/>
                  </w:tcPr>
                  <w:p w14:paraId="38CB2F6D" w14:textId="18DA004A" w:rsidR="001621C2" w:rsidRDefault="001621C2">
                    <w:pPr>
                      <w:pStyle w:val="Bibliography"/>
                      <w:rPr>
                        <w:noProof/>
                        <w:kern w:val="0"/>
                        <w14:ligatures w14:val="none"/>
                      </w:rPr>
                    </w:pPr>
                    <w:r>
                      <w:rPr>
                        <w:noProof/>
                      </w:rPr>
                      <w:t xml:space="preserve">[1] </w:t>
                    </w:r>
                  </w:p>
                </w:tc>
                <w:tc>
                  <w:tcPr>
                    <w:tcW w:w="0" w:type="auto"/>
                    <w:hideMark/>
                  </w:tcPr>
                  <w:p w14:paraId="65E732ED" w14:textId="77777777" w:rsidR="001621C2" w:rsidRDefault="001621C2">
                    <w:pPr>
                      <w:pStyle w:val="Bibliography"/>
                      <w:rPr>
                        <w:noProof/>
                      </w:rPr>
                    </w:pPr>
                    <w:r>
                      <w:rPr>
                        <w:noProof/>
                      </w:rPr>
                      <w:t>IBM, “What is data poisoning?,” IBM, [Online]. Available: https://www.ibm.com/think/topics/data-poisoning#1775009479. [Accessed 2 January 2026].</w:t>
                    </w:r>
                  </w:p>
                </w:tc>
              </w:tr>
              <w:tr w:rsidR="001621C2" w14:paraId="07D43680" w14:textId="77777777">
                <w:trPr>
                  <w:divId w:val="1846553554"/>
                  <w:tblCellSpacing w:w="15" w:type="dxa"/>
                </w:trPr>
                <w:tc>
                  <w:tcPr>
                    <w:tcW w:w="50" w:type="pct"/>
                    <w:hideMark/>
                  </w:tcPr>
                  <w:p w14:paraId="2B14C772" w14:textId="77777777" w:rsidR="001621C2" w:rsidRDefault="001621C2">
                    <w:pPr>
                      <w:pStyle w:val="Bibliography"/>
                      <w:rPr>
                        <w:noProof/>
                      </w:rPr>
                    </w:pPr>
                    <w:r>
                      <w:rPr>
                        <w:noProof/>
                      </w:rPr>
                      <w:t xml:space="preserve">[2] </w:t>
                    </w:r>
                  </w:p>
                </w:tc>
                <w:tc>
                  <w:tcPr>
                    <w:tcW w:w="0" w:type="auto"/>
                    <w:hideMark/>
                  </w:tcPr>
                  <w:p w14:paraId="57342DF7" w14:textId="77777777" w:rsidR="001621C2" w:rsidRDefault="001621C2">
                    <w:pPr>
                      <w:pStyle w:val="Bibliography"/>
                      <w:rPr>
                        <w:noProof/>
                      </w:rPr>
                    </w:pPr>
                    <w:r>
                      <w:rPr>
                        <w:noProof/>
                      </w:rPr>
                      <w:t>European Parliament, “EU AI Act: first regulation on artificial intelligence,” European Parliament, 8 July 2023. [Online]. Available: https://www.europarl.europa.eu/topics/en/article/20230601STO93804/eu-ai-act-first-regulation-on-artificial-intelligence#ai-regulation-in-europe-the-first-comprehensive-framework-4. [Accessed 2 January 2026].</w:t>
                    </w:r>
                  </w:p>
                </w:tc>
              </w:tr>
              <w:tr w:rsidR="001621C2" w14:paraId="16FE0C40" w14:textId="77777777">
                <w:trPr>
                  <w:divId w:val="1846553554"/>
                  <w:tblCellSpacing w:w="15" w:type="dxa"/>
                </w:trPr>
                <w:tc>
                  <w:tcPr>
                    <w:tcW w:w="50" w:type="pct"/>
                    <w:hideMark/>
                  </w:tcPr>
                  <w:p w14:paraId="733B70D6" w14:textId="77777777" w:rsidR="001621C2" w:rsidRDefault="001621C2">
                    <w:pPr>
                      <w:pStyle w:val="Bibliography"/>
                      <w:rPr>
                        <w:noProof/>
                      </w:rPr>
                    </w:pPr>
                    <w:r>
                      <w:rPr>
                        <w:noProof/>
                      </w:rPr>
                      <w:t xml:space="preserve">[3] </w:t>
                    </w:r>
                  </w:p>
                </w:tc>
                <w:tc>
                  <w:tcPr>
                    <w:tcW w:w="0" w:type="auto"/>
                    <w:hideMark/>
                  </w:tcPr>
                  <w:p w14:paraId="4A64C59E" w14:textId="77777777" w:rsidR="001621C2" w:rsidRDefault="001621C2">
                    <w:pPr>
                      <w:pStyle w:val="Bibliography"/>
                      <w:rPr>
                        <w:noProof/>
                      </w:rPr>
                    </w:pPr>
                    <w:r>
                      <w:rPr>
                        <w:noProof/>
                      </w:rPr>
                      <w:t>Google Cloud Architecture Center, “MLOps: Continuous delivery and automation pipelines in machine learning,” Google, [Online]. Available: https://docs.cloud.google.com/architecture/mlops-continuous-delivery-and-automation-pipelines-in-machine-learning. [Accessed 2 January 2026].</w:t>
                    </w:r>
                  </w:p>
                </w:tc>
              </w:tr>
              <w:tr w:rsidR="001621C2" w14:paraId="12A83C5A" w14:textId="77777777">
                <w:trPr>
                  <w:divId w:val="1846553554"/>
                  <w:tblCellSpacing w:w="15" w:type="dxa"/>
                </w:trPr>
                <w:tc>
                  <w:tcPr>
                    <w:tcW w:w="50" w:type="pct"/>
                    <w:hideMark/>
                  </w:tcPr>
                  <w:p w14:paraId="2B28C287" w14:textId="77777777" w:rsidR="001621C2" w:rsidRDefault="001621C2">
                    <w:pPr>
                      <w:pStyle w:val="Bibliography"/>
                      <w:rPr>
                        <w:noProof/>
                      </w:rPr>
                    </w:pPr>
                    <w:r>
                      <w:rPr>
                        <w:noProof/>
                      </w:rPr>
                      <w:t xml:space="preserve">[4] </w:t>
                    </w:r>
                  </w:p>
                </w:tc>
                <w:tc>
                  <w:tcPr>
                    <w:tcW w:w="0" w:type="auto"/>
                    <w:hideMark/>
                  </w:tcPr>
                  <w:p w14:paraId="55BB6F43" w14:textId="77777777" w:rsidR="001621C2" w:rsidRDefault="001621C2">
                    <w:pPr>
                      <w:pStyle w:val="Bibliography"/>
                      <w:rPr>
                        <w:noProof/>
                      </w:rPr>
                    </w:pPr>
                    <w:r>
                      <w:rPr>
                        <w:noProof/>
                      </w:rPr>
                      <w:t xml:space="preserve">T. A. S. E.-S. K. M. Sajid Ali, “Explainable Artificial Intelligence (XAI): What we know and what is left to attain Trustworthy Artificial Intelligence,” </w:t>
                    </w:r>
                    <w:r>
                      <w:rPr>
                        <w:i/>
                        <w:iCs/>
                        <w:noProof/>
                      </w:rPr>
                      <w:t xml:space="preserve">Information Fusion, </w:t>
                    </w:r>
                    <w:r>
                      <w:rPr>
                        <w:noProof/>
                      </w:rPr>
                      <w:t xml:space="preserve">vol. 99, November 2023. </w:t>
                    </w:r>
                  </w:p>
                </w:tc>
              </w:tr>
              <w:tr w:rsidR="001621C2" w14:paraId="250DDD7E" w14:textId="77777777">
                <w:trPr>
                  <w:divId w:val="1846553554"/>
                  <w:tblCellSpacing w:w="15" w:type="dxa"/>
                </w:trPr>
                <w:tc>
                  <w:tcPr>
                    <w:tcW w:w="50" w:type="pct"/>
                    <w:hideMark/>
                  </w:tcPr>
                  <w:p w14:paraId="5B200875" w14:textId="77777777" w:rsidR="001621C2" w:rsidRDefault="001621C2">
                    <w:pPr>
                      <w:pStyle w:val="Bibliography"/>
                      <w:rPr>
                        <w:noProof/>
                      </w:rPr>
                    </w:pPr>
                    <w:r>
                      <w:rPr>
                        <w:noProof/>
                      </w:rPr>
                      <w:t xml:space="preserve">[5] </w:t>
                    </w:r>
                  </w:p>
                </w:tc>
                <w:tc>
                  <w:tcPr>
                    <w:tcW w:w="0" w:type="auto"/>
                    <w:hideMark/>
                  </w:tcPr>
                  <w:p w14:paraId="76F16072" w14:textId="77777777" w:rsidR="001621C2" w:rsidRDefault="001621C2">
                    <w:pPr>
                      <w:pStyle w:val="Bibliography"/>
                      <w:rPr>
                        <w:noProof/>
                      </w:rPr>
                    </w:pPr>
                    <w:r>
                      <w:rPr>
                        <w:noProof/>
                      </w:rPr>
                      <w:t>EU Artificial Intelligence Act, “Article 14: Human Oversight,” European Union, [Online]. Available: https://artificialintelligenceact.eu/article/14/. [Accessed 2 January 2026].</w:t>
                    </w:r>
                  </w:p>
                </w:tc>
              </w:tr>
            </w:tbl>
            <w:p w14:paraId="1FF6E9CA" w14:textId="77777777" w:rsidR="001621C2" w:rsidRDefault="001621C2">
              <w:pPr>
                <w:divId w:val="1846553554"/>
                <w:rPr>
                  <w:rFonts w:eastAsia="Times New Roman"/>
                  <w:noProof/>
                </w:rPr>
              </w:pPr>
            </w:p>
            <w:p w14:paraId="215EC987" w14:textId="031D4C4C" w:rsidR="00515CDB" w:rsidRDefault="00515CDB">
              <w:r>
                <w:rPr>
                  <w:b/>
                  <w:bCs/>
                  <w:noProof/>
                </w:rPr>
                <w:fldChar w:fldCharType="end"/>
              </w:r>
            </w:p>
          </w:sdtContent>
        </w:sdt>
      </w:sdtContent>
    </w:sdt>
    <w:p w14:paraId="3C0DBD2E" w14:textId="77777777" w:rsidR="00515CDB" w:rsidRPr="00515CDB" w:rsidRDefault="00515CDB" w:rsidP="00515CDB"/>
    <w:sectPr w:rsidR="00515CDB" w:rsidRPr="00515CDB" w:rsidSect="00515CD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Ubuntu">
    <w:charset w:val="00"/>
    <w:family w:val="swiss"/>
    <w:pitch w:val="variable"/>
    <w:sig w:usb0="E00002FF" w:usb1="5000205B" w:usb2="00000000" w:usb3="00000000" w:csb0="0000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921CCC"/>
    <w:multiLevelType w:val="hybridMultilevel"/>
    <w:tmpl w:val="20D60C2E"/>
    <w:lvl w:ilvl="0" w:tplc="3FC26102">
      <w:numFmt w:val="bullet"/>
      <w:lvlText w:val="•"/>
      <w:lvlJc w:val="left"/>
      <w:pPr>
        <w:ind w:left="720" w:hanging="360"/>
      </w:pPr>
      <w:rPr>
        <w:rFonts w:ascii="Cambria" w:eastAsia="Times New Roman" w:hAnsi="Cambria"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27943384">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CDB"/>
    <w:rsid w:val="000115E0"/>
    <w:rsid w:val="00091266"/>
    <w:rsid w:val="000B1AC9"/>
    <w:rsid w:val="000E0BE1"/>
    <w:rsid w:val="00156996"/>
    <w:rsid w:val="001621C2"/>
    <w:rsid w:val="001A201D"/>
    <w:rsid w:val="001C7811"/>
    <w:rsid w:val="001D72B3"/>
    <w:rsid w:val="002043E4"/>
    <w:rsid w:val="00292140"/>
    <w:rsid w:val="002D01D3"/>
    <w:rsid w:val="00325D2B"/>
    <w:rsid w:val="00326777"/>
    <w:rsid w:val="004130C1"/>
    <w:rsid w:val="00442ED3"/>
    <w:rsid w:val="004863E2"/>
    <w:rsid w:val="00515CDB"/>
    <w:rsid w:val="005563D0"/>
    <w:rsid w:val="005C1A85"/>
    <w:rsid w:val="0060658A"/>
    <w:rsid w:val="00671020"/>
    <w:rsid w:val="0067135B"/>
    <w:rsid w:val="007C4682"/>
    <w:rsid w:val="007E355C"/>
    <w:rsid w:val="00805C45"/>
    <w:rsid w:val="00833A4B"/>
    <w:rsid w:val="00881882"/>
    <w:rsid w:val="008B2490"/>
    <w:rsid w:val="008E758F"/>
    <w:rsid w:val="0091631A"/>
    <w:rsid w:val="009224D5"/>
    <w:rsid w:val="0099576F"/>
    <w:rsid w:val="009A1D93"/>
    <w:rsid w:val="00A62A66"/>
    <w:rsid w:val="00B25B64"/>
    <w:rsid w:val="00B90B57"/>
    <w:rsid w:val="00BA4B97"/>
    <w:rsid w:val="00BC2032"/>
    <w:rsid w:val="00BC4274"/>
    <w:rsid w:val="00C87851"/>
    <w:rsid w:val="00CA56E6"/>
    <w:rsid w:val="00CB018D"/>
    <w:rsid w:val="00D85DD5"/>
    <w:rsid w:val="00DA62D1"/>
    <w:rsid w:val="00DD1542"/>
    <w:rsid w:val="00E209EA"/>
    <w:rsid w:val="00E73689"/>
    <w:rsid w:val="00ED6E79"/>
    <w:rsid w:val="00EE06CF"/>
    <w:rsid w:val="00F709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10E7F"/>
  <w15:chartTrackingRefBased/>
  <w15:docId w15:val="{F895988C-A481-4449-875F-C1E9508EBB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Ubuntu" w:eastAsiaTheme="minorHAnsi" w:hAnsi="Ubuntu"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5C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15C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15CDB"/>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5CD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15CD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15CD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15CD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15CD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15CD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5C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15C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15CDB"/>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5CDB"/>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515CDB"/>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515CDB"/>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515CDB"/>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515CDB"/>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515CDB"/>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515C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5C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5CD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5CDB"/>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515CDB"/>
    <w:pPr>
      <w:spacing w:before="160"/>
      <w:jc w:val="center"/>
    </w:pPr>
    <w:rPr>
      <w:i/>
      <w:iCs/>
      <w:color w:val="404040" w:themeColor="text1" w:themeTint="BF"/>
    </w:rPr>
  </w:style>
  <w:style w:type="character" w:customStyle="1" w:styleId="QuoteChar">
    <w:name w:val="Quote Char"/>
    <w:basedOn w:val="DefaultParagraphFont"/>
    <w:link w:val="Quote"/>
    <w:uiPriority w:val="29"/>
    <w:rsid w:val="00515CDB"/>
    <w:rPr>
      <w:i/>
      <w:iCs/>
      <w:color w:val="404040" w:themeColor="text1" w:themeTint="BF"/>
    </w:rPr>
  </w:style>
  <w:style w:type="paragraph" w:styleId="ListParagraph">
    <w:name w:val="List Paragraph"/>
    <w:basedOn w:val="Normal"/>
    <w:uiPriority w:val="34"/>
    <w:qFormat/>
    <w:rsid w:val="00515CDB"/>
    <w:pPr>
      <w:ind w:left="720"/>
      <w:contextualSpacing/>
    </w:pPr>
  </w:style>
  <w:style w:type="character" w:styleId="IntenseEmphasis">
    <w:name w:val="Intense Emphasis"/>
    <w:basedOn w:val="DefaultParagraphFont"/>
    <w:uiPriority w:val="21"/>
    <w:qFormat/>
    <w:rsid w:val="00515CDB"/>
    <w:rPr>
      <w:i/>
      <w:iCs/>
      <w:color w:val="0F4761" w:themeColor="accent1" w:themeShade="BF"/>
    </w:rPr>
  </w:style>
  <w:style w:type="paragraph" w:styleId="IntenseQuote">
    <w:name w:val="Intense Quote"/>
    <w:basedOn w:val="Normal"/>
    <w:next w:val="Normal"/>
    <w:link w:val="IntenseQuoteChar"/>
    <w:uiPriority w:val="30"/>
    <w:qFormat/>
    <w:rsid w:val="00515C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5CDB"/>
    <w:rPr>
      <w:i/>
      <w:iCs/>
      <w:color w:val="0F4761" w:themeColor="accent1" w:themeShade="BF"/>
    </w:rPr>
  </w:style>
  <w:style w:type="character" w:styleId="IntenseReference">
    <w:name w:val="Intense Reference"/>
    <w:basedOn w:val="DefaultParagraphFont"/>
    <w:uiPriority w:val="32"/>
    <w:qFormat/>
    <w:rsid w:val="00515CDB"/>
    <w:rPr>
      <w:b/>
      <w:bCs/>
      <w:smallCaps/>
      <w:color w:val="0F4761" w:themeColor="accent1" w:themeShade="BF"/>
      <w:spacing w:val="5"/>
    </w:rPr>
  </w:style>
  <w:style w:type="paragraph" w:styleId="NoSpacing">
    <w:name w:val="No Spacing"/>
    <w:link w:val="NoSpacingChar"/>
    <w:uiPriority w:val="1"/>
    <w:qFormat/>
    <w:rsid w:val="00515CDB"/>
    <w:pPr>
      <w:spacing w:after="0" w:line="240" w:lineRule="auto"/>
    </w:pPr>
    <w:rPr>
      <w:rFonts w:asciiTheme="minorHAnsi" w:eastAsiaTheme="minorEastAsia" w:hAnsiTheme="minorHAnsi"/>
      <w:kern w:val="0"/>
      <w:sz w:val="22"/>
      <w:szCs w:val="22"/>
      <w:lang w:val="en-US"/>
      <w14:ligatures w14:val="none"/>
    </w:rPr>
  </w:style>
  <w:style w:type="character" w:customStyle="1" w:styleId="NoSpacingChar">
    <w:name w:val="No Spacing Char"/>
    <w:basedOn w:val="DefaultParagraphFont"/>
    <w:link w:val="NoSpacing"/>
    <w:uiPriority w:val="1"/>
    <w:rsid w:val="00515CDB"/>
    <w:rPr>
      <w:rFonts w:asciiTheme="minorHAnsi" w:eastAsiaTheme="minorEastAsia" w:hAnsiTheme="minorHAnsi"/>
      <w:kern w:val="0"/>
      <w:sz w:val="22"/>
      <w:szCs w:val="22"/>
      <w:lang w:val="en-US"/>
      <w14:ligatures w14:val="none"/>
    </w:rPr>
  </w:style>
  <w:style w:type="paragraph" w:styleId="TOCHeading">
    <w:name w:val="TOC Heading"/>
    <w:basedOn w:val="Heading1"/>
    <w:next w:val="Normal"/>
    <w:uiPriority w:val="39"/>
    <w:unhideWhenUsed/>
    <w:qFormat/>
    <w:rsid w:val="00515CDB"/>
    <w:pPr>
      <w:spacing w:before="240" w:after="0" w:line="259" w:lineRule="auto"/>
      <w:outlineLvl w:val="9"/>
    </w:pPr>
    <w:rPr>
      <w:kern w:val="0"/>
      <w:sz w:val="32"/>
      <w:szCs w:val="32"/>
      <w:lang w:val="en-US"/>
      <w14:ligatures w14:val="none"/>
    </w:rPr>
  </w:style>
  <w:style w:type="character" w:styleId="Hyperlink">
    <w:name w:val="Hyperlink"/>
    <w:basedOn w:val="DefaultParagraphFont"/>
    <w:uiPriority w:val="99"/>
    <w:unhideWhenUsed/>
    <w:rsid w:val="00C87851"/>
    <w:rPr>
      <w:color w:val="467886" w:themeColor="hyperlink"/>
      <w:u w:val="single"/>
    </w:rPr>
  </w:style>
  <w:style w:type="character" w:styleId="UnresolvedMention">
    <w:name w:val="Unresolved Mention"/>
    <w:basedOn w:val="DefaultParagraphFont"/>
    <w:uiPriority w:val="99"/>
    <w:semiHidden/>
    <w:unhideWhenUsed/>
    <w:rsid w:val="00C87851"/>
    <w:rPr>
      <w:color w:val="605E5C"/>
      <w:shd w:val="clear" w:color="auto" w:fill="E1DFDD"/>
    </w:rPr>
  </w:style>
  <w:style w:type="paragraph" w:styleId="TOC1">
    <w:name w:val="toc 1"/>
    <w:basedOn w:val="Normal"/>
    <w:next w:val="Normal"/>
    <w:autoRedefine/>
    <w:uiPriority w:val="39"/>
    <w:unhideWhenUsed/>
    <w:rsid w:val="00C87851"/>
    <w:pPr>
      <w:spacing w:after="100"/>
    </w:pPr>
  </w:style>
  <w:style w:type="paragraph" w:styleId="TOC2">
    <w:name w:val="toc 2"/>
    <w:basedOn w:val="Normal"/>
    <w:next w:val="Normal"/>
    <w:autoRedefine/>
    <w:uiPriority w:val="39"/>
    <w:unhideWhenUsed/>
    <w:rsid w:val="00C87851"/>
    <w:pPr>
      <w:spacing w:after="100"/>
      <w:ind w:left="240"/>
    </w:pPr>
  </w:style>
  <w:style w:type="paragraph" w:styleId="TOC3">
    <w:name w:val="toc 3"/>
    <w:basedOn w:val="Normal"/>
    <w:next w:val="Normal"/>
    <w:autoRedefine/>
    <w:uiPriority w:val="39"/>
    <w:unhideWhenUsed/>
    <w:rsid w:val="00C87851"/>
    <w:pPr>
      <w:spacing w:after="100"/>
      <w:ind w:left="480"/>
    </w:pPr>
  </w:style>
  <w:style w:type="paragraph" w:styleId="Bibliography">
    <w:name w:val="Bibliography"/>
    <w:basedOn w:val="Normal"/>
    <w:next w:val="Normal"/>
    <w:uiPriority w:val="37"/>
    <w:unhideWhenUsed/>
    <w:rsid w:val="00C87851"/>
  </w:style>
  <w:style w:type="table" w:styleId="TableGrid">
    <w:name w:val="Table Grid"/>
    <w:basedOn w:val="TableNormal"/>
    <w:uiPriority w:val="39"/>
    <w:rsid w:val="007E35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435802">
      <w:bodyDiv w:val="1"/>
      <w:marLeft w:val="0"/>
      <w:marRight w:val="0"/>
      <w:marTop w:val="0"/>
      <w:marBottom w:val="0"/>
      <w:divBdr>
        <w:top w:val="none" w:sz="0" w:space="0" w:color="auto"/>
        <w:left w:val="none" w:sz="0" w:space="0" w:color="auto"/>
        <w:bottom w:val="none" w:sz="0" w:space="0" w:color="auto"/>
        <w:right w:val="none" w:sz="0" w:space="0" w:color="auto"/>
      </w:divBdr>
    </w:div>
    <w:div w:id="221797413">
      <w:bodyDiv w:val="1"/>
      <w:marLeft w:val="0"/>
      <w:marRight w:val="0"/>
      <w:marTop w:val="0"/>
      <w:marBottom w:val="0"/>
      <w:divBdr>
        <w:top w:val="none" w:sz="0" w:space="0" w:color="auto"/>
        <w:left w:val="none" w:sz="0" w:space="0" w:color="auto"/>
        <w:bottom w:val="none" w:sz="0" w:space="0" w:color="auto"/>
        <w:right w:val="none" w:sz="0" w:space="0" w:color="auto"/>
      </w:divBdr>
    </w:div>
    <w:div w:id="240065995">
      <w:bodyDiv w:val="1"/>
      <w:marLeft w:val="0"/>
      <w:marRight w:val="0"/>
      <w:marTop w:val="0"/>
      <w:marBottom w:val="0"/>
      <w:divBdr>
        <w:top w:val="none" w:sz="0" w:space="0" w:color="auto"/>
        <w:left w:val="none" w:sz="0" w:space="0" w:color="auto"/>
        <w:bottom w:val="none" w:sz="0" w:space="0" w:color="auto"/>
        <w:right w:val="none" w:sz="0" w:space="0" w:color="auto"/>
      </w:divBdr>
    </w:div>
    <w:div w:id="276179163">
      <w:bodyDiv w:val="1"/>
      <w:marLeft w:val="0"/>
      <w:marRight w:val="0"/>
      <w:marTop w:val="0"/>
      <w:marBottom w:val="0"/>
      <w:divBdr>
        <w:top w:val="none" w:sz="0" w:space="0" w:color="auto"/>
        <w:left w:val="none" w:sz="0" w:space="0" w:color="auto"/>
        <w:bottom w:val="none" w:sz="0" w:space="0" w:color="auto"/>
        <w:right w:val="none" w:sz="0" w:space="0" w:color="auto"/>
      </w:divBdr>
    </w:div>
    <w:div w:id="334384192">
      <w:bodyDiv w:val="1"/>
      <w:marLeft w:val="0"/>
      <w:marRight w:val="0"/>
      <w:marTop w:val="0"/>
      <w:marBottom w:val="0"/>
      <w:divBdr>
        <w:top w:val="none" w:sz="0" w:space="0" w:color="auto"/>
        <w:left w:val="none" w:sz="0" w:space="0" w:color="auto"/>
        <w:bottom w:val="none" w:sz="0" w:space="0" w:color="auto"/>
        <w:right w:val="none" w:sz="0" w:space="0" w:color="auto"/>
      </w:divBdr>
    </w:div>
    <w:div w:id="358092781">
      <w:bodyDiv w:val="1"/>
      <w:marLeft w:val="0"/>
      <w:marRight w:val="0"/>
      <w:marTop w:val="0"/>
      <w:marBottom w:val="0"/>
      <w:divBdr>
        <w:top w:val="none" w:sz="0" w:space="0" w:color="auto"/>
        <w:left w:val="none" w:sz="0" w:space="0" w:color="auto"/>
        <w:bottom w:val="none" w:sz="0" w:space="0" w:color="auto"/>
        <w:right w:val="none" w:sz="0" w:space="0" w:color="auto"/>
      </w:divBdr>
    </w:div>
    <w:div w:id="464665299">
      <w:bodyDiv w:val="1"/>
      <w:marLeft w:val="0"/>
      <w:marRight w:val="0"/>
      <w:marTop w:val="0"/>
      <w:marBottom w:val="0"/>
      <w:divBdr>
        <w:top w:val="none" w:sz="0" w:space="0" w:color="auto"/>
        <w:left w:val="none" w:sz="0" w:space="0" w:color="auto"/>
        <w:bottom w:val="none" w:sz="0" w:space="0" w:color="auto"/>
        <w:right w:val="none" w:sz="0" w:space="0" w:color="auto"/>
      </w:divBdr>
    </w:div>
    <w:div w:id="536895960">
      <w:bodyDiv w:val="1"/>
      <w:marLeft w:val="0"/>
      <w:marRight w:val="0"/>
      <w:marTop w:val="0"/>
      <w:marBottom w:val="0"/>
      <w:divBdr>
        <w:top w:val="none" w:sz="0" w:space="0" w:color="auto"/>
        <w:left w:val="none" w:sz="0" w:space="0" w:color="auto"/>
        <w:bottom w:val="none" w:sz="0" w:space="0" w:color="auto"/>
        <w:right w:val="none" w:sz="0" w:space="0" w:color="auto"/>
      </w:divBdr>
    </w:div>
    <w:div w:id="566690805">
      <w:bodyDiv w:val="1"/>
      <w:marLeft w:val="0"/>
      <w:marRight w:val="0"/>
      <w:marTop w:val="0"/>
      <w:marBottom w:val="0"/>
      <w:divBdr>
        <w:top w:val="none" w:sz="0" w:space="0" w:color="auto"/>
        <w:left w:val="none" w:sz="0" w:space="0" w:color="auto"/>
        <w:bottom w:val="none" w:sz="0" w:space="0" w:color="auto"/>
        <w:right w:val="none" w:sz="0" w:space="0" w:color="auto"/>
      </w:divBdr>
    </w:div>
    <w:div w:id="685525661">
      <w:bodyDiv w:val="1"/>
      <w:marLeft w:val="0"/>
      <w:marRight w:val="0"/>
      <w:marTop w:val="0"/>
      <w:marBottom w:val="0"/>
      <w:divBdr>
        <w:top w:val="none" w:sz="0" w:space="0" w:color="auto"/>
        <w:left w:val="none" w:sz="0" w:space="0" w:color="auto"/>
        <w:bottom w:val="none" w:sz="0" w:space="0" w:color="auto"/>
        <w:right w:val="none" w:sz="0" w:space="0" w:color="auto"/>
      </w:divBdr>
    </w:div>
    <w:div w:id="765227778">
      <w:bodyDiv w:val="1"/>
      <w:marLeft w:val="0"/>
      <w:marRight w:val="0"/>
      <w:marTop w:val="0"/>
      <w:marBottom w:val="0"/>
      <w:divBdr>
        <w:top w:val="none" w:sz="0" w:space="0" w:color="auto"/>
        <w:left w:val="none" w:sz="0" w:space="0" w:color="auto"/>
        <w:bottom w:val="none" w:sz="0" w:space="0" w:color="auto"/>
        <w:right w:val="none" w:sz="0" w:space="0" w:color="auto"/>
      </w:divBdr>
    </w:div>
    <w:div w:id="819545029">
      <w:bodyDiv w:val="1"/>
      <w:marLeft w:val="0"/>
      <w:marRight w:val="0"/>
      <w:marTop w:val="0"/>
      <w:marBottom w:val="0"/>
      <w:divBdr>
        <w:top w:val="none" w:sz="0" w:space="0" w:color="auto"/>
        <w:left w:val="none" w:sz="0" w:space="0" w:color="auto"/>
        <w:bottom w:val="none" w:sz="0" w:space="0" w:color="auto"/>
        <w:right w:val="none" w:sz="0" w:space="0" w:color="auto"/>
      </w:divBdr>
    </w:div>
    <w:div w:id="1023825038">
      <w:bodyDiv w:val="1"/>
      <w:marLeft w:val="0"/>
      <w:marRight w:val="0"/>
      <w:marTop w:val="0"/>
      <w:marBottom w:val="0"/>
      <w:divBdr>
        <w:top w:val="none" w:sz="0" w:space="0" w:color="auto"/>
        <w:left w:val="none" w:sz="0" w:space="0" w:color="auto"/>
        <w:bottom w:val="none" w:sz="0" w:space="0" w:color="auto"/>
        <w:right w:val="none" w:sz="0" w:space="0" w:color="auto"/>
      </w:divBdr>
    </w:div>
    <w:div w:id="1056901057">
      <w:bodyDiv w:val="1"/>
      <w:marLeft w:val="0"/>
      <w:marRight w:val="0"/>
      <w:marTop w:val="0"/>
      <w:marBottom w:val="0"/>
      <w:divBdr>
        <w:top w:val="none" w:sz="0" w:space="0" w:color="auto"/>
        <w:left w:val="none" w:sz="0" w:space="0" w:color="auto"/>
        <w:bottom w:val="none" w:sz="0" w:space="0" w:color="auto"/>
        <w:right w:val="none" w:sz="0" w:space="0" w:color="auto"/>
      </w:divBdr>
    </w:div>
    <w:div w:id="1069577102">
      <w:bodyDiv w:val="1"/>
      <w:marLeft w:val="0"/>
      <w:marRight w:val="0"/>
      <w:marTop w:val="0"/>
      <w:marBottom w:val="0"/>
      <w:divBdr>
        <w:top w:val="none" w:sz="0" w:space="0" w:color="auto"/>
        <w:left w:val="none" w:sz="0" w:space="0" w:color="auto"/>
        <w:bottom w:val="none" w:sz="0" w:space="0" w:color="auto"/>
        <w:right w:val="none" w:sz="0" w:space="0" w:color="auto"/>
      </w:divBdr>
    </w:div>
    <w:div w:id="1090932528">
      <w:bodyDiv w:val="1"/>
      <w:marLeft w:val="0"/>
      <w:marRight w:val="0"/>
      <w:marTop w:val="0"/>
      <w:marBottom w:val="0"/>
      <w:divBdr>
        <w:top w:val="none" w:sz="0" w:space="0" w:color="auto"/>
        <w:left w:val="none" w:sz="0" w:space="0" w:color="auto"/>
        <w:bottom w:val="none" w:sz="0" w:space="0" w:color="auto"/>
        <w:right w:val="none" w:sz="0" w:space="0" w:color="auto"/>
      </w:divBdr>
    </w:div>
    <w:div w:id="1120800601">
      <w:bodyDiv w:val="1"/>
      <w:marLeft w:val="0"/>
      <w:marRight w:val="0"/>
      <w:marTop w:val="0"/>
      <w:marBottom w:val="0"/>
      <w:divBdr>
        <w:top w:val="none" w:sz="0" w:space="0" w:color="auto"/>
        <w:left w:val="none" w:sz="0" w:space="0" w:color="auto"/>
        <w:bottom w:val="none" w:sz="0" w:space="0" w:color="auto"/>
        <w:right w:val="none" w:sz="0" w:space="0" w:color="auto"/>
      </w:divBdr>
    </w:div>
    <w:div w:id="1170289923">
      <w:bodyDiv w:val="1"/>
      <w:marLeft w:val="0"/>
      <w:marRight w:val="0"/>
      <w:marTop w:val="0"/>
      <w:marBottom w:val="0"/>
      <w:divBdr>
        <w:top w:val="none" w:sz="0" w:space="0" w:color="auto"/>
        <w:left w:val="none" w:sz="0" w:space="0" w:color="auto"/>
        <w:bottom w:val="none" w:sz="0" w:space="0" w:color="auto"/>
        <w:right w:val="none" w:sz="0" w:space="0" w:color="auto"/>
      </w:divBdr>
    </w:div>
    <w:div w:id="1312251452">
      <w:bodyDiv w:val="1"/>
      <w:marLeft w:val="0"/>
      <w:marRight w:val="0"/>
      <w:marTop w:val="0"/>
      <w:marBottom w:val="0"/>
      <w:divBdr>
        <w:top w:val="none" w:sz="0" w:space="0" w:color="auto"/>
        <w:left w:val="none" w:sz="0" w:space="0" w:color="auto"/>
        <w:bottom w:val="none" w:sz="0" w:space="0" w:color="auto"/>
        <w:right w:val="none" w:sz="0" w:space="0" w:color="auto"/>
      </w:divBdr>
    </w:div>
    <w:div w:id="1396900257">
      <w:bodyDiv w:val="1"/>
      <w:marLeft w:val="0"/>
      <w:marRight w:val="0"/>
      <w:marTop w:val="0"/>
      <w:marBottom w:val="0"/>
      <w:divBdr>
        <w:top w:val="none" w:sz="0" w:space="0" w:color="auto"/>
        <w:left w:val="none" w:sz="0" w:space="0" w:color="auto"/>
        <w:bottom w:val="none" w:sz="0" w:space="0" w:color="auto"/>
        <w:right w:val="none" w:sz="0" w:space="0" w:color="auto"/>
      </w:divBdr>
    </w:div>
    <w:div w:id="1448700632">
      <w:bodyDiv w:val="1"/>
      <w:marLeft w:val="0"/>
      <w:marRight w:val="0"/>
      <w:marTop w:val="0"/>
      <w:marBottom w:val="0"/>
      <w:divBdr>
        <w:top w:val="none" w:sz="0" w:space="0" w:color="auto"/>
        <w:left w:val="none" w:sz="0" w:space="0" w:color="auto"/>
        <w:bottom w:val="none" w:sz="0" w:space="0" w:color="auto"/>
        <w:right w:val="none" w:sz="0" w:space="0" w:color="auto"/>
      </w:divBdr>
    </w:div>
    <w:div w:id="1469711875">
      <w:bodyDiv w:val="1"/>
      <w:marLeft w:val="0"/>
      <w:marRight w:val="0"/>
      <w:marTop w:val="0"/>
      <w:marBottom w:val="0"/>
      <w:divBdr>
        <w:top w:val="none" w:sz="0" w:space="0" w:color="auto"/>
        <w:left w:val="none" w:sz="0" w:space="0" w:color="auto"/>
        <w:bottom w:val="none" w:sz="0" w:space="0" w:color="auto"/>
        <w:right w:val="none" w:sz="0" w:space="0" w:color="auto"/>
      </w:divBdr>
    </w:div>
    <w:div w:id="1533153535">
      <w:bodyDiv w:val="1"/>
      <w:marLeft w:val="0"/>
      <w:marRight w:val="0"/>
      <w:marTop w:val="0"/>
      <w:marBottom w:val="0"/>
      <w:divBdr>
        <w:top w:val="none" w:sz="0" w:space="0" w:color="auto"/>
        <w:left w:val="none" w:sz="0" w:space="0" w:color="auto"/>
        <w:bottom w:val="none" w:sz="0" w:space="0" w:color="auto"/>
        <w:right w:val="none" w:sz="0" w:space="0" w:color="auto"/>
      </w:divBdr>
    </w:div>
    <w:div w:id="1562861974">
      <w:bodyDiv w:val="1"/>
      <w:marLeft w:val="0"/>
      <w:marRight w:val="0"/>
      <w:marTop w:val="0"/>
      <w:marBottom w:val="0"/>
      <w:divBdr>
        <w:top w:val="none" w:sz="0" w:space="0" w:color="auto"/>
        <w:left w:val="none" w:sz="0" w:space="0" w:color="auto"/>
        <w:bottom w:val="none" w:sz="0" w:space="0" w:color="auto"/>
        <w:right w:val="none" w:sz="0" w:space="0" w:color="auto"/>
      </w:divBdr>
    </w:div>
    <w:div w:id="1581870530">
      <w:bodyDiv w:val="1"/>
      <w:marLeft w:val="0"/>
      <w:marRight w:val="0"/>
      <w:marTop w:val="0"/>
      <w:marBottom w:val="0"/>
      <w:divBdr>
        <w:top w:val="none" w:sz="0" w:space="0" w:color="auto"/>
        <w:left w:val="none" w:sz="0" w:space="0" w:color="auto"/>
        <w:bottom w:val="none" w:sz="0" w:space="0" w:color="auto"/>
        <w:right w:val="none" w:sz="0" w:space="0" w:color="auto"/>
      </w:divBdr>
    </w:div>
    <w:div w:id="1703361354">
      <w:bodyDiv w:val="1"/>
      <w:marLeft w:val="0"/>
      <w:marRight w:val="0"/>
      <w:marTop w:val="0"/>
      <w:marBottom w:val="0"/>
      <w:divBdr>
        <w:top w:val="none" w:sz="0" w:space="0" w:color="auto"/>
        <w:left w:val="none" w:sz="0" w:space="0" w:color="auto"/>
        <w:bottom w:val="none" w:sz="0" w:space="0" w:color="auto"/>
        <w:right w:val="none" w:sz="0" w:space="0" w:color="auto"/>
      </w:divBdr>
    </w:div>
    <w:div w:id="1752848137">
      <w:bodyDiv w:val="1"/>
      <w:marLeft w:val="0"/>
      <w:marRight w:val="0"/>
      <w:marTop w:val="0"/>
      <w:marBottom w:val="0"/>
      <w:divBdr>
        <w:top w:val="none" w:sz="0" w:space="0" w:color="auto"/>
        <w:left w:val="none" w:sz="0" w:space="0" w:color="auto"/>
        <w:bottom w:val="none" w:sz="0" w:space="0" w:color="auto"/>
        <w:right w:val="none" w:sz="0" w:space="0" w:color="auto"/>
      </w:divBdr>
    </w:div>
    <w:div w:id="1827089249">
      <w:bodyDiv w:val="1"/>
      <w:marLeft w:val="0"/>
      <w:marRight w:val="0"/>
      <w:marTop w:val="0"/>
      <w:marBottom w:val="0"/>
      <w:divBdr>
        <w:top w:val="none" w:sz="0" w:space="0" w:color="auto"/>
        <w:left w:val="none" w:sz="0" w:space="0" w:color="auto"/>
        <w:bottom w:val="none" w:sz="0" w:space="0" w:color="auto"/>
        <w:right w:val="none" w:sz="0" w:space="0" w:color="auto"/>
      </w:divBdr>
    </w:div>
    <w:div w:id="1846553554">
      <w:bodyDiv w:val="1"/>
      <w:marLeft w:val="0"/>
      <w:marRight w:val="0"/>
      <w:marTop w:val="0"/>
      <w:marBottom w:val="0"/>
      <w:divBdr>
        <w:top w:val="none" w:sz="0" w:space="0" w:color="auto"/>
        <w:left w:val="none" w:sz="0" w:space="0" w:color="auto"/>
        <w:bottom w:val="none" w:sz="0" w:space="0" w:color="auto"/>
        <w:right w:val="none" w:sz="0" w:space="0" w:color="auto"/>
      </w:divBdr>
    </w:div>
    <w:div w:id="1940409253">
      <w:bodyDiv w:val="1"/>
      <w:marLeft w:val="0"/>
      <w:marRight w:val="0"/>
      <w:marTop w:val="0"/>
      <w:marBottom w:val="0"/>
      <w:divBdr>
        <w:top w:val="none" w:sz="0" w:space="0" w:color="auto"/>
        <w:left w:val="none" w:sz="0" w:space="0" w:color="auto"/>
        <w:bottom w:val="none" w:sz="0" w:space="0" w:color="auto"/>
        <w:right w:val="none" w:sz="0" w:space="0" w:color="auto"/>
      </w:divBdr>
    </w:div>
    <w:div w:id="1954166768">
      <w:bodyDiv w:val="1"/>
      <w:marLeft w:val="0"/>
      <w:marRight w:val="0"/>
      <w:marTop w:val="0"/>
      <w:marBottom w:val="0"/>
      <w:divBdr>
        <w:top w:val="none" w:sz="0" w:space="0" w:color="auto"/>
        <w:left w:val="none" w:sz="0" w:space="0" w:color="auto"/>
        <w:bottom w:val="none" w:sz="0" w:space="0" w:color="auto"/>
        <w:right w:val="none" w:sz="0" w:space="0" w:color="auto"/>
      </w:divBdr>
    </w:div>
    <w:div w:id="1991329139">
      <w:bodyDiv w:val="1"/>
      <w:marLeft w:val="0"/>
      <w:marRight w:val="0"/>
      <w:marTop w:val="0"/>
      <w:marBottom w:val="0"/>
      <w:divBdr>
        <w:top w:val="none" w:sz="0" w:space="0" w:color="auto"/>
        <w:left w:val="none" w:sz="0" w:space="0" w:color="auto"/>
        <w:bottom w:val="none" w:sz="0" w:space="0" w:color="auto"/>
        <w:right w:val="none" w:sz="0" w:space="0" w:color="auto"/>
      </w:divBdr>
    </w:div>
    <w:div w:id="2086565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2312801@student.uwtsd.ac.uk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IBM26</b:Tag>
    <b:SourceType>InternetSite</b:SourceType>
    <b:Guid>{232F8F6E-5056-492A-966B-99EB91A6E509}</b:Guid>
    <b:Author>
      <b:Author>
        <b:Corporate>IBM</b:Corporate>
      </b:Author>
    </b:Author>
    <b:Title>What is data poisoning?</b:Title>
    <b:ProductionCompany>IBM</b:ProductionCompany>
    <b:YearAccessed>2026</b:YearAccessed>
    <b:MonthAccessed>January</b:MonthAccessed>
    <b:DayAccessed>2</b:DayAccessed>
    <b:URL>https://www.ibm.com/think/topics/data-poisoning#1775009479</b:URL>
    <b:RefOrder>1</b:RefOrder>
  </b:Source>
  <b:Source>
    <b:Tag>Eur23</b:Tag>
    <b:SourceType>InternetSite</b:SourceType>
    <b:Guid>{98BE9675-72D3-4A31-BBA6-0EA73D03AA78}</b:Guid>
    <b:Author>
      <b:Author>
        <b:Corporate>European Parliament</b:Corporate>
      </b:Author>
    </b:Author>
    <b:Title>EU AI Act: first regulation on artificial intelligence</b:Title>
    <b:ProductionCompany>European Parliament</b:ProductionCompany>
    <b:Year>2023</b:Year>
    <b:Month>July</b:Month>
    <b:Day>8</b:Day>
    <b:YearAccessed>2026</b:YearAccessed>
    <b:MonthAccessed>January</b:MonthAccessed>
    <b:DayAccessed>2</b:DayAccessed>
    <b:URL>https://www.europarl.europa.eu/topics/en/article/20230601STO93804/eu-ai-act-first-regulation-on-artificial-intelligence#ai-regulation-in-europe-the-first-comprehensive-framework-4</b:URL>
    <b:RefOrder>2</b:RefOrder>
  </b:Source>
  <b:Source>
    <b:Tag>Goo26</b:Tag>
    <b:SourceType>InternetSite</b:SourceType>
    <b:Guid>{89E5F395-2671-4D87-8469-96D5199C0879}</b:Guid>
    <b:Author>
      <b:Author>
        <b:Corporate>Google Cloud Architecture Center</b:Corporate>
      </b:Author>
    </b:Author>
    <b:Title>MLOps: Continuous delivery and automation pipelines in machine learning</b:Title>
    <b:ProductionCompany>Google</b:ProductionCompany>
    <b:YearAccessed>2026</b:YearAccessed>
    <b:MonthAccessed>January</b:MonthAccessed>
    <b:DayAccessed>2</b:DayAccessed>
    <b:URL>https://docs.cloud.google.com/architecture/mlops-continuous-delivery-and-automation-pipelines-in-machine-learning</b:URL>
    <b:RefOrder>3</b:RefOrder>
  </b:Source>
  <b:Source>
    <b:Tag>Saj23</b:Tag>
    <b:SourceType>JournalArticle</b:SourceType>
    <b:Guid>{DFB0E538-BD8B-4EFF-8D18-1CF6AE959810}</b:Guid>
    <b:Title>Explainable Artificial Intelligence (XAI): What we know and what is left to attain Trustworthy Artificial Intelligence</b:Title>
    <b:Year>2023</b:Year>
    <b:Month>November</b:Month>
    <b:URL>https://www.sciencedirect.com/science/article/pii/S1566253523001148#b13</b:URL>
    <b:Author>
      <b:Author>
        <b:NameList>
          <b:Person>
            <b:Last>Sajid Ali</b:Last>
            <b:First>Tamer</b:First>
            <b:Middle>Abduhmed, Shaker El-Sappagh, Khan Muhammad</b:Middle>
          </b:Person>
        </b:NameList>
      </b:Author>
    </b:Author>
    <b:JournalName>Information Fusion</b:JournalName>
    <b:Volume>99</b:Volume>
    <b:RefOrder>4</b:RefOrder>
  </b:Source>
  <b:Source>
    <b:Tag>EUA26</b:Tag>
    <b:SourceType>InternetSite</b:SourceType>
    <b:Guid>{424BFDE1-5A2F-47EA-85FC-DDB9FD187FF9}</b:Guid>
    <b:Title>Article 14: Human Oversight</b:Title>
    <b:Author>
      <b:Author>
        <b:Corporate>EU Artificial Intelligence Act</b:Corporate>
      </b:Author>
    </b:Author>
    <b:ProductionCompany>European Union</b:ProductionCompany>
    <b:YearAccessed>2026</b:YearAccessed>
    <b:MonthAccessed>January</b:MonthAccessed>
    <b:DayAccessed>2</b:DayAccessed>
    <b:URL>https://artificialintelligenceact.eu/article/14/</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6434ED-3267-48F5-B332-40E9452A09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913</TotalTime>
  <Pages>16</Pages>
  <Words>4836</Words>
  <Characters>29310</Characters>
  <Application>Microsoft Office Word</Application>
  <DocSecurity>0</DocSecurity>
  <Lines>574</Lines>
  <Paragraphs>210</Paragraphs>
  <ScaleCrop>false</ScaleCrop>
  <HeadingPairs>
    <vt:vector size="2" baseType="variant">
      <vt:variant>
        <vt:lpstr>Title</vt:lpstr>
      </vt:variant>
      <vt:variant>
        <vt:i4>1</vt:i4>
      </vt:variant>
    </vt:vector>
  </HeadingPairs>
  <TitlesOfParts>
    <vt:vector size="1" baseType="lpstr">
      <vt:lpstr>Data security and compliance</vt:lpstr>
    </vt:vector>
  </TitlesOfParts>
  <Company/>
  <LinksUpToDate>false</LinksUpToDate>
  <CharactersWithSpaces>33936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security and compliance</dc:title>
  <dc:subject>ACCA5034</dc:subject>
  <dc:creator>Drew McClennon (2312801)</dc:creator>
  <cp:keywords/>
  <dc:description/>
  <cp:lastModifiedBy>Drew McClennon (2312801)</cp:lastModifiedBy>
  <cp:revision>29</cp:revision>
  <dcterms:created xsi:type="dcterms:W3CDTF">2026-01-05T21:09:00Z</dcterms:created>
  <dcterms:modified xsi:type="dcterms:W3CDTF">2026-01-06T12:29:00Z</dcterms:modified>
</cp:coreProperties>
</file>