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17077" w14:textId="77777777" w:rsidR="00646065" w:rsidRPr="00646065" w:rsidRDefault="00646065" w:rsidP="00646065">
      <w:pPr>
        <w:rPr>
          <w:rFonts w:ascii="Times New Roman" w:hAnsi="Times New Roman" w:cs="Times New Roman"/>
          <w:b/>
          <w:bCs/>
          <w:sz w:val="24"/>
          <w:szCs w:val="24"/>
        </w:rPr>
      </w:pPr>
    </w:p>
    <w:p w14:paraId="4D648A01" w14:textId="77777777" w:rsidR="00646065" w:rsidRPr="00646065" w:rsidRDefault="00646065" w:rsidP="00646065">
      <w:pPr>
        <w:rPr>
          <w:rFonts w:ascii="Times New Roman" w:hAnsi="Times New Roman" w:cs="Times New Roman"/>
          <w:sz w:val="24"/>
          <w:szCs w:val="24"/>
        </w:rPr>
      </w:pPr>
    </w:p>
    <w:p w14:paraId="250F1D1C" w14:textId="77777777" w:rsidR="00646065" w:rsidRPr="00646065" w:rsidRDefault="00646065" w:rsidP="0064606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Master of Business Administration</w:t>
      </w:r>
    </w:p>
    <w:p w14:paraId="4FDC7F5B" w14:textId="77777777" w:rsidR="00646065" w:rsidRPr="00646065" w:rsidRDefault="00646065" w:rsidP="0064606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LCMB7035 – Dissertation</w:t>
      </w:r>
    </w:p>
    <w:p w14:paraId="590EAB23" w14:textId="77777777" w:rsidR="00646065" w:rsidRDefault="00646065" w:rsidP="0064606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Dissertation Proposal</w:t>
      </w:r>
    </w:p>
    <w:p w14:paraId="7ED2BABB" w14:textId="77777777" w:rsidR="00646065" w:rsidRDefault="00646065" w:rsidP="00646065">
      <w:pPr>
        <w:spacing w:line="360" w:lineRule="auto"/>
        <w:jc w:val="center"/>
        <w:rPr>
          <w:rFonts w:ascii="Times New Roman" w:hAnsi="Times New Roman" w:cs="Times New Roman"/>
          <w:b/>
          <w:bCs/>
          <w:sz w:val="28"/>
          <w:szCs w:val="28"/>
        </w:rPr>
      </w:pPr>
    </w:p>
    <w:p w14:paraId="7C0DCF2F" w14:textId="77777777" w:rsidR="00646065" w:rsidRPr="00646065" w:rsidRDefault="00646065" w:rsidP="00646065">
      <w:pPr>
        <w:spacing w:line="360" w:lineRule="auto"/>
        <w:jc w:val="center"/>
        <w:rPr>
          <w:rFonts w:ascii="Times New Roman" w:hAnsi="Times New Roman" w:cs="Times New Roman"/>
          <w:b/>
          <w:bCs/>
          <w:sz w:val="28"/>
          <w:szCs w:val="28"/>
        </w:rPr>
      </w:pPr>
    </w:p>
    <w:p w14:paraId="01AB0983" w14:textId="73478B93" w:rsidR="00646065" w:rsidRDefault="00646065" w:rsidP="0064606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Title: The Impact of the UK Carbon Border Adjustment Mechanism (CBAM) on the Procurement Strategies of UK Construction MNEs: A Study of High-Emission Material Sourcing</w:t>
      </w:r>
    </w:p>
    <w:p w14:paraId="30C47BE3" w14:textId="77777777" w:rsidR="00646065" w:rsidRDefault="00646065" w:rsidP="00646065">
      <w:pPr>
        <w:spacing w:line="360" w:lineRule="auto"/>
        <w:jc w:val="center"/>
        <w:rPr>
          <w:rFonts w:ascii="Times New Roman" w:hAnsi="Times New Roman" w:cs="Times New Roman"/>
          <w:b/>
          <w:bCs/>
          <w:sz w:val="28"/>
          <w:szCs w:val="28"/>
        </w:rPr>
      </w:pPr>
    </w:p>
    <w:p w14:paraId="0AA3037E" w14:textId="77777777" w:rsidR="00646065" w:rsidRDefault="00646065" w:rsidP="00646065">
      <w:pPr>
        <w:spacing w:line="360" w:lineRule="auto"/>
        <w:jc w:val="center"/>
        <w:rPr>
          <w:rFonts w:ascii="Times New Roman" w:hAnsi="Times New Roman" w:cs="Times New Roman"/>
          <w:b/>
          <w:bCs/>
          <w:sz w:val="28"/>
          <w:szCs w:val="28"/>
        </w:rPr>
      </w:pPr>
    </w:p>
    <w:p w14:paraId="13A8BE88" w14:textId="77777777" w:rsidR="00646065" w:rsidRDefault="00646065" w:rsidP="00646065">
      <w:pPr>
        <w:spacing w:line="360" w:lineRule="auto"/>
        <w:jc w:val="center"/>
        <w:rPr>
          <w:rFonts w:ascii="Times New Roman" w:hAnsi="Times New Roman" w:cs="Times New Roman"/>
          <w:b/>
          <w:bCs/>
          <w:sz w:val="28"/>
          <w:szCs w:val="28"/>
        </w:rPr>
      </w:pPr>
    </w:p>
    <w:p w14:paraId="266990B4" w14:textId="77777777" w:rsidR="00646065" w:rsidRDefault="00646065" w:rsidP="00646065">
      <w:pPr>
        <w:spacing w:line="360" w:lineRule="auto"/>
        <w:jc w:val="center"/>
        <w:rPr>
          <w:rFonts w:ascii="Times New Roman" w:hAnsi="Times New Roman" w:cs="Times New Roman"/>
          <w:b/>
          <w:bCs/>
          <w:sz w:val="28"/>
          <w:szCs w:val="28"/>
        </w:rPr>
      </w:pPr>
    </w:p>
    <w:p w14:paraId="68F7ACC7" w14:textId="77777777" w:rsidR="00646065" w:rsidRPr="00646065" w:rsidRDefault="00646065" w:rsidP="00646065">
      <w:pPr>
        <w:spacing w:line="360" w:lineRule="auto"/>
        <w:jc w:val="center"/>
        <w:rPr>
          <w:rFonts w:ascii="Times New Roman" w:hAnsi="Times New Roman" w:cs="Times New Roman"/>
          <w:b/>
          <w:bCs/>
          <w:sz w:val="28"/>
          <w:szCs w:val="28"/>
        </w:rPr>
      </w:pPr>
    </w:p>
    <w:p w14:paraId="199894F9" w14:textId="77777777" w:rsidR="00646065" w:rsidRPr="00646065" w:rsidRDefault="00646065" w:rsidP="0064606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Name: Prashant Rathod</w:t>
      </w:r>
    </w:p>
    <w:p w14:paraId="0D97D8A6" w14:textId="6B9D5542" w:rsidR="00646065" w:rsidRPr="00646065" w:rsidRDefault="00646065" w:rsidP="0064606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 2431299</w:t>
      </w:r>
    </w:p>
    <w:p w14:paraId="4A3EB4EB" w14:textId="77777777" w:rsidR="00646065" w:rsidRDefault="00646065" w:rsidP="00646065">
      <w:pPr>
        <w:rPr>
          <w:rFonts w:ascii="Times New Roman" w:hAnsi="Times New Roman" w:cs="Times New Roman"/>
          <w:sz w:val="24"/>
          <w:szCs w:val="24"/>
        </w:rPr>
      </w:pPr>
    </w:p>
    <w:p w14:paraId="5F26A93C" w14:textId="77777777" w:rsidR="00646065" w:rsidRDefault="00646065" w:rsidP="00646065">
      <w:pPr>
        <w:rPr>
          <w:rFonts w:ascii="Times New Roman" w:hAnsi="Times New Roman" w:cs="Times New Roman"/>
          <w:sz w:val="24"/>
          <w:szCs w:val="24"/>
        </w:rPr>
      </w:pPr>
    </w:p>
    <w:p w14:paraId="095CF106" w14:textId="77777777" w:rsidR="00646065" w:rsidRDefault="00646065" w:rsidP="00646065">
      <w:pPr>
        <w:rPr>
          <w:rFonts w:ascii="Times New Roman" w:hAnsi="Times New Roman" w:cs="Times New Roman"/>
          <w:sz w:val="24"/>
          <w:szCs w:val="24"/>
        </w:rPr>
      </w:pPr>
    </w:p>
    <w:p w14:paraId="3D986B56" w14:textId="77777777" w:rsidR="00646065" w:rsidRDefault="00646065" w:rsidP="00646065">
      <w:pPr>
        <w:rPr>
          <w:rFonts w:ascii="Times New Roman" w:hAnsi="Times New Roman" w:cs="Times New Roman"/>
          <w:sz w:val="24"/>
          <w:szCs w:val="24"/>
        </w:rPr>
      </w:pPr>
    </w:p>
    <w:p w14:paraId="7FB51131" w14:textId="77777777" w:rsidR="00646065" w:rsidRDefault="00646065" w:rsidP="00646065">
      <w:pPr>
        <w:rPr>
          <w:rFonts w:ascii="Times New Roman" w:hAnsi="Times New Roman" w:cs="Times New Roman"/>
          <w:sz w:val="24"/>
          <w:szCs w:val="24"/>
        </w:rPr>
      </w:pPr>
    </w:p>
    <w:p w14:paraId="17ED8C7A" w14:textId="77777777" w:rsidR="00646065" w:rsidRDefault="00646065" w:rsidP="00646065">
      <w:pPr>
        <w:rPr>
          <w:rFonts w:ascii="Times New Roman" w:hAnsi="Times New Roman" w:cs="Times New Roman"/>
          <w:sz w:val="24"/>
          <w:szCs w:val="24"/>
        </w:rPr>
      </w:pPr>
    </w:p>
    <w:p w14:paraId="2C56E13D" w14:textId="77777777" w:rsidR="00646065" w:rsidRDefault="00646065" w:rsidP="00646065">
      <w:pPr>
        <w:rPr>
          <w:rFonts w:ascii="Times New Roman" w:hAnsi="Times New Roman" w:cs="Times New Roman"/>
          <w:sz w:val="24"/>
          <w:szCs w:val="24"/>
        </w:rPr>
      </w:pPr>
    </w:p>
    <w:p w14:paraId="093CDEBC" w14:textId="77777777" w:rsidR="00646065" w:rsidRDefault="00646065" w:rsidP="00646065">
      <w:pPr>
        <w:rPr>
          <w:rFonts w:ascii="Times New Roman" w:hAnsi="Times New Roman" w:cs="Times New Roman"/>
          <w:sz w:val="24"/>
          <w:szCs w:val="24"/>
        </w:rPr>
      </w:pPr>
    </w:p>
    <w:p w14:paraId="5EF895A4" w14:textId="77777777" w:rsidR="00646065" w:rsidRDefault="00646065" w:rsidP="00646065">
      <w:pPr>
        <w:rPr>
          <w:rFonts w:ascii="Times New Roman" w:hAnsi="Times New Roman" w:cs="Times New Roman"/>
          <w:sz w:val="24"/>
          <w:szCs w:val="24"/>
        </w:rPr>
      </w:pPr>
    </w:p>
    <w:p w14:paraId="498CDF79" w14:textId="77777777" w:rsidR="00646065" w:rsidRDefault="00646065" w:rsidP="00646065">
      <w:pPr>
        <w:rPr>
          <w:rFonts w:ascii="Times New Roman" w:hAnsi="Times New Roman" w:cs="Times New Roman"/>
          <w:sz w:val="24"/>
          <w:szCs w:val="24"/>
        </w:rPr>
      </w:pPr>
    </w:p>
    <w:p w14:paraId="2ED301EC" w14:textId="77777777" w:rsidR="00646065" w:rsidRDefault="00646065" w:rsidP="00646065">
      <w:pPr>
        <w:rPr>
          <w:rFonts w:ascii="Times New Roman" w:hAnsi="Times New Roman" w:cs="Times New Roman"/>
          <w:sz w:val="24"/>
          <w:szCs w:val="24"/>
        </w:rPr>
      </w:pPr>
    </w:p>
    <w:p w14:paraId="6A3D2AFC" w14:textId="77777777" w:rsidR="00646065" w:rsidRDefault="00646065" w:rsidP="00646065">
      <w:pPr>
        <w:rPr>
          <w:rFonts w:ascii="Times New Roman" w:hAnsi="Times New Roman" w:cs="Times New Roman"/>
          <w:sz w:val="24"/>
          <w:szCs w:val="24"/>
        </w:rPr>
      </w:pPr>
    </w:p>
    <w:p w14:paraId="688CA25C" w14:textId="77777777" w:rsidR="00646065" w:rsidRDefault="00646065" w:rsidP="00646065">
      <w:pPr>
        <w:rPr>
          <w:rFonts w:ascii="Times New Roman" w:hAnsi="Times New Roman" w:cs="Times New Roman"/>
          <w:sz w:val="24"/>
          <w:szCs w:val="24"/>
        </w:rPr>
      </w:pPr>
    </w:p>
    <w:p w14:paraId="30A1FD83" w14:textId="77777777" w:rsidR="00646065" w:rsidRDefault="00646065" w:rsidP="00646065">
      <w:pPr>
        <w:rPr>
          <w:rFonts w:ascii="Times New Roman" w:hAnsi="Times New Roman" w:cs="Times New Roman"/>
          <w:sz w:val="24"/>
          <w:szCs w:val="24"/>
        </w:rPr>
      </w:pPr>
    </w:p>
    <w:p w14:paraId="50C031AB" w14:textId="77777777" w:rsidR="00646065" w:rsidRDefault="00646065" w:rsidP="00646065">
      <w:pPr>
        <w:rPr>
          <w:rFonts w:ascii="Times New Roman" w:hAnsi="Times New Roman" w:cs="Times New Roman"/>
          <w:sz w:val="24"/>
          <w:szCs w:val="24"/>
        </w:rPr>
      </w:pPr>
    </w:p>
    <w:p w14:paraId="09FB489C" w14:textId="77777777" w:rsidR="00646065" w:rsidRDefault="00646065" w:rsidP="00646065">
      <w:pPr>
        <w:rPr>
          <w:rFonts w:ascii="Times New Roman" w:hAnsi="Times New Roman" w:cs="Times New Roman"/>
          <w:sz w:val="24"/>
          <w:szCs w:val="24"/>
        </w:rPr>
      </w:pPr>
    </w:p>
    <w:p w14:paraId="64B04E71" w14:textId="77777777" w:rsidR="00646065" w:rsidRDefault="00646065" w:rsidP="00646065">
      <w:pPr>
        <w:rPr>
          <w:rFonts w:ascii="Times New Roman" w:hAnsi="Times New Roman" w:cs="Times New Roman"/>
          <w:sz w:val="24"/>
          <w:szCs w:val="24"/>
        </w:rPr>
      </w:pPr>
    </w:p>
    <w:p w14:paraId="4B7199F7" w14:textId="77777777" w:rsidR="00646065" w:rsidRDefault="00646065" w:rsidP="00646065">
      <w:pPr>
        <w:rPr>
          <w:rFonts w:ascii="Times New Roman" w:hAnsi="Times New Roman" w:cs="Times New Roman"/>
          <w:sz w:val="24"/>
          <w:szCs w:val="24"/>
        </w:rPr>
      </w:pPr>
    </w:p>
    <w:p w14:paraId="239EA370" w14:textId="77777777" w:rsidR="00646065" w:rsidRDefault="00646065" w:rsidP="00646065">
      <w:pPr>
        <w:rPr>
          <w:rFonts w:ascii="Times New Roman" w:hAnsi="Times New Roman" w:cs="Times New Roman"/>
          <w:sz w:val="24"/>
          <w:szCs w:val="24"/>
        </w:rPr>
      </w:pPr>
    </w:p>
    <w:p w14:paraId="0B633DE9" w14:textId="77777777" w:rsidR="00646065" w:rsidRDefault="00646065" w:rsidP="00646065">
      <w:pPr>
        <w:rPr>
          <w:rFonts w:ascii="Times New Roman" w:hAnsi="Times New Roman" w:cs="Times New Roman"/>
          <w:sz w:val="24"/>
          <w:szCs w:val="24"/>
        </w:rPr>
      </w:pPr>
    </w:p>
    <w:p w14:paraId="471BA709" w14:textId="77777777" w:rsidR="00646065" w:rsidRDefault="00646065" w:rsidP="00646065">
      <w:pPr>
        <w:rPr>
          <w:rFonts w:ascii="Times New Roman" w:hAnsi="Times New Roman" w:cs="Times New Roman"/>
          <w:sz w:val="24"/>
          <w:szCs w:val="24"/>
        </w:rPr>
      </w:pPr>
    </w:p>
    <w:p w14:paraId="60C7411F" w14:textId="77777777" w:rsidR="00646065" w:rsidRDefault="00646065" w:rsidP="00646065">
      <w:pPr>
        <w:rPr>
          <w:rFonts w:ascii="Times New Roman" w:hAnsi="Times New Roman" w:cs="Times New Roman"/>
          <w:sz w:val="24"/>
          <w:szCs w:val="24"/>
        </w:rPr>
      </w:pPr>
    </w:p>
    <w:p w14:paraId="21920DA7" w14:textId="77777777" w:rsidR="00646065" w:rsidRDefault="00646065" w:rsidP="00646065">
      <w:pPr>
        <w:rPr>
          <w:rFonts w:ascii="Times New Roman" w:hAnsi="Times New Roman" w:cs="Times New Roman"/>
          <w:sz w:val="24"/>
          <w:szCs w:val="24"/>
        </w:rPr>
      </w:pPr>
    </w:p>
    <w:p w14:paraId="748E19C4" w14:textId="77777777" w:rsidR="00646065" w:rsidRDefault="00646065" w:rsidP="00646065">
      <w:pPr>
        <w:rPr>
          <w:rFonts w:ascii="Times New Roman" w:hAnsi="Times New Roman" w:cs="Times New Roman"/>
          <w:sz w:val="24"/>
          <w:szCs w:val="24"/>
        </w:rPr>
      </w:pPr>
    </w:p>
    <w:p w14:paraId="211F7179" w14:textId="77777777" w:rsidR="00646065" w:rsidRDefault="00646065" w:rsidP="00646065">
      <w:pPr>
        <w:rPr>
          <w:rFonts w:ascii="Times New Roman" w:hAnsi="Times New Roman" w:cs="Times New Roman"/>
          <w:sz w:val="24"/>
          <w:szCs w:val="24"/>
        </w:rPr>
      </w:pPr>
    </w:p>
    <w:sdt>
      <w:sdtPr>
        <w:id w:val="2013031044"/>
        <w:docPartObj>
          <w:docPartGallery w:val="Table of Contents"/>
          <w:docPartUnique/>
        </w:docPartObj>
      </w:sdtPr>
      <w:sdtEndPr>
        <w:rPr>
          <w:rFonts w:ascii="Times New Roman" w:eastAsia="Arial" w:hAnsi="Times New Roman" w:cs="Times New Roman"/>
          <w:b/>
          <w:bCs/>
          <w:noProof/>
          <w:color w:val="auto"/>
          <w:sz w:val="24"/>
          <w:szCs w:val="24"/>
        </w:rPr>
      </w:sdtEndPr>
      <w:sdtContent>
        <w:p w14:paraId="39BE011E" w14:textId="31E8BFAF" w:rsidR="00CD786D" w:rsidRPr="006E4B5F" w:rsidRDefault="006E4B5F" w:rsidP="006E4B5F">
          <w:pPr>
            <w:pStyle w:val="TOCHeading"/>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5AA82E6E" w14:textId="05C88CC3"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instrText xml:space="preserve"> TOC \o "1-3" \h \z \u </w:instrText>
            <w:fldChar w:fldCharType="separate"/>
          </w:r>
          <w:hyperlink w:anchor="_Toc224681795" w:history="1">
            <w:r>
              <w:rPr>
                <w:rStyle w:val="Hyperlink"/>
                <w:rFonts w:ascii="Times New Roman" w:hAnsi="Times New Roman" w:cs="Times New Roman"/>
                <w:noProof/>
                <w:sz w:val="24"/>
                <w:szCs w:val="24"/>
              </w:rPr>
              <w:t>1</w:t>
            </w:r>
            <w:r>
              <w:rPr>
                <w:rFonts w:ascii="Times New Roman" w:hAnsi="Times New Roman" w:cs="Times New Roman"/>
                <w:noProof/>
                <w:sz w:val="24"/>
                <w:szCs w:val="24"/>
              </w:rPr>
              <w:tab/>
            </w:r>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fldChar w:fldCharType="begin"/>
              <w:instrText xml:space="preserve"> PAGEREF _Toc224681795 \h </w:instrText>
              <w:fldChar w:fldCharType="separate"/>
              <w:t>3</w:t>
              <w:fldChar w:fldCharType="end"/>
            </w:r>
          </w:hyperlink>
        </w:p>
        <w:p w14:paraId="010A0C07" w14:textId="3DE8F739"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796" w:history="1">
            <w:r>
              <w:rPr>
                <w:rStyle w:val="Hyperlink"/>
                <w:rFonts w:ascii="Times New Roman" w:hAnsi="Times New Roman" w:cs="Times New Roman"/>
                <w:noProof/>
                <w:sz w:val="24"/>
                <w:szCs w:val="24"/>
              </w:rPr>
              <w:t>1.1</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Aim</w:t>
            </w:r>
            <w:r>
              <w:rPr>
                <w:rFonts w:ascii="Times New Roman" w:hAnsi="Times New Roman" w:cs="Times New Roman"/>
                <w:noProof/>
                <w:webHidden/>
                <w:sz w:val="24"/>
                <w:szCs w:val="24"/>
              </w:rPr>
              <w:tab/>
              <w:fldChar w:fldCharType="begin"/>
              <w:instrText xml:space="preserve"> PAGEREF _Toc224681796 \h </w:instrText>
              <w:fldChar w:fldCharType="separate"/>
              <w:t>3</w:t>
              <w:fldChar w:fldCharType="end"/>
            </w:r>
          </w:hyperlink>
        </w:p>
        <w:p w14:paraId="797C28C1" w14:textId="0038243A"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797" w:history="1">
            <w:r>
              <w:rPr>
                <w:rStyle w:val="Hyperlink"/>
                <w:rFonts w:ascii="Times New Roman" w:hAnsi="Times New Roman" w:cs="Times New Roman"/>
                <w:noProof/>
                <w:sz w:val="24"/>
                <w:szCs w:val="24"/>
              </w:rPr>
              <w:t>1.2</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Objectives</w:t>
            </w:r>
            <w:r>
              <w:rPr>
                <w:rFonts w:ascii="Times New Roman" w:hAnsi="Times New Roman" w:cs="Times New Roman"/>
                <w:noProof/>
                <w:webHidden/>
                <w:sz w:val="24"/>
                <w:szCs w:val="24"/>
              </w:rPr>
              <w:tab/>
              <w:fldChar w:fldCharType="begin"/>
              <w:instrText xml:space="preserve"> PAGEREF _Toc224681797 \h </w:instrText>
              <w:fldChar w:fldCharType="separate"/>
              <w:t>3</w:t>
              <w:fldChar w:fldCharType="end"/>
            </w:r>
          </w:hyperlink>
        </w:p>
        <w:p w14:paraId="2B346781" w14:textId="1A6A18E5"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798" w:history="1">
            <w:r>
              <w:rPr>
                <w:rStyle w:val="Hyperlink"/>
                <w:rFonts w:ascii="Times New Roman" w:hAnsi="Times New Roman" w:cs="Times New Roman"/>
                <w:noProof/>
                <w:sz w:val="24"/>
                <w:szCs w:val="24"/>
              </w:rPr>
              <w:t>1.3</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Questions</w:t>
            </w:r>
            <w:r>
              <w:rPr>
                <w:rFonts w:ascii="Times New Roman" w:hAnsi="Times New Roman" w:cs="Times New Roman"/>
                <w:noProof/>
                <w:webHidden/>
                <w:sz w:val="24"/>
                <w:szCs w:val="24"/>
              </w:rPr>
              <w:tab/>
              <w:fldChar w:fldCharType="begin"/>
              <w:instrText xml:space="preserve"> PAGEREF _Toc224681798 \h </w:instrText>
              <w:fldChar w:fldCharType="separate"/>
              <w:t>3</w:t>
              <w:fldChar w:fldCharType="end"/>
            </w:r>
          </w:hyperlink>
        </w:p>
        <w:p w14:paraId="14739AC1" w14:textId="72D685C5"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799" w:history="1">
            <w:r>
              <w:rPr>
                <w:rStyle w:val="Hyperlink"/>
                <w:rFonts w:ascii="Times New Roman" w:hAnsi="Times New Roman" w:cs="Times New Roman"/>
                <w:noProof/>
                <w:sz w:val="24"/>
                <w:szCs w:val="24"/>
              </w:rPr>
              <w:t>2</w:t>
            </w:r>
            <w:r>
              <w:rPr>
                <w:rFonts w:ascii="Times New Roman" w:hAnsi="Times New Roman" w:cs="Times New Roman"/>
                <w:noProof/>
                <w:sz w:val="24"/>
                <w:szCs w:val="24"/>
              </w:rPr>
              <w:tab/>
            </w:r>
            <w:r>
              <w:rPr>
                <w:rStyle w:val="Hyperlink"/>
                <w:rFonts w:ascii="Times New Roman" w:hAnsi="Times New Roman" w:cs="Times New Roman"/>
                <w:noProof/>
                <w:sz w:val="24"/>
                <w:szCs w:val="24"/>
              </w:rPr>
              <w:t>Literature Review</w:t>
            </w:r>
            <w:r>
              <w:rPr>
                <w:rFonts w:ascii="Times New Roman" w:hAnsi="Times New Roman" w:cs="Times New Roman"/>
                <w:noProof/>
                <w:webHidden/>
                <w:sz w:val="24"/>
                <w:szCs w:val="24"/>
              </w:rPr>
              <w:tab/>
              <w:fldChar w:fldCharType="begin"/>
              <w:instrText xml:space="preserve"> PAGEREF _Toc224681799 \h </w:instrText>
              <w:fldChar w:fldCharType="separate"/>
              <w:t>4</w:t>
              <w:fldChar w:fldCharType="end"/>
            </w:r>
          </w:hyperlink>
        </w:p>
        <w:p w14:paraId="32049E41" w14:textId="0D95A55A"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0" w:history="1">
            <w:r>
              <w:rPr>
                <w:rStyle w:val="Hyperlink"/>
                <w:rFonts w:ascii="Times New Roman" w:hAnsi="Times New Roman" w:cs="Times New Roman"/>
                <w:noProof/>
                <w:sz w:val="24"/>
                <w:szCs w:val="24"/>
              </w:rPr>
              <w:t>2.1</w:t>
            </w:r>
            <w:r>
              <w:rPr>
                <w:rFonts w:ascii="Times New Roman" w:hAnsi="Times New Roman" w:cs="Times New Roman"/>
                <w:noProof/>
                <w:sz w:val="24"/>
                <w:szCs w:val="24"/>
              </w:rPr>
              <w:tab/>
            </w:r>
            <w:r>
              <w:rPr>
                <w:rStyle w:val="Hyperlink"/>
                <w:rFonts w:ascii="Times New Roman" w:hAnsi="Times New Roman" w:cs="Times New Roman"/>
                <w:noProof/>
                <w:sz w:val="24"/>
                <w:szCs w:val="24"/>
              </w:rPr>
              <w:t>Carbon Pricing and the CBAM Policy Framework</w:t>
            </w:r>
            <w:r>
              <w:rPr>
                <w:rFonts w:ascii="Times New Roman" w:hAnsi="Times New Roman" w:cs="Times New Roman"/>
                <w:noProof/>
                <w:webHidden/>
                <w:sz w:val="24"/>
                <w:szCs w:val="24"/>
              </w:rPr>
              <w:tab/>
              <w:fldChar w:fldCharType="begin"/>
              <w:instrText xml:space="preserve"> PAGEREF _Toc224681800 \h </w:instrText>
              <w:fldChar w:fldCharType="separate"/>
              <w:t>4</w:t>
              <w:fldChar w:fldCharType="end"/>
            </w:r>
          </w:hyperlink>
        </w:p>
        <w:p w14:paraId="7637E9AB" w14:textId="19D7E633"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1" w:history="1">
            <w:r>
              <w:rPr>
                <w:rStyle w:val="Hyperlink"/>
                <w:rFonts w:ascii="Times New Roman" w:hAnsi="Times New Roman" w:cs="Times New Roman"/>
                <w:noProof/>
                <w:sz w:val="24"/>
                <w:szCs w:val="24"/>
              </w:rPr>
              <w:t>2.2</w:t>
            </w:r>
            <w:r>
              <w:rPr>
                <w:rFonts w:ascii="Times New Roman" w:hAnsi="Times New Roman" w:cs="Times New Roman"/>
                <w:noProof/>
                <w:sz w:val="24"/>
                <w:szCs w:val="24"/>
              </w:rPr>
              <w:tab/>
            </w:r>
            <w:r>
              <w:rPr>
                <w:rStyle w:val="Hyperlink"/>
                <w:rFonts w:ascii="Times New Roman" w:hAnsi="Times New Roman" w:cs="Times New Roman"/>
                <w:noProof/>
                <w:sz w:val="24"/>
                <w:szCs w:val="24"/>
              </w:rPr>
              <w:t>CBAM Cost Implications for Construction Materials</w:t>
            </w:r>
            <w:r>
              <w:rPr>
                <w:rFonts w:ascii="Times New Roman" w:hAnsi="Times New Roman" w:cs="Times New Roman"/>
                <w:noProof/>
                <w:webHidden/>
                <w:sz w:val="24"/>
                <w:szCs w:val="24"/>
              </w:rPr>
              <w:tab/>
              <w:fldChar w:fldCharType="begin"/>
              <w:instrText xml:space="preserve"> PAGEREF _Toc224681801 \h </w:instrText>
              <w:fldChar w:fldCharType="separate"/>
              <w:t>4</w:t>
              <w:fldChar w:fldCharType="end"/>
            </w:r>
          </w:hyperlink>
        </w:p>
        <w:p w14:paraId="5A0C3EF4" w14:textId="3FF7E45B"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2" w:history="1">
            <w:r>
              <w:rPr>
                <w:rStyle w:val="Hyperlink"/>
                <w:rFonts w:ascii="Times New Roman" w:hAnsi="Times New Roman" w:cs="Times New Roman"/>
                <w:noProof/>
                <w:sz w:val="24"/>
                <w:szCs w:val="24"/>
              </w:rPr>
              <w:t>2.3</w:t>
            </w:r>
            <w:r>
              <w:rPr>
                <w:rFonts w:ascii="Times New Roman" w:hAnsi="Times New Roman" w:cs="Times New Roman"/>
                <w:noProof/>
                <w:sz w:val="24"/>
                <w:szCs w:val="24"/>
              </w:rPr>
              <w:tab/>
            </w:r>
            <w:r>
              <w:rPr>
                <w:rStyle w:val="Hyperlink"/>
                <w:rFonts w:ascii="Times New Roman" w:hAnsi="Times New Roman" w:cs="Times New Roman"/>
                <w:noProof/>
                <w:sz w:val="24"/>
                <w:szCs w:val="24"/>
              </w:rPr>
              <w:t>Strategic Shift: From Cost-Efficiency to Carbon-Efficiency</w:t>
            </w:r>
            <w:r>
              <w:rPr>
                <w:rFonts w:ascii="Times New Roman" w:hAnsi="Times New Roman" w:cs="Times New Roman"/>
                <w:noProof/>
                <w:webHidden/>
                <w:sz w:val="24"/>
                <w:szCs w:val="24"/>
              </w:rPr>
              <w:tab/>
              <w:fldChar w:fldCharType="begin"/>
              <w:instrText xml:space="preserve"> PAGEREF _Toc224681802 \h </w:instrText>
              <w:fldChar w:fldCharType="separate"/>
              <w:t>5</w:t>
              <w:fldChar w:fldCharType="end"/>
            </w:r>
          </w:hyperlink>
        </w:p>
        <w:p w14:paraId="22D7FDF8" w14:textId="38D39442"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03" w:history="1">
            <w:r>
              <w:rPr>
                <w:rStyle w:val="Hyperlink"/>
                <w:rFonts w:ascii="Times New Roman" w:hAnsi="Times New Roman" w:cs="Times New Roman"/>
                <w:noProof/>
                <w:sz w:val="24"/>
                <w:szCs w:val="24"/>
              </w:rPr>
              <w:t>3</w:t>
            </w:r>
            <w:r>
              <w:rPr>
                <w:rFonts w:ascii="Times New Roman" w:hAnsi="Times New Roman" w:cs="Times New Roman"/>
                <w:noProof/>
                <w:sz w:val="24"/>
                <w:szCs w:val="24"/>
              </w:rPr>
              <w:tab/>
            </w:r>
            <w:r>
              <w:rPr>
                <w:rStyle w:val="Hyperlink"/>
                <w:rFonts w:ascii="Times New Roman" w:hAnsi="Times New Roman" w:cs="Times New Roman"/>
                <w:noProof/>
                <w:sz w:val="24"/>
                <w:szCs w:val="24"/>
              </w:rPr>
              <w:t>Methodology</w:t>
            </w:r>
            <w:r>
              <w:rPr>
                <w:rFonts w:ascii="Times New Roman" w:hAnsi="Times New Roman" w:cs="Times New Roman"/>
                <w:noProof/>
                <w:webHidden/>
                <w:sz w:val="24"/>
                <w:szCs w:val="24"/>
              </w:rPr>
              <w:tab/>
              <w:fldChar w:fldCharType="begin"/>
              <w:instrText xml:space="preserve"> PAGEREF _Toc224681803 \h </w:instrText>
              <w:fldChar w:fldCharType="separate"/>
              <w:t>6</w:t>
              <w:fldChar w:fldCharType="end"/>
            </w:r>
          </w:hyperlink>
        </w:p>
        <w:p w14:paraId="5336D913" w14:textId="0DA705B8"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4" w:history="1">
            <w:r>
              <w:rPr>
                <w:rStyle w:val="Hyperlink"/>
                <w:rFonts w:ascii="Times New Roman" w:hAnsi="Times New Roman" w:cs="Times New Roman"/>
                <w:noProof/>
                <w:sz w:val="24"/>
                <w:szCs w:val="24"/>
              </w:rPr>
              <w:t>3.1</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Design</w:t>
            </w:r>
            <w:r>
              <w:rPr>
                <w:rFonts w:ascii="Times New Roman" w:hAnsi="Times New Roman" w:cs="Times New Roman"/>
                <w:noProof/>
                <w:webHidden/>
                <w:sz w:val="24"/>
                <w:szCs w:val="24"/>
              </w:rPr>
              <w:tab/>
              <w:fldChar w:fldCharType="begin"/>
              <w:instrText xml:space="preserve"> PAGEREF _Toc224681804 \h </w:instrText>
              <w:fldChar w:fldCharType="separate"/>
              <w:t>6</w:t>
              <w:fldChar w:fldCharType="end"/>
            </w:r>
          </w:hyperlink>
        </w:p>
        <w:p w14:paraId="7A32A0C4" w14:textId="33E7227D"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5" w:history="1">
            <w:r>
              <w:rPr>
                <w:rStyle w:val="Hyperlink"/>
                <w:rFonts w:ascii="Times New Roman" w:hAnsi="Times New Roman" w:cs="Times New Roman"/>
                <w:noProof/>
                <w:sz w:val="24"/>
                <w:szCs w:val="24"/>
              </w:rPr>
              <w:t>3.2</w:t>
            </w:r>
            <w:r>
              <w:rPr>
                <w:rFonts w:ascii="Times New Roman" w:hAnsi="Times New Roman" w:cs="Times New Roman"/>
                <w:noProof/>
                <w:sz w:val="24"/>
                <w:szCs w:val="24"/>
              </w:rPr>
              <w:tab/>
            </w:r>
            <w:r>
              <w:rPr>
                <w:rStyle w:val="Hyperlink"/>
                <w:rFonts w:ascii="Times New Roman" w:hAnsi="Times New Roman" w:cs="Times New Roman"/>
                <w:noProof/>
                <w:sz w:val="24"/>
                <w:szCs w:val="24"/>
              </w:rPr>
              <w:t>Literature Sources and Article Selection</w:t>
            </w:r>
            <w:r>
              <w:rPr>
                <w:rFonts w:ascii="Times New Roman" w:hAnsi="Times New Roman" w:cs="Times New Roman"/>
                <w:noProof/>
                <w:webHidden/>
                <w:sz w:val="24"/>
                <w:szCs w:val="24"/>
              </w:rPr>
              <w:tab/>
              <w:fldChar w:fldCharType="begin"/>
              <w:instrText xml:space="preserve"> PAGEREF _Toc224681805 \h </w:instrText>
              <w:fldChar w:fldCharType="separate"/>
              <w:t>6</w:t>
              <w:fldChar w:fldCharType="end"/>
            </w:r>
          </w:hyperlink>
        </w:p>
        <w:p w14:paraId="034E6A81" w14:textId="68219D58"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6" w:history="1">
            <w:r>
              <w:rPr>
                <w:rStyle w:val="Hyperlink"/>
                <w:rFonts w:ascii="Times New Roman" w:hAnsi="Times New Roman" w:cs="Times New Roman"/>
                <w:noProof/>
                <w:sz w:val="24"/>
                <w:szCs w:val="24"/>
              </w:rPr>
              <w:t>3.3</w:t>
            </w:r>
            <w:r>
              <w:rPr>
                <w:rFonts w:ascii="Times New Roman" w:hAnsi="Times New Roman" w:cs="Times New Roman"/>
                <w:noProof/>
                <w:sz w:val="24"/>
                <w:szCs w:val="24"/>
              </w:rPr>
              <w:tab/>
            </w:r>
            <w:r>
              <w:rPr>
                <w:rStyle w:val="Hyperlink"/>
                <w:rFonts w:ascii="Times New Roman" w:hAnsi="Times New Roman" w:cs="Times New Roman"/>
                <w:noProof/>
                <w:sz w:val="24"/>
                <w:szCs w:val="24"/>
              </w:rPr>
              <w:t>Data Analysis</w:t>
            </w:r>
            <w:r>
              <w:rPr>
                <w:rFonts w:ascii="Times New Roman" w:hAnsi="Times New Roman" w:cs="Times New Roman"/>
                <w:noProof/>
                <w:webHidden/>
                <w:sz w:val="24"/>
                <w:szCs w:val="24"/>
              </w:rPr>
              <w:tab/>
              <w:fldChar w:fldCharType="begin"/>
              <w:instrText xml:space="preserve"> PAGEREF _Toc224681806 \h </w:instrText>
              <w:fldChar w:fldCharType="separate"/>
              <w:t>6</w:t>
              <w:fldChar w:fldCharType="end"/>
            </w:r>
          </w:hyperlink>
        </w:p>
        <w:p w14:paraId="72588E88" w14:textId="083E75A0"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7" w:history="1">
            <w:r>
              <w:rPr>
                <w:rStyle w:val="Hyperlink"/>
                <w:rFonts w:ascii="Times New Roman" w:hAnsi="Times New Roman" w:cs="Times New Roman"/>
                <w:noProof/>
                <w:sz w:val="24"/>
                <w:szCs w:val="24"/>
              </w:rPr>
              <w:t>3.4</w:t>
            </w:r>
            <w:r>
              <w:rPr>
                <w:rFonts w:ascii="Times New Roman" w:hAnsi="Times New Roman" w:cs="Times New Roman"/>
                <w:noProof/>
                <w:sz w:val="24"/>
                <w:szCs w:val="24"/>
              </w:rPr>
              <w:tab/>
            </w:r>
            <w:r>
              <w:rPr>
                <w:rStyle w:val="Hyperlink"/>
                <w:rFonts w:ascii="Times New Roman" w:hAnsi="Times New Roman" w:cs="Times New Roman"/>
                <w:noProof/>
                <w:sz w:val="24"/>
                <w:szCs w:val="24"/>
              </w:rPr>
              <w:t>Ethics</w:t>
            </w:r>
            <w:r>
              <w:rPr>
                <w:rFonts w:ascii="Times New Roman" w:hAnsi="Times New Roman" w:cs="Times New Roman"/>
                <w:noProof/>
                <w:webHidden/>
                <w:sz w:val="24"/>
                <w:szCs w:val="24"/>
              </w:rPr>
              <w:tab/>
              <w:fldChar w:fldCharType="begin"/>
              <w:instrText xml:space="preserve"> PAGEREF _Toc224681807 \h </w:instrText>
              <w:fldChar w:fldCharType="separate"/>
              <w:t>6</w:t>
              <w:fldChar w:fldCharType="end"/>
            </w:r>
          </w:hyperlink>
        </w:p>
        <w:p w14:paraId="4A60F609" w14:textId="47847328"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08" w:history="1">
            <w:r>
              <w:rPr>
                <w:rStyle w:val="Hyperlink"/>
                <w:rFonts w:ascii="Times New Roman" w:hAnsi="Times New Roman" w:cs="Times New Roman"/>
                <w:noProof/>
                <w:sz w:val="24"/>
                <w:szCs w:val="24"/>
              </w:rPr>
              <w:t>4</w:t>
            </w:r>
            <w:r>
              <w:rPr>
                <w:rFonts w:ascii="Times New Roman" w:hAnsi="Times New Roman" w:cs="Times New Roman"/>
                <w:noProof/>
                <w:sz w:val="24"/>
                <w:szCs w:val="24"/>
              </w:rPr>
              <w:tab/>
            </w:r>
            <w:r>
              <w:rPr>
                <w:rStyle w:val="Hyperlink"/>
                <w:rFonts w:ascii="Times New Roman" w:hAnsi="Times New Roman" w:cs="Times New Roman"/>
                <w:noProof/>
                <w:sz w:val="24"/>
                <w:szCs w:val="24"/>
              </w:rPr>
              <w:t>Expected Findings</w:t>
            </w:r>
            <w:r>
              <w:rPr>
                <w:rFonts w:ascii="Times New Roman" w:hAnsi="Times New Roman" w:cs="Times New Roman"/>
                <w:noProof/>
                <w:webHidden/>
                <w:sz w:val="24"/>
                <w:szCs w:val="24"/>
              </w:rPr>
              <w:tab/>
              <w:fldChar w:fldCharType="begin"/>
              <w:instrText xml:space="preserve"> PAGEREF _Toc224681808 \h </w:instrText>
              <w:fldChar w:fldCharType="separate"/>
              <w:t>7</w:t>
              <w:fldChar w:fldCharType="end"/>
            </w:r>
          </w:hyperlink>
        </w:p>
        <w:p w14:paraId="04CBA724" w14:textId="77426FB4"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09" w:history="1">
            <w:r>
              <w:rPr>
                <w:rStyle w:val="Hyperlink"/>
                <w:rFonts w:ascii="Times New Roman" w:hAnsi="Times New Roman" w:cs="Times New Roman"/>
                <w:noProof/>
                <w:sz w:val="24"/>
                <w:szCs w:val="24"/>
              </w:rPr>
              <w:t>4.1</w:t>
            </w:r>
            <w:r>
              <w:rPr>
                <w:rFonts w:ascii="Times New Roman" w:hAnsi="Times New Roman" w:cs="Times New Roman"/>
                <w:noProof/>
                <w:sz w:val="24"/>
                <w:szCs w:val="24"/>
              </w:rPr>
              <w:tab/>
            </w:r>
            <w:r>
              <w:rPr>
                <w:rStyle w:val="Hyperlink"/>
                <w:rFonts w:ascii="Times New Roman" w:hAnsi="Times New Roman" w:cs="Times New Roman"/>
                <w:noProof/>
                <w:sz w:val="24"/>
                <w:szCs w:val="24"/>
              </w:rPr>
              <w:t>Cost Implications of Material Category</w:t>
            </w:r>
            <w:r>
              <w:rPr>
                <w:rFonts w:ascii="Times New Roman" w:hAnsi="Times New Roman" w:cs="Times New Roman"/>
                <w:noProof/>
                <w:webHidden/>
                <w:sz w:val="24"/>
                <w:szCs w:val="24"/>
              </w:rPr>
              <w:tab/>
              <w:fldChar w:fldCharType="begin"/>
              <w:instrText xml:space="preserve"> PAGEREF _Toc224681809 \h </w:instrText>
              <w:fldChar w:fldCharType="separate"/>
              <w:t>7</w:t>
              <w:fldChar w:fldCharType="end"/>
            </w:r>
          </w:hyperlink>
        </w:p>
        <w:p w14:paraId="13D7CAD3" w14:textId="63EFA0AD"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10" w:history="1">
            <w:r>
              <w:rPr>
                <w:rStyle w:val="Hyperlink"/>
                <w:rFonts w:ascii="Times New Roman" w:hAnsi="Times New Roman" w:cs="Times New Roman"/>
                <w:noProof/>
                <w:sz w:val="24"/>
                <w:szCs w:val="24"/>
              </w:rPr>
              <w:t>4.2</w:t>
            </w:r>
            <w:r>
              <w:rPr>
                <w:rFonts w:ascii="Times New Roman" w:hAnsi="Times New Roman" w:cs="Times New Roman"/>
                <w:noProof/>
                <w:sz w:val="24"/>
                <w:szCs w:val="24"/>
              </w:rPr>
              <w:tab/>
            </w:r>
            <w:r>
              <w:rPr>
                <w:rStyle w:val="Hyperlink"/>
                <w:rFonts w:ascii="Times New Roman" w:hAnsi="Times New Roman" w:cs="Times New Roman"/>
                <w:noProof/>
                <w:sz w:val="24"/>
                <w:szCs w:val="24"/>
              </w:rPr>
              <w:t>Sourcing Shift: International to Domestic Low-Carbon Suppliers</w:t>
            </w:r>
            <w:r>
              <w:rPr>
                <w:rFonts w:ascii="Times New Roman" w:hAnsi="Times New Roman" w:cs="Times New Roman"/>
                <w:noProof/>
                <w:webHidden/>
                <w:sz w:val="24"/>
                <w:szCs w:val="24"/>
              </w:rPr>
              <w:tab/>
              <w:fldChar w:fldCharType="begin"/>
              <w:instrText xml:space="preserve"> PAGEREF _Toc224681810 \h </w:instrText>
              <w:fldChar w:fldCharType="separate"/>
              <w:t>7</w:t>
              <w:fldChar w:fldCharType="end"/>
            </w:r>
          </w:hyperlink>
        </w:p>
        <w:p w14:paraId="588CC3B6" w14:textId="7CA5FFEC" w:rsidR="00CD786D" w:rsidRPr="006E4B5F" w:rsidRDefault="00CD786D" w:rsidP="006E4B5F">
          <w:pPr>
            <w:pStyle w:val="TOC2"/>
            <w:tabs>
              <w:tab w:val="left" w:pos="960"/>
              <w:tab w:val="right" w:leader="dot" w:pos="9556"/>
            </w:tabs>
            <w:spacing w:line="360" w:lineRule="auto"/>
            <w:rPr>
              <w:rFonts w:ascii="Times New Roman" w:hAnsi="Times New Roman" w:cs="Times New Roman"/>
              <w:noProof/>
              <w:sz w:val="24"/>
              <w:szCs w:val="24"/>
            </w:rPr>
          </w:pPr>
          <w:hyperlink w:anchor="_Toc224681811" w:history="1">
            <w:r>
              <w:rPr>
                <w:rStyle w:val="Hyperlink"/>
                <w:rFonts w:ascii="Times New Roman" w:hAnsi="Times New Roman" w:cs="Times New Roman"/>
                <w:noProof/>
                <w:sz w:val="24"/>
                <w:szCs w:val="24"/>
              </w:rPr>
              <w:t>4.3</w:t>
            </w:r>
            <w:r>
              <w:rPr>
                <w:rFonts w:ascii="Times New Roman" w:hAnsi="Times New Roman" w:cs="Times New Roman"/>
                <w:noProof/>
                <w:sz w:val="24"/>
                <w:szCs w:val="24"/>
              </w:rPr>
              <w:tab/>
            </w:r>
            <w:r>
              <w:rPr>
                <w:rStyle w:val="Hyperlink"/>
                <w:rFonts w:ascii="Times New Roman" w:hAnsi="Times New Roman" w:cs="Times New Roman"/>
                <w:noProof/>
                <w:sz w:val="24"/>
                <w:szCs w:val="24"/>
              </w:rPr>
              <w:t>Expected Article Coverage and Selection Outcome</w:t>
            </w:r>
            <w:r>
              <w:rPr>
                <w:rFonts w:ascii="Times New Roman" w:hAnsi="Times New Roman" w:cs="Times New Roman"/>
                <w:noProof/>
                <w:webHidden/>
                <w:sz w:val="24"/>
                <w:szCs w:val="24"/>
              </w:rPr>
              <w:tab/>
              <w:fldChar w:fldCharType="begin"/>
              <w:instrText xml:space="preserve"> PAGEREF _Toc224681811 \h </w:instrText>
              <w:fldChar w:fldCharType="separate"/>
              <w:t>8</w:t>
              <w:fldChar w:fldCharType="end"/>
            </w:r>
          </w:hyperlink>
        </w:p>
        <w:p w14:paraId="2B3D0CC3" w14:textId="5445DEA9"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12" w:history="1">
            <w:r>
              <w:rPr>
                <w:rStyle w:val="Hyperlink"/>
                <w:rFonts w:ascii="Times New Roman" w:hAnsi="Times New Roman" w:cs="Times New Roman"/>
                <w:noProof/>
                <w:sz w:val="24"/>
                <w:szCs w:val="24"/>
              </w:rPr>
              <w:t>5</w:t>
            </w:r>
            <w:r>
              <w:rPr>
                <w:rFonts w:ascii="Times New Roman" w:hAnsi="Times New Roman" w:cs="Times New Roman"/>
                <w:noProof/>
                <w:sz w:val="24"/>
                <w:szCs w:val="24"/>
              </w:rPr>
              <w:tab/>
            </w:r>
            <w:r>
              <w:rPr>
                <w:rStyle w:val="Hyperlink"/>
                <w:rFonts w:ascii="Times New Roman" w:hAnsi="Times New Roman" w:cs="Times New Roman"/>
                <w:noProof/>
                <w:sz w:val="24"/>
                <w:szCs w:val="24"/>
              </w:rPr>
              <w:t>Limitations</w:t>
            </w:r>
            <w:r>
              <w:rPr>
                <w:rFonts w:ascii="Times New Roman" w:hAnsi="Times New Roman" w:cs="Times New Roman"/>
                <w:noProof/>
                <w:webHidden/>
                <w:sz w:val="24"/>
                <w:szCs w:val="24"/>
              </w:rPr>
              <w:tab/>
              <w:fldChar w:fldCharType="begin"/>
              <w:instrText xml:space="preserve"> PAGEREF _Toc224681812 \h </w:instrText>
              <w:fldChar w:fldCharType="separate"/>
              <w:t>9</w:t>
              <w:fldChar w:fldCharType="end"/>
            </w:r>
          </w:hyperlink>
        </w:p>
        <w:p w14:paraId="601F610A" w14:textId="05A2881E"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13" w:history="1">
            <w:r>
              <w:rPr>
                <w:rStyle w:val="Hyperlink"/>
                <w:rFonts w:ascii="Times New Roman" w:hAnsi="Times New Roman" w:cs="Times New Roman"/>
                <w:noProof/>
                <w:sz w:val="24"/>
                <w:szCs w:val="24"/>
              </w:rPr>
              <w:t>6</w:t>
            </w:r>
            <w:r>
              <w:rPr>
                <w:rFonts w:ascii="Times New Roman" w:hAnsi="Times New Roman" w:cs="Times New Roman"/>
                <w:noProof/>
                <w:sz w:val="24"/>
                <w:szCs w:val="24"/>
              </w:rPr>
              <w:tab/>
            </w:r>
            <w:r>
              <w:rPr>
                <w:rStyle w:val="Hyperlink"/>
                <w:rFonts w:ascii="Times New Roman" w:hAnsi="Times New Roman" w:cs="Times New Roman"/>
                <w:noProof/>
                <w:sz w:val="24"/>
                <w:szCs w:val="24"/>
              </w:rPr>
              <w:t>Timeframe</w:t>
            </w:r>
            <w:r>
              <w:rPr>
                <w:rFonts w:ascii="Times New Roman" w:hAnsi="Times New Roman" w:cs="Times New Roman"/>
                <w:noProof/>
                <w:webHidden/>
                <w:sz w:val="24"/>
                <w:szCs w:val="24"/>
              </w:rPr>
              <w:tab/>
              <w:fldChar w:fldCharType="begin"/>
              <w:instrText xml:space="preserve"> PAGEREF _Toc224681813 \h </w:instrText>
              <w:fldChar w:fldCharType="separate"/>
              <w:t>9</w:t>
              <w:fldChar w:fldCharType="end"/>
            </w:r>
          </w:hyperlink>
        </w:p>
        <w:p w14:paraId="2EDAB26C" w14:textId="612A0247"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14" w:history="1">
            <w:r>
              <w:rPr>
                <w:rStyle w:val="Hyperlink"/>
                <w:rFonts w:ascii="Times New Roman" w:hAnsi="Times New Roman" w:cs="Times New Roman"/>
                <w:noProof/>
                <w:sz w:val="24"/>
                <w:szCs w:val="24"/>
              </w:rPr>
              <w:t>7</w:t>
            </w:r>
            <w:r>
              <w:rPr>
                <w:rFonts w:ascii="Times New Roman" w:hAnsi="Times New Roman" w:cs="Times New Roman"/>
                <w:noProof/>
                <w:sz w:val="24"/>
                <w:szCs w:val="24"/>
              </w:rPr>
              <w:tab/>
            </w:r>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fldChar w:fldCharType="begin"/>
              <w:instrText xml:space="preserve"> PAGEREF _Toc224681814 \h </w:instrText>
              <w:fldChar w:fldCharType="separate"/>
              <w:t>9</w:t>
              <w:fldChar w:fldCharType="end"/>
            </w:r>
          </w:hyperlink>
        </w:p>
        <w:p w14:paraId="16FBA165" w14:textId="3D3D962B" w:rsidR="00CD786D" w:rsidRPr="006E4B5F" w:rsidRDefault="00CD786D" w:rsidP="006E4B5F">
          <w:pPr>
            <w:pStyle w:val="TOC1"/>
            <w:tabs>
              <w:tab w:val="left" w:pos="480"/>
              <w:tab w:val="right" w:leader="dot" w:pos="9556"/>
            </w:tabs>
            <w:spacing w:line="360" w:lineRule="auto"/>
            <w:rPr>
              <w:rFonts w:ascii="Times New Roman" w:hAnsi="Times New Roman" w:cs="Times New Roman"/>
              <w:noProof/>
              <w:sz w:val="24"/>
              <w:szCs w:val="24"/>
            </w:rPr>
          </w:pPr>
          <w:hyperlink w:anchor="_Toc224681815" w:history="1">
            <w:r>
              <w:rPr>
                <w:rStyle w:val="Hyperlink"/>
                <w:rFonts w:ascii="Times New Roman" w:hAnsi="Times New Roman" w:cs="Times New Roman"/>
                <w:noProof/>
                <w:sz w:val="24"/>
                <w:szCs w:val="24"/>
              </w:rPr>
              <w:t>8</w:t>
            </w:r>
            <w:r>
              <w:rPr>
                <w:rFonts w:ascii="Times New Roman" w:hAnsi="Times New Roman" w:cs="Times New Roman"/>
                <w:noProof/>
                <w:sz w:val="24"/>
                <w:szCs w:val="24"/>
              </w:rPr>
              <w:tab/>
            </w:r>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fldChar w:fldCharType="begin"/>
              <w:instrText xml:space="preserve"> PAGEREF _Toc224681815 \h </w:instrText>
              <w:fldChar w:fldCharType="separate"/>
              <w:t>10</w:t>
              <w:fldChar w:fldCharType="end"/>
            </w:r>
          </w:hyperlink>
        </w:p>
        <w:p w14:paraId="493DB091" w14:textId="7EB6BA3F" w:rsidR="00CD786D" w:rsidRPr="006E4B5F" w:rsidRDefault="00CD786D" w:rsidP="006E4B5F">
          <w:pPr>
            <w:spacing w:line="360" w:lineRule="auto"/>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138985C7" w14:textId="77777777" w:rsidR="00646065" w:rsidRPr="006E4B5F" w:rsidRDefault="00646065" w:rsidP="006E4B5F">
      <w:pPr>
        <w:spacing w:line="360" w:lineRule="auto"/>
        <w:rPr>
          <w:rFonts w:ascii="Times New Roman" w:hAnsi="Times New Roman" w:cs="Times New Roman"/>
          <w:sz w:val="24"/>
          <w:szCs w:val="24"/>
        </w:rPr>
      </w:pPr>
    </w:p>
    <w:p w14:paraId="65DACED4" w14:textId="77777777" w:rsidR="00646065" w:rsidRPr="006E4B5F" w:rsidRDefault="00646065" w:rsidP="006E4B5F">
      <w:pPr>
        <w:spacing w:line="360" w:lineRule="auto"/>
        <w:rPr>
          <w:rFonts w:ascii="Times New Roman" w:hAnsi="Times New Roman" w:cs="Times New Roman"/>
          <w:sz w:val="24"/>
          <w:szCs w:val="24"/>
        </w:rPr>
      </w:pPr>
    </w:p>
    <w:p w14:paraId="4F3461AB" w14:textId="77777777" w:rsidR="00646065" w:rsidRPr="006E4B5F" w:rsidRDefault="00646065" w:rsidP="006E4B5F">
      <w:pPr>
        <w:spacing w:line="360" w:lineRule="auto"/>
        <w:rPr>
          <w:rFonts w:ascii="Times New Roman" w:hAnsi="Times New Roman" w:cs="Times New Roman"/>
          <w:sz w:val="24"/>
          <w:szCs w:val="24"/>
        </w:rPr>
      </w:pPr>
    </w:p>
    <w:p w14:paraId="6AFE1498" w14:textId="77777777" w:rsidR="00646065" w:rsidRDefault="00646065" w:rsidP="00646065">
      <w:pPr>
        <w:rPr>
          <w:rFonts w:ascii="Times New Roman" w:hAnsi="Times New Roman" w:cs="Times New Roman"/>
          <w:sz w:val="24"/>
          <w:szCs w:val="24"/>
        </w:rPr>
      </w:pPr>
    </w:p>
    <w:p w14:paraId="471934E1" w14:textId="77777777" w:rsidR="00646065" w:rsidRDefault="00646065" w:rsidP="00646065">
      <w:pPr>
        <w:rPr>
          <w:rFonts w:ascii="Times New Roman" w:hAnsi="Times New Roman" w:cs="Times New Roman"/>
          <w:sz w:val="24"/>
          <w:szCs w:val="24"/>
        </w:rPr>
      </w:pPr>
    </w:p>
    <w:p w14:paraId="0EA05993" w14:textId="77777777" w:rsidR="00CD786D" w:rsidRDefault="00CD786D" w:rsidP="00646065">
      <w:pPr>
        <w:rPr>
          <w:rFonts w:ascii="Times New Roman" w:hAnsi="Times New Roman" w:cs="Times New Roman"/>
          <w:sz w:val="24"/>
          <w:szCs w:val="24"/>
        </w:rPr>
      </w:pPr>
    </w:p>
    <w:p w14:paraId="638A1654" w14:textId="77777777" w:rsidR="00CD786D" w:rsidRDefault="00CD786D" w:rsidP="00646065">
      <w:pPr>
        <w:rPr>
          <w:rFonts w:ascii="Times New Roman" w:hAnsi="Times New Roman" w:cs="Times New Roman"/>
          <w:sz w:val="24"/>
          <w:szCs w:val="24"/>
        </w:rPr>
      </w:pPr>
    </w:p>
    <w:p w14:paraId="62AF7B81" w14:textId="4172C818" w:rsidR="00646065" w:rsidRPr="00646065" w:rsidRDefault="00646065" w:rsidP="00CD786D">
      <w:pPr>
        <w:pStyle w:val="Heading1"/>
      </w:pPr>
      <w:bookmarkStart w:id="0" w:name="_Toc224681795"/>
      <w:r>
        <w:rPr>
          <w:rFonts w:eastAsia="Arial"/>
        </w:rPr>
        <w:lastRenderedPageBreak/>
        <w:t>Introduction</w:t>
      </w:r>
      <w:bookmarkEnd w:id="0"/>
    </w:p>
    <w:p w14:paraId="0B853117" w14:textId="05F8E5CD"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UK Carbon Border Adjustment Mechanism (CBAM) charges imported steel, aluminium, cement, and glass with a price on carbon in their country of origin, where they are not levied with a similar carbon price, to avoid carbon leakage (Jordan et al., 2023; Shee Weng, 2025). It has far-reaching consequences on the UK construction industry: carbon pricing revenues will increase to more than 118 billion by 2023 (Santikarn et al., 2021; World Bank, 2023), making carbon cost a new structural procurement. Historically, the UK construction MNEs focused on cost-efficiency (Allwood et al., 2019); however, with the help of CBAM, domestic low-carbon substitutes like green steel become increasingly competitive (Bird and Park, 2016). According to Porter and van der Linde (1995), proactive regulatory adaptation is the motivator of competitive repositioning, which is directly applicable in this case. The dynamic response of UK MNEs to supply chain reconfigurations has been under-researched, and this is the focus of the gap that this study addresses.</w:t>
      </w:r>
    </w:p>
    <w:p w14:paraId="0FB906B1" w14:textId="77777777" w:rsidR="00646065" w:rsidRPr="00646065" w:rsidRDefault="00646065" w:rsidP="00CD786D">
      <w:pPr>
        <w:pStyle w:val="Heading2"/>
      </w:pPr>
      <w:bookmarkStart w:id="1" w:name="_Toc224681796"/>
      <w:r>
        <w:rPr>
          <w:rFonts w:eastAsia="Arial"/>
        </w:rPr>
        <w:t>Research Aim</w:t>
      </w:r>
      <w:bookmarkEnd w:id="1"/>
    </w:p>
    <w:p w14:paraId="37DA504A" w14:textId="13753A9D"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To evaluate how UK construction MNEs are reconfiguring their international supply chains in response to emerging UK CBAM regulations.</w:t>
      </w:r>
    </w:p>
    <w:p w14:paraId="4D46E5AC" w14:textId="77777777" w:rsidR="00646065" w:rsidRPr="00646065" w:rsidRDefault="00646065" w:rsidP="00CD786D">
      <w:pPr>
        <w:pStyle w:val="Heading2"/>
      </w:pPr>
      <w:bookmarkStart w:id="2" w:name="_Toc224681797"/>
      <w:r>
        <w:rPr>
          <w:rFonts w:eastAsia="Arial"/>
        </w:rPr>
        <w:t>Research Objectives</w:t>
      </w:r>
      <w:bookmarkEnd w:id="2"/>
    </w:p>
    <w:p w14:paraId="2966988A" w14:textId="5EDA9835" w:rsidR="00CD786D" w:rsidRPr="00CD786D" w:rsidRDefault="00CD786D" w:rsidP="00CD786D">
      <w:pPr>
        <w:pStyle w:val="ListParagraph"/>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the projected cost implications for UK firms procuring carbon-intensive materials from non-UK markets under the Carbon Border Adjustment Mechanism (CBAM). </w:t>
      </w:r>
    </w:p>
    <w:p w14:paraId="5FF6A931" w14:textId="74B83067" w:rsidR="00CD786D" w:rsidRPr="00CD786D" w:rsidRDefault="00CD786D" w:rsidP="00CD786D">
      <w:pPr>
        <w:pStyle w:val="ListParagraph"/>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analyse the strategic reorientation from cost-efficiency to carbon-efficiency in supplier selection practices among UK importing firms. </w:t>
      </w:r>
    </w:p>
    <w:p w14:paraId="14C5AC72" w14:textId="3798B765" w:rsidR="00CD786D" w:rsidRPr="00CD786D" w:rsidRDefault="00CD786D" w:rsidP="00CD786D">
      <w:pPr>
        <w:pStyle w:val="ListParagraph"/>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influence of CBAM on sourcing decisions between international suppliers and domestic green steel producers within the UK procurement landscape. </w:t>
      </w:r>
    </w:p>
    <w:p w14:paraId="6B292332" w14:textId="710562E8" w:rsidR="00646065" w:rsidRPr="00CD786D" w:rsidRDefault="00CD786D" w:rsidP="00CD786D">
      <w:pPr>
        <w:pStyle w:val="ListParagraph"/>
        <w:numPr>
          <w:ilvl w:val="0"/>
          <w:numId w:val="3"/>
        </w:num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To provide evidence-based recommendations for UK firms seeking to adapt procurement strategies in response to CBAM, to mitigate regulatory exposure and long-term financial risk.</w:t>
      </w:r>
    </w:p>
    <w:p w14:paraId="2438324C" w14:textId="77777777" w:rsidR="00646065" w:rsidRPr="00646065" w:rsidRDefault="00646065" w:rsidP="00CD786D">
      <w:pPr>
        <w:pStyle w:val="Heading2"/>
      </w:pPr>
      <w:bookmarkStart w:id="3" w:name="_Toc224681798"/>
      <w:r>
        <w:rPr>
          <w:rFonts w:eastAsia="Arial"/>
        </w:rPr>
        <w:t>Research Questions</w:t>
      </w:r>
      <w:bookmarkEnd w:id="3"/>
    </w:p>
    <w:p w14:paraId="1AEE4E46"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RQ1: What are the projected cost implications of UK CBAM for construction MNEs importing high-emission materials?</w:t>
      </w:r>
    </w:p>
    <w:p w14:paraId="433DA3E7"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RQ2: How is UK CBAM driving a strategic shift from cost-efficiency to carbon-efficiency in procurement?</w:t>
      </w:r>
    </w:p>
    <w:p w14:paraId="2EC5B1E8"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RQ3: How does CBAM influence sourcing decisions between international suppliers and domestic low-carbon producers?</w:t>
      </w:r>
    </w:p>
    <w:p w14:paraId="7146D4B7" w14:textId="77777777" w:rsidR="00646065" w:rsidRPr="00646065" w:rsidRDefault="00646065" w:rsidP="00CD786D">
      <w:pPr>
        <w:spacing w:line="360" w:lineRule="auto"/>
        <w:jc w:val="both"/>
        <w:rPr>
          <w:rFonts w:ascii="Times New Roman" w:hAnsi="Times New Roman" w:cs="Times New Roman"/>
          <w:sz w:val="24"/>
          <w:szCs w:val="24"/>
        </w:rPr>
      </w:pPr>
    </w:p>
    <w:p w14:paraId="455B5C9A"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CFC5DFB" w14:textId="71D1F351" w:rsidR="00646065" w:rsidRPr="00646065" w:rsidRDefault="00646065" w:rsidP="00CD786D">
      <w:pPr>
        <w:pStyle w:val="Heading1"/>
      </w:pPr>
      <w:bookmarkStart w:id="4" w:name="_Toc224681799"/>
      <w:r>
        <w:rPr>
          <w:rFonts w:eastAsia="Arial"/>
        </w:rPr>
        <w:lastRenderedPageBreak/>
        <w:t>Literature Review</w:t>
      </w:r>
      <w:bookmarkEnd w:id="4"/>
    </w:p>
    <w:p w14:paraId="58AE3E73" w14:textId="7D102E07" w:rsidR="00646065" w:rsidRPr="00646065" w:rsidRDefault="00646065" w:rsidP="00CD786D">
      <w:pPr>
        <w:pStyle w:val="Heading2"/>
      </w:pPr>
      <w:bookmarkStart w:id="5" w:name="_Toc224681800"/>
      <w:r>
        <w:rPr>
          <w:rFonts w:eastAsia="Arial"/>
        </w:rPr>
        <w:t>Carbon Pricing and the CBAM Policy Framework</w:t>
      </w:r>
      <w:bookmarkEnd w:id="5"/>
    </w:p>
    <w:p w14:paraId="729C8FE1" w14:textId="0C448533"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Carbon border adjustment systems harmonise the carbon prices in countries so that domestic producers would not be disadvantaged in competition activities due to their exposure to carbon pricing (Shee Weng, 2025). Unilateral carbon pricing was demonstrated to lead to carbon leakage because of relocation to lower-regulation jurisdictions without deskilling at the borders (Helm 2012). In 2023, the EU CBAM reached its transitional phase, and the UK indicated a similar direction (Jordan et al., 2023). Figure 1 shows that the amount of revenues related to carbon pricing across the world has increased four times since 2015 (Santikarn et al., 2021; World Bank, 2023), proving the fact that CBAM is becoming an unstoppable regulatory trend.</w:t>
      </w:r>
    </w:p>
    <w:p w14:paraId="01554125" w14:textId="77777777" w:rsidR="00646065" w:rsidRPr="00646065" w:rsidRDefault="00646065" w:rsidP="00CD786D">
      <w:pPr>
        <w:spacing w:line="360" w:lineRule="auto"/>
        <w:jc w:val="both"/>
        <w:rPr>
          <w:rFonts w:ascii="Times New Roman" w:hAnsi="Times New Roman" w:cs="Times New Roman"/>
          <w:sz w:val="24"/>
          <w:szCs w:val="24"/>
        </w:rPr>
      </w:pPr>
    </w:p>
    <w:p w14:paraId="7B489775"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F43F37" wp14:editId="1F350B73">
            <wp:extent cx="5048250" cy="24422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8"/>
                    <a:srcRect t="10349"/>
                    <a:stretch>
                      <a:fillRect/>
                    </a:stretch>
                  </pic:blipFill>
                  <pic:spPr bwMode="auto">
                    <a:xfrm>
                      <a:off x="0" y="0"/>
                      <a:ext cx="5048250" cy="2442210"/>
                    </a:xfrm>
                    <a:prstGeom prst="rect">
                      <a:avLst/>
                    </a:prstGeom>
                    <a:ln>
                      <a:noFill/>
                    </a:ln>
                    <a:extLst>
                      <a:ext uri="{53640926-AAD7-44D8-BBD7-CCE9431645EC}">
                        <a14:shadowObscured xmlns:a14="http://schemas.microsoft.com/office/drawing/2010/main"/>
                      </a:ext>
                    </a:extLst>
                  </pic:spPr>
                </pic:pic>
              </a:graphicData>
            </a:graphic>
          </wp:inline>
        </w:drawing>
      </w:r>
    </w:p>
    <w:p w14:paraId="2AE752ED"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1: Global Carbon Pricing Revenue Growth (2015–2023)</w:t>
      </w:r>
    </w:p>
    <w:p w14:paraId="07650579" w14:textId="77777777" w:rsidR="00646065" w:rsidRPr="00646065" w:rsidRDefault="00646065" w:rsidP="00CD786D">
      <w:pPr>
        <w:spacing w:line="360" w:lineRule="auto"/>
        <w:jc w:val="both"/>
        <w:rPr>
          <w:rFonts w:ascii="Times New Roman" w:hAnsi="Times New Roman" w:cs="Times New Roman"/>
          <w:sz w:val="24"/>
          <w:szCs w:val="24"/>
        </w:rPr>
      </w:pPr>
    </w:p>
    <w:p w14:paraId="498FAF59" w14:textId="4ABDF495" w:rsidR="00646065" w:rsidRPr="00646065" w:rsidRDefault="00646065" w:rsidP="00CD786D">
      <w:pPr>
        <w:pStyle w:val="Heading2"/>
      </w:pPr>
      <w:bookmarkStart w:id="6" w:name="_Toc224681801"/>
      <w:r>
        <w:rPr>
          <w:rFonts w:eastAsia="Arial"/>
        </w:rPr>
        <w:t>CBAM Cost Implications for Construction Materials</w:t>
      </w:r>
      <w:bookmarkEnd w:id="6"/>
    </w:p>
    <w:p w14:paraId="400A6604" w14:textId="0BA48622"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construction industry is spectrally vulnerable to CBAM because it relies on steel, aluminium, cement, and glass, all of which are covered by the mechanism (Jordan et al., 2023). The UK construction companies, Allwood et al. (2019), observe that the UK construction companies have more than 60 percent of structural steel imported, which translates to them becoming very sensitive to CBAM cost passthrough. Figure 2 demonstrates that the increase in the projected cost increases significantly with implementation phases, as the cost of aluminium is projected to rise to as much as 44 percent by 2034. As shown by Zakeri et al. (2015), a moderate price increase of carbon at 10-15 percent also has a significant effect on the selection of suppliers regarding capital-intensive industries, which will support the strategic urgency.</w:t>
      </w:r>
    </w:p>
    <w:p w14:paraId="36881591" w14:textId="77777777" w:rsidR="00646065" w:rsidRPr="00646065" w:rsidRDefault="00646065" w:rsidP="00CD786D">
      <w:pPr>
        <w:spacing w:line="360" w:lineRule="auto"/>
        <w:jc w:val="both"/>
        <w:rPr>
          <w:rFonts w:ascii="Times New Roman" w:hAnsi="Times New Roman" w:cs="Times New Roman"/>
          <w:sz w:val="24"/>
          <w:szCs w:val="24"/>
        </w:rPr>
      </w:pPr>
    </w:p>
    <w:p w14:paraId="69F87BE5"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8335C4" wp14:editId="29A14E89">
            <wp:extent cx="5143500" cy="24269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9"/>
                    <a:srcRect t="10909"/>
                    <a:stretch>
                      <a:fillRect/>
                    </a:stretch>
                  </pic:blipFill>
                  <pic:spPr bwMode="auto">
                    <a:xfrm>
                      <a:off x="0" y="0"/>
                      <a:ext cx="5143500" cy="2426970"/>
                    </a:xfrm>
                    <a:prstGeom prst="rect">
                      <a:avLst/>
                    </a:prstGeom>
                    <a:ln>
                      <a:noFill/>
                    </a:ln>
                    <a:extLst>
                      <a:ext uri="{53640926-AAD7-44D8-BBD7-CCE9431645EC}">
                        <a14:shadowObscured xmlns:a14="http://schemas.microsoft.com/office/drawing/2010/main"/>
                      </a:ext>
                    </a:extLst>
                  </pic:spPr>
                </pic:pic>
              </a:graphicData>
            </a:graphic>
          </wp:inline>
        </w:drawing>
      </w:r>
    </w:p>
    <w:p w14:paraId="7CB5F53A"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2: Projected CBAM-Driven Cost Increases on High-Emission Construction Materials</w:t>
      </w:r>
    </w:p>
    <w:p w14:paraId="6B8DA7A1" w14:textId="77777777" w:rsidR="00646065" w:rsidRPr="00646065" w:rsidRDefault="00646065" w:rsidP="00CD786D">
      <w:pPr>
        <w:spacing w:line="360" w:lineRule="auto"/>
        <w:jc w:val="both"/>
        <w:rPr>
          <w:rFonts w:ascii="Times New Roman" w:hAnsi="Times New Roman" w:cs="Times New Roman"/>
          <w:sz w:val="24"/>
          <w:szCs w:val="24"/>
        </w:rPr>
      </w:pPr>
    </w:p>
    <w:p w14:paraId="3464CB8B" w14:textId="11C4AE55" w:rsidR="00646065" w:rsidRPr="00646065" w:rsidRDefault="00646065" w:rsidP="00CD786D">
      <w:pPr>
        <w:pStyle w:val="Heading2"/>
      </w:pPr>
      <w:bookmarkStart w:id="7" w:name="_Toc224681802"/>
      <w:r>
        <w:rPr>
          <w:rFonts w:eastAsia="Arial"/>
        </w:rPr>
        <w:t>Strategic Shift: From Cost-Efficiency to Carbon-Efficiency</w:t>
      </w:r>
      <w:bookmarkEnd w:id="7"/>
    </w:p>
    <w:p w14:paraId="74DF33EF" w14:textId="5607AEB3"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Bird and Park (2016), proactive compliance creates a competitive edge by early supplier lock-in, whereas Porter and van der Linde (1995) posit that regulation leads to efficiency, generating compliance cost to productivity conversion. The estimated rebalancing is presented in Figure 3, where carbon-efficiency will surpass the cost-efficiency in procurement in 2026. Colicchia et al. (2019) indicate that the supply chain reconfiguration under the regulatory basis necessitates the existence of systematic risk frameworks - the void this study's Carbon-Adjusted Procurement model fills.</w:t>
      </w:r>
    </w:p>
    <w:p w14:paraId="6C56B877" w14:textId="77777777" w:rsidR="00646065" w:rsidRPr="00646065" w:rsidRDefault="00646065" w:rsidP="00CD786D">
      <w:pPr>
        <w:spacing w:line="360" w:lineRule="auto"/>
        <w:jc w:val="both"/>
        <w:rPr>
          <w:rFonts w:ascii="Times New Roman" w:hAnsi="Times New Roman" w:cs="Times New Roman"/>
          <w:sz w:val="24"/>
          <w:szCs w:val="24"/>
        </w:rPr>
      </w:pPr>
    </w:p>
    <w:p w14:paraId="31D8478B"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C92737" wp14:editId="15B03D1C">
            <wp:extent cx="5048250" cy="24269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0"/>
                    <a:srcRect t="10908"/>
                    <a:stretch>
                      <a:fillRect/>
                    </a:stretch>
                  </pic:blipFill>
                  <pic:spPr bwMode="auto">
                    <a:xfrm>
                      <a:off x="0" y="0"/>
                      <a:ext cx="5048250" cy="2426970"/>
                    </a:xfrm>
                    <a:prstGeom prst="rect">
                      <a:avLst/>
                    </a:prstGeom>
                    <a:ln>
                      <a:noFill/>
                    </a:ln>
                    <a:extLst>
                      <a:ext uri="{53640926-AAD7-44D8-BBD7-CCE9431645EC}">
                        <a14:shadowObscured xmlns:a14="http://schemas.microsoft.com/office/drawing/2010/main"/>
                      </a:ext>
                    </a:extLst>
                  </pic:spPr>
                </pic:pic>
              </a:graphicData>
            </a:graphic>
          </wp:inline>
        </w:drawing>
      </w:r>
    </w:p>
    <w:p w14:paraId="513D72BE"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3: Strategic Shift from Cost-Efficiency to Carbon-Efficiency in UK Construction Procurement (2020–2026)</w:t>
      </w:r>
    </w:p>
    <w:p w14:paraId="3D67B54C" w14:textId="77777777" w:rsidR="00646065" w:rsidRPr="00646065" w:rsidRDefault="00646065" w:rsidP="00CD786D">
      <w:pPr>
        <w:spacing w:line="360" w:lineRule="auto"/>
        <w:jc w:val="both"/>
        <w:rPr>
          <w:rFonts w:ascii="Times New Roman" w:hAnsi="Times New Roman" w:cs="Times New Roman"/>
          <w:sz w:val="24"/>
          <w:szCs w:val="24"/>
        </w:rPr>
      </w:pPr>
    </w:p>
    <w:p w14:paraId="4EA2E905"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AD2386F" w14:textId="5DF34E5F" w:rsidR="00646065" w:rsidRPr="00646065" w:rsidRDefault="00646065" w:rsidP="00CD786D">
      <w:pPr>
        <w:pStyle w:val="Heading1"/>
      </w:pPr>
      <w:bookmarkStart w:id="8" w:name="_Toc224681803"/>
      <w:r>
        <w:rPr>
          <w:rFonts w:eastAsia="Arial"/>
        </w:rPr>
        <w:lastRenderedPageBreak/>
        <w:t>Methodology</w:t>
      </w:r>
      <w:bookmarkEnd w:id="8"/>
    </w:p>
    <w:p w14:paraId="4DCBEF70" w14:textId="70C88AD5" w:rsidR="00646065" w:rsidRPr="00646065" w:rsidRDefault="00646065" w:rsidP="00CD786D">
      <w:pPr>
        <w:pStyle w:val="Heading2"/>
      </w:pPr>
      <w:bookmarkStart w:id="9" w:name="_Toc224681804"/>
      <w:r>
        <w:rPr>
          <w:rFonts w:eastAsia="Arial"/>
        </w:rPr>
        <w:t>Research Design</w:t>
      </w:r>
      <w:bookmarkEnd w:id="9"/>
    </w:p>
    <w:p w14:paraId="46AAA41C" w14:textId="7BCBBE41"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follows an interpretivist philosophy and qualitative secondary research design employing an Extended Literature Review (ELR) approach. Unlike a Systematic Literature Review (SLR), which follows a rigid protocol such as PRISMA, an Extended Literature Review provides a broader, more discursive engagement with the existing body of knowledge, allowing for the inclusion of policy documents, industry reports, and academic sources without being constrained by strict inclusion/exclusion criteria matrices. Saunders, Lewis, and Thornhill (2009) affirm this as a suitable approach when primary access to decision-makers is limited. Given that UK CBAM is still in its transitional stage and firm-level adaptations have not yet been widely documented, this methodology is justified both in practice and in the current state of knowledge.</w:t>
      </w:r>
    </w:p>
    <w:p w14:paraId="4CA4F2C9" w14:textId="394FC47B" w:rsidR="00646065" w:rsidRPr="00646065" w:rsidRDefault="00646065" w:rsidP="00CD786D">
      <w:pPr>
        <w:pStyle w:val="Heading2"/>
      </w:pPr>
      <w:r>
        <w:t xml:space="preserve"> </w:t>
      </w:r>
      <w:bookmarkStart w:id="10" w:name="_Toc224681805"/>
      <w:r>
        <w:t>Literature Sources and Article Selection</w:t>
      </w:r>
      <w:bookmarkEnd w:id="10"/>
    </w:p>
    <w:p w14:paraId="6F02E507" w14:textId="3CECBFB5"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Extended Literature Review will be structured around two tiers of sources. The first tier comprises 15 to 20 main articles that form the backbone of the dissertation. These are primary, peer-reviewed studies directly addressing UK CBAM, carbon pricing in construction, green steel procurement, and supply chain reconfiguration. The second tier consists of 15 to 20 supporting articles that provide contextual, theoretical, or comparative arguments to reinforce the main findings. Sources will be identified through Google Scholar, Scopus, and Web of Science using keywords including: UK CBAM, carbon border adjustment construction, green steel procurement, supply chain decarbonisation, and carbon pricing UK. Only sources published between 2015 and 2025 and within a UK or comparable CBAM regulatory context will be included. For each of the 15 to 20 main articles, a structured summary of approximately half to one page will be prepared, capturing the title, journal name, authors, aim, objectives, research questions, methodology, and key findings. These details will also be recorded in a structured Excel spreadsheet to facilitate systematic comparison and thematic coding across sources.</w:t>
      </w:r>
    </w:p>
    <w:p w14:paraId="2CB31684" w14:textId="2F5ECA1D" w:rsidR="00646065" w:rsidRPr="00646065" w:rsidRDefault="00646065" w:rsidP="00CD786D">
      <w:pPr>
        <w:pStyle w:val="Heading2"/>
      </w:pPr>
      <w:bookmarkStart w:id="11" w:name="_Toc224681806"/>
      <w:r>
        <w:t>Data Analysis</w:t>
      </w:r>
      <w:bookmarkEnd w:id="11"/>
    </w:p>
    <w:p w14:paraId="6D737FA5" w14:textId="15F94592"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sources included will be analysed through a six-phase thematic analysis framework described by Braun and Clarke (2006). The coding will be structured in three analytical dimensions: (1) carbon cost impact – quantifying the changes in procurement costs driven by CBAM toward supply chain restructuring; (2) supply chain restructuring – mapping the changes in strategic sourcing toward domestic low-carbon suppliers; and (3) carbon-adjusted procurement – examining the decision-making frameworks balancing compliance, cost, and carbon efficiency. Coding will be handled manually to provide an auditable and systematic analysis (Saunders, Lewis, and Thornhill, 2009). The research results will also be triangulated through academic literature, policy documents, and industry reports to enhance credibility.</w:t>
      </w:r>
    </w:p>
    <w:p w14:paraId="060B6F3F" w14:textId="17D5C45A" w:rsidR="00646065" w:rsidRPr="00646065" w:rsidRDefault="00646065" w:rsidP="00CD786D">
      <w:pPr>
        <w:pStyle w:val="Heading2"/>
      </w:pPr>
      <w:bookmarkStart w:id="12" w:name="_Toc224681807"/>
      <w:r>
        <w:t>Ethics</w:t>
      </w:r>
      <w:bookmarkEnd w:id="12"/>
    </w:p>
    <w:p w14:paraId="751A45B6" w14:textId="4C2C0CF0" w:rsidR="00646065" w:rsidRPr="00646065" w:rsidRDefault="00CD786D"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Since this research is purely secondary, and the data that will be used is publicly available, no primary ethical approval will be necessary other than UWTSD compliance with academic integrity. Every source will be referenced in the UWTSD Harvard form.</w:t>
      </w:r>
    </w:p>
    <w:p w14:paraId="7B93BC4C" w14:textId="0BF1432B" w:rsidR="00646065" w:rsidRPr="00646065" w:rsidRDefault="00646065" w:rsidP="00CD786D">
      <w:pPr>
        <w:spacing w:line="360" w:lineRule="auto"/>
        <w:jc w:val="both"/>
        <w:rPr>
          <w:rFonts w:ascii="Times New Roman" w:hAnsi="Times New Roman" w:cs="Times New Roman"/>
          <w:sz w:val="24"/>
          <w:szCs w:val="24"/>
        </w:rPr>
      </w:pPr>
    </w:p>
    <w:p w14:paraId="6DAB9AE7" w14:textId="77777777" w:rsidR="00646065" w:rsidRPr="00646065" w:rsidRDefault="00646065" w:rsidP="00CD786D">
      <w:pPr>
        <w:spacing w:line="360" w:lineRule="auto"/>
        <w:jc w:val="both"/>
        <w:rPr>
          <w:rFonts w:ascii="Times New Roman" w:hAnsi="Times New Roman" w:cs="Times New Roman"/>
          <w:sz w:val="24"/>
          <w:szCs w:val="24"/>
        </w:rPr>
      </w:pPr>
    </w:p>
    <w:p w14:paraId="6B629450"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FE0BFC4" w14:textId="599F4904" w:rsidR="00646065" w:rsidRPr="00646065" w:rsidRDefault="00646065" w:rsidP="00CD786D">
      <w:pPr>
        <w:pStyle w:val="Heading1"/>
      </w:pPr>
      <w:bookmarkStart w:id="13" w:name="_Toc224681808"/>
      <w:r>
        <w:rPr>
          <w:rFonts w:eastAsia="Arial"/>
        </w:rPr>
        <w:lastRenderedPageBreak/>
        <w:t>Expected Findings</w:t>
      </w:r>
      <w:bookmarkEnd w:id="13"/>
    </w:p>
    <w:p w14:paraId="2C29A20A"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findings are anticipated from the Extended Literature Review and thematic analysis.</w:t>
      </w:r>
    </w:p>
    <w:p w14:paraId="53EA47C3" w14:textId="4E6695E4" w:rsidR="00646065" w:rsidRPr="00646065" w:rsidRDefault="00646065" w:rsidP="00CD786D">
      <w:pPr>
        <w:pStyle w:val="Heading2"/>
      </w:pPr>
      <w:bookmarkStart w:id="14" w:name="_Toc224681809"/>
      <w:r>
        <w:rPr>
          <w:rFonts w:eastAsia="Arial"/>
        </w:rPr>
        <w:t>Cost Implications of Material Category</w:t>
      </w:r>
      <w:bookmarkEnd w:id="14"/>
    </w:p>
    <w:p w14:paraId="0D386E34" w14:textId="7DD4C381"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highest cost increases CBAM will introduce are likely to be structural steel and aluminium cladding, which will increase by 15-38% based on the implementation stage, which will be a material risk to the financial resources of UK construction MNEs (Jordan et al., 2023; Zaker et al., 2015). In Figure 4, the range of expected increase in costs by major material categories is indicated.</w:t>
      </w:r>
    </w:p>
    <w:p w14:paraId="29FB67DF" w14:textId="77777777" w:rsidR="00646065" w:rsidRPr="00646065" w:rsidRDefault="00646065" w:rsidP="00CD786D">
      <w:pPr>
        <w:spacing w:line="360" w:lineRule="auto"/>
        <w:jc w:val="both"/>
        <w:rPr>
          <w:rFonts w:ascii="Times New Roman" w:hAnsi="Times New Roman" w:cs="Times New Roman"/>
          <w:sz w:val="24"/>
          <w:szCs w:val="24"/>
        </w:rPr>
      </w:pPr>
    </w:p>
    <w:p w14:paraId="48E867B4"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256205" wp14:editId="6DA94868">
            <wp:extent cx="5143500" cy="24269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rotWithShape="1">
                    <a:blip r:embed="rId11"/>
                    <a:srcRect t="10909"/>
                    <a:stretch>
                      <a:fillRect/>
                    </a:stretch>
                  </pic:blipFill>
                  <pic:spPr bwMode="auto">
                    <a:xfrm>
                      <a:off x="0" y="0"/>
                      <a:ext cx="5143500" cy="2426970"/>
                    </a:xfrm>
                    <a:prstGeom prst="rect">
                      <a:avLst/>
                    </a:prstGeom>
                    <a:ln>
                      <a:noFill/>
                    </a:ln>
                    <a:extLst>
                      <a:ext uri="{53640926-AAD7-44D8-BBD7-CCE9431645EC}">
                        <a14:shadowObscured xmlns:a14="http://schemas.microsoft.com/office/drawing/2010/main"/>
                      </a:ext>
                    </a:extLst>
                  </pic:spPr>
                </pic:pic>
              </a:graphicData>
            </a:graphic>
          </wp:inline>
        </w:drawing>
      </w:r>
    </w:p>
    <w:p w14:paraId="16DF41AE"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4: Expected CBAM Cost Impact on UK Construction MNE Procurement by Material Category</w:t>
      </w:r>
    </w:p>
    <w:p w14:paraId="01B9FF2C" w14:textId="3063231E" w:rsidR="00646065" w:rsidRPr="00646065" w:rsidRDefault="00646065" w:rsidP="00CD786D">
      <w:pPr>
        <w:pStyle w:val="Heading2"/>
      </w:pPr>
      <w:bookmarkStart w:id="15" w:name="_Toc224681810"/>
      <w:r>
        <w:rPr>
          <w:rFonts w:eastAsia="Arial"/>
        </w:rPr>
        <w:t>Sourcing Shift: International to Domestic Low-Carbon Suppliers</w:t>
      </w:r>
      <w:bookmarkEnd w:id="15"/>
    </w:p>
    <w:p w14:paraId="6E3EE033" w14:textId="61014E64"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It is expected to be a gradual shift in international suppliers of high-emission steel to domestic suppliers of green steel. Figure 5 demonstrates the increasing proportion of domestic low-carbon sourcing between 22% and 65% between the years 2034 and 2016 (Bird and Park, 2016; Colicchia et al., 2019) with early-adapting MNEs becoming more competitive in the long-term perspective (Porter and van der Linde, 1995).</w:t>
      </w:r>
    </w:p>
    <w:p w14:paraId="1968922B" w14:textId="77777777" w:rsidR="00646065" w:rsidRPr="00646065" w:rsidRDefault="00646065" w:rsidP="00CD786D">
      <w:pPr>
        <w:spacing w:line="360" w:lineRule="auto"/>
        <w:jc w:val="both"/>
        <w:rPr>
          <w:rFonts w:ascii="Times New Roman" w:hAnsi="Times New Roman" w:cs="Times New Roman"/>
          <w:sz w:val="24"/>
          <w:szCs w:val="24"/>
        </w:rPr>
      </w:pPr>
    </w:p>
    <w:p w14:paraId="45360253"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AB4CBE" wp14:editId="7927F649">
            <wp:extent cx="4582136" cy="2209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rotWithShape="1">
                    <a:blip r:embed="rId12"/>
                    <a:srcRect t="10630"/>
                    <a:stretch>
                      <a:fillRect/>
                    </a:stretch>
                  </pic:blipFill>
                  <pic:spPr bwMode="auto">
                    <a:xfrm>
                      <a:off x="0" y="0"/>
                      <a:ext cx="4618467" cy="2227321"/>
                    </a:xfrm>
                    <a:prstGeom prst="rect">
                      <a:avLst/>
                    </a:prstGeom>
                    <a:ln>
                      <a:noFill/>
                    </a:ln>
                    <a:extLst>
                      <a:ext uri="{53640926-AAD7-44D8-BBD7-CCE9431645EC}">
                        <a14:shadowObscured xmlns:a14="http://schemas.microsoft.com/office/drawing/2010/main"/>
                      </a:ext>
                    </a:extLst>
                  </pic:spPr>
                </pic:pic>
              </a:graphicData>
            </a:graphic>
          </wp:inline>
        </w:drawing>
      </w:r>
    </w:p>
    <w:p w14:paraId="44040B69" w14:textId="54D1248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lastRenderedPageBreak/>
        <w:t>Figure 5: Expected Shift in Sourcing, International vs. Domestic Low-Carbon Suppliers Across CBAM Phases</w:t>
      </w:r>
    </w:p>
    <w:p w14:paraId="6A368C24" w14:textId="77777777" w:rsidR="00646065" w:rsidRPr="00646065" w:rsidRDefault="00646065" w:rsidP="00CD786D">
      <w:pPr>
        <w:spacing w:line="360" w:lineRule="auto"/>
        <w:jc w:val="both"/>
        <w:rPr>
          <w:rFonts w:ascii="Times New Roman" w:hAnsi="Times New Roman" w:cs="Times New Roman"/>
          <w:sz w:val="24"/>
          <w:szCs w:val="24"/>
        </w:rPr>
      </w:pPr>
    </w:p>
    <w:p w14:paraId="49AB287B" w14:textId="055BC09C" w:rsidR="00646065" w:rsidRPr="00646065" w:rsidRDefault="00646065" w:rsidP="00CD786D">
      <w:pPr>
        <w:pStyle w:val="Heading2"/>
      </w:pPr>
      <w:bookmarkStart w:id="16" w:name="_Toc224681811"/>
      <w:r>
        <w:rPr>
          <w:rFonts w:eastAsia="Arial"/>
        </w:rPr>
        <w:t>Expected Article Coverage and Selection Outcome</w:t>
      </w:r>
      <w:bookmarkEnd w:id="16"/>
    </w:p>
    <w:p w14:paraId="242A0C99" w14:textId="3A45CC3E"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Extended Literature Review is expected to yield approximately 30 to 40 relevant sources in total. Of these, 15 to 20 will be designated as main articles forming the core analytical backbone of the dissertation, with a further 15 to 20 serving as supporting sources to contextualise and strengthen the arguments. This two-tier structure ensures both depth and breadth, and is consistent with the requirements of an Extended Literature Review on an emerging regulatory topic (Saunders, Lewis, and Thornhill, 2009). Figure 6 provides an indicative breakdown of the expected source coverage across the two tiers.</w:t>
      </w:r>
    </w:p>
    <w:p w14:paraId="371AEAA4" w14:textId="77777777" w:rsidR="00646065" w:rsidRPr="00646065" w:rsidRDefault="00646065" w:rsidP="00CD786D">
      <w:pPr>
        <w:spacing w:line="360" w:lineRule="auto"/>
        <w:jc w:val="both"/>
        <w:rPr>
          <w:rFonts w:ascii="Times New Roman" w:hAnsi="Times New Roman" w:cs="Times New Roman"/>
          <w:sz w:val="24"/>
          <w:szCs w:val="24"/>
        </w:rPr>
      </w:pPr>
    </w:p>
    <w:p w14:paraId="7C320EE3"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6FF505" wp14:editId="05DD717A">
            <wp:extent cx="5404890" cy="307086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rotWithShape="1">
                    <a:blip r:embed="rId13"/>
                    <a:srcRect t="11899"/>
                    <a:stretch>
                      <a:fillRect/>
                    </a:stretch>
                  </pic:blipFill>
                  <pic:spPr bwMode="auto">
                    <a:xfrm>
                      <a:off x="0" y="0"/>
                      <a:ext cx="5406671" cy="3071872"/>
                    </a:xfrm>
                    <a:prstGeom prst="rect">
                      <a:avLst/>
                    </a:prstGeom>
                    <a:ln>
                      <a:noFill/>
                    </a:ln>
                    <a:extLst>
                      <a:ext uri="{53640926-AAD7-44D8-BBD7-CCE9431645EC}">
                        <a14:shadowObscured xmlns:a14="http://schemas.microsoft.com/office/drawing/2010/main"/>
                      </a:ext>
                    </a:extLst>
                  </pic:spPr>
                </pic:pic>
              </a:graphicData>
            </a:graphic>
          </wp:inline>
        </w:drawing>
      </w:r>
    </w:p>
    <w:p w14:paraId="5F8FC2A1" w14:textId="0D205385" w:rsidR="00646065" w:rsidRPr="00646065" w:rsidRDefault="00646065" w:rsidP="006E4B5F">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6: Expected Article Coverage – Main and Supporting Sources in the Extended Literature Review</w:t>
      </w:r>
    </w:p>
    <w:p w14:paraId="5CDD2AC3" w14:textId="7966B2BD" w:rsidR="00646065" w:rsidRPr="00646065" w:rsidRDefault="00646065" w:rsidP="00CD786D">
      <w:pPr>
        <w:pStyle w:val="Heading1"/>
      </w:pPr>
      <w:bookmarkStart w:id="17" w:name="_Toc224681812"/>
      <w:r>
        <w:rPr>
          <w:rFonts w:eastAsia="Arial"/>
        </w:rPr>
        <w:t>Limitations</w:t>
      </w:r>
      <w:bookmarkEnd w:id="17"/>
    </w:p>
    <w:p w14:paraId="44669379" w14:textId="527FCDA6"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Since the UK CBAM is still at its transitional stage, there might be inaccuracies in the available literature on implemented policy outcomes (Shee Weng, 2025). Secondary information restricts access to company-specific procurement data (Saunders, Lewis, and Thornhill, 2009), and the quality of the Extended Literature Review depends on the rigour of the indexed sources available. These limitations will be addressed through transparent inclusion criteria, a clearly documented article selection rationale, and the explicit acknowledgement of evidential gaps throughout the review.</w:t>
      </w:r>
    </w:p>
    <w:p w14:paraId="289436BE" w14:textId="5F1495C0" w:rsidR="00646065" w:rsidRPr="00646065" w:rsidRDefault="00646065" w:rsidP="00CD786D">
      <w:pPr>
        <w:pStyle w:val="Heading1"/>
      </w:pPr>
      <w:bookmarkStart w:id="18" w:name="_Toc224681813"/>
      <w:r>
        <w:rPr>
          <w:rFonts w:eastAsia="Arial"/>
        </w:rPr>
        <w:t>Timeframe</w:t>
      </w:r>
      <w:bookmarkEnd w:id="18"/>
    </w:p>
    <w:p w14:paraId="2BFE1274" w14:textId="4B4AFFEF"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visual timeline is 20 weeks and has the supervisor review points at Phases 2, 4, and 6 (</w:t>
      </w:r>
      <w:r>
        <w:rPr>
          <w:rFonts w:ascii="Segoe UI Symbol" w:hAnsi="Segoe UI Symbol" w:cs="Segoe UI Symbol"/>
          <w:sz w:val="24"/>
          <w:szCs w:val="24"/>
        </w:rPr>
        <w:t>★</w:t>
      </w:r>
      <w:r>
        <w:rPr>
          <w:rFonts w:ascii="Times New Roman" w:hAnsi="Times New Roman" w:cs="Times New Roman"/>
          <w:sz w:val="24"/>
          <w:szCs w:val="24"/>
        </w:rPr>
        <w:t>).</w:t>
      </w:r>
    </w:p>
    <w:p w14:paraId="74A2287E" w14:textId="77777777" w:rsidR="00646065" w:rsidRPr="00646065" w:rsidRDefault="00646065" w:rsidP="00CD786D">
      <w:pPr>
        <w:spacing w:line="360" w:lineRule="auto"/>
        <w:jc w:val="both"/>
        <w:rPr>
          <w:rFonts w:ascii="Times New Roman" w:hAnsi="Times New Roman" w:cs="Times New Roman"/>
          <w:sz w:val="24"/>
          <w:szCs w:val="24"/>
        </w:rPr>
      </w:pPr>
    </w:p>
    <w:p w14:paraId="4D16AD07"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959987B" wp14:editId="07285792">
            <wp:extent cx="6080760" cy="28498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rotWithShape="1">
                    <a:blip r:embed="rId14"/>
                    <a:srcRect t="11586"/>
                    <a:stretch>
                      <a:fillRect/>
                    </a:stretch>
                  </pic:blipFill>
                  <pic:spPr bwMode="auto">
                    <a:xfrm>
                      <a:off x="0" y="0"/>
                      <a:ext cx="6080760" cy="2849880"/>
                    </a:xfrm>
                    <a:prstGeom prst="rect">
                      <a:avLst/>
                    </a:prstGeom>
                    <a:ln>
                      <a:noFill/>
                    </a:ln>
                    <a:extLst>
                      <a:ext uri="{53640926-AAD7-44D8-BBD7-CCE9431645EC}">
                        <a14:shadowObscured xmlns:a14="http://schemas.microsoft.com/office/drawing/2010/main"/>
                      </a:ext>
                    </a:extLst>
                  </pic:spPr>
                </pic:pic>
              </a:graphicData>
            </a:graphic>
          </wp:inline>
        </w:drawing>
      </w:r>
    </w:p>
    <w:p w14:paraId="79F8CAEB" w14:textId="77777777" w:rsidR="00646065" w:rsidRPr="00646065" w:rsidRDefault="00646065" w:rsidP="00CD786D">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7: 20-Week Dissertation Timeline with Supervisor Review Points</w:t>
      </w:r>
    </w:p>
    <w:p w14:paraId="588D905B" w14:textId="77777777" w:rsidR="00646065" w:rsidRPr="00646065" w:rsidRDefault="00646065" w:rsidP="00CD786D">
      <w:pPr>
        <w:spacing w:line="360" w:lineRule="auto"/>
        <w:jc w:val="both"/>
        <w:rPr>
          <w:rFonts w:ascii="Times New Roman" w:hAnsi="Times New Roman" w:cs="Times New Roman"/>
          <w:sz w:val="24"/>
          <w:szCs w:val="24"/>
        </w:rPr>
      </w:pPr>
    </w:p>
    <w:p w14:paraId="5F3BC7BD" w14:textId="410B96AF" w:rsidR="00646065" w:rsidRPr="00646065" w:rsidRDefault="00646065" w:rsidP="00CD786D">
      <w:pPr>
        <w:pStyle w:val="Heading1"/>
      </w:pPr>
      <w:bookmarkStart w:id="19" w:name="_Toc224681814"/>
      <w:r>
        <w:rPr>
          <w:rFonts w:eastAsia="Arial"/>
        </w:rPr>
        <w:t>Conclusion</w:t>
      </w:r>
      <w:bookmarkEnd w:id="19"/>
    </w:p>
    <w:p w14:paraId="79515A52" w14:textId="38E9A085"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t>This proposal outlines timely research on the UK CBAM effects on UK construction MNE procurement. Evidence-based knowledge about cost implications, the strategic shift toward carbon-efficiency, and domestic sourcing will be generated through an Extended Literature Review and Braun and Clarke’s (2006) thematic analysis. The review will be structured around 15 to 20 main articles and 15 to 20 supporting articles, with each main article accompanied by a structured summary and Excel record capturing the title, journal, authors, aim, objectives, research questions, methodology, and findings. The suggested Carbon-Adjusted Procurement framework offers operational directions, built upon Porter and van der Linde (1995), Bird and Park (2016), and Colicchia et al. (2019), and brings them into the CBAM construction context.</w:t>
      </w:r>
    </w:p>
    <w:p w14:paraId="4102F09A" w14:textId="77777777" w:rsidR="00646065" w:rsidRPr="00646065" w:rsidRDefault="00646065" w:rsidP="00CD786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8D524AE" w14:textId="15076921" w:rsidR="00646065" w:rsidRPr="00646065" w:rsidRDefault="00646065" w:rsidP="00CD786D">
      <w:pPr>
        <w:pStyle w:val="Heading1"/>
      </w:pPr>
      <w:bookmarkStart w:id="20" w:name="_Toc224681815"/>
      <w:r>
        <w:rPr>
          <w:rFonts w:eastAsia="Arial"/>
        </w:rPr>
        <w:lastRenderedPageBreak/>
        <w:t>References</w:t>
      </w:r>
      <w:bookmarkEnd w:id="20"/>
    </w:p>
    <w:p w14:paraId="13ECEDCC"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Bird, R.C. and Park, S.K., 2016. Turning corporate compliance into competitive advantage. </w:t>
      </w:r>
      <w:r>
        <w:rPr>
          <w:rFonts w:ascii="Times New Roman" w:eastAsia="SimSun" w:hAnsi="Times New Roman" w:cs="Times New Roman"/>
          <w:i/>
          <w:iCs/>
          <w:color w:val="222222"/>
          <w:sz w:val="24"/>
          <w:szCs w:val="24"/>
          <w:shd w:val="clear" w:color="auto" w:fill="FFFFFF"/>
        </w:rPr>
        <w:t>U. Pa. J. Bus. 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19</w:t>
      </w:r>
      <w:r>
        <w:rPr>
          <w:rFonts w:ascii="Times New Roman" w:eastAsia="SimSun" w:hAnsi="Times New Roman" w:cs="Times New Roman"/>
          <w:color w:val="222222"/>
          <w:sz w:val="24"/>
          <w:szCs w:val="24"/>
          <w:shd w:val="clear" w:color="auto" w:fill="FFFFFF"/>
        </w:rPr>
        <w:t>, p.285.</w:t>
      </w:r>
    </w:p>
    <w:p w14:paraId="49B3AB2E"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Braun, V. and Clarke, V., 2006. Using thematic analysis in psychology. </w:t>
      </w:r>
      <w:r>
        <w:rPr>
          <w:rFonts w:ascii="Times New Roman" w:eastAsia="SimSun" w:hAnsi="Times New Roman" w:cs="Times New Roman"/>
          <w:i/>
          <w:iCs/>
          <w:color w:val="222222"/>
          <w:sz w:val="24"/>
          <w:szCs w:val="24"/>
          <w:shd w:val="clear" w:color="auto" w:fill="FFFFFF"/>
        </w:rPr>
        <w:t>Qualitative research in psychology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w:t>
      </w:r>
      <w:r>
        <w:rPr>
          <w:rFonts w:ascii="Times New Roman" w:eastAsia="SimSun" w:hAnsi="Times New Roman" w:cs="Times New Roman"/>
          <w:color w:val="222222"/>
          <w:sz w:val="24"/>
          <w:szCs w:val="24"/>
          <w:shd w:val="clear" w:color="auto" w:fill="FFFFFF"/>
        </w:rPr>
        <w:t>(2), pp.77-101.</w:t>
      </w:r>
    </w:p>
    <w:p w14:paraId="78E62F7A"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Colicchia, C., Creazza, A. and Menachof, D.A., 2019. Managing cyber and information risks in supply chains: insights from an exploratory analysis. </w:t>
      </w:r>
      <w:r>
        <w:rPr>
          <w:rFonts w:ascii="Times New Roman" w:eastAsia="SimSun" w:hAnsi="Times New Roman" w:cs="Times New Roman"/>
          <w:i/>
          <w:iCs/>
          <w:color w:val="222222"/>
          <w:sz w:val="24"/>
          <w:szCs w:val="24"/>
          <w:shd w:val="clear" w:color="auto" w:fill="FFFFFF"/>
        </w:rPr>
        <w:t>Supply Chain Management: An International Journal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24</w:t>
      </w:r>
      <w:r>
        <w:rPr>
          <w:rFonts w:ascii="Times New Roman" w:eastAsia="SimSun" w:hAnsi="Times New Roman" w:cs="Times New Roman"/>
          <w:color w:val="222222"/>
          <w:sz w:val="24"/>
          <w:szCs w:val="24"/>
          <w:shd w:val="clear" w:color="auto" w:fill="FFFFFF"/>
        </w:rPr>
        <w:t>(2), pp.215-240.</w:t>
      </w:r>
    </w:p>
    <w:p w14:paraId="06BECAE6" w14:textId="77777777" w:rsidR="00646065" w:rsidRPr="00646065" w:rsidRDefault="00646065" w:rsidP="00CD786D">
      <w:pPr>
        <w:spacing w:line="360" w:lineRule="auto"/>
        <w:ind w:left="720" w:hanging="720"/>
        <w:rPr>
          <w:rFonts w:ascii="Times New Roman" w:hAnsi="Times New Roman" w:cs="Times New Roman"/>
          <w:sz w:val="24"/>
          <w:szCs w:val="24"/>
        </w:rPr>
      </w:pPr>
      <w:r>
        <w:rPr>
          <w:rFonts w:ascii="Times New Roman" w:eastAsia="SimSun" w:hAnsi="Times New Roman" w:cs="Times New Roman"/>
          <w:color w:val="222222"/>
          <w:sz w:val="24"/>
          <w:szCs w:val="24"/>
          <w:shd w:val="clear" w:color="auto" w:fill="FFFFFF"/>
        </w:rPr>
        <w:t>Zakeri, A., Dehghanian, F., Fahimnia, B. and Sarkis, J., 2015. Carbon pricing versus emissions trading: A supply chain planning perspective. </w:t>
      </w:r>
      <w:r>
        <w:rPr>
          <w:rFonts w:ascii="Times New Roman" w:eastAsia="SimSun" w:hAnsi="Times New Roman" w:cs="Times New Roman"/>
          <w:i/>
          <w:iCs/>
          <w:color w:val="222222"/>
          <w:sz w:val="24"/>
          <w:szCs w:val="24"/>
          <w:shd w:val="clear" w:color="auto" w:fill="FFFFFF"/>
        </w:rPr>
        <w:t>International Journal of Production Economics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164</w:t>
      </w:r>
      <w:r>
        <w:rPr>
          <w:rFonts w:ascii="Times New Roman" w:eastAsia="SimSun" w:hAnsi="Times New Roman" w:cs="Times New Roman"/>
          <w:color w:val="222222"/>
          <w:sz w:val="24"/>
          <w:szCs w:val="24"/>
          <w:shd w:val="clear" w:color="auto" w:fill="FFFFFF"/>
        </w:rPr>
        <w:t>, pp.197-205.</w:t>
      </w:r>
    </w:p>
    <w:p w14:paraId="58841D73"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Helm, D., 2013. The Carbon Crunch: How We’re Getting Climate Change Wrong—and How to Fix It.</w:t>
      </w:r>
    </w:p>
    <w:p w14:paraId="17A48CF6"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Jordan, N., Domenech Aparisi, T., Watson, J., Butnar, I. and Van Der Valk, R., 2023. Addressing carbon leakage risk to support decarbonisation: Response from UCL Institute for Sustainable Resources.</w:t>
      </w:r>
    </w:p>
    <w:p w14:paraId="5A38A851"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Moher, D., Liberati, A., Tetzlaff, J. and Altman, D.G., 2009. Preferred reporting items for systematic reviews and meta-analyses: the PRISMA statement. </w:t>
      </w:r>
      <w:r>
        <w:rPr>
          <w:rFonts w:ascii="Times New Roman" w:eastAsia="SimSun" w:hAnsi="Times New Roman" w:cs="Times New Roman"/>
          <w:i/>
          <w:iCs/>
          <w:color w:val="222222"/>
          <w:sz w:val="24"/>
          <w:szCs w:val="24"/>
          <w:shd w:val="clear" w:color="auto" w:fill="FFFFFF"/>
        </w:rPr>
        <w:t>Bmj</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339</w:t>
      </w:r>
      <w:r>
        <w:rPr>
          <w:rFonts w:ascii="Times New Roman" w:eastAsia="SimSun" w:hAnsi="Times New Roman" w:cs="Times New Roman"/>
          <w:color w:val="222222"/>
          <w:sz w:val="24"/>
          <w:szCs w:val="24"/>
          <w:shd w:val="clear" w:color="auto" w:fill="FFFFFF"/>
        </w:rPr>
        <w:t>.</w:t>
      </w:r>
    </w:p>
    <w:p w14:paraId="4A9E0E2E" w14:textId="67223B84"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Porter, M.E. and Linde, C.V.D., 1995. Toward a new conception of the environment-competitiveness relationship. </w:t>
      </w:r>
      <w:r>
        <w:rPr>
          <w:rFonts w:ascii="Times New Roman" w:eastAsia="SimSun" w:hAnsi="Times New Roman" w:cs="Times New Roman"/>
          <w:i/>
          <w:iCs/>
          <w:color w:val="222222"/>
          <w:sz w:val="24"/>
          <w:szCs w:val="24"/>
          <w:shd w:val="clear" w:color="auto" w:fill="FFFFFF"/>
        </w:rPr>
        <w:t>Journal of Economic Perspectives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9</w:t>
      </w:r>
      <w:r>
        <w:rPr>
          <w:rFonts w:ascii="Times New Roman" w:eastAsia="SimSun" w:hAnsi="Times New Roman" w:cs="Times New Roman"/>
          <w:color w:val="222222"/>
          <w:sz w:val="24"/>
          <w:szCs w:val="24"/>
          <w:shd w:val="clear" w:color="auto" w:fill="FFFFFF"/>
        </w:rPr>
        <w:t>(4), pp.97-118.</w:t>
      </w:r>
    </w:p>
    <w:p w14:paraId="1A411C42" w14:textId="77777777" w:rsidR="00646065" w:rsidRPr="00646065" w:rsidRDefault="00646065" w:rsidP="00CD786D">
      <w:pPr>
        <w:spacing w:line="360" w:lineRule="auto"/>
        <w:ind w:left="720" w:hanging="720"/>
        <w:rPr>
          <w:rFonts w:ascii="Times New Roman" w:hAnsi="Times New Roman" w:cs="Times New Roman"/>
          <w:sz w:val="24"/>
          <w:szCs w:val="24"/>
        </w:rPr>
      </w:pPr>
      <w:r>
        <w:rPr>
          <w:rFonts w:ascii="Times New Roman" w:eastAsia="SimSun" w:hAnsi="Times New Roman" w:cs="Times New Roman"/>
          <w:color w:val="222222"/>
          <w:sz w:val="24"/>
          <w:szCs w:val="24"/>
          <w:shd w:val="clear" w:color="auto" w:fill="FFFFFF"/>
        </w:rPr>
        <w:t>Allwood, J., Dunant, C., Lupton, R. and Serrenho, A., 2019. Steel Arising: Opportunities for the UK in a transforming global steel industry.</w:t>
      </w:r>
    </w:p>
    <w:p w14:paraId="5EB9141F" w14:textId="21633764"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Santikarn, M., Churie Kallhauge, A.N., Bozcaga, M.O., Sattler, L., McCormick, M.S., Ferran Torres, A., Conway, D., Mongendre, L., Inclan, C., Mikolajczyk, S., and Gilde, L.T., 2021. State and trends of carbon pricing 2021.</w:t>
      </w:r>
    </w:p>
    <w:p w14:paraId="7C821E43"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Saunders, M., 2009. Research methods for business students. </w:t>
      </w:r>
      <w:r>
        <w:rPr>
          <w:rFonts w:ascii="Times New Roman" w:eastAsia="SimSun" w:hAnsi="Times New Roman" w:cs="Times New Roman"/>
          <w:i/>
          <w:iCs/>
          <w:color w:val="222222"/>
          <w:sz w:val="24"/>
          <w:szCs w:val="24"/>
          <w:shd w:val="clear" w:color="auto" w:fill="FFFFFF"/>
        </w:rPr>
        <w:t>Person Education Limited</w:t>
      </w:r>
      <w:r>
        <w:rPr>
          <w:rFonts w:ascii="Times New Roman" w:eastAsia="SimSun" w:hAnsi="Times New Roman" w:cs="Times New Roman"/>
          <w:color w:val="222222"/>
          <w:sz w:val="24"/>
          <w:szCs w:val="24"/>
          <w:shd w:val="clear" w:color="auto" w:fill="FFFFFF"/>
        </w:rPr>
        <w:t>.</w:t>
      </w:r>
    </w:p>
    <w:p w14:paraId="13B04636" w14:textId="77777777" w:rsidR="00646065" w:rsidRPr="00646065" w:rsidRDefault="00646065" w:rsidP="00CD786D">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Shee Weng, L., 2025. The EU's carbon border adjustment mechanism (CBAM): balancing climate action and global trade. </w:t>
      </w:r>
      <w:r>
        <w:rPr>
          <w:rFonts w:ascii="Times New Roman" w:eastAsia="SimSun" w:hAnsi="Times New Roman" w:cs="Times New Roman"/>
          <w:i/>
          <w:iCs/>
          <w:color w:val="222222"/>
          <w:sz w:val="24"/>
          <w:szCs w:val="24"/>
          <w:shd w:val="clear" w:color="auto" w:fill="FFFFFF"/>
        </w:rPr>
        <w:t>The EU's Carbon Border Adjustment Mechanism (CBAM): Balancing Climate Action and Global Trade (March 01, 2025)</w:t>
      </w:r>
      <w:r>
        <w:rPr>
          <w:rFonts w:ascii="Times New Roman" w:eastAsia="SimSun" w:hAnsi="Times New Roman" w:cs="Times New Roman"/>
          <w:color w:val="222222"/>
          <w:sz w:val="24"/>
          <w:szCs w:val="24"/>
          <w:shd w:val="clear" w:color="auto" w:fill="FFFFFF"/>
        </w:rPr>
        <w:t>.</w:t>
      </w:r>
    </w:p>
    <w:p w14:paraId="59F7C959" w14:textId="1CA5C9DA" w:rsidR="00646065" w:rsidRPr="00646065" w:rsidRDefault="00646065" w:rsidP="00CD786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World Bank (2023). State and trends of carbon pricing 2023. Washington, DC: World Bank Group </w:t>
      </w:r>
      <w:hyperlink r:id="rId15" w:history="1">
        <w:r>
          <w:rPr>
            <w:rStyle w:val="Hyperlink"/>
            <w:rFonts w:ascii="Times New Roman" w:hAnsi="Times New Roman" w:cs="Times New Roman"/>
            <w:sz w:val="24"/>
            <w:szCs w:val="24"/>
          </w:rPr>
          <w:t>https://openknowledge.worldbank.org/entities/publication/58f2a409-9bb7-4ee6-899d-be47835c838f</w:t>
        </w:r>
      </w:hyperlink>
      <w:r>
        <w:rPr>
          <w:rFonts w:ascii="Times New Roman" w:hAnsi="Times New Roman" w:cs="Times New Roman"/>
          <w:sz w:val="24"/>
          <w:szCs w:val="24"/>
        </w:rPr>
        <w:t>.</w:t>
      </w:r>
    </w:p>
    <w:p w14:paraId="36512409" w14:textId="77777777" w:rsidR="00FE0BE8" w:rsidRPr="00646065" w:rsidRDefault="00FE0BE8" w:rsidP="00CD786D">
      <w:pPr>
        <w:spacing w:line="360" w:lineRule="auto"/>
        <w:jc w:val="both"/>
        <w:rPr>
          <w:rFonts w:ascii="Times New Roman" w:hAnsi="Times New Roman" w:cs="Times New Roman"/>
          <w:sz w:val="24"/>
          <w:szCs w:val="24"/>
        </w:rPr>
      </w:pPr>
    </w:p>
    <w:sectPr w:rsidR="00FE0BE8" w:rsidRPr="00646065" w:rsidSect="006E4B5F">
      <w:headerReference w:type="default" r:id="rId16"/>
      <w:footerReference w:type="default" r:id="rId17"/>
      <w:pgSz w:w="11906" w:h="16838"/>
      <w:pgMar w:top="1080" w:right="1080" w:bottom="1080" w:left="126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28F06" w14:textId="77777777" w:rsidR="00E3421B" w:rsidRDefault="00E3421B" w:rsidP="00646065">
      <w:r>
        <w:separator/>
      </w:r>
    </w:p>
  </w:endnote>
  <w:endnote w:type="continuationSeparator" w:id="0">
    <w:p w14:paraId="04E52667" w14:textId="77777777" w:rsidR="00E3421B" w:rsidRDefault="00E3421B" w:rsidP="00646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67576" w14:textId="66C3BE5C" w:rsidR="00646065" w:rsidRDefault="00646065">
    <w:pPr>
      <w:jc w:val="center"/>
    </w:pPr>
    <w:r>
      <w:rPr>
        <w:color w:val="888888"/>
        <w:sz w:val="17"/>
        <w:szCs w:val="17"/>
      </w:rPr>
      <w:t xml:space="preserve">Page </w:t>
    </w:r>
    <w:r>
      <w:rPr>
        <w:color w:val="888888"/>
        <w:sz w:val="17"/>
        <w:szCs w:val="17"/>
      </w:rPr>
      <w:fldChar w:fldCharType="begin"/>
    </w:r>
    <w:r>
      <w:rPr>
        <w:color w:val="888888"/>
        <w:sz w:val="17"/>
        <w:szCs w:val="17"/>
      </w:rPr>
      <w:instrText>PAGE</w:instrText>
    </w:r>
    <w:r>
      <w:rPr>
        <w:color w:val="888888"/>
        <w:sz w:val="17"/>
        <w:szCs w:val="17"/>
      </w:rPr>
      <w:fldChar w:fldCharType="separate"/>
    </w:r>
    <w:r>
      <w:rPr>
        <w:noProof/>
        <w:color w:val="888888"/>
        <w:sz w:val="17"/>
        <w:szCs w:val="17"/>
      </w:rPr>
      <w:t>1</w:t>
    </w:r>
    <w:r>
      <w:rPr>
        <w:color w:val="888888"/>
        <w:sz w:val="17"/>
        <w:szCs w:val="17"/>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778ED" w14:textId="77777777" w:rsidR="00E3421B" w:rsidRDefault="00E3421B" w:rsidP="00646065">
      <w:r>
        <w:separator/>
      </w:r>
    </w:p>
  </w:footnote>
  <w:footnote w:type="continuationSeparator" w:id="0">
    <w:p w14:paraId="6A8F8796" w14:textId="77777777" w:rsidR="00E3421B" w:rsidRDefault="00E3421B" w:rsidP="006460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CA059" w14:textId="0546AB97" w:rsidR="00646065" w:rsidRDefault="00646065">
    <w:pPr>
      <w:pBdr>
        <w:bottom w:val="single" w:sz="4" w:space="4" w:color="CCCCCC"/>
      </w:pBdr>
      <w:jc w:val="right"/>
    </w:pPr>
    <w:r>
      <w:rPr>
        <w:color w:val="888888"/>
        <w:sz w:val="17"/>
        <w:szCs w:val="17"/>
      </w:rPr>
      <w:t>MBA Dissertation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F092B84"/>
    <w:multiLevelType w:val="singleLevel"/>
    <w:tmpl w:val="CF092B84"/>
    <w:lvl w:ilvl="0">
      <w:start w:val="1"/>
      <w:numFmt w:val="bullet"/>
      <w:lvlText w:val="•"/>
      <w:lvlJc w:val="left"/>
      <w:pPr>
        <w:ind w:left="720" w:hanging="360"/>
      </w:pPr>
    </w:lvl>
  </w:abstractNum>
  <w:abstractNum w:abstractNumId="1" w15:restartNumberingAfterBreak="0">
    <w:nsid w:val="0A9518F5"/>
    <w:multiLevelType w:val="hybridMultilevel"/>
    <w:tmpl w:val="D40C5CC8"/>
    <w:lvl w:ilvl="0" w:tplc="D5CC8A0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2B2D2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30690008">
    <w:abstractNumId w:val="0"/>
    <w:lvlOverride w:ilvl="0">
      <w:startOverride w:val="1"/>
    </w:lvlOverride>
  </w:num>
  <w:num w:numId="2" w16cid:durableId="546575525">
    <w:abstractNumId w:val="2"/>
  </w:num>
  <w:num w:numId="3" w16cid:durableId="1192182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65"/>
    <w:rsid w:val="001E3093"/>
    <w:rsid w:val="00281111"/>
    <w:rsid w:val="00432E67"/>
    <w:rsid w:val="00646065"/>
    <w:rsid w:val="006E4B5F"/>
    <w:rsid w:val="00CD786D"/>
    <w:rsid w:val="00E3421B"/>
    <w:rsid w:val="00FE0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42E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065"/>
    <w:pPr>
      <w:spacing w:after="0" w:line="240" w:lineRule="auto"/>
    </w:pPr>
    <w:rPr>
      <w:rFonts w:ascii="Arial" w:eastAsia="Arial" w:hAnsi="Arial" w:cs="Arial"/>
      <w:kern w:val="0"/>
      <w:sz w:val="21"/>
      <w:szCs w:val="21"/>
      <w14:ligatures w14:val="none"/>
    </w:rPr>
  </w:style>
  <w:style w:type="paragraph" w:styleId="Heading1">
    <w:name w:val="heading 1"/>
    <w:basedOn w:val="Normal"/>
    <w:next w:val="Normal"/>
    <w:link w:val="Heading1Char"/>
    <w:qFormat/>
    <w:rsid w:val="00CD786D"/>
    <w:pPr>
      <w:keepNext/>
      <w:keepLines/>
      <w:numPr>
        <w:numId w:val="2"/>
      </w:numPr>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nhideWhenUsed/>
    <w:qFormat/>
    <w:rsid w:val="00CD786D"/>
    <w:pPr>
      <w:keepNext/>
      <w:keepLines/>
      <w:numPr>
        <w:ilvl w:val="1"/>
        <w:numId w:val="2"/>
      </w:numPr>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646065"/>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6065"/>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6065"/>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6065"/>
    <w:pPr>
      <w:keepNext/>
      <w:keepLines/>
      <w:numPr>
        <w:ilvl w:val="5"/>
        <w:numId w:val="2"/>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065"/>
    <w:pPr>
      <w:keepNext/>
      <w:keepLines/>
      <w:numPr>
        <w:ilvl w:val="6"/>
        <w:numId w:val="2"/>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065"/>
    <w:pPr>
      <w:keepNext/>
      <w:keepLines/>
      <w:numPr>
        <w:ilvl w:val="7"/>
        <w:numId w:val="2"/>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065"/>
    <w:pPr>
      <w:keepNext/>
      <w:keepLines/>
      <w:numPr>
        <w:ilvl w:val="8"/>
        <w:numId w:val="2"/>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786D"/>
    <w:rPr>
      <w:rFonts w:ascii="Times New Roman" w:eastAsiaTheme="majorEastAsia" w:hAnsi="Times New Roman" w:cstheme="majorBidi"/>
      <w:b/>
      <w:kern w:val="0"/>
      <w:sz w:val="28"/>
      <w:szCs w:val="40"/>
      <w14:ligatures w14:val="none"/>
    </w:rPr>
  </w:style>
  <w:style w:type="character" w:customStyle="1" w:styleId="Heading2Char">
    <w:name w:val="Heading 2 Char"/>
    <w:basedOn w:val="DefaultParagraphFont"/>
    <w:link w:val="Heading2"/>
    <w:rsid w:val="00CD786D"/>
    <w:rPr>
      <w:rFonts w:ascii="Times New Roman" w:eastAsiaTheme="majorEastAsia" w:hAnsi="Times New Roman" w:cstheme="majorBidi"/>
      <w:b/>
      <w:kern w:val="0"/>
      <w:szCs w:val="32"/>
      <w14:ligatures w14:val="none"/>
    </w:rPr>
  </w:style>
  <w:style w:type="character" w:customStyle="1" w:styleId="Heading3Char">
    <w:name w:val="Heading 3 Char"/>
    <w:basedOn w:val="DefaultParagraphFont"/>
    <w:link w:val="Heading3"/>
    <w:uiPriority w:val="9"/>
    <w:semiHidden/>
    <w:rsid w:val="006460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60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60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60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0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0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065"/>
    <w:rPr>
      <w:rFonts w:eastAsiaTheme="majorEastAsia" w:cstheme="majorBidi"/>
      <w:color w:val="272727" w:themeColor="text1" w:themeTint="D8"/>
    </w:rPr>
  </w:style>
  <w:style w:type="paragraph" w:styleId="Title">
    <w:name w:val="Title"/>
    <w:basedOn w:val="Normal"/>
    <w:next w:val="Normal"/>
    <w:link w:val="TitleChar"/>
    <w:uiPriority w:val="10"/>
    <w:qFormat/>
    <w:rsid w:val="006460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0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0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0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065"/>
    <w:pPr>
      <w:spacing w:before="160"/>
      <w:jc w:val="center"/>
    </w:pPr>
    <w:rPr>
      <w:i/>
      <w:iCs/>
      <w:color w:val="404040" w:themeColor="text1" w:themeTint="BF"/>
    </w:rPr>
  </w:style>
  <w:style w:type="character" w:customStyle="1" w:styleId="QuoteChar">
    <w:name w:val="Quote Char"/>
    <w:basedOn w:val="DefaultParagraphFont"/>
    <w:link w:val="Quote"/>
    <w:uiPriority w:val="29"/>
    <w:rsid w:val="00646065"/>
    <w:rPr>
      <w:i/>
      <w:iCs/>
      <w:color w:val="404040" w:themeColor="text1" w:themeTint="BF"/>
    </w:rPr>
  </w:style>
  <w:style w:type="paragraph" w:styleId="ListParagraph">
    <w:name w:val="List Paragraph"/>
    <w:basedOn w:val="Normal"/>
    <w:qFormat/>
    <w:rsid w:val="00646065"/>
    <w:pPr>
      <w:ind w:left="720"/>
      <w:contextualSpacing/>
    </w:pPr>
  </w:style>
  <w:style w:type="character" w:styleId="IntenseEmphasis">
    <w:name w:val="Intense Emphasis"/>
    <w:basedOn w:val="DefaultParagraphFont"/>
    <w:uiPriority w:val="21"/>
    <w:qFormat/>
    <w:rsid w:val="00646065"/>
    <w:rPr>
      <w:i/>
      <w:iCs/>
      <w:color w:val="2F5496" w:themeColor="accent1" w:themeShade="BF"/>
    </w:rPr>
  </w:style>
  <w:style w:type="paragraph" w:styleId="IntenseQuote">
    <w:name w:val="Intense Quote"/>
    <w:basedOn w:val="Normal"/>
    <w:next w:val="Normal"/>
    <w:link w:val="IntenseQuoteChar"/>
    <w:uiPriority w:val="30"/>
    <w:qFormat/>
    <w:rsid w:val="006460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6065"/>
    <w:rPr>
      <w:i/>
      <w:iCs/>
      <w:color w:val="2F5496" w:themeColor="accent1" w:themeShade="BF"/>
    </w:rPr>
  </w:style>
  <w:style w:type="character" w:styleId="IntenseReference">
    <w:name w:val="Intense Reference"/>
    <w:basedOn w:val="DefaultParagraphFont"/>
    <w:uiPriority w:val="32"/>
    <w:qFormat/>
    <w:rsid w:val="00646065"/>
    <w:rPr>
      <w:b/>
      <w:bCs/>
      <w:smallCaps/>
      <w:color w:val="2F5496" w:themeColor="accent1" w:themeShade="BF"/>
      <w:spacing w:val="5"/>
    </w:rPr>
  </w:style>
  <w:style w:type="character" w:styleId="Hyperlink">
    <w:name w:val="Hyperlink"/>
    <w:uiPriority w:val="99"/>
    <w:unhideWhenUsed/>
    <w:qFormat/>
    <w:rsid w:val="00646065"/>
    <w:rPr>
      <w:color w:val="0563C1"/>
      <w:u w:val="single"/>
    </w:rPr>
  </w:style>
  <w:style w:type="paragraph" w:styleId="Header">
    <w:name w:val="header"/>
    <w:basedOn w:val="Normal"/>
    <w:link w:val="HeaderChar"/>
    <w:uiPriority w:val="99"/>
    <w:unhideWhenUsed/>
    <w:rsid w:val="00646065"/>
    <w:pPr>
      <w:tabs>
        <w:tab w:val="center" w:pos="4680"/>
        <w:tab w:val="right" w:pos="9360"/>
      </w:tabs>
    </w:pPr>
  </w:style>
  <w:style w:type="character" w:customStyle="1" w:styleId="HeaderChar">
    <w:name w:val="Header Char"/>
    <w:basedOn w:val="DefaultParagraphFont"/>
    <w:link w:val="Header"/>
    <w:uiPriority w:val="99"/>
    <w:rsid w:val="00646065"/>
    <w:rPr>
      <w:rFonts w:ascii="Arial" w:eastAsia="Arial" w:hAnsi="Arial" w:cs="Arial"/>
      <w:kern w:val="0"/>
      <w:sz w:val="21"/>
      <w:szCs w:val="21"/>
      <w14:ligatures w14:val="none"/>
    </w:rPr>
  </w:style>
  <w:style w:type="paragraph" w:styleId="Footer">
    <w:name w:val="footer"/>
    <w:basedOn w:val="Normal"/>
    <w:link w:val="FooterChar"/>
    <w:uiPriority w:val="99"/>
    <w:unhideWhenUsed/>
    <w:rsid w:val="00646065"/>
    <w:pPr>
      <w:tabs>
        <w:tab w:val="center" w:pos="4680"/>
        <w:tab w:val="right" w:pos="9360"/>
      </w:tabs>
    </w:pPr>
  </w:style>
  <w:style w:type="character" w:customStyle="1" w:styleId="FooterChar">
    <w:name w:val="Footer Char"/>
    <w:basedOn w:val="DefaultParagraphFont"/>
    <w:link w:val="Footer"/>
    <w:uiPriority w:val="99"/>
    <w:rsid w:val="00646065"/>
    <w:rPr>
      <w:rFonts w:ascii="Arial" w:eastAsia="Arial" w:hAnsi="Arial" w:cs="Arial"/>
      <w:kern w:val="0"/>
      <w:sz w:val="21"/>
      <w:szCs w:val="21"/>
      <w14:ligatures w14:val="none"/>
    </w:rPr>
  </w:style>
  <w:style w:type="paragraph" w:styleId="TOCHeading">
    <w:name w:val="TOC Heading"/>
    <w:basedOn w:val="Heading1"/>
    <w:next w:val="Normal"/>
    <w:uiPriority w:val="39"/>
    <w:unhideWhenUsed/>
    <w:qFormat/>
    <w:rsid w:val="00CD786D"/>
    <w:pPr>
      <w:numPr>
        <w:numId w:val="0"/>
      </w:numPr>
      <w:spacing w:before="240" w:after="0"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CD786D"/>
    <w:pPr>
      <w:spacing w:after="100"/>
    </w:pPr>
  </w:style>
  <w:style w:type="paragraph" w:styleId="TOC2">
    <w:name w:val="toc 2"/>
    <w:basedOn w:val="Normal"/>
    <w:next w:val="Normal"/>
    <w:autoRedefine/>
    <w:uiPriority w:val="39"/>
    <w:unhideWhenUsed/>
    <w:rsid w:val="00CD786D"/>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openknowledge.worldbank.org/entities/publication/58f2a409-9bb7-4ee6-899d-be47835c838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82753-9F6D-4D5F-9F4E-D97662758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1968</Words>
  <Characters>12576</Characters>
  <Application>Microsoft Office Word</Application>
  <DocSecurity>0</DocSecurity>
  <Lines>267</Lines>
  <Paragraphs>108</Paragraphs>
  <ScaleCrop>false</ScaleCrop>
  <Company/>
  <LinksUpToDate>false</LinksUpToDate>
  <CharactersWithSpaces>14436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2026-03-17T18:19:00Z</dcterms:created>
  <dcterms:modified xsi:type="dcterms:W3CDTF">2026-03-17T18:19:00Z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b9e0529b-1b2e-40c7-a2f8-950cff196f92</vt:lpwstr>
  </property>
</Properties>
</file>