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238E9" w14:textId="77777777" w:rsidR="002E2419" w:rsidRDefault="002E2419" w:rsidP="0068627C">
      <w:r>
        <w:rPr>
          <w:rStyle w:val="wacimagecontainer"/>
          <w:rFonts w:ascii="Segoe UI" w:eastAsiaTheme="majorEastAsia" w:hAnsi="Segoe UI" w:cs="Segoe UI"/>
          <w:noProof/>
          <w:sz w:val="18"/>
          <w:szCs w:val="18"/>
        </w:rPr>
        <w:drawing>
          <wp:inline distT="0" distB="0" distL="0" distR="0" wp14:anchorId="58803E61" wp14:editId="4AE5EB53">
            <wp:extent cx="2613660" cy="1043940"/>
            <wp:effectExtent l="0" t="0" r="0" b="3810"/>
            <wp:docPr id="4" name="Picture 2"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3660" cy="1043940"/>
                    </a:xfrm>
                    <a:prstGeom prst="rect">
                      <a:avLst/>
                    </a:prstGeom>
                    <a:noFill/>
                    <a:ln>
                      <a:noFill/>
                    </a:ln>
                  </pic:spPr>
                </pic:pic>
              </a:graphicData>
            </a:graphic>
          </wp:inline>
        </w:drawing>
      </w:r>
      <w:r>
        <w:rPr>
          <w:rStyle w:val="eop"/>
          <w:rFonts w:ascii="Arial" w:eastAsiaTheme="majorEastAsia" w:hAnsi="Arial" w:cs="Arial"/>
          <w:sz w:val="56"/>
          <w:szCs w:val="56"/>
        </w:rPr>
        <w:t> </w:t>
      </w:r>
    </w:p>
    <w:p w14:paraId="212DFFB7" w14:textId="77777777" w:rsidR="002E2419" w:rsidRDefault="002E2419" w:rsidP="002E2419">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48"/>
          <w:szCs w:val="48"/>
        </w:rPr>
        <w:t> </w:t>
      </w:r>
    </w:p>
    <w:p w14:paraId="7CB7C460" w14:textId="2BC945BA" w:rsidR="002E2419" w:rsidRDefault="002E2419" w:rsidP="002E2419">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Module Name:</w:t>
      </w:r>
      <w:r w:rsidRPr="002E2419">
        <w:rPr>
          <w:rFonts w:asciiTheme="minorHAnsi" w:eastAsiaTheme="minorHAnsi" w:hAnsiTheme="minorHAnsi" w:cstheme="minorBidi"/>
          <w:kern w:val="2"/>
          <w:sz w:val="22"/>
          <w:szCs w:val="22"/>
          <w:lang w:eastAsia="en-US"/>
          <w14:ligatures w14:val="standardContextual"/>
        </w:rPr>
        <w:t xml:space="preserve"> </w:t>
      </w:r>
      <w:r w:rsidRPr="002E2419">
        <w:rPr>
          <w:rFonts w:ascii="Arial" w:eastAsiaTheme="majorEastAsia" w:hAnsi="Arial" w:cs="Arial"/>
          <w:b/>
          <w:bCs/>
          <w:sz w:val="48"/>
          <w:szCs w:val="48"/>
        </w:rPr>
        <w:t>Problem Solving and Innovation</w:t>
      </w:r>
    </w:p>
    <w:p w14:paraId="30F5A038" w14:textId="2283DF42" w:rsidR="002E2419" w:rsidRDefault="002E2419" w:rsidP="002E2419">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 xml:space="preserve">Module Code: </w:t>
      </w:r>
      <w:r w:rsidRPr="002E2419">
        <w:rPr>
          <w:rFonts w:ascii="Arial" w:eastAsiaTheme="majorEastAsia" w:hAnsi="Arial" w:cs="Arial"/>
          <w:b/>
          <w:bCs/>
          <w:sz w:val="48"/>
          <w:szCs w:val="48"/>
        </w:rPr>
        <w:t>(BMSW4014)</w:t>
      </w:r>
    </w:p>
    <w:p w14:paraId="5A105C3C" w14:textId="4B77AAFD" w:rsidR="002E2419" w:rsidRDefault="002E2419" w:rsidP="002E2419">
      <w:pPr>
        <w:pStyle w:val="paragraph"/>
        <w:spacing w:before="0" w:beforeAutospacing="0" w:after="0" w:afterAutospacing="0"/>
        <w:textAlignment w:val="baseline"/>
        <w:rPr>
          <w:rFonts w:ascii="Segoe UI" w:hAnsi="Segoe UI" w:cs="Segoe UI"/>
          <w:sz w:val="18"/>
          <w:szCs w:val="18"/>
        </w:rPr>
      </w:pPr>
      <w:r w:rsidRPr="00E9366D">
        <w:rPr>
          <w:rFonts w:ascii="Arial" w:eastAsiaTheme="majorEastAsia" w:hAnsi="Arial" w:cs="Arial"/>
          <w:b/>
          <w:bCs/>
          <w:sz w:val="48"/>
          <w:szCs w:val="48"/>
        </w:rPr>
        <w:t xml:space="preserve">Lecturer: </w:t>
      </w:r>
      <w:proofErr w:type="spellStart"/>
      <w:r w:rsidRPr="002E2419">
        <w:rPr>
          <w:rFonts w:ascii="Arial" w:eastAsiaTheme="majorEastAsia" w:hAnsi="Arial" w:cs="Arial"/>
          <w:b/>
          <w:bCs/>
          <w:sz w:val="48"/>
          <w:szCs w:val="48"/>
        </w:rPr>
        <w:t>Arpu</w:t>
      </w:r>
      <w:proofErr w:type="spellEnd"/>
      <w:r w:rsidRPr="002E2419">
        <w:rPr>
          <w:rFonts w:ascii="Arial" w:eastAsiaTheme="majorEastAsia" w:hAnsi="Arial" w:cs="Arial"/>
          <w:b/>
          <w:bCs/>
          <w:sz w:val="48"/>
          <w:szCs w:val="48"/>
        </w:rPr>
        <w:t xml:space="preserve"> Kumar</w:t>
      </w:r>
      <w:r>
        <w:rPr>
          <w:rFonts w:ascii="Arial" w:eastAsiaTheme="majorEastAsia" w:hAnsi="Arial" w:cs="Arial"/>
          <w:b/>
          <w:bCs/>
          <w:sz w:val="48"/>
          <w:szCs w:val="48"/>
        </w:rPr>
        <w:br/>
      </w:r>
      <w:r>
        <w:rPr>
          <w:rStyle w:val="normaltextrun"/>
          <w:rFonts w:ascii="Arial" w:eastAsiaTheme="majorEastAsia" w:hAnsi="Arial" w:cs="Arial"/>
          <w:b/>
          <w:bCs/>
          <w:sz w:val="48"/>
          <w:szCs w:val="48"/>
        </w:rPr>
        <w:t>Student Name:</w:t>
      </w:r>
      <w:r>
        <w:rPr>
          <w:rStyle w:val="eop"/>
          <w:rFonts w:ascii="Arial" w:eastAsiaTheme="majorEastAsia" w:hAnsi="Arial" w:cs="Arial"/>
          <w:sz w:val="48"/>
          <w:szCs w:val="48"/>
        </w:rPr>
        <w:t> Patrycja Torunska</w:t>
      </w:r>
    </w:p>
    <w:p w14:paraId="40AF461C" w14:textId="77777777" w:rsidR="002E2419" w:rsidRDefault="002E2419" w:rsidP="002E2419">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Student Number:</w:t>
      </w:r>
      <w:r>
        <w:rPr>
          <w:rStyle w:val="eop"/>
          <w:rFonts w:ascii="Arial" w:eastAsiaTheme="majorEastAsia" w:hAnsi="Arial" w:cs="Arial"/>
          <w:sz w:val="48"/>
          <w:szCs w:val="48"/>
        </w:rPr>
        <w:t> 2431559</w:t>
      </w:r>
    </w:p>
    <w:p w14:paraId="1F21719F" w14:textId="1A7187F2" w:rsidR="002E2419" w:rsidRDefault="002E2419" w:rsidP="002E2419">
      <w:pPr>
        <w:pStyle w:val="paragraph"/>
        <w:spacing w:before="0" w:beforeAutospacing="0" w:after="0" w:afterAutospacing="0"/>
        <w:textAlignment w:val="baseline"/>
        <w:rPr>
          <w:rFonts w:ascii="Arial" w:eastAsiaTheme="majorEastAsia" w:hAnsi="Arial" w:cs="Arial"/>
          <w:sz w:val="48"/>
          <w:szCs w:val="48"/>
        </w:rPr>
      </w:pPr>
      <w:r>
        <w:rPr>
          <w:rFonts w:ascii="Arial" w:eastAsiaTheme="majorEastAsia" w:hAnsi="Arial" w:cs="Arial"/>
          <w:b/>
          <w:bCs/>
          <w:sz w:val="48"/>
          <w:szCs w:val="48"/>
        </w:rPr>
        <w:t>Report</w:t>
      </w:r>
      <w:r w:rsidR="00A66334">
        <w:rPr>
          <w:rFonts w:ascii="Arial" w:eastAsiaTheme="majorEastAsia" w:hAnsi="Arial" w:cs="Arial"/>
          <w:b/>
          <w:bCs/>
          <w:sz w:val="48"/>
          <w:szCs w:val="48"/>
        </w:rPr>
        <w:t>-</w:t>
      </w:r>
      <w:r w:rsidR="00A66334" w:rsidRPr="00A66334">
        <w:rPr>
          <w:rFonts w:ascii="Arial" w:eastAsiaTheme="majorEastAsia" w:hAnsi="Arial" w:cs="Arial"/>
          <w:b/>
          <w:bCs/>
          <w:sz w:val="48"/>
          <w:szCs w:val="48"/>
        </w:rPr>
        <w:t>A Critical Analysis of External Factors Influencing the UK Electric Vehicle Industry</w:t>
      </w:r>
      <w:r>
        <w:rPr>
          <w:rFonts w:ascii="Arial" w:eastAsiaTheme="majorEastAsia" w:hAnsi="Arial" w:cs="Arial"/>
          <w:b/>
          <w:bCs/>
          <w:sz w:val="48"/>
          <w:szCs w:val="48"/>
        </w:rPr>
        <w:br/>
      </w:r>
      <w:r>
        <w:rPr>
          <w:rStyle w:val="normaltextrun"/>
          <w:rFonts w:ascii="Arial" w:eastAsiaTheme="majorEastAsia" w:hAnsi="Arial" w:cs="Arial"/>
          <w:b/>
          <w:bCs/>
          <w:sz w:val="48"/>
          <w:szCs w:val="48"/>
        </w:rPr>
        <w:t xml:space="preserve">Deadline: </w:t>
      </w:r>
      <w:r w:rsidRPr="002E2419">
        <w:rPr>
          <w:rFonts w:ascii="Arial" w:eastAsiaTheme="majorEastAsia" w:hAnsi="Arial" w:cs="Arial"/>
          <w:sz w:val="48"/>
          <w:szCs w:val="48"/>
        </w:rPr>
        <w:t>5th December 2025, 23:59PM</w:t>
      </w:r>
    </w:p>
    <w:p w14:paraId="4D3F8F21" w14:textId="0DEBA590" w:rsidR="002E2419" w:rsidRDefault="002E2419" w:rsidP="002E2419">
      <w:pPr>
        <w:pStyle w:val="paragraph"/>
        <w:spacing w:before="0" w:beforeAutospacing="0" w:after="0" w:afterAutospacing="0"/>
        <w:textAlignment w:val="baseline"/>
        <w:rPr>
          <w:rFonts w:ascii="Arial" w:eastAsiaTheme="majorEastAsia" w:hAnsi="Arial" w:cs="Arial"/>
          <w:sz w:val="48"/>
          <w:szCs w:val="48"/>
        </w:rPr>
      </w:pPr>
      <w:r>
        <w:rPr>
          <w:rFonts w:ascii="Arial" w:eastAsiaTheme="majorEastAsia" w:hAnsi="Arial" w:cs="Arial"/>
          <w:sz w:val="48"/>
          <w:szCs w:val="48"/>
        </w:rPr>
        <w:t xml:space="preserve">                                          </w:t>
      </w:r>
    </w:p>
    <w:p w14:paraId="2641E6D2" w14:textId="47505D6C" w:rsidR="002E2419" w:rsidRDefault="002E2419" w:rsidP="00362C0F">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sz w:val="48"/>
          <w:szCs w:val="48"/>
        </w:rPr>
        <w:br/>
      </w:r>
      <w:r>
        <w:rPr>
          <w:rFonts w:ascii="Arial" w:eastAsiaTheme="majorEastAsia" w:hAnsi="Arial" w:cs="Arial"/>
          <w:sz w:val="48"/>
          <w:szCs w:val="48"/>
        </w:rPr>
        <w:br/>
      </w:r>
      <w:r>
        <w:rPr>
          <w:rFonts w:ascii="Arial" w:eastAsiaTheme="majorEastAsia" w:hAnsi="Arial" w:cs="Arial"/>
        </w:rPr>
        <w:t xml:space="preserve">                                                                                                       </w:t>
      </w:r>
      <w:r w:rsidRPr="002E2419">
        <w:rPr>
          <w:rFonts w:ascii="Arial" w:eastAsiaTheme="majorEastAsia" w:hAnsi="Arial" w:cs="Arial"/>
        </w:rPr>
        <w:t>Wordcount:1500</w:t>
      </w:r>
      <w:r>
        <w:rPr>
          <w:rFonts w:ascii="Arial" w:eastAsiaTheme="majorEastAsia" w:hAnsi="Arial" w:cs="Arial"/>
        </w:rPr>
        <w:br/>
      </w:r>
    </w:p>
    <w:p w14:paraId="4940D843" w14:textId="77777777" w:rsidR="002E2419" w:rsidRDefault="002E2419" w:rsidP="00362C0F">
      <w:pPr>
        <w:pStyle w:val="paragraph"/>
        <w:spacing w:before="0" w:beforeAutospacing="0" w:after="0" w:afterAutospacing="0" w:line="360" w:lineRule="auto"/>
        <w:textAlignment w:val="baseline"/>
        <w:rPr>
          <w:rFonts w:ascii="Arial" w:eastAsiaTheme="majorEastAsia" w:hAnsi="Arial" w:cs="Arial"/>
        </w:rPr>
      </w:pPr>
    </w:p>
    <w:p w14:paraId="57B5513D" w14:textId="536EBD31" w:rsidR="002E2419" w:rsidRDefault="002E2419" w:rsidP="00362C0F">
      <w:pPr>
        <w:pStyle w:val="paragraph"/>
        <w:spacing w:before="0" w:beforeAutospacing="0" w:after="0" w:afterAutospacing="0" w:line="360" w:lineRule="auto"/>
        <w:textAlignment w:val="baseline"/>
        <w:rPr>
          <w:rFonts w:ascii="Arial" w:eastAsiaTheme="majorEastAsia" w:hAnsi="Arial" w:cs="Arial"/>
        </w:rPr>
      </w:pPr>
      <w:r w:rsidRPr="00FE4702">
        <w:rPr>
          <w:rFonts w:ascii="Arial" w:eastAsiaTheme="majorEastAsia" w:hAnsi="Arial" w:cs="Arial"/>
        </w:rPr>
        <w:t xml:space="preserve">I acknowledge the use of ChatGPT (https://chatgpt.com/) on </w:t>
      </w:r>
      <w:r>
        <w:rPr>
          <w:rFonts w:ascii="Arial" w:eastAsiaTheme="majorEastAsia" w:hAnsi="Arial" w:cs="Arial"/>
        </w:rPr>
        <w:t>1</w:t>
      </w:r>
      <w:r w:rsidRPr="002E2419">
        <w:rPr>
          <w:rFonts w:ascii="Arial" w:eastAsiaTheme="majorEastAsia" w:hAnsi="Arial" w:cs="Arial"/>
          <w:vertAlign w:val="superscript"/>
        </w:rPr>
        <w:t>st</w:t>
      </w:r>
      <w:r>
        <w:rPr>
          <w:rFonts w:ascii="Arial" w:eastAsiaTheme="majorEastAsia" w:hAnsi="Arial" w:cs="Arial"/>
        </w:rPr>
        <w:t xml:space="preserve"> December 2025</w:t>
      </w:r>
      <w:r w:rsidRPr="00FE4702">
        <w:rPr>
          <w:rFonts w:ascii="Arial" w:eastAsiaTheme="majorEastAsia" w:hAnsi="Arial" w:cs="Arial"/>
        </w:rPr>
        <w:t xml:space="preserve"> to write my notes into submission format using the prompt(s):</w:t>
      </w:r>
    </w:p>
    <w:p w14:paraId="61FA7543" w14:textId="77777777" w:rsidR="002E2419" w:rsidRPr="00FE4702" w:rsidRDefault="002E2419" w:rsidP="00362C0F">
      <w:pPr>
        <w:pStyle w:val="paragraph"/>
        <w:spacing w:before="0" w:beforeAutospacing="0" w:after="0" w:afterAutospacing="0" w:line="360" w:lineRule="auto"/>
        <w:textAlignment w:val="baseline"/>
        <w:rPr>
          <w:rFonts w:ascii="Arial" w:eastAsiaTheme="majorEastAsia" w:hAnsi="Arial" w:cs="Arial"/>
        </w:rPr>
      </w:pPr>
      <w:r>
        <w:rPr>
          <w:rFonts w:ascii="Arial" w:eastAsiaTheme="majorEastAsia" w:hAnsi="Arial" w:cs="Arial"/>
        </w:rPr>
        <w:t>Grammar checking, translating languages.</w:t>
      </w:r>
    </w:p>
    <w:p w14:paraId="5FE9B018" w14:textId="13BDA4F2" w:rsidR="00900F2F" w:rsidRDefault="002E2419" w:rsidP="00CA600D">
      <w:pPr>
        <w:pStyle w:val="paragraph"/>
        <w:spacing w:before="0" w:beforeAutospacing="0" w:after="0" w:afterAutospacing="0" w:line="360" w:lineRule="auto"/>
        <w:textAlignment w:val="baseline"/>
        <w:rPr>
          <w:rFonts w:ascii="Arial" w:eastAsiaTheme="majorEastAsia" w:hAnsi="Arial" w:cs="Arial"/>
        </w:rPr>
      </w:pPr>
      <w:r w:rsidRPr="00FE4702">
        <w:rPr>
          <w:rFonts w:ascii="Arial" w:eastAsiaTheme="majorEastAsia" w:hAnsi="Arial" w:cs="Arial"/>
        </w:rPr>
        <w:t>I confirm that I have not presented any AI generated text as my own work. I confirm that I have copies of my drafts, notes, and other resources I used before, and after the use of AI tools which I may be asked to provide in evidence.</w:t>
      </w:r>
    </w:p>
    <w:p w14:paraId="7A0EE8BD" w14:textId="77777777" w:rsidR="00CA600D" w:rsidRPr="00D97D54" w:rsidRDefault="00310F9F" w:rsidP="00CA600D">
      <w:pPr>
        <w:pStyle w:val="paragraph"/>
        <w:spacing w:line="360" w:lineRule="auto"/>
        <w:textAlignment w:val="baseline"/>
        <w:rPr>
          <w:rFonts w:ascii="Arial" w:eastAsiaTheme="majorEastAsia" w:hAnsi="Arial" w:cs="Arial"/>
          <w:b/>
          <w:bCs/>
        </w:rPr>
      </w:pPr>
      <w:r w:rsidRPr="00D97D54">
        <w:rPr>
          <w:rFonts w:ascii="Arial" w:eastAsiaTheme="majorEastAsia" w:hAnsi="Arial" w:cs="Arial"/>
          <w:b/>
          <w:bCs/>
        </w:rPr>
        <w:lastRenderedPageBreak/>
        <w:t>Introductio</w:t>
      </w:r>
      <w:r w:rsidR="00CA600D" w:rsidRPr="00D97D54">
        <w:rPr>
          <w:rFonts w:ascii="Arial" w:eastAsiaTheme="majorEastAsia" w:hAnsi="Arial" w:cs="Arial"/>
          <w:b/>
          <w:bCs/>
        </w:rPr>
        <w:t>n</w:t>
      </w:r>
    </w:p>
    <w:p w14:paraId="1A2F7EB9" w14:textId="5888A538" w:rsidR="00CA600D" w:rsidRDefault="00310F9F" w:rsidP="00CA600D">
      <w:pPr>
        <w:pStyle w:val="paragraph"/>
        <w:spacing w:line="360" w:lineRule="auto"/>
        <w:textAlignment w:val="baseline"/>
        <w:rPr>
          <w:rFonts w:ascii="Arial" w:eastAsiaTheme="majorEastAsia" w:hAnsi="Arial" w:cs="Arial"/>
        </w:rPr>
      </w:pPr>
      <w:r w:rsidRPr="00310F9F">
        <w:rPr>
          <w:rFonts w:ascii="Arial" w:eastAsiaTheme="majorEastAsia" w:hAnsi="Arial" w:cs="Arial"/>
        </w:rPr>
        <w:t>The electric vehicle (EV) industry has become an essential part of the United Kingdom’s long-term strategy to reduce carbon emissions and promote sustainable transport. Over the last decade the sector has expanded rapidly due to government intervention technological progress and growing public awareness of climate change. EVs are increasingly seen as a practical solution to environmental challenges especially in urban areas where air quality has become a major concern.</w:t>
      </w:r>
    </w:p>
    <w:p w14:paraId="1C980AD8" w14:textId="0C0DB162" w:rsidR="00CA600D" w:rsidRDefault="00310F9F" w:rsidP="00CA600D">
      <w:pPr>
        <w:pStyle w:val="paragraph"/>
        <w:spacing w:line="360" w:lineRule="auto"/>
        <w:textAlignment w:val="baseline"/>
        <w:rPr>
          <w:rFonts w:ascii="Arial" w:eastAsiaTheme="majorEastAsia" w:hAnsi="Arial" w:cs="Arial"/>
        </w:rPr>
      </w:pPr>
      <w:r w:rsidRPr="00310F9F">
        <w:rPr>
          <w:rFonts w:ascii="Arial" w:eastAsiaTheme="majorEastAsia" w:hAnsi="Arial" w:cs="Arial"/>
        </w:rPr>
        <w:t xml:space="preserve">Despite this </w:t>
      </w:r>
      <w:r w:rsidR="00CA6B8E">
        <w:rPr>
          <w:rFonts w:ascii="Arial" w:eastAsiaTheme="majorEastAsia" w:hAnsi="Arial" w:cs="Arial"/>
        </w:rPr>
        <w:t>growth</w:t>
      </w:r>
      <w:r w:rsidRPr="00310F9F">
        <w:rPr>
          <w:rFonts w:ascii="Arial" w:eastAsiaTheme="majorEastAsia" w:hAnsi="Arial" w:cs="Arial"/>
        </w:rPr>
        <w:t xml:space="preserve"> the UK EV industry still faces barriers such as high production costs, limited charging infrastructure supply chain disruptions and uncertainty within economic and political environments. These issues have slowed adoption rates in some regions and created challenges for companies operating within the sector.</w:t>
      </w:r>
    </w:p>
    <w:p w14:paraId="0AD6C70F" w14:textId="457E2910" w:rsidR="00900F2F" w:rsidRDefault="00310F9F" w:rsidP="00CA600D">
      <w:pPr>
        <w:pStyle w:val="paragraph"/>
        <w:spacing w:line="360" w:lineRule="auto"/>
        <w:textAlignment w:val="baseline"/>
        <w:rPr>
          <w:rFonts w:ascii="Arial" w:eastAsiaTheme="majorEastAsia" w:hAnsi="Arial" w:cs="Arial"/>
        </w:rPr>
      </w:pPr>
      <w:r w:rsidRPr="00310F9F">
        <w:rPr>
          <w:rFonts w:ascii="Arial" w:eastAsiaTheme="majorEastAsia" w:hAnsi="Arial" w:cs="Arial"/>
        </w:rPr>
        <w:t>The purpose of this report is to critically analyse the external factors influencing the UK EV industry using the PESTLE framework. The report draws on recent academic literature to evaluate how political economic social technological legal and environmental factors shape the industry. It also presents key findings limitations and realistic recommendations to support future growth innovation and competitiveness</w:t>
      </w:r>
      <w:r w:rsidR="0069312C">
        <w:rPr>
          <w:rFonts w:ascii="Arial" w:eastAsiaTheme="majorEastAsia" w:hAnsi="Arial" w:cs="Arial"/>
        </w:rPr>
        <w:t>.</w:t>
      </w:r>
    </w:p>
    <w:p w14:paraId="292BE55B" w14:textId="665B2332" w:rsidR="002E262C" w:rsidRPr="00492760" w:rsidRDefault="006C290F" w:rsidP="00612BD8">
      <w:pPr>
        <w:pStyle w:val="paragraph"/>
        <w:spacing w:line="360" w:lineRule="auto"/>
        <w:textAlignment w:val="baseline"/>
        <w:rPr>
          <w:rFonts w:ascii="Arial" w:eastAsiaTheme="majorEastAsia" w:hAnsi="Arial" w:cs="Arial"/>
          <w:b/>
          <w:bCs/>
        </w:rPr>
      </w:pPr>
      <w:r w:rsidRPr="006C290F">
        <w:rPr>
          <w:rFonts w:ascii="Arial" w:eastAsiaTheme="majorEastAsia" w:hAnsi="Arial" w:cs="Arial"/>
          <w:b/>
          <w:bCs/>
        </w:rPr>
        <w:t>Current Situation of the UK Electric Vehicle Industry</w:t>
      </w:r>
      <w:r w:rsidR="00DC52C3">
        <w:rPr>
          <w:rFonts w:ascii="Arial" w:eastAsiaTheme="majorEastAsia" w:hAnsi="Arial" w:cs="Arial"/>
          <w:b/>
          <w:bCs/>
        </w:rPr>
        <w:br/>
      </w:r>
      <w:r w:rsidRPr="006C290F">
        <w:rPr>
          <w:rFonts w:ascii="Arial" w:eastAsiaTheme="majorEastAsia" w:hAnsi="Arial" w:cs="Arial"/>
        </w:rPr>
        <w:t xml:space="preserve">The UK EV market has grown significantly as part of national plans to achieve net zero emissions by 2050. Government incentives such as </w:t>
      </w:r>
      <w:r w:rsidR="00042DF8">
        <w:rPr>
          <w:rFonts w:ascii="Arial" w:eastAsiaTheme="majorEastAsia" w:hAnsi="Arial" w:cs="Arial"/>
        </w:rPr>
        <w:t>financi</w:t>
      </w:r>
      <w:r w:rsidR="004239DA">
        <w:rPr>
          <w:rFonts w:ascii="Arial" w:eastAsiaTheme="majorEastAsia" w:hAnsi="Arial" w:cs="Arial"/>
        </w:rPr>
        <w:t xml:space="preserve">al support </w:t>
      </w:r>
      <w:proofErr w:type="spellStart"/>
      <w:r w:rsidR="004239DA">
        <w:rPr>
          <w:rFonts w:ascii="Arial" w:eastAsiaTheme="majorEastAsia" w:hAnsi="Arial" w:cs="Arial"/>
        </w:rPr>
        <w:t>shemes</w:t>
      </w:r>
      <w:proofErr w:type="spellEnd"/>
      <w:r w:rsidRPr="006C290F">
        <w:rPr>
          <w:rFonts w:ascii="Arial" w:eastAsiaTheme="majorEastAsia" w:hAnsi="Arial" w:cs="Arial"/>
        </w:rPr>
        <w:t xml:space="preserve"> and road tax benefits have supported this transition. Research highlights that electric vehicles remain central to reducing emissions from road transport which continues to be one of the largest contributors to greenhouse gases in the UK (Herbert et al., 2025).</w:t>
      </w:r>
      <w:r w:rsidR="00492760">
        <w:rPr>
          <w:rFonts w:ascii="Arial" w:eastAsiaTheme="majorEastAsia" w:hAnsi="Arial" w:cs="Arial"/>
          <w:b/>
          <w:bCs/>
        </w:rPr>
        <w:br/>
      </w:r>
      <w:r w:rsidRPr="006C290F">
        <w:rPr>
          <w:rFonts w:ascii="Arial" w:eastAsiaTheme="majorEastAsia" w:hAnsi="Arial" w:cs="Arial"/>
        </w:rPr>
        <w:t>However</w:t>
      </w:r>
      <w:r w:rsidR="004239DA">
        <w:rPr>
          <w:rFonts w:ascii="Arial" w:eastAsiaTheme="majorEastAsia" w:hAnsi="Arial" w:cs="Arial"/>
        </w:rPr>
        <w:t xml:space="preserve"> </w:t>
      </w:r>
      <w:r w:rsidRPr="006C290F">
        <w:rPr>
          <w:rFonts w:ascii="Arial" w:eastAsiaTheme="majorEastAsia" w:hAnsi="Arial" w:cs="Arial"/>
        </w:rPr>
        <w:t xml:space="preserve">the industry faces several ongoing challenges. Charging infrastructure is expanding but remains uneven across the country with </w:t>
      </w:r>
      <w:r w:rsidR="000C13B2">
        <w:rPr>
          <w:rFonts w:ascii="Arial" w:eastAsiaTheme="majorEastAsia" w:hAnsi="Arial" w:cs="Arial"/>
        </w:rPr>
        <w:t xml:space="preserve">smaller towns and </w:t>
      </w:r>
      <w:r w:rsidR="00755FF9">
        <w:rPr>
          <w:rFonts w:ascii="Arial" w:eastAsiaTheme="majorEastAsia" w:hAnsi="Arial" w:cs="Arial"/>
        </w:rPr>
        <w:t>communities’</w:t>
      </w:r>
      <w:r w:rsidRPr="006C290F">
        <w:rPr>
          <w:rFonts w:ascii="Arial" w:eastAsiaTheme="majorEastAsia" w:hAnsi="Arial" w:cs="Arial"/>
        </w:rPr>
        <w:t xml:space="preserve"> slower development. Many consumers still express concerns about charging speed battery range and the higher purchase cost of EVs (Chen et al., 2025).</w:t>
      </w:r>
      <w:r w:rsidR="00492760">
        <w:rPr>
          <w:rFonts w:ascii="Arial" w:eastAsiaTheme="majorEastAsia" w:hAnsi="Arial" w:cs="Arial"/>
          <w:b/>
          <w:bCs/>
        </w:rPr>
        <w:br/>
      </w:r>
      <w:r w:rsidRPr="006C290F">
        <w:rPr>
          <w:rFonts w:ascii="Arial" w:eastAsiaTheme="majorEastAsia" w:hAnsi="Arial" w:cs="Arial"/>
        </w:rPr>
        <w:t>In addition, the EV supply chain relies heavily on imported batteries and critical minerals making it vulnerable to external market pressures. Global shortages and</w:t>
      </w:r>
      <w:r w:rsidR="00492760">
        <w:rPr>
          <w:rFonts w:ascii="Arial" w:eastAsiaTheme="majorEastAsia" w:hAnsi="Arial" w:cs="Arial"/>
        </w:rPr>
        <w:br/>
      </w:r>
      <w:r w:rsidRPr="006C290F">
        <w:rPr>
          <w:rFonts w:ascii="Arial" w:eastAsiaTheme="majorEastAsia" w:hAnsi="Arial" w:cs="Arial"/>
        </w:rPr>
        <w:t xml:space="preserve">rising material costs have slowed manufacturing and increased prices. These issues </w:t>
      </w:r>
      <w:r w:rsidRPr="006C290F">
        <w:rPr>
          <w:rFonts w:ascii="Arial" w:eastAsiaTheme="majorEastAsia" w:hAnsi="Arial" w:cs="Arial"/>
        </w:rPr>
        <w:lastRenderedPageBreak/>
        <w:t>make the sector sensitive to economic fluctuations and international competition.</w:t>
      </w:r>
      <w:r w:rsidR="00492760">
        <w:rPr>
          <w:rFonts w:ascii="Arial" w:eastAsiaTheme="majorEastAsia" w:hAnsi="Arial" w:cs="Arial"/>
          <w:b/>
          <w:bCs/>
        </w:rPr>
        <w:br/>
      </w:r>
      <w:r w:rsidRPr="006C290F">
        <w:rPr>
          <w:rFonts w:ascii="Arial" w:eastAsiaTheme="majorEastAsia" w:hAnsi="Arial" w:cs="Arial"/>
        </w:rPr>
        <w:t xml:space="preserve">Despite these challenges, the UK EV industry continues to show strong potential. Investment from both government and private companies is increasing and technological innovation is accelerating. With strategic action the UK can </w:t>
      </w:r>
      <w:proofErr w:type="spellStart"/>
      <w:r w:rsidRPr="006C290F">
        <w:rPr>
          <w:rFonts w:ascii="Arial" w:eastAsiaTheme="majorEastAsia" w:hAnsi="Arial" w:cs="Arial"/>
        </w:rPr>
        <w:t>streng</w:t>
      </w:r>
      <w:r w:rsidR="00755FF9">
        <w:rPr>
          <w:rFonts w:ascii="Arial" w:eastAsiaTheme="majorEastAsia" w:hAnsi="Arial" w:cs="Arial"/>
        </w:rPr>
        <w:t>ht</w:t>
      </w:r>
      <w:r w:rsidRPr="006C290F">
        <w:rPr>
          <w:rFonts w:ascii="Arial" w:eastAsiaTheme="majorEastAsia" w:hAnsi="Arial" w:cs="Arial"/>
        </w:rPr>
        <w:t>en</w:t>
      </w:r>
      <w:proofErr w:type="spellEnd"/>
      <w:r w:rsidRPr="006C290F">
        <w:rPr>
          <w:rFonts w:ascii="Arial" w:eastAsiaTheme="majorEastAsia" w:hAnsi="Arial" w:cs="Arial"/>
        </w:rPr>
        <w:t xml:space="preserve"> its position as a competitive EV market.</w:t>
      </w:r>
      <w:r w:rsidR="00492760">
        <w:rPr>
          <w:rFonts w:ascii="Arial" w:eastAsiaTheme="majorEastAsia" w:hAnsi="Arial" w:cs="Arial"/>
          <w:b/>
          <w:bCs/>
        </w:rPr>
        <w:br/>
      </w:r>
      <w:r w:rsidR="00470962">
        <w:rPr>
          <w:rFonts w:ascii="Arial" w:eastAsiaTheme="majorEastAsia" w:hAnsi="Arial" w:cs="Arial"/>
          <w:b/>
          <w:bCs/>
        </w:rPr>
        <w:t xml:space="preserve">Political </w:t>
      </w:r>
      <w:r w:rsidR="00F60120">
        <w:rPr>
          <w:rFonts w:ascii="Arial" w:eastAsiaTheme="majorEastAsia" w:hAnsi="Arial" w:cs="Arial"/>
          <w:b/>
          <w:bCs/>
        </w:rPr>
        <w:t>Factors</w:t>
      </w:r>
      <w:r w:rsidR="00DC52C3">
        <w:rPr>
          <w:rFonts w:ascii="Arial" w:eastAsiaTheme="majorEastAsia" w:hAnsi="Arial" w:cs="Arial"/>
        </w:rPr>
        <w:br/>
      </w:r>
      <w:r w:rsidR="00612BD8" w:rsidRPr="00612BD8">
        <w:rPr>
          <w:rFonts w:ascii="Arial" w:eastAsiaTheme="majorEastAsia" w:hAnsi="Arial" w:cs="Arial"/>
        </w:rPr>
        <w:t>Political decisions directly shape the direction and growth of the EV industry. The UK government has introduced numerous policies to support EV adoption, including funding for charging infrastructure and grants for consumers. The phase</w:t>
      </w:r>
      <w:r w:rsidR="002828CB">
        <w:rPr>
          <w:rFonts w:ascii="Arial" w:eastAsiaTheme="majorEastAsia" w:hAnsi="Arial" w:cs="Arial"/>
        </w:rPr>
        <w:t xml:space="preserve"> </w:t>
      </w:r>
      <w:r w:rsidR="00612BD8" w:rsidRPr="00612BD8">
        <w:rPr>
          <w:rFonts w:ascii="Arial" w:eastAsiaTheme="majorEastAsia" w:hAnsi="Arial" w:cs="Arial"/>
        </w:rPr>
        <w:t>out of new petrol and diesel vehicles, planned for the coming years</w:t>
      </w:r>
      <w:r w:rsidR="00BE05F5">
        <w:rPr>
          <w:rFonts w:ascii="Arial" w:eastAsiaTheme="majorEastAsia" w:hAnsi="Arial" w:cs="Arial"/>
        </w:rPr>
        <w:t xml:space="preserve"> </w:t>
      </w:r>
      <w:r w:rsidR="00612BD8" w:rsidRPr="00612BD8">
        <w:rPr>
          <w:rFonts w:ascii="Arial" w:eastAsiaTheme="majorEastAsia" w:hAnsi="Arial" w:cs="Arial"/>
        </w:rPr>
        <w:t>reinforces political commitment to decarbonisation.</w:t>
      </w:r>
    </w:p>
    <w:p w14:paraId="6066DF94" w14:textId="3E2CCF61" w:rsidR="00EC2544" w:rsidRDefault="00BE05F5" w:rsidP="00612BD8">
      <w:pPr>
        <w:pStyle w:val="paragraph"/>
        <w:spacing w:line="360" w:lineRule="auto"/>
        <w:textAlignment w:val="baseline"/>
        <w:rPr>
          <w:rFonts w:ascii="Arial" w:eastAsiaTheme="majorEastAsia" w:hAnsi="Arial" w:cs="Arial"/>
        </w:rPr>
      </w:pPr>
      <w:r w:rsidRPr="00612BD8">
        <w:rPr>
          <w:rFonts w:ascii="Arial" w:eastAsiaTheme="majorEastAsia" w:hAnsi="Arial" w:cs="Arial"/>
        </w:rPr>
        <w:t>However,</w:t>
      </w:r>
      <w:r w:rsidR="00612BD8" w:rsidRPr="00612BD8">
        <w:rPr>
          <w:rFonts w:ascii="Arial" w:eastAsiaTheme="majorEastAsia" w:hAnsi="Arial" w:cs="Arial"/>
        </w:rPr>
        <w:t xml:space="preserve"> research shows that inconsistent or unclear policies reduce industry confidence and slow investment (</w:t>
      </w:r>
      <w:proofErr w:type="spellStart"/>
      <w:r w:rsidR="00612BD8" w:rsidRPr="00612BD8">
        <w:rPr>
          <w:rFonts w:ascii="Arial" w:eastAsiaTheme="majorEastAsia" w:hAnsi="Arial" w:cs="Arial"/>
        </w:rPr>
        <w:t>Arslangulov</w:t>
      </w:r>
      <w:proofErr w:type="spellEnd"/>
      <w:r w:rsidR="00612BD8" w:rsidRPr="00612BD8">
        <w:rPr>
          <w:rFonts w:ascii="Arial" w:eastAsiaTheme="majorEastAsia" w:hAnsi="Arial" w:cs="Arial"/>
        </w:rPr>
        <w:t xml:space="preserve"> and Ackrill, 2025). Changes in government leadership or EV deadlines can create uncertainty for manufacturers, investors, and consumers. For long</w:t>
      </w:r>
      <w:r>
        <w:rPr>
          <w:rFonts w:ascii="Arial" w:eastAsiaTheme="majorEastAsia" w:hAnsi="Arial" w:cs="Arial"/>
        </w:rPr>
        <w:t xml:space="preserve"> </w:t>
      </w:r>
      <w:r w:rsidR="00612BD8" w:rsidRPr="00612BD8">
        <w:rPr>
          <w:rFonts w:ascii="Arial" w:eastAsiaTheme="majorEastAsia" w:hAnsi="Arial" w:cs="Arial"/>
        </w:rPr>
        <w:t>term stability the industry depends on predictable and well</w:t>
      </w:r>
      <w:r>
        <w:rPr>
          <w:rFonts w:ascii="Arial" w:eastAsiaTheme="majorEastAsia" w:hAnsi="Arial" w:cs="Arial"/>
        </w:rPr>
        <w:t xml:space="preserve"> </w:t>
      </w:r>
      <w:r w:rsidR="00612BD8" w:rsidRPr="00612BD8">
        <w:rPr>
          <w:rFonts w:ascii="Arial" w:eastAsiaTheme="majorEastAsia" w:hAnsi="Arial" w:cs="Arial"/>
        </w:rPr>
        <w:t>communicated policy frameworks.</w:t>
      </w:r>
    </w:p>
    <w:p w14:paraId="43F86C12" w14:textId="5E8BC57F" w:rsidR="00F60120" w:rsidRPr="00304270" w:rsidRDefault="00470962" w:rsidP="00470962">
      <w:pPr>
        <w:pStyle w:val="paragraph"/>
        <w:spacing w:line="360" w:lineRule="auto"/>
        <w:textAlignment w:val="baseline"/>
        <w:rPr>
          <w:rFonts w:ascii="Arial" w:eastAsiaTheme="majorEastAsia" w:hAnsi="Arial" w:cs="Arial"/>
          <w:b/>
          <w:bCs/>
        </w:rPr>
      </w:pPr>
      <w:r w:rsidRPr="00470962">
        <w:rPr>
          <w:rFonts w:ascii="Arial" w:eastAsiaTheme="majorEastAsia" w:hAnsi="Arial" w:cs="Arial"/>
          <w:b/>
          <w:bCs/>
        </w:rPr>
        <w:t>Economic Factors</w:t>
      </w:r>
      <w:r w:rsidR="00304270">
        <w:rPr>
          <w:rFonts w:ascii="Arial" w:eastAsiaTheme="majorEastAsia" w:hAnsi="Arial" w:cs="Arial"/>
          <w:b/>
          <w:bCs/>
        </w:rPr>
        <w:br/>
      </w:r>
      <w:r w:rsidRPr="00470962">
        <w:rPr>
          <w:rFonts w:ascii="Arial" w:eastAsiaTheme="majorEastAsia" w:hAnsi="Arial" w:cs="Arial"/>
        </w:rPr>
        <w:t>Economic conditions have a strong influence on consumer adoption of EVs. Although EVs have become more popular the initial purchase cost remains higher than traditional vehicles. Inflation increased manufacturing costs and supply chain disruptions have created additional financial pressures.</w:t>
      </w:r>
    </w:p>
    <w:p w14:paraId="7826A53C" w14:textId="18D18D31" w:rsidR="00F60120" w:rsidRDefault="00470962" w:rsidP="00470962">
      <w:pPr>
        <w:pStyle w:val="paragraph"/>
        <w:spacing w:line="360" w:lineRule="auto"/>
        <w:textAlignment w:val="baseline"/>
        <w:rPr>
          <w:rFonts w:ascii="Arial" w:eastAsiaTheme="majorEastAsia" w:hAnsi="Arial" w:cs="Arial"/>
        </w:rPr>
      </w:pPr>
      <w:r w:rsidRPr="00470962">
        <w:rPr>
          <w:rFonts w:ascii="Arial" w:eastAsiaTheme="majorEastAsia" w:hAnsi="Arial" w:cs="Arial"/>
        </w:rPr>
        <w:t>Studies indicate that subsidies and incentives are essential for reducing cost barriers and supporting adoption (Chen et al., 2025). The EV industry also creates economic opportunities through job growth innovation and investment in new technologies.</w:t>
      </w:r>
    </w:p>
    <w:p w14:paraId="498E4E63" w14:textId="32D6B59D" w:rsidR="0094201A" w:rsidRPr="00612BD8" w:rsidRDefault="00470962" w:rsidP="00470962">
      <w:pPr>
        <w:pStyle w:val="paragraph"/>
        <w:spacing w:line="360" w:lineRule="auto"/>
        <w:textAlignment w:val="baseline"/>
        <w:rPr>
          <w:rFonts w:ascii="Arial" w:eastAsiaTheme="majorEastAsia" w:hAnsi="Arial" w:cs="Arial"/>
        </w:rPr>
      </w:pPr>
      <w:r w:rsidRPr="00470962">
        <w:rPr>
          <w:rFonts w:ascii="Arial" w:eastAsiaTheme="majorEastAsia" w:hAnsi="Arial" w:cs="Arial"/>
        </w:rPr>
        <w:t>However, global competition</w:t>
      </w:r>
      <w:r w:rsidR="00090A70">
        <w:rPr>
          <w:rFonts w:ascii="Arial" w:eastAsiaTheme="majorEastAsia" w:hAnsi="Arial" w:cs="Arial"/>
        </w:rPr>
        <w:t xml:space="preserve"> </w:t>
      </w:r>
      <w:r w:rsidRPr="00470962">
        <w:rPr>
          <w:rFonts w:ascii="Arial" w:eastAsiaTheme="majorEastAsia" w:hAnsi="Arial" w:cs="Arial"/>
        </w:rPr>
        <w:t>especially from countries with lower production costs presents a challenge for UK manufacturers. Economic stability will be an important factor in maintaining competitiveness in the coming years.</w:t>
      </w:r>
    </w:p>
    <w:p w14:paraId="3CBAC452" w14:textId="68512155" w:rsidR="00120947" w:rsidRDefault="00D03E6E" w:rsidP="002A191F">
      <w:pPr>
        <w:pStyle w:val="paragraph"/>
        <w:spacing w:line="360" w:lineRule="auto"/>
        <w:textAlignment w:val="baseline"/>
        <w:rPr>
          <w:rFonts w:ascii="Arial" w:eastAsiaTheme="majorEastAsia" w:hAnsi="Arial" w:cs="Arial"/>
          <w:b/>
          <w:bCs/>
        </w:rPr>
      </w:pPr>
      <w:r w:rsidRPr="00D03E6E">
        <w:rPr>
          <w:rFonts w:ascii="Arial" w:eastAsiaTheme="majorEastAsia" w:hAnsi="Arial" w:cs="Arial"/>
          <w:b/>
          <w:bCs/>
        </w:rPr>
        <w:t>Social Factors</w:t>
      </w:r>
      <w:r w:rsidR="00120947">
        <w:rPr>
          <w:rFonts w:ascii="Arial" w:eastAsiaTheme="majorEastAsia" w:hAnsi="Arial" w:cs="Arial"/>
          <w:b/>
          <w:bCs/>
        </w:rPr>
        <w:br/>
      </w:r>
      <w:r w:rsidRPr="00D03E6E">
        <w:rPr>
          <w:rFonts w:ascii="Arial" w:eastAsiaTheme="majorEastAsia" w:hAnsi="Arial" w:cs="Arial"/>
        </w:rPr>
        <w:t>Public attitudes toward sustainability and cleaner transport have improved. Many consumers value reduced emissions</w:t>
      </w:r>
      <w:r w:rsidR="00090A70">
        <w:rPr>
          <w:rFonts w:ascii="Arial" w:eastAsiaTheme="majorEastAsia" w:hAnsi="Arial" w:cs="Arial"/>
        </w:rPr>
        <w:t>,</w:t>
      </w:r>
      <w:r w:rsidRPr="00D03E6E">
        <w:rPr>
          <w:rFonts w:ascii="Arial" w:eastAsiaTheme="majorEastAsia" w:hAnsi="Arial" w:cs="Arial"/>
        </w:rPr>
        <w:t xml:space="preserve"> lower noise pollution and </w:t>
      </w:r>
      <w:proofErr w:type="gramStart"/>
      <w:r w:rsidRPr="00D03E6E">
        <w:rPr>
          <w:rFonts w:ascii="Arial" w:eastAsiaTheme="majorEastAsia" w:hAnsi="Arial" w:cs="Arial"/>
        </w:rPr>
        <w:t>long</w:t>
      </w:r>
      <w:r w:rsidR="00090A70">
        <w:rPr>
          <w:rFonts w:ascii="Arial" w:eastAsiaTheme="majorEastAsia" w:hAnsi="Arial" w:cs="Arial"/>
        </w:rPr>
        <w:t xml:space="preserve"> </w:t>
      </w:r>
      <w:r w:rsidRPr="00D03E6E">
        <w:rPr>
          <w:rFonts w:ascii="Arial" w:eastAsiaTheme="majorEastAsia" w:hAnsi="Arial" w:cs="Arial"/>
        </w:rPr>
        <w:t>term</w:t>
      </w:r>
      <w:proofErr w:type="gramEnd"/>
      <w:r w:rsidRPr="00D03E6E">
        <w:rPr>
          <w:rFonts w:ascii="Arial" w:eastAsiaTheme="majorEastAsia" w:hAnsi="Arial" w:cs="Arial"/>
        </w:rPr>
        <w:t xml:space="preserve"> savings on </w:t>
      </w:r>
      <w:r w:rsidRPr="00D03E6E">
        <w:rPr>
          <w:rFonts w:ascii="Arial" w:eastAsiaTheme="majorEastAsia" w:hAnsi="Arial" w:cs="Arial"/>
        </w:rPr>
        <w:lastRenderedPageBreak/>
        <w:t>running costs. Research suggests that social acceptance increases when EVs become more accessible and reliable (Herbert, Biedenbach and Jansson, 2025).</w:t>
      </w:r>
      <w:r w:rsidR="00120947">
        <w:rPr>
          <w:rFonts w:ascii="Arial" w:eastAsiaTheme="majorEastAsia" w:hAnsi="Arial" w:cs="Arial"/>
          <w:b/>
          <w:bCs/>
        </w:rPr>
        <w:br/>
      </w:r>
      <w:r w:rsidRPr="00D03E6E">
        <w:rPr>
          <w:rFonts w:ascii="Arial" w:eastAsiaTheme="majorEastAsia" w:hAnsi="Arial" w:cs="Arial"/>
        </w:rPr>
        <w:t>Nevertheless, some concerns remain. Range anxiety, slow charging, and limited charging access still discourage potential buyers. Social adoption also varies by location with rural communities experiencing slower uptake due to fewer charging stations.</w:t>
      </w:r>
      <w:r w:rsidR="00120947">
        <w:rPr>
          <w:rFonts w:ascii="Arial" w:eastAsiaTheme="majorEastAsia" w:hAnsi="Arial" w:cs="Arial"/>
          <w:b/>
          <w:bCs/>
        </w:rPr>
        <w:br/>
      </w:r>
      <w:r w:rsidRPr="00D03E6E">
        <w:rPr>
          <w:rFonts w:ascii="Arial" w:eastAsiaTheme="majorEastAsia" w:hAnsi="Arial" w:cs="Arial"/>
        </w:rPr>
        <w:t>Improving public confidence will require better communication about EV benefits</w:t>
      </w:r>
      <w:r w:rsidR="00886C47">
        <w:rPr>
          <w:rFonts w:ascii="Arial" w:eastAsiaTheme="majorEastAsia" w:hAnsi="Arial" w:cs="Arial"/>
        </w:rPr>
        <w:t xml:space="preserve"> </w:t>
      </w:r>
      <w:r w:rsidRPr="00D03E6E">
        <w:rPr>
          <w:rFonts w:ascii="Arial" w:eastAsiaTheme="majorEastAsia" w:hAnsi="Arial" w:cs="Arial"/>
        </w:rPr>
        <w:t>clearer information about running costs and visible improvements in infrastructure.</w:t>
      </w:r>
    </w:p>
    <w:p w14:paraId="7630F3CC" w14:textId="4EF28100" w:rsidR="00492760" w:rsidRDefault="002A191F" w:rsidP="00F36586">
      <w:pPr>
        <w:pStyle w:val="paragraph"/>
        <w:spacing w:line="360" w:lineRule="auto"/>
        <w:textAlignment w:val="baseline"/>
        <w:rPr>
          <w:rFonts w:ascii="Arial" w:eastAsiaTheme="majorEastAsia" w:hAnsi="Arial" w:cs="Arial"/>
          <w:b/>
          <w:bCs/>
        </w:rPr>
      </w:pPr>
      <w:r w:rsidRPr="002A191F">
        <w:rPr>
          <w:rFonts w:ascii="Arial" w:eastAsiaTheme="majorEastAsia" w:hAnsi="Arial" w:cs="Arial"/>
          <w:b/>
          <w:bCs/>
        </w:rPr>
        <w:t>Technological Factors</w:t>
      </w:r>
      <w:r w:rsidR="00120947">
        <w:rPr>
          <w:rFonts w:ascii="Arial" w:eastAsiaTheme="majorEastAsia" w:hAnsi="Arial" w:cs="Arial"/>
          <w:b/>
          <w:bCs/>
        </w:rPr>
        <w:br/>
      </w:r>
      <w:r w:rsidRPr="002A191F">
        <w:rPr>
          <w:rFonts w:ascii="Arial" w:eastAsiaTheme="majorEastAsia" w:hAnsi="Arial" w:cs="Arial"/>
        </w:rPr>
        <w:t>Technological progress is one of the strongest drivers of EV market growth. Advances in battery management systems, fast</w:t>
      </w:r>
      <w:r w:rsidR="00A95843">
        <w:rPr>
          <w:rFonts w:ascii="Arial" w:eastAsiaTheme="majorEastAsia" w:hAnsi="Arial" w:cs="Arial"/>
        </w:rPr>
        <w:t xml:space="preserve"> </w:t>
      </w:r>
      <w:r w:rsidRPr="002A191F">
        <w:rPr>
          <w:rFonts w:ascii="Arial" w:eastAsiaTheme="majorEastAsia" w:hAnsi="Arial" w:cs="Arial"/>
        </w:rPr>
        <w:t>charging technology and vehicle</w:t>
      </w:r>
      <w:r w:rsidR="00A95843">
        <w:rPr>
          <w:rFonts w:ascii="Arial" w:eastAsiaTheme="majorEastAsia" w:hAnsi="Arial" w:cs="Arial"/>
        </w:rPr>
        <w:t xml:space="preserve"> </w:t>
      </w:r>
      <w:r w:rsidRPr="002A191F">
        <w:rPr>
          <w:rFonts w:ascii="Arial" w:eastAsiaTheme="majorEastAsia" w:hAnsi="Arial" w:cs="Arial"/>
        </w:rPr>
        <w:t>to</w:t>
      </w:r>
      <w:r w:rsidR="00A95843">
        <w:rPr>
          <w:rFonts w:ascii="Arial" w:eastAsiaTheme="majorEastAsia" w:hAnsi="Arial" w:cs="Arial"/>
        </w:rPr>
        <w:t xml:space="preserve"> </w:t>
      </w:r>
      <w:r w:rsidRPr="002A191F">
        <w:rPr>
          <w:rFonts w:ascii="Arial" w:eastAsiaTheme="majorEastAsia" w:hAnsi="Arial" w:cs="Arial"/>
        </w:rPr>
        <w:t>grid (V2G) systems are improving performance and reducing long</w:t>
      </w:r>
      <w:r w:rsidR="00A95843">
        <w:rPr>
          <w:rFonts w:ascii="Arial" w:eastAsiaTheme="majorEastAsia" w:hAnsi="Arial" w:cs="Arial"/>
        </w:rPr>
        <w:t xml:space="preserve"> </w:t>
      </w:r>
      <w:r w:rsidRPr="002A191F">
        <w:rPr>
          <w:rFonts w:ascii="Arial" w:eastAsiaTheme="majorEastAsia" w:hAnsi="Arial" w:cs="Arial"/>
        </w:rPr>
        <w:t xml:space="preserve">term costs. Studies highlight that battery innovation and improved charging schedules increase efficiency and user confidence (Zhou, An and </w:t>
      </w:r>
      <w:proofErr w:type="spellStart"/>
      <w:r w:rsidRPr="002A191F">
        <w:rPr>
          <w:rFonts w:ascii="Arial" w:eastAsiaTheme="majorEastAsia" w:hAnsi="Arial" w:cs="Arial"/>
        </w:rPr>
        <w:t>Schmocker</w:t>
      </w:r>
      <w:proofErr w:type="spellEnd"/>
      <w:r w:rsidRPr="002A191F">
        <w:rPr>
          <w:rFonts w:ascii="Arial" w:eastAsiaTheme="majorEastAsia" w:hAnsi="Arial" w:cs="Arial"/>
        </w:rPr>
        <w:t>, 2025).</w:t>
      </w:r>
      <w:r w:rsidR="00F13E21">
        <w:rPr>
          <w:rFonts w:ascii="Arial" w:eastAsiaTheme="majorEastAsia" w:hAnsi="Arial" w:cs="Arial"/>
          <w:b/>
          <w:bCs/>
        </w:rPr>
        <w:br/>
      </w:r>
      <w:r w:rsidRPr="002A191F">
        <w:rPr>
          <w:rFonts w:ascii="Arial" w:eastAsiaTheme="majorEastAsia" w:hAnsi="Arial" w:cs="Arial"/>
        </w:rPr>
        <w:t>Despite this progress</w:t>
      </w:r>
      <w:r w:rsidR="00A95843">
        <w:rPr>
          <w:rFonts w:ascii="Arial" w:eastAsiaTheme="majorEastAsia" w:hAnsi="Arial" w:cs="Arial"/>
        </w:rPr>
        <w:t xml:space="preserve"> </w:t>
      </w:r>
      <w:r w:rsidRPr="002A191F">
        <w:rPr>
          <w:rFonts w:ascii="Arial" w:eastAsiaTheme="majorEastAsia" w:hAnsi="Arial" w:cs="Arial"/>
        </w:rPr>
        <w:t>limitations remain. The national grid requires significant upgrades to handle rising electricity demand. Without improvements in grid capacity, large</w:t>
      </w:r>
      <w:r w:rsidR="00A95843">
        <w:rPr>
          <w:rFonts w:ascii="Arial" w:eastAsiaTheme="majorEastAsia" w:hAnsi="Arial" w:cs="Arial"/>
        </w:rPr>
        <w:t xml:space="preserve"> </w:t>
      </w:r>
      <w:r w:rsidRPr="002A191F">
        <w:rPr>
          <w:rFonts w:ascii="Arial" w:eastAsiaTheme="majorEastAsia" w:hAnsi="Arial" w:cs="Arial"/>
        </w:rPr>
        <w:t>scale EV adoption may overload existing systems.</w:t>
      </w:r>
      <w:r w:rsidR="00F13E21">
        <w:rPr>
          <w:rFonts w:ascii="Arial" w:eastAsiaTheme="majorEastAsia" w:hAnsi="Arial" w:cs="Arial"/>
          <w:b/>
          <w:bCs/>
        </w:rPr>
        <w:br/>
      </w:r>
      <w:r w:rsidRPr="002A191F">
        <w:rPr>
          <w:rFonts w:ascii="Arial" w:eastAsiaTheme="majorEastAsia" w:hAnsi="Arial" w:cs="Arial"/>
        </w:rPr>
        <w:t>New technologies create strong opportunities for growth, but they also require substantial investment and long-term planning.</w:t>
      </w:r>
    </w:p>
    <w:p w14:paraId="34035FAD" w14:textId="65786C3E" w:rsidR="00900F2F" w:rsidRPr="00C5424C" w:rsidRDefault="00F36586" w:rsidP="00F36586">
      <w:pPr>
        <w:pStyle w:val="paragraph"/>
        <w:spacing w:line="360" w:lineRule="auto"/>
        <w:textAlignment w:val="baseline"/>
        <w:rPr>
          <w:rFonts w:ascii="Arial" w:eastAsiaTheme="majorEastAsia" w:hAnsi="Arial" w:cs="Arial"/>
        </w:rPr>
      </w:pPr>
      <w:r w:rsidRPr="00F36586">
        <w:rPr>
          <w:rFonts w:ascii="Arial" w:eastAsiaTheme="majorEastAsia" w:hAnsi="Arial" w:cs="Arial"/>
          <w:b/>
          <w:bCs/>
        </w:rPr>
        <w:t>Legal Factors</w:t>
      </w:r>
      <w:r w:rsidR="005D5D15">
        <w:rPr>
          <w:rFonts w:ascii="Arial" w:eastAsiaTheme="majorEastAsia" w:hAnsi="Arial" w:cs="Arial"/>
          <w:b/>
          <w:bCs/>
        </w:rPr>
        <w:br/>
      </w:r>
      <w:r w:rsidRPr="00F36586">
        <w:rPr>
          <w:rFonts w:ascii="Arial" w:eastAsiaTheme="majorEastAsia" w:hAnsi="Arial" w:cs="Arial"/>
        </w:rPr>
        <w:t>The UK government has introduced a range of regulations related to vehicle emissions, battery recycling and manufacturing standards. These regulations support environmental protection and consumer safety.</w:t>
      </w:r>
      <w:r w:rsidR="005D5D15">
        <w:rPr>
          <w:rFonts w:ascii="Arial" w:eastAsiaTheme="majorEastAsia" w:hAnsi="Arial" w:cs="Arial"/>
        </w:rPr>
        <w:br/>
      </w:r>
      <w:r w:rsidRPr="00F36586">
        <w:rPr>
          <w:rFonts w:ascii="Arial" w:eastAsiaTheme="majorEastAsia" w:hAnsi="Arial" w:cs="Arial"/>
        </w:rPr>
        <w:t xml:space="preserve">However, compliance with legal requirements can increase costs for producers and may limit smaller </w:t>
      </w:r>
      <w:r w:rsidR="00C5424C" w:rsidRPr="00F36586">
        <w:rPr>
          <w:rFonts w:ascii="Arial" w:eastAsiaTheme="majorEastAsia" w:hAnsi="Arial" w:cs="Arial"/>
        </w:rPr>
        <w:t>companies’</w:t>
      </w:r>
      <w:r w:rsidRPr="00F36586">
        <w:rPr>
          <w:rFonts w:ascii="Arial" w:eastAsiaTheme="majorEastAsia" w:hAnsi="Arial" w:cs="Arial"/>
        </w:rPr>
        <w:t xml:space="preserve"> ability to enter the market. Future legal </w:t>
      </w:r>
      <w:proofErr w:type="gramStart"/>
      <w:r w:rsidRPr="00F36586">
        <w:rPr>
          <w:rFonts w:ascii="Arial" w:eastAsiaTheme="majorEastAsia" w:hAnsi="Arial" w:cs="Arial"/>
        </w:rPr>
        <w:t>changes</w:t>
      </w:r>
      <w:r w:rsidR="00C5424C">
        <w:rPr>
          <w:rFonts w:ascii="Arial" w:eastAsiaTheme="majorEastAsia" w:hAnsi="Arial" w:cs="Arial"/>
        </w:rPr>
        <w:t xml:space="preserve">  </w:t>
      </w:r>
      <w:r w:rsidRPr="00F36586">
        <w:rPr>
          <w:rFonts w:ascii="Arial" w:eastAsiaTheme="majorEastAsia" w:hAnsi="Arial" w:cs="Arial"/>
        </w:rPr>
        <w:t>including</w:t>
      </w:r>
      <w:proofErr w:type="gramEnd"/>
      <w:r w:rsidRPr="00F36586">
        <w:rPr>
          <w:rFonts w:ascii="Arial" w:eastAsiaTheme="majorEastAsia" w:hAnsi="Arial" w:cs="Arial"/>
        </w:rPr>
        <w:t xml:space="preserve"> stricter emissions regulations and deadlines for phasing out petrol and diesel cars, will continue to shape industry behaviour and investment decisions.</w:t>
      </w:r>
    </w:p>
    <w:p w14:paraId="366751DC" w14:textId="28473B32" w:rsidR="006D31A5" w:rsidRDefault="00BD3527" w:rsidP="006D31A5">
      <w:pPr>
        <w:pStyle w:val="paragraph"/>
        <w:spacing w:line="360" w:lineRule="auto"/>
        <w:textAlignment w:val="baseline"/>
        <w:rPr>
          <w:rFonts w:ascii="Arial" w:eastAsiaTheme="majorEastAsia" w:hAnsi="Arial" w:cs="Arial"/>
          <w:b/>
          <w:bCs/>
        </w:rPr>
      </w:pPr>
      <w:r w:rsidRPr="00BD3527">
        <w:rPr>
          <w:rFonts w:ascii="Arial" w:eastAsiaTheme="majorEastAsia" w:hAnsi="Arial" w:cs="Arial"/>
          <w:b/>
          <w:bCs/>
        </w:rPr>
        <w:t>Environmental Factors</w:t>
      </w:r>
      <w:r w:rsidR="005D5D15">
        <w:rPr>
          <w:rFonts w:ascii="Arial" w:eastAsiaTheme="majorEastAsia" w:hAnsi="Arial" w:cs="Arial"/>
          <w:b/>
          <w:bCs/>
        </w:rPr>
        <w:br/>
      </w:r>
      <w:r w:rsidRPr="00BD3527">
        <w:rPr>
          <w:rFonts w:ascii="Arial" w:eastAsiaTheme="majorEastAsia" w:hAnsi="Arial" w:cs="Arial"/>
        </w:rPr>
        <w:t>Environmental considerations are central to the development of the EV industry. Research shows that EVs play a crucial role in reducing emissions and improving air quality especially in urban areas (</w:t>
      </w:r>
      <w:proofErr w:type="spellStart"/>
      <w:r w:rsidRPr="00BD3527">
        <w:rPr>
          <w:rFonts w:ascii="Arial" w:eastAsiaTheme="majorEastAsia" w:hAnsi="Arial" w:cs="Arial"/>
        </w:rPr>
        <w:t>Ghafarpasand</w:t>
      </w:r>
      <w:proofErr w:type="spellEnd"/>
      <w:r w:rsidRPr="00BD3527">
        <w:rPr>
          <w:rFonts w:ascii="Arial" w:eastAsiaTheme="majorEastAsia" w:hAnsi="Arial" w:cs="Arial"/>
        </w:rPr>
        <w:t xml:space="preserve"> and Pope, 2025).</w:t>
      </w:r>
      <w:r w:rsidR="005D5D15">
        <w:rPr>
          <w:rFonts w:ascii="Arial" w:eastAsiaTheme="majorEastAsia" w:hAnsi="Arial" w:cs="Arial"/>
          <w:b/>
          <w:bCs/>
        </w:rPr>
        <w:br/>
      </w:r>
      <w:r w:rsidRPr="00BD3527">
        <w:rPr>
          <w:rFonts w:ascii="Arial" w:eastAsiaTheme="majorEastAsia" w:hAnsi="Arial" w:cs="Arial"/>
        </w:rPr>
        <w:t xml:space="preserve">However, battery production and recycling create their own environmental </w:t>
      </w:r>
      <w:r w:rsidRPr="00BD3527">
        <w:rPr>
          <w:rFonts w:ascii="Arial" w:eastAsiaTheme="majorEastAsia" w:hAnsi="Arial" w:cs="Arial"/>
        </w:rPr>
        <w:lastRenderedPageBreak/>
        <w:t>challenges. Manufacturing processes require large amounts of energy and depend on mineral extraction. The industry must continue to improve recycling systems and promote sustainable production methods.</w:t>
      </w:r>
      <w:r w:rsidR="005D5D15">
        <w:rPr>
          <w:rFonts w:ascii="Arial" w:eastAsiaTheme="majorEastAsia" w:hAnsi="Arial" w:cs="Arial"/>
          <w:b/>
          <w:bCs/>
        </w:rPr>
        <w:br/>
      </w:r>
      <w:r w:rsidRPr="00BD3527">
        <w:rPr>
          <w:rFonts w:ascii="Arial" w:eastAsiaTheme="majorEastAsia" w:hAnsi="Arial" w:cs="Arial"/>
        </w:rPr>
        <w:t>Overall</w:t>
      </w:r>
      <w:r w:rsidR="00227F5A">
        <w:rPr>
          <w:rFonts w:ascii="Arial" w:eastAsiaTheme="majorEastAsia" w:hAnsi="Arial" w:cs="Arial"/>
        </w:rPr>
        <w:t xml:space="preserve"> </w:t>
      </w:r>
      <w:r w:rsidRPr="00BD3527">
        <w:rPr>
          <w:rFonts w:ascii="Arial" w:eastAsiaTheme="majorEastAsia" w:hAnsi="Arial" w:cs="Arial"/>
        </w:rPr>
        <w:t>the environmental benefits of EVs remain significant, but the industry must also address the environmental impact of battery life cycles.</w:t>
      </w:r>
    </w:p>
    <w:p w14:paraId="52370A58" w14:textId="6F7A7B49" w:rsidR="00900F2F" w:rsidRPr="005D5D15" w:rsidRDefault="006D31A5" w:rsidP="0010671D">
      <w:pPr>
        <w:pStyle w:val="paragraph"/>
        <w:spacing w:line="360" w:lineRule="auto"/>
        <w:textAlignment w:val="baseline"/>
        <w:rPr>
          <w:rFonts w:ascii="Arial" w:eastAsiaTheme="majorEastAsia" w:hAnsi="Arial" w:cs="Arial"/>
          <w:b/>
          <w:bCs/>
        </w:rPr>
      </w:pPr>
      <w:r w:rsidRPr="006D31A5">
        <w:rPr>
          <w:rFonts w:ascii="Arial" w:eastAsiaTheme="majorEastAsia" w:hAnsi="Arial" w:cs="Arial"/>
          <w:b/>
          <w:bCs/>
        </w:rPr>
        <w:t>Findings and Discussion</w:t>
      </w:r>
      <w:r w:rsidR="005D5D15">
        <w:rPr>
          <w:rFonts w:ascii="Arial" w:eastAsiaTheme="majorEastAsia" w:hAnsi="Arial" w:cs="Arial"/>
          <w:b/>
          <w:bCs/>
        </w:rPr>
        <w:br/>
      </w:r>
      <w:r w:rsidRPr="006D31A5">
        <w:rPr>
          <w:rFonts w:ascii="Arial" w:eastAsiaTheme="majorEastAsia" w:hAnsi="Arial" w:cs="Arial"/>
        </w:rPr>
        <w:t>The literature highlights several key findings about the UK EV industry</w:t>
      </w:r>
      <w:r>
        <w:rPr>
          <w:rFonts w:ascii="Arial" w:eastAsiaTheme="majorEastAsia" w:hAnsi="Arial" w:cs="Arial"/>
        </w:rPr>
        <w:t>.</w:t>
      </w:r>
      <w:r>
        <w:rPr>
          <w:rFonts w:ascii="Arial" w:eastAsiaTheme="majorEastAsia" w:hAnsi="Arial" w:cs="Arial"/>
          <w:b/>
          <w:bCs/>
        </w:rPr>
        <w:br/>
      </w:r>
      <w:r w:rsidRPr="006D31A5">
        <w:rPr>
          <w:rFonts w:ascii="Arial" w:eastAsiaTheme="majorEastAsia" w:hAnsi="Arial" w:cs="Arial"/>
        </w:rPr>
        <w:t xml:space="preserve">First, stable and </w:t>
      </w:r>
      <w:proofErr w:type="gramStart"/>
      <w:r w:rsidRPr="006D31A5">
        <w:rPr>
          <w:rFonts w:ascii="Arial" w:eastAsiaTheme="majorEastAsia" w:hAnsi="Arial" w:cs="Arial"/>
        </w:rPr>
        <w:t>long</w:t>
      </w:r>
      <w:r w:rsidR="00227F5A">
        <w:rPr>
          <w:rFonts w:ascii="Arial" w:eastAsiaTheme="majorEastAsia" w:hAnsi="Arial" w:cs="Arial"/>
        </w:rPr>
        <w:t xml:space="preserve"> </w:t>
      </w:r>
      <w:r w:rsidRPr="006D31A5">
        <w:rPr>
          <w:rFonts w:ascii="Arial" w:eastAsiaTheme="majorEastAsia" w:hAnsi="Arial" w:cs="Arial"/>
        </w:rPr>
        <w:t>term</w:t>
      </w:r>
      <w:proofErr w:type="gramEnd"/>
      <w:r w:rsidRPr="006D31A5">
        <w:rPr>
          <w:rFonts w:ascii="Arial" w:eastAsiaTheme="majorEastAsia" w:hAnsi="Arial" w:cs="Arial"/>
        </w:rPr>
        <w:t xml:space="preserve"> government policy is essential. When political commitments are unclear or frequently adjusted companies reduce investment and innovation slows (</w:t>
      </w:r>
      <w:proofErr w:type="spellStart"/>
      <w:r w:rsidRPr="006D31A5">
        <w:rPr>
          <w:rFonts w:ascii="Arial" w:eastAsiaTheme="majorEastAsia" w:hAnsi="Arial" w:cs="Arial"/>
        </w:rPr>
        <w:t>Arslangulov</w:t>
      </w:r>
      <w:proofErr w:type="spellEnd"/>
      <w:r w:rsidRPr="006D31A5">
        <w:rPr>
          <w:rFonts w:ascii="Arial" w:eastAsiaTheme="majorEastAsia" w:hAnsi="Arial" w:cs="Arial"/>
        </w:rPr>
        <w:t xml:space="preserve"> and Ackrill, 2025).</w:t>
      </w:r>
      <w:r>
        <w:rPr>
          <w:rFonts w:ascii="Arial" w:eastAsiaTheme="majorEastAsia" w:hAnsi="Arial" w:cs="Arial"/>
          <w:b/>
          <w:bCs/>
        </w:rPr>
        <w:br/>
      </w:r>
      <w:r w:rsidRPr="006D31A5">
        <w:rPr>
          <w:rFonts w:ascii="Arial" w:eastAsiaTheme="majorEastAsia" w:hAnsi="Arial" w:cs="Arial"/>
        </w:rPr>
        <w:t>Second, charging infrastructure remains one of the largest barriers to EV adoption. Research emphasises the need for more fast</w:t>
      </w:r>
      <w:r w:rsidR="00227F5A">
        <w:rPr>
          <w:rFonts w:ascii="Arial" w:eastAsiaTheme="majorEastAsia" w:hAnsi="Arial" w:cs="Arial"/>
        </w:rPr>
        <w:t xml:space="preserve"> </w:t>
      </w:r>
      <w:r w:rsidRPr="006D31A5">
        <w:rPr>
          <w:rFonts w:ascii="Arial" w:eastAsiaTheme="majorEastAsia" w:hAnsi="Arial" w:cs="Arial"/>
        </w:rPr>
        <w:t>charging stations</w:t>
      </w:r>
      <w:r w:rsidR="00227F5A">
        <w:rPr>
          <w:rFonts w:ascii="Arial" w:eastAsiaTheme="majorEastAsia" w:hAnsi="Arial" w:cs="Arial"/>
        </w:rPr>
        <w:t xml:space="preserve"> </w:t>
      </w:r>
      <w:r w:rsidRPr="006D31A5">
        <w:rPr>
          <w:rFonts w:ascii="Arial" w:eastAsiaTheme="majorEastAsia" w:hAnsi="Arial" w:cs="Arial"/>
        </w:rPr>
        <w:t>especially outside major cities to increase consumer confidence (Martin, Powell and Rajagopal, 2025</w:t>
      </w:r>
      <w:r w:rsidR="0055258D" w:rsidRPr="006D31A5">
        <w:rPr>
          <w:rFonts w:ascii="Arial" w:eastAsiaTheme="majorEastAsia" w:hAnsi="Arial" w:cs="Arial"/>
        </w:rPr>
        <w:t>). Third</w:t>
      </w:r>
      <w:r w:rsidRPr="006D31A5">
        <w:rPr>
          <w:rFonts w:ascii="Arial" w:eastAsiaTheme="majorEastAsia" w:hAnsi="Arial" w:cs="Arial"/>
        </w:rPr>
        <w:t>, financial incentives are crucial for supporting consumers and</w:t>
      </w:r>
      <w:r w:rsidR="00F13E21">
        <w:rPr>
          <w:rFonts w:ascii="Arial" w:eastAsiaTheme="majorEastAsia" w:hAnsi="Arial" w:cs="Arial"/>
          <w:b/>
          <w:bCs/>
        </w:rPr>
        <w:t xml:space="preserve"> </w:t>
      </w:r>
      <w:r w:rsidRPr="006D31A5">
        <w:rPr>
          <w:rFonts w:ascii="Arial" w:eastAsiaTheme="majorEastAsia" w:hAnsi="Arial" w:cs="Arial"/>
        </w:rPr>
        <w:t xml:space="preserve">manufacturers. </w:t>
      </w:r>
      <w:r w:rsidR="00136D74">
        <w:rPr>
          <w:rFonts w:ascii="Arial" w:eastAsiaTheme="majorEastAsia" w:hAnsi="Arial" w:cs="Arial"/>
        </w:rPr>
        <w:t>Financial support,</w:t>
      </w:r>
      <w:r w:rsidRPr="006D31A5">
        <w:rPr>
          <w:rFonts w:ascii="Arial" w:eastAsiaTheme="majorEastAsia" w:hAnsi="Arial" w:cs="Arial"/>
        </w:rPr>
        <w:t xml:space="preserve"> tax reductions</w:t>
      </w:r>
      <w:r w:rsidR="00136D74">
        <w:rPr>
          <w:rFonts w:ascii="Arial" w:eastAsiaTheme="majorEastAsia" w:hAnsi="Arial" w:cs="Arial"/>
        </w:rPr>
        <w:t xml:space="preserve"> </w:t>
      </w:r>
      <w:r w:rsidRPr="006D31A5">
        <w:rPr>
          <w:rFonts w:ascii="Arial" w:eastAsiaTheme="majorEastAsia" w:hAnsi="Arial" w:cs="Arial"/>
        </w:rPr>
        <w:t>and grants help reduce cost barriers and encourage adoption (Chen et al., 2025).</w:t>
      </w:r>
      <w:r w:rsidR="003D460B">
        <w:rPr>
          <w:rFonts w:ascii="Arial" w:eastAsiaTheme="majorEastAsia" w:hAnsi="Arial" w:cs="Arial"/>
          <w:b/>
          <w:bCs/>
        </w:rPr>
        <w:br/>
      </w:r>
      <w:r w:rsidRPr="006D31A5">
        <w:rPr>
          <w:rFonts w:ascii="Arial" w:eastAsiaTheme="majorEastAsia" w:hAnsi="Arial" w:cs="Arial"/>
        </w:rPr>
        <w:t>Fourth, technological innovation is progressing, but further investment is required to strengthen the national grid. Without these improvements, large</w:t>
      </w:r>
      <w:r w:rsidR="00136D74">
        <w:rPr>
          <w:rFonts w:ascii="Arial" w:eastAsiaTheme="majorEastAsia" w:hAnsi="Arial" w:cs="Arial"/>
        </w:rPr>
        <w:t xml:space="preserve"> </w:t>
      </w:r>
      <w:r w:rsidRPr="006D31A5">
        <w:rPr>
          <w:rFonts w:ascii="Arial" w:eastAsiaTheme="majorEastAsia" w:hAnsi="Arial" w:cs="Arial"/>
        </w:rPr>
        <w:t>scale EV adoption may put pressure on energy systems.</w:t>
      </w:r>
      <w:r w:rsidR="003D460B">
        <w:rPr>
          <w:rFonts w:ascii="Arial" w:eastAsiaTheme="majorEastAsia" w:hAnsi="Arial" w:cs="Arial"/>
          <w:b/>
          <w:bCs/>
        </w:rPr>
        <w:br/>
      </w:r>
      <w:r w:rsidRPr="006D31A5">
        <w:rPr>
          <w:rFonts w:ascii="Arial" w:eastAsiaTheme="majorEastAsia" w:hAnsi="Arial" w:cs="Arial"/>
        </w:rPr>
        <w:t>Finally, environmental studies confirm that EVs significantly reduce emissions compared to internal combustion engine vehicles</w:t>
      </w:r>
      <w:r w:rsidR="00136D74">
        <w:rPr>
          <w:rFonts w:ascii="Arial" w:eastAsiaTheme="majorEastAsia" w:hAnsi="Arial" w:cs="Arial"/>
        </w:rPr>
        <w:t xml:space="preserve"> </w:t>
      </w:r>
      <w:r w:rsidRPr="006D31A5">
        <w:rPr>
          <w:rFonts w:ascii="Arial" w:eastAsiaTheme="majorEastAsia" w:hAnsi="Arial" w:cs="Arial"/>
        </w:rPr>
        <w:t>even when considering the environmental impact of battery production and disposal (Parmar and Woods, 2025).</w:t>
      </w:r>
      <w:r w:rsidR="003D460B">
        <w:rPr>
          <w:rFonts w:ascii="Arial" w:eastAsiaTheme="majorEastAsia" w:hAnsi="Arial" w:cs="Arial"/>
          <w:b/>
          <w:bCs/>
        </w:rPr>
        <w:br/>
      </w:r>
      <w:r w:rsidRPr="006D31A5">
        <w:rPr>
          <w:rFonts w:ascii="Arial" w:eastAsiaTheme="majorEastAsia" w:hAnsi="Arial" w:cs="Arial"/>
        </w:rPr>
        <w:t>Overall, the findings suggest that while the UK EV industry has strong potential for growth</w:t>
      </w:r>
      <w:r w:rsidR="00C639F7">
        <w:rPr>
          <w:rFonts w:ascii="Arial" w:eastAsiaTheme="majorEastAsia" w:hAnsi="Arial" w:cs="Arial"/>
        </w:rPr>
        <w:t xml:space="preserve">, </w:t>
      </w:r>
      <w:r w:rsidRPr="006D31A5">
        <w:rPr>
          <w:rFonts w:ascii="Arial" w:eastAsiaTheme="majorEastAsia" w:hAnsi="Arial" w:cs="Arial"/>
        </w:rPr>
        <w:t>success will depend on coordinated action, policy stability, infrastructure expansion</w:t>
      </w:r>
      <w:r w:rsidR="00C639F7">
        <w:rPr>
          <w:rFonts w:ascii="Arial" w:eastAsiaTheme="majorEastAsia" w:hAnsi="Arial" w:cs="Arial"/>
        </w:rPr>
        <w:t xml:space="preserve"> </w:t>
      </w:r>
      <w:r w:rsidRPr="006D31A5">
        <w:rPr>
          <w:rFonts w:ascii="Arial" w:eastAsiaTheme="majorEastAsia" w:hAnsi="Arial" w:cs="Arial"/>
        </w:rPr>
        <w:t>and continuous technological innovation.</w:t>
      </w:r>
      <w:r w:rsidR="002E4318">
        <w:rPr>
          <w:rFonts w:ascii="Arial" w:eastAsiaTheme="majorEastAsia" w:hAnsi="Arial" w:cs="Arial"/>
          <w:b/>
          <w:bCs/>
        </w:rPr>
        <w:br/>
      </w:r>
      <w:r w:rsidRPr="003D460B">
        <w:rPr>
          <w:rFonts w:ascii="Arial" w:eastAsiaTheme="majorEastAsia" w:hAnsi="Arial" w:cs="Arial"/>
          <w:b/>
          <w:bCs/>
        </w:rPr>
        <w:t>Conclusion</w:t>
      </w:r>
      <w:r w:rsidR="002E4318">
        <w:rPr>
          <w:rFonts w:ascii="Arial" w:eastAsiaTheme="majorEastAsia" w:hAnsi="Arial" w:cs="Arial"/>
          <w:b/>
          <w:bCs/>
        </w:rPr>
        <w:br/>
      </w:r>
      <w:r w:rsidRPr="006D31A5">
        <w:rPr>
          <w:rFonts w:ascii="Arial" w:eastAsiaTheme="majorEastAsia" w:hAnsi="Arial" w:cs="Arial"/>
        </w:rPr>
        <w:t>The UK electric vehicle industry is growing rapidly and plays an essential role in national decarbonisation efforts. However, it is influenced by a complex set of political, economic, social, technological, legal</w:t>
      </w:r>
      <w:r w:rsidR="00C639F7">
        <w:rPr>
          <w:rFonts w:ascii="Arial" w:eastAsiaTheme="majorEastAsia" w:hAnsi="Arial" w:cs="Arial"/>
        </w:rPr>
        <w:t xml:space="preserve"> </w:t>
      </w:r>
      <w:r w:rsidRPr="006D31A5">
        <w:rPr>
          <w:rFonts w:ascii="Arial" w:eastAsiaTheme="majorEastAsia" w:hAnsi="Arial" w:cs="Arial"/>
        </w:rPr>
        <w:t xml:space="preserve">and environmental factors. While there are strong opportunities for innovation and </w:t>
      </w:r>
      <w:proofErr w:type="gramStart"/>
      <w:r w:rsidRPr="006D31A5">
        <w:rPr>
          <w:rFonts w:ascii="Arial" w:eastAsiaTheme="majorEastAsia" w:hAnsi="Arial" w:cs="Arial"/>
        </w:rPr>
        <w:t>long</w:t>
      </w:r>
      <w:r w:rsidR="00C639F7">
        <w:rPr>
          <w:rFonts w:ascii="Arial" w:eastAsiaTheme="majorEastAsia" w:hAnsi="Arial" w:cs="Arial"/>
        </w:rPr>
        <w:t xml:space="preserve"> </w:t>
      </w:r>
      <w:r w:rsidRPr="006D31A5">
        <w:rPr>
          <w:rFonts w:ascii="Arial" w:eastAsiaTheme="majorEastAsia" w:hAnsi="Arial" w:cs="Arial"/>
        </w:rPr>
        <w:t>term</w:t>
      </w:r>
      <w:proofErr w:type="gramEnd"/>
      <w:r w:rsidRPr="006D31A5">
        <w:rPr>
          <w:rFonts w:ascii="Arial" w:eastAsiaTheme="majorEastAsia" w:hAnsi="Arial" w:cs="Arial"/>
        </w:rPr>
        <w:t xml:space="preserve"> growth, challenges such as infrastructure gaps, high costs and policy uncertainty must be addressed.</w:t>
      </w:r>
      <w:r w:rsidR="002E4318">
        <w:rPr>
          <w:rFonts w:ascii="Arial" w:eastAsiaTheme="majorEastAsia" w:hAnsi="Arial" w:cs="Arial"/>
          <w:b/>
          <w:bCs/>
        </w:rPr>
        <w:br/>
      </w:r>
      <w:r w:rsidRPr="003D460B">
        <w:rPr>
          <w:rFonts w:ascii="Arial" w:eastAsiaTheme="majorEastAsia" w:hAnsi="Arial" w:cs="Arial"/>
          <w:b/>
          <w:bCs/>
        </w:rPr>
        <w:t>Limitations</w:t>
      </w:r>
      <w:r w:rsidR="002E4318">
        <w:rPr>
          <w:rFonts w:ascii="Arial" w:eastAsiaTheme="majorEastAsia" w:hAnsi="Arial" w:cs="Arial"/>
          <w:b/>
          <w:bCs/>
        </w:rPr>
        <w:br/>
      </w:r>
      <w:r w:rsidRPr="006D31A5">
        <w:rPr>
          <w:rFonts w:ascii="Arial" w:eastAsiaTheme="majorEastAsia" w:hAnsi="Arial" w:cs="Arial"/>
        </w:rPr>
        <w:t xml:space="preserve">This report is based on secondary research from academic and industry sources. As </w:t>
      </w:r>
      <w:r w:rsidRPr="006D31A5">
        <w:rPr>
          <w:rFonts w:ascii="Arial" w:eastAsiaTheme="majorEastAsia" w:hAnsi="Arial" w:cs="Arial"/>
        </w:rPr>
        <w:lastRenderedPageBreak/>
        <w:t>the EV sector develops quickly some information may change as new policies or technologies emerge. The report does not include primary data collection, which could provide more detailed insights into consumer behaviour or industry challenges.</w:t>
      </w:r>
      <w:r w:rsidR="002E4318">
        <w:rPr>
          <w:rFonts w:ascii="Arial" w:eastAsiaTheme="majorEastAsia" w:hAnsi="Arial" w:cs="Arial"/>
          <w:b/>
          <w:bCs/>
        </w:rPr>
        <w:br/>
      </w:r>
      <w:r w:rsidRPr="003D460B">
        <w:rPr>
          <w:rFonts w:ascii="Arial" w:eastAsiaTheme="majorEastAsia" w:hAnsi="Arial" w:cs="Arial"/>
          <w:b/>
          <w:bCs/>
        </w:rPr>
        <w:t>Recommendations</w:t>
      </w:r>
      <w:r w:rsidR="002E4318">
        <w:rPr>
          <w:rFonts w:ascii="Arial" w:eastAsiaTheme="majorEastAsia" w:hAnsi="Arial" w:cs="Arial"/>
          <w:b/>
          <w:bCs/>
        </w:rPr>
        <w:br/>
      </w:r>
      <w:r w:rsidRPr="006D31A5">
        <w:rPr>
          <w:rFonts w:ascii="Arial" w:eastAsiaTheme="majorEastAsia" w:hAnsi="Arial" w:cs="Arial"/>
        </w:rPr>
        <w:t>Increase investment in charging infrastructure especially in rural or underserved regions.</w:t>
      </w:r>
      <w:r w:rsidR="002E4318">
        <w:rPr>
          <w:rFonts w:ascii="Arial" w:eastAsiaTheme="majorEastAsia" w:hAnsi="Arial" w:cs="Arial"/>
          <w:b/>
          <w:bCs/>
        </w:rPr>
        <w:br/>
      </w:r>
      <w:r w:rsidRPr="006D31A5">
        <w:rPr>
          <w:rFonts w:ascii="Arial" w:eastAsiaTheme="majorEastAsia" w:hAnsi="Arial" w:cs="Arial"/>
        </w:rPr>
        <w:t>Strengthen and stabilise government policies to support long-term planning and industry confidence.</w:t>
      </w:r>
      <w:r w:rsidR="002E4318">
        <w:rPr>
          <w:rFonts w:ascii="Arial" w:eastAsiaTheme="majorEastAsia" w:hAnsi="Arial" w:cs="Arial"/>
          <w:b/>
          <w:bCs/>
        </w:rPr>
        <w:br/>
      </w:r>
      <w:r w:rsidRPr="006D31A5">
        <w:rPr>
          <w:rFonts w:ascii="Arial" w:eastAsiaTheme="majorEastAsia" w:hAnsi="Arial" w:cs="Arial"/>
        </w:rPr>
        <w:t>Expand financial incentives to make EVs more affordable for a wider range of consumers.</w:t>
      </w:r>
      <w:r w:rsidR="00357108">
        <w:rPr>
          <w:rFonts w:ascii="Arial" w:eastAsiaTheme="majorEastAsia" w:hAnsi="Arial" w:cs="Arial"/>
          <w:b/>
          <w:bCs/>
        </w:rPr>
        <w:t xml:space="preserve"> </w:t>
      </w:r>
      <w:r w:rsidRPr="006D31A5">
        <w:rPr>
          <w:rFonts w:ascii="Arial" w:eastAsiaTheme="majorEastAsia" w:hAnsi="Arial" w:cs="Arial"/>
        </w:rPr>
        <w:t>Support advancements in battery technology and promote strong recycling programmes.</w:t>
      </w:r>
      <w:r w:rsidR="00357108">
        <w:rPr>
          <w:rFonts w:ascii="Arial" w:eastAsiaTheme="majorEastAsia" w:hAnsi="Arial" w:cs="Arial"/>
          <w:b/>
          <w:bCs/>
        </w:rPr>
        <w:br/>
      </w:r>
      <w:r w:rsidRPr="006D31A5">
        <w:rPr>
          <w:rFonts w:ascii="Arial" w:eastAsiaTheme="majorEastAsia" w:hAnsi="Arial" w:cs="Arial"/>
        </w:rPr>
        <w:t>Collaborate with energy providers to upgrade the national grid and integrate renewable energy sources.</w:t>
      </w:r>
      <w:r w:rsidR="005D5D15">
        <w:rPr>
          <w:rFonts w:ascii="Arial" w:eastAsiaTheme="majorEastAsia" w:hAnsi="Arial" w:cs="Arial"/>
          <w:b/>
          <w:bCs/>
        </w:rPr>
        <w:br/>
      </w:r>
      <w:r w:rsidRPr="006D31A5">
        <w:rPr>
          <w:rFonts w:ascii="Arial" w:eastAsiaTheme="majorEastAsia" w:hAnsi="Arial" w:cs="Arial"/>
        </w:rPr>
        <w:t>Improve public awareness and education campaigns to encourage consumer confidence and highlight the environmental benefits of E</w:t>
      </w:r>
      <w:r w:rsidR="00C53827">
        <w:rPr>
          <w:rFonts w:ascii="Arial" w:eastAsiaTheme="majorEastAsia" w:hAnsi="Arial" w:cs="Arial"/>
        </w:rPr>
        <w:t>lectric Vehicles</w:t>
      </w:r>
      <w:r w:rsidR="00B25D63">
        <w:rPr>
          <w:rFonts w:ascii="Arial" w:eastAsiaTheme="majorEastAsia" w:hAnsi="Arial" w:cs="Arial"/>
        </w:rPr>
        <w:t>.</w:t>
      </w:r>
    </w:p>
    <w:p w14:paraId="1C3BDDF1" w14:textId="6481C56B" w:rsidR="0030598B" w:rsidRDefault="005D5D15" w:rsidP="00AF2271">
      <w:pPr>
        <w:pStyle w:val="Heading2"/>
      </w:pPr>
      <w:r>
        <w:br/>
      </w:r>
      <w:r w:rsidR="00AF2271">
        <w:t xml:space="preserve">References </w:t>
      </w:r>
    </w:p>
    <w:p w14:paraId="13749FA6" w14:textId="77777777" w:rsidR="00812936" w:rsidRDefault="00812936" w:rsidP="00AF2271"/>
    <w:p w14:paraId="7C1D4C36" w14:textId="77777777" w:rsidR="00812936" w:rsidRPr="008B25D9" w:rsidRDefault="00812936" w:rsidP="008B25D9">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CD0353">
        <w:rPr>
          <w:rFonts w:ascii="Times New Roman" w:eastAsia="Times New Roman" w:hAnsi="Times New Roman" w:cs="Times New Roman"/>
          <w:kern w:val="0"/>
          <w:sz w:val="24"/>
          <w:szCs w:val="24"/>
          <w:lang w:eastAsia="en-GB"/>
          <w14:ligatures w14:val="none"/>
        </w:rPr>
        <w:t xml:space="preserve">Arslangulov, U. and Ackrill, R. (2025) ‘Advancing the concept of windows of opportunity to explore the dynamics of the sustainability transition: The development of the EV market in the UK’, </w:t>
      </w:r>
      <w:r w:rsidRPr="00CD0353">
        <w:rPr>
          <w:rFonts w:ascii="Times New Roman" w:eastAsia="Times New Roman" w:hAnsi="Times New Roman" w:cs="Times New Roman"/>
          <w:i/>
          <w:iCs/>
          <w:kern w:val="0"/>
          <w:sz w:val="24"/>
          <w:szCs w:val="24"/>
          <w:lang w:eastAsia="en-GB"/>
          <w14:ligatures w14:val="none"/>
        </w:rPr>
        <w:t>European policy analysis</w:t>
      </w:r>
      <w:r w:rsidRPr="00CD0353">
        <w:rPr>
          <w:rFonts w:ascii="Times New Roman" w:eastAsia="Times New Roman" w:hAnsi="Times New Roman" w:cs="Times New Roman"/>
          <w:kern w:val="0"/>
          <w:sz w:val="24"/>
          <w:szCs w:val="24"/>
          <w:lang w:eastAsia="en-GB"/>
          <w14:ligatures w14:val="none"/>
        </w:rPr>
        <w:t xml:space="preserve">, 11(3), pp. 333–367. Available at: </w:t>
      </w:r>
      <w:hyperlink r:id="rId10" w:history="1">
        <w:r w:rsidRPr="00CB54AA">
          <w:rPr>
            <w:rStyle w:val="Hyperlink"/>
            <w:rFonts w:ascii="Times New Roman" w:eastAsia="Times New Roman" w:hAnsi="Times New Roman" w:cs="Times New Roman"/>
            <w:kern w:val="0"/>
            <w:sz w:val="24"/>
            <w:szCs w:val="24"/>
            <w:lang w:eastAsia="en-GB"/>
            <w14:ligatures w14:val="none"/>
          </w:rPr>
          <w:t>https://doi.org/10.1002/epa2.1216</w:t>
        </w:r>
      </w:hyperlink>
      <w:r w:rsidRPr="00CD0353">
        <w:rPr>
          <w:rFonts w:ascii="Times New Roman" w:eastAsia="Times New Roman" w:hAnsi="Times New Roman" w:cs="Times New Roman"/>
          <w:kern w:val="0"/>
          <w:sz w:val="24"/>
          <w:szCs w:val="24"/>
          <w:lang w:eastAsia="en-GB"/>
          <w14:ligatures w14:val="none"/>
        </w:rPr>
        <w:t>.</w:t>
      </w:r>
    </w:p>
    <w:p w14:paraId="0B01BA91" w14:textId="77777777" w:rsidR="00812936" w:rsidRDefault="00812936" w:rsidP="007F5ABD">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7F5ABD">
        <w:rPr>
          <w:rFonts w:ascii="Times New Roman" w:eastAsia="Times New Roman" w:hAnsi="Times New Roman" w:cs="Times New Roman"/>
          <w:kern w:val="0"/>
          <w:sz w:val="24"/>
          <w:szCs w:val="24"/>
          <w:lang w:eastAsia="en-GB"/>
          <w14:ligatures w14:val="none"/>
        </w:rPr>
        <w:t xml:space="preserve">Bistline, J.E.T. </w:t>
      </w:r>
      <w:r w:rsidRPr="007F5ABD">
        <w:rPr>
          <w:rFonts w:ascii="Times New Roman" w:eastAsia="Times New Roman" w:hAnsi="Times New Roman" w:cs="Times New Roman"/>
          <w:i/>
          <w:iCs/>
          <w:kern w:val="0"/>
          <w:sz w:val="24"/>
          <w:szCs w:val="24"/>
          <w:lang w:eastAsia="en-GB"/>
          <w14:ligatures w14:val="none"/>
        </w:rPr>
        <w:t>et al.</w:t>
      </w:r>
      <w:r w:rsidRPr="007F5ABD">
        <w:rPr>
          <w:rFonts w:ascii="Times New Roman" w:eastAsia="Times New Roman" w:hAnsi="Times New Roman" w:cs="Times New Roman"/>
          <w:kern w:val="0"/>
          <w:sz w:val="24"/>
          <w:szCs w:val="24"/>
          <w:lang w:eastAsia="en-GB"/>
          <w14:ligatures w14:val="none"/>
        </w:rPr>
        <w:t xml:space="preserve"> (2025) ‘Policy implications of net-zero emissions: A multi-model analysis of United States emissions and energy system impacts’, </w:t>
      </w:r>
      <w:r w:rsidRPr="007F5ABD">
        <w:rPr>
          <w:rFonts w:ascii="Times New Roman" w:eastAsia="Times New Roman" w:hAnsi="Times New Roman" w:cs="Times New Roman"/>
          <w:i/>
          <w:iCs/>
          <w:kern w:val="0"/>
          <w:sz w:val="24"/>
          <w:szCs w:val="24"/>
          <w:lang w:eastAsia="en-GB"/>
          <w14:ligatures w14:val="none"/>
        </w:rPr>
        <w:t>Energy and climate change (Oxford)</w:t>
      </w:r>
      <w:r w:rsidRPr="007F5ABD">
        <w:rPr>
          <w:rFonts w:ascii="Times New Roman" w:eastAsia="Times New Roman" w:hAnsi="Times New Roman" w:cs="Times New Roman"/>
          <w:kern w:val="0"/>
          <w:sz w:val="24"/>
          <w:szCs w:val="24"/>
          <w:lang w:eastAsia="en-GB"/>
          <w14:ligatures w14:val="none"/>
        </w:rPr>
        <w:t xml:space="preserve">, 6(C). Available at: </w:t>
      </w:r>
      <w:hyperlink r:id="rId11" w:history="1">
        <w:r w:rsidRPr="00CB54AA">
          <w:rPr>
            <w:rStyle w:val="Hyperlink"/>
            <w:rFonts w:ascii="Times New Roman" w:eastAsia="Times New Roman" w:hAnsi="Times New Roman" w:cs="Times New Roman"/>
            <w:kern w:val="0"/>
            <w:sz w:val="24"/>
            <w:szCs w:val="24"/>
            <w:lang w:eastAsia="en-GB"/>
            <w14:ligatures w14:val="none"/>
          </w:rPr>
          <w:t>https://doi.org/10.1016/j.egycc.2025.100191</w:t>
        </w:r>
      </w:hyperlink>
      <w:r w:rsidRPr="007F5ABD">
        <w:rPr>
          <w:rFonts w:ascii="Times New Roman" w:eastAsia="Times New Roman" w:hAnsi="Times New Roman" w:cs="Times New Roman"/>
          <w:kern w:val="0"/>
          <w:sz w:val="24"/>
          <w:szCs w:val="24"/>
          <w:lang w:eastAsia="en-GB"/>
          <w14:ligatures w14:val="none"/>
        </w:rPr>
        <w:t>.</w:t>
      </w:r>
    </w:p>
    <w:p w14:paraId="5C5F0565" w14:textId="77777777" w:rsidR="00812936" w:rsidRDefault="00812936" w:rsidP="00CD0353">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8B25D9">
        <w:rPr>
          <w:rFonts w:ascii="Times New Roman" w:eastAsia="Times New Roman" w:hAnsi="Times New Roman" w:cs="Times New Roman"/>
          <w:kern w:val="0"/>
          <w:sz w:val="24"/>
          <w:szCs w:val="24"/>
          <w:lang w:eastAsia="en-GB"/>
          <w14:ligatures w14:val="none"/>
        </w:rPr>
        <w:t xml:space="preserve">Chen, T. </w:t>
      </w:r>
      <w:r w:rsidRPr="008B25D9">
        <w:rPr>
          <w:rFonts w:ascii="Times New Roman" w:eastAsia="Times New Roman" w:hAnsi="Times New Roman" w:cs="Times New Roman"/>
          <w:i/>
          <w:iCs/>
          <w:kern w:val="0"/>
          <w:sz w:val="24"/>
          <w:szCs w:val="24"/>
          <w:lang w:eastAsia="en-GB"/>
          <w14:ligatures w14:val="none"/>
        </w:rPr>
        <w:t>et al.</w:t>
      </w:r>
      <w:r w:rsidRPr="008B25D9">
        <w:rPr>
          <w:rFonts w:ascii="Times New Roman" w:eastAsia="Times New Roman" w:hAnsi="Times New Roman" w:cs="Times New Roman"/>
          <w:kern w:val="0"/>
          <w:sz w:val="24"/>
          <w:szCs w:val="24"/>
          <w:lang w:eastAsia="en-GB"/>
          <w14:ligatures w14:val="none"/>
        </w:rPr>
        <w:t xml:space="preserve"> (2025) ‘Toward mass adoption of electric vehicles: policy optimisation under different infrastructure investment </w:t>
      </w:r>
      <w:proofErr w:type="gramStart"/>
      <w:r w:rsidRPr="008B25D9">
        <w:rPr>
          <w:rFonts w:ascii="Times New Roman" w:eastAsia="Times New Roman" w:hAnsi="Times New Roman" w:cs="Times New Roman"/>
          <w:kern w:val="0"/>
          <w:sz w:val="24"/>
          <w:szCs w:val="24"/>
          <w:lang w:eastAsia="en-GB"/>
          <w14:ligatures w14:val="none"/>
        </w:rPr>
        <w:t>scenarios’</w:t>
      </w:r>
      <w:proofErr w:type="gramEnd"/>
      <w:r w:rsidRPr="008B25D9">
        <w:rPr>
          <w:rFonts w:ascii="Times New Roman" w:eastAsia="Times New Roman" w:hAnsi="Times New Roman" w:cs="Times New Roman"/>
          <w:kern w:val="0"/>
          <w:sz w:val="24"/>
          <w:szCs w:val="24"/>
          <w:lang w:eastAsia="en-GB"/>
          <w14:ligatures w14:val="none"/>
        </w:rPr>
        <w:t xml:space="preserve">. Available at: </w:t>
      </w:r>
      <w:hyperlink r:id="rId12" w:history="1">
        <w:r w:rsidRPr="00CB54AA">
          <w:rPr>
            <w:rStyle w:val="Hyperlink"/>
            <w:rFonts w:ascii="Times New Roman" w:eastAsia="Times New Roman" w:hAnsi="Times New Roman" w:cs="Times New Roman"/>
            <w:kern w:val="0"/>
            <w:sz w:val="24"/>
            <w:szCs w:val="24"/>
            <w:lang w:eastAsia="en-GB"/>
            <w14:ligatures w14:val="none"/>
          </w:rPr>
          <w:t>https://doi.org/10.1080/00207543.2024.2446624</w:t>
        </w:r>
      </w:hyperlink>
      <w:r w:rsidRPr="008B25D9">
        <w:rPr>
          <w:rFonts w:ascii="Times New Roman" w:eastAsia="Times New Roman" w:hAnsi="Times New Roman" w:cs="Times New Roman"/>
          <w:kern w:val="0"/>
          <w:sz w:val="24"/>
          <w:szCs w:val="24"/>
          <w:lang w:eastAsia="en-GB"/>
          <w14:ligatures w14:val="none"/>
        </w:rPr>
        <w:t>.</w:t>
      </w:r>
    </w:p>
    <w:p w14:paraId="445EE0C9" w14:textId="77777777" w:rsidR="00812936" w:rsidRDefault="00812936" w:rsidP="00FA61D1">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FA61D1">
        <w:rPr>
          <w:rFonts w:ascii="Times New Roman" w:eastAsia="Times New Roman" w:hAnsi="Times New Roman" w:cs="Times New Roman"/>
          <w:kern w:val="0"/>
          <w:sz w:val="24"/>
          <w:szCs w:val="24"/>
          <w:lang w:eastAsia="en-GB"/>
          <w14:ligatures w14:val="none"/>
        </w:rPr>
        <w:t xml:space="preserve">Delgado-Lindeman, M. </w:t>
      </w:r>
      <w:r w:rsidRPr="00FA61D1">
        <w:rPr>
          <w:rFonts w:ascii="Times New Roman" w:eastAsia="Times New Roman" w:hAnsi="Times New Roman" w:cs="Times New Roman"/>
          <w:i/>
          <w:iCs/>
          <w:kern w:val="0"/>
          <w:sz w:val="24"/>
          <w:szCs w:val="24"/>
          <w:lang w:eastAsia="en-GB"/>
          <w14:ligatures w14:val="none"/>
        </w:rPr>
        <w:t>et al.</w:t>
      </w:r>
      <w:r w:rsidRPr="00FA61D1">
        <w:rPr>
          <w:rFonts w:ascii="Times New Roman" w:eastAsia="Times New Roman" w:hAnsi="Times New Roman" w:cs="Times New Roman"/>
          <w:kern w:val="0"/>
          <w:sz w:val="24"/>
          <w:szCs w:val="24"/>
          <w:lang w:eastAsia="en-GB"/>
          <w14:ligatures w14:val="none"/>
        </w:rPr>
        <w:t xml:space="preserve"> (2025) ‘Characteristics and effects of low emission zones in Europe. A systematic literature review’, </w:t>
      </w:r>
      <w:r w:rsidRPr="00FA61D1">
        <w:rPr>
          <w:rFonts w:ascii="Times New Roman" w:eastAsia="Times New Roman" w:hAnsi="Times New Roman" w:cs="Times New Roman"/>
          <w:i/>
          <w:iCs/>
          <w:kern w:val="0"/>
          <w:sz w:val="24"/>
          <w:szCs w:val="24"/>
          <w:lang w:eastAsia="en-GB"/>
          <w14:ligatures w14:val="none"/>
        </w:rPr>
        <w:t>European transport research review</w:t>
      </w:r>
      <w:r w:rsidRPr="00FA61D1">
        <w:rPr>
          <w:rFonts w:ascii="Times New Roman" w:eastAsia="Times New Roman" w:hAnsi="Times New Roman" w:cs="Times New Roman"/>
          <w:kern w:val="0"/>
          <w:sz w:val="24"/>
          <w:szCs w:val="24"/>
          <w:lang w:eastAsia="en-GB"/>
          <w14:ligatures w14:val="none"/>
        </w:rPr>
        <w:t xml:space="preserve">, 17(1). Available at: </w:t>
      </w:r>
      <w:hyperlink r:id="rId13" w:history="1">
        <w:r w:rsidRPr="00CB54AA">
          <w:rPr>
            <w:rStyle w:val="Hyperlink"/>
            <w:rFonts w:ascii="Times New Roman" w:eastAsia="Times New Roman" w:hAnsi="Times New Roman" w:cs="Times New Roman"/>
            <w:kern w:val="0"/>
            <w:sz w:val="24"/>
            <w:szCs w:val="24"/>
            <w:lang w:eastAsia="en-GB"/>
            <w14:ligatures w14:val="none"/>
          </w:rPr>
          <w:t>https://doi.org/10.1186/s12544-025-00749-2</w:t>
        </w:r>
      </w:hyperlink>
      <w:r w:rsidRPr="00FA61D1">
        <w:rPr>
          <w:rFonts w:ascii="Times New Roman" w:eastAsia="Times New Roman" w:hAnsi="Times New Roman" w:cs="Times New Roman"/>
          <w:kern w:val="0"/>
          <w:sz w:val="24"/>
          <w:szCs w:val="24"/>
          <w:lang w:eastAsia="en-GB"/>
          <w14:ligatures w14:val="none"/>
        </w:rPr>
        <w:t>.</w:t>
      </w:r>
    </w:p>
    <w:p w14:paraId="06E26AD8" w14:textId="77777777" w:rsidR="00812936" w:rsidRDefault="00812936" w:rsidP="00EA33DF">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proofErr w:type="spellStart"/>
      <w:r w:rsidRPr="00EA33DF">
        <w:rPr>
          <w:rFonts w:ascii="Times New Roman" w:eastAsia="Times New Roman" w:hAnsi="Times New Roman" w:cs="Times New Roman"/>
          <w:kern w:val="0"/>
          <w:sz w:val="24"/>
          <w:szCs w:val="24"/>
          <w:lang w:eastAsia="en-GB"/>
          <w14:ligatures w14:val="none"/>
        </w:rPr>
        <w:t>Ghaffarpasand</w:t>
      </w:r>
      <w:proofErr w:type="spellEnd"/>
      <w:r w:rsidRPr="00EA33DF">
        <w:rPr>
          <w:rFonts w:ascii="Times New Roman" w:eastAsia="Times New Roman" w:hAnsi="Times New Roman" w:cs="Times New Roman"/>
          <w:kern w:val="0"/>
          <w:sz w:val="24"/>
          <w:szCs w:val="24"/>
          <w:lang w:eastAsia="en-GB"/>
          <w14:ligatures w14:val="none"/>
        </w:rPr>
        <w:t xml:space="preserve">, O. and Pope, F.D. (2025) ‘Air pollution emissions from vehicles as a function of their current real-world market price’, </w:t>
      </w:r>
      <w:r w:rsidRPr="00EA33DF">
        <w:rPr>
          <w:rFonts w:ascii="Times New Roman" w:eastAsia="Times New Roman" w:hAnsi="Times New Roman" w:cs="Times New Roman"/>
          <w:i/>
          <w:iCs/>
          <w:kern w:val="0"/>
          <w:sz w:val="24"/>
          <w:szCs w:val="24"/>
          <w:lang w:eastAsia="en-GB"/>
          <w14:ligatures w14:val="none"/>
        </w:rPr>
        <w:t>Journal of cleaner production</w:t>
      </w:r>
      <w:r w:rsidRPr="00EA33DF">
        <w:rPr>
          <w:rFonts w:ascii="Times New Roman" w:eastAsia="Times New Roman" w:hAnsi="Times New Roman" w:cs="Times New Roman"/>
          <w:kern w:val="0"/>
          <w:sz w:val="24"/>
          <w:szCs w:val="24"/>
          <w:lang w:eastAsia="en-GB"/>
          <w14:ligatures w14:val="none"/>
        </w:rPr>
        <w:t xml:space="preserve">, 534. Available at: </w:t>
      </w:r>
      <w:hyperlink r:id="rId14" w:history="1">
        <w:r w:rsidRPr="00CB54AA">
          <w:rPr>
            <w:rStyle w:val="Hyperlink"/>
            <w:rFonts w:ascii="Times New Roman" w:eastAsia="Times New Roman" w:hAnsi="Times New Roman" w:cs="Times New Roman"/>
            <w:kern w:val="0"/>
            <w:sz w:val="24"/>
            <w:szCs w:val="24"/>
            <w:lang w:eastAsia="en-GB"/>
            <w14:ligatures w14:val="none"/>
          </w:rPr>
          <w:t>https://doi.org/10.1016/j.jclepro.2025.147076</w:t>
        </w:r>
      </w:hyperlink>
      <w:r w:rsidRPr="00EA33DF">
        <w:rPr>
          <w:rFonts w:ascii="Times New Roman" w:eastAsia="Times New Roman" w:hAnsi="Times New Roman" w:cs="Times New Roman"/>
          <w:kern w:val="0"/>
          <w:sz w:val="24"/>
          <w:szCs w:val="24"/>
          <w:lang w:eastAsia="en-GB"/>
          <w14:ligatures w14:val="none"/>
        </w:rPr>
        <w:t>.</w:t>
      </w:r>
    </w:p>
    <w:p w14:paraId="3729A28E" w14:textId="77777777" w:rsidR="00812936" w:rsidRDefault="00812936" w:rsidP="00840FD7">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840FD7">
        <w:rPr>
          <w:rFonts w:ascii="Times New Roman" w:eastAsia="Times New Roman" w:hAnsi="Times New Roman" w:cs="Times New Roman"/>
          <w:kern w:val="0"/>
          <w:sz w:val="24"/>
          <w:szCs w:val="24"/>
          <w:lang w:eastAsia="en-GB"/>
          <w14:ligatures w14:val="none"/>
        </w:rPr>
        <w:t xml:space="preserve">Herbert, R.J., Biedenbach, G. and Jansson, J. (2025) ‘Eco-friendly brand experience and brand loyalty: investigating the impact of normative considerations in the electric vehicle context’, </w:t>
      </w:r>
      <w:r w:rsidRPr="00840FD7">
        <w:rPr>
          <w:rFonts w:ascii="Times New Roman" w:eastAsia="Times New Roman" w:hAnsi="Times New Roman" w:cs="Times New Roman"/>
          <w:i/>
          <w:iCs/>
          <w:kern w:val="0"/>
          <w:sz w:val="24"/>
          <w:szCs w:val="24"/>
          <w:lang w:eastAsia="en-GB"/>
          <w14:ligatures w14:val="none"/>
        </w:rPr>
        <w:t>Journal of marketing management</w:t>
      </w:r>
      <w:r w:rsidRPr="00840FD7">
        <w:rPr>
          <w:rFonts w:ascii="Times New Roman" w:eastAsia="Times New Roman" w:hAnsi="Times New Roman" w:cs="Times New Roman"/>
          <w:kern w:val="0"/>
          <w:sz w:val="24"/>
          <w:szCs w:val="24"/>
          <w:lang w:eastAsia="en-GB"/>
          <w14:ligatures w14:val="none"/>
        </w:rPr>
        <w:t xml:space="preserve">, 41(17–18), pp. 1856–1878. Available at: </w:t>
      </w:r>
      <w:hyperlink r:id="rId15" w:history="1">
        <w:r w:rsidRPr="00CB54AA">
          <w:rPr>
            <w:rStyle w:val="Hyperlink"/>
            <w:rFonts w:ascii="Times New Roman" w:eastAsia="Times New Roman" w:hAnsi="Times New Roman" w:cs="Times New Roman"/>
            <w:kern w:val="0"/>
            <w:sz w:val="24"/>
            <w:szCs w:val="24"/>
            <w:lang w:eastAsia="en-GB"/>
            <w14:ligatures w14:val="none"/>
          </w:rPr>
          <w:t>https://doi.org/10.1080/0267257X.2025.2547681</w:t>
        </w:r>
      </w:hyperlink>
      <w:r w:rsidRPr="00840FD7">
        <w:rPr>
          <w:rFonts w:ascii="Times New Roman" w:eastAsia="Times New Roman" w:hAnsi="Times New Roman" w:cs="Times New Roman"/>
          <w:kern w:val="0"/>
          <w:sz w:val="24"/>
          <w:szCs w:val="24"/>
          <w:lang w:eastAsia="en-GB"/>
          <w14:ligatures w14:val="none"/>
        </w:rPr>
        <w:t>.</w:t>
      </w:r>
    </w:p>
    <w:p w14:paraId="534E035E" w14:textId="77777777" w:rsidR="00812936" w:rsidRDefault="00812936" w:rsidP="009A3AB3">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9A3AB3">
        <w:rPr>
          <w:rFonts w:ascii="Times New Roman" w:eastAsia="Times New Roman" w:hAnsi="Times New Roman" w:cs="Times New Roman"/>
          <w:kern w:val="0"/>
          <w:sz w:val="24"/>
          <w:szCs w:val="24"/>
          <w:lang w:eastAsia="en-GB"/>
          <w14:ligatures w14:val="none"/>
        </w:rPr>
        <w:lastRenderedPageBreak/>
        <w:t xml:space="preserve">Herbert, R.J., Biedenbach, G. and Jansson, J. (2025) ‘Eco-friendly brand experience and brand loyalty: investigating the impact of normative considerations in the electric vehicle context’, </w:t>
      </w:r>
      <w:r w:rsidRPr="009A3AB3">
        <w:rPr>
          <w:rFonts w:ascii="Times New Roman" w:eastAsia="Times New Roman" w:hAnsi="Times New Roman" w:cs="Times New Roman"/>
          <w:i/>
          <w:iCs/>
          <w:kern w:val="0"/>
          <w:sz w:val="24"/>
          <w:szCs w:val="24"/>
          <w:lang w:eastAsia="en-GB"/>
          <w14:ligatures w14:val="none"/>
        </w:rPr>
        <w:t>Journal of marketing management</w:t>
      </w:r>
      <w:r w:rsidRPr="009A3AB3">
        <w:rPr>
          <w:rFonts w:ascii="Times New Roman" w:eastAsia="Times New Roman" w:hAnsi="Times New Roman" w:cs="Times New Roman"/>
          <w:kern w:val="0"/>
          <w:sz w:val="24"/>
          <w:szCs w:val="24"/>
          <w:lang w:eastAsia="en-GB"/>
          <w14:ligatures w14:val="none"/>
        </w:rPr>
        <w:t xml:space="preserve">, 41(17–18), pp. 1856–1878. Available at: </w:t>
      </w:r>
      <w:hyperlink r:id="rId16" w:history="1">
        <w:r w:rsidRPr="00CB54AA">
          <w:rPr>
            <w:rStyle w:val="Hyperlink"/>
            <w:rFonts w:ascii="Times New Roman" w:eastAsia="Times New Roman" w:hAnsi="Times New Roman" w:cs="Times New Roman"/>
            <w:kern w:val="0"/>
            <w:sz w:val="24"/>
            <w:szCs w:val="24"/>
            <w:lang w:eastAsia="en-GB"/>
            <w14:ligatures w14:val="none"/>
          </w:rPr>
          <w:t>https://doi.org/10.1080/0267257X.2025.2547681</w:t>
        </w:r>
      </w:hyperlink>
      <w:r w:rsidRPr="009A3AB3">
        <w:rPr>
          <w:rFonts w:ascii="Times New Roman" w:eastAsia="Times New Roman" w:hAnsi="Times New Roman" w:cs="Times New Roman"/>
          <w:kern w:val="0"/>
          <w:sz w:val="24"/>
          <w:szCs w:val="24"/>
          <w:lang w:eastAsia="en-GB"/>
          <w14:ligatures w14:val="none"/>
        </w:rPr>
        <w:t>.</w:t>
      </w:r>
    </w:p>
    <w:p w14:paraId="72E4088F" w14:textId="77777777" w:rsidR="00812936" w:rsidRPr="00CD0353" w:rsidRDefault="00812936" w:rsidP="00CD0353">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01731F">
        <w:rPr>
          <w:rFonts w:ascii="Times New Roman" w:eastAsia="Times New Roman" w:hAnsi="Times New Roman" w:cs="Times New Roman"/>
          <w:kern w:val="0"/>
          <w:sz w:val="24"/>
          <w:szCs w:val="24"/>
          <w:lang w:eastAsia="en-GB"/>
          <w14:ligatures w14:val="none"/>
        </w:rPr>
        <w:t xml:space="preserve">Martin, S., Powell, S. and Rajagopal, R. (2025) ‘Cascading marginal emissions signals for green charging with growing electric vehicle adoption’, </w:t>
      </w:r>
      <w:r w:rsidRPr="0001731F">
        <w:rPr>
          <w:rFonts w:ascii="Times New Roman" w:eastAsia="Times New Roman" w:hAnsi="Times New Roman" w:cs="Times New Roman"/>
          <w:i/>
          <w:iCs/>
          <w:kern w:val="0"/>
          <w:sz w:val="24"/>
          <w:szCs w:val="24"/>
          <w:lang w:eastAsia="en-GB"/>
          <w14:ligatures w14:val="none"/>
        </w:rPr>
        <w:t>Nature communications</w:t>
      </w:r>
      <w:r w:rsidRPr="0001731F">
        <w:rPr>
          <w:rFonts w:ascii="Times New Roman" w:eastAsia="Times New Roman" w:hAnsi="Times New Roman" w:cs="Times New Roman"/>
          <w:kern w:val="0"/>
          <w:sz w:val="24"/>
          <w:szCs w:val="24"/>
          <w:lang w:eastAsia="en-GB"/>
          <w14:ligatures w14:val="none"/>
        </w:rPr>
        <w:t xml:space="preserve">, 16(1). Available at: </w:t>
      </w:r>
      <w:hyperlink r:id="rId17" w:history="1">
        <w:r w:rsidRPr="00CB54AA">
          <w:rPr>
            <w:rStyle w:val="Hyperlink"/>
            <w:rFonts w:ascii="Times New Roman" w:eastAsia="Times New Roman" w:hAnsi="Times New Roman" w:cs="Times New Roman"/>
            <w:kern w:val="0"/>
            <w:sz w:val="24"/>
            <w:szCs w:val="24"/>
            <w:lang w:eastAsia="en-GB"/>
            <w14:ligatures w14:val="none"/>
          </w:rPr>
          <w:t>https://doi.org/10.1038/s41467-025-64979-7</w:t>
        </w:r>
      </w:hyperlink>
      <w:r w:rsidRPr="0001731F">
        <w:rPr>
          <w:rFonts w:ascii="Times New Roman" w:eastAsia="Times New Roman" w:hAnsi="Times New Roman" w:cs="Times New Roman"/>
          <w:kern w:val="0"/>
          <w:sz w:val="24"/>
          <w:szCs w:val="24"/>
          <w:lang w:eastAsia="en-GB"/>
          <w14:ligatures w14:val="none"/>
        </w:rPr>
        <w:t>.</w:t>
      </w:r>
    </w:p>
    <w:p w14:paraId="312946DE" w14:textId="77777777" w:rsidR="00812936" w:rsidRDefault="00812936" w:rsidP="006526B0">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6526B0">
        <w:rPr>
          <w:rFonts w:ascii="Times New Roman" w:eastAsia="Times New Roman" w:hAnsi="Times New Roman" w:cs="Times New Roman"/>
          <w:kern w:val="0"/>
          <w:sz w:val="24"/>
          <w:szCs w:val="24"/>
          <w:lang w:eastAsia="en-GB"/>
          <w14:ligatures w14:val="none"/>
        </w:rPr>
        <w:t xml:space="preserve">Parmar, A. and Woods, C. (2025) ‘Examination of factors influencing accident frequency and severity of Electric Vehicles (EVs) vs Internal Combustion Engine Vehicles (ICEV)’, </w:t>
      </w:r>
      <w:r w:rsidRPr="006526B0">
        <w:rPr>
          <w:rFonts w:ascii="Times New Roman" w:eastAsia="Times New Roman" w:hAnsi="Times New Roman" w:cs="Times New Roman"/>
          <w:i/>
          <w:iCs/>
          <w:kern w:val="0"/>
          <w:sz w:val="24"/>
          <w:szCs w:val="24"/>
          <w:lang w:eastAsia="en-GB"/>
          <w14:ligatures w14:val="none"/>
        </w:rPr>
        <w:t>British Actuarial Journal</w:t>
      </w:r>
      <w:r w:rsidRPr="006526B0">
        <w:rPr>
          <w:rFonts w:ascii="Times New Roman" w:eastAsia="Times New Roman" w:hAnsi="Times New Roman" w:cs="Times New Roman"/>
          <w:kern w:val="0"/>
          <w:sz w:val="24"/>
          <w:szCs w:val="24"/>
          <w:lang w:eastAsia="en-GB"/>
          <w14:ligatures w14:val="none"/>
        </w:rPr>
        <w:t xml:space="preserve">. Cambridge: Cambridge University Press. Available at: </w:t>
      </w:r>
      <w:hyperlink r:id="rId18" w:history="1">
        <w:r w:rsidRPr="00CB54AA">
          <w:rPr>
            <w:rStyle w:val="Hyperlink"/>
            <w:rFonts w:ascii="Times New Roman" w:eastAsia="Times New Roman" w:hAnsi="Times New Roman" w:cs="Times New Roman"/>
            <w:kern w:val="0"/>
            <w:sz w:val="24"/>
            <w:szCs w:val="24"/>
            <w:lang w:eastAsia="en-GB"/>
            <w14:ligatures w14:val="none"/>
          </w:rPr>
          <w:t>https://doi.org/10.1017/S1357321725100251</w:t>
        </w:r>
      </w:hyperlink>
      <w:r w:rsidRPr="006526B0">
        <w:rPr>
          <w:rFonts w:ascii="Times New Roman" w:eastAsia="Times New Roman" w:hAnsi="Times New Roman" w:cs="Times New Roman"/>
          <w:kern w:val="0"/>
          <w:sz w:val="24"/>
          <w:szCs w:val="24"/>
          <w:lang w:eastAsia="en-GB"/>
          <w14:ligatures w14:val="none"/>
        </w:rPr>
        <w:t>.</w:t>
      </w:r>
    </w:p>
    <w:p w14:paraId="1790824D" w14:textId="77777777" w:rsidR="00812936" w:rsidRPr="00EA33DF" w:rsidRDefault="00812936" w:rsidP="00EA33DF">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1577F9">
        <w:rPr>
          <w:rFonts w:ascii="Times New Roman" w:eastAsia="Times New Roman" w:hAnsi="Times New Roman" w:cs="Times New Roman"/>
          <w:kern w:val="0"/>
          <w:sz w:val="24"/>
          <w:szCs w:val="24"/>
          <w:lang w:eastAsia="en-GB"/>
          <w14:ligatures w14:val="none"/>
        </w:rPr>
        <w:t xml:space="preserve">Rueb, D. (2026) ‘Measuring the poverty effects of a carbon tax on mobility – But how?’, </w:t>
      </w:r>
      <w:r w:rsidRPr="001577F9">
        <w:rPr>
          <w:rFonts w:ascii="Times New Roman" w:eastAsia="Times New Roman" w:hAnsi="Times New Roman" w:cs="Times New Roman"/>
          <w:i/>
          <w:iCs/>
          <w:kern w:val="0"/>
          <w:sz w:val="24"/>
          <w:szCs w:val="24"/>
          <w:lang w:eastAsia="en-GB"/>
          <w14:ligatures w14:val="none"/>
        </w:rPr>
        <w:t>Ecological economics</w:t>
      </w:r>
      <w:r w:rsidRPr="001577F9">
        <w:rPr>
          <w:rFonts w:ascii="Times New Roman" w:eastAsia="Times New Roman" w:hAnsi="Times New Roman" w:cs="Times New Roman"/>
          <w:kern w:val="0"/>
          <w:sz w:val="24"/>
          <w:szCs w:val="24"/>
          <w:lang w:eastAsia="en-GB"/>
          <w14:ligatures w14:val="none"/>
        </w:rPr>
        <w:t xml:space="preserve">, 239. Available at: </w:t>
      </w:r>
      <w:hyperlink r:id="rId19" w:history="1">
        <w:r w:rsidRPr="00CB54AA">
          <w:rPr>
            <w:rStyle w:val="Hyperlink"/>
            <w:rFonts w:ascii="Times New Roman" w:eastAsia="Times New Roman" w:hAnsi="Times New Roman" w:cs="Times New Roman"/>
            <w:kern w:val="0"/>
            <w:sz w:val="24"/>
            <w:szCs w:val="24"/>
            <w:lang w:eastAsia="en-GB"/>
            <w14:ligatures w14:val="none"/>
          </w:rPr>
          <w:t>https://doi.org/10.1016/j.ecolecon.2025.108788</w:t>
        </w:r>
      </w:hyperlink>
      <w:r w:rsidRPr="001577F9">
        <w:rPr>
          <w:rFonts w:ascii="Times New Roman" w:eastAsia="Times New Roman" w:hAnsi="Times New Roman" w:cs="Times New Roman"/>
          <w:kern w:val="0"/>
          <w:sz w:val="24"/>
          <w:szCs w:val="24"/>
          <w:lang w:eastAsia="en-GB"/>
          <w14:ligatures w14:val="none"/>
        </w:rPr>
        <w:t>.</w:t>
      </w:r>
    </w:p>
    <w:p w14:paraId="1DE37AAC" w14:textId="77777777" w:rsidR="00812936" w:rsidRDefault="00812936" w:rsidP="006526B0">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6526B0">
        <w:rPr>
          <w:rFonts w:ascii="Times New Roman" w:eastAsia="Times New Roman" w:hAnsi="Times New Roman" w:cs="Times New Roman"/>
          <w:kern w:val="0"/>
          <w:sz w:val="24"/>
          <w:szCs w:val="24"/>
          <w:lang w:eastAsia="en-GB"/>
          <w14:ligatures w14:val="none"/>
        </w:rPr>
        <w:t xml:space="preserve">Satpathy, P.R. </w:t>
      </w:r>
      <w:r w:rsidRPr="006526B0">
        <w:rPr>
          <w:rFonts w:ascii="Times New Roman" w:eastAsia="Times New Roman" w:hAnsi="Times New Roman" w:cs="Times New Roman"/>
          <w:i/>
          <w:iCs/>
          <w:kern w:val="0"/>
          <w:sz w:val="24"/>
          <w:szCs w:val="24"/>
          <w:lang w:eastAsia="en-GB"/>
          <w14:ligatures w14:val="none"/>
        </w:rPr>
        <w:t>et al.</w:t>
      </w:r>
      <w:r w:rsidRPr="006526B0">
        <w:rPr>
          <w:rFonts w:ascii="Times New Roman" w:eastAsia="Times New Roman" w:hAnsi="Times New Roman" w:cs="Times New Roman"/>
          <w:kern w:val="0"/>
          <w:sz w:val="24"/>
          <w:szCs w:val="24"/>
          <w:lang w:eastAsia="en-GB"/>
          <w14:ligatures w14:val="none"/>
        </w:rPr>
        <w:t xml:space="preserve"> (2025) ‘Technological innovations and sustainable strategies for advancing electric vehicle performance and market integration’, </w:t>
      </w:r>
      <w:r w:rsidRPr="006526B0">
        <w:rPr>
          <w:rFonts w:ascii="Times New Roman" w:eastAsia="Times New Roman" w:hAnsi="Times New Roman" w:cs="Times New Roman"/>
          <w:i/>
          <w:iCs/>
          <w:kern w:val="0"/>
          <w:sz w:val="24"/>
          <w:szCs w:val="24"/>
          <w:lang w:eastAsia="en-GB"/>
          <w14:ligatures w14:val="none"/>
        </w:rPr>
        <w:t>Energy strategy reviews</w:t>
      </w:r>
      <w:r w:rsidRPr="006526B0">
        <w:rPr>
          <w:rFonts w:ascii="Times New Roman" w:eastAsia="Times New Roman" w:hAnsi="Times New Roman" w:cs="Times New Roman"/>
          <w:kern w:val="0"/>
          <w:sz w:val="24"/>
          <w:szCs w:val="24"/>
          <w:lang w:eastAsia="en-GB"/>
          <w14:ligatures w14:val="none"/>
        </w:rPr>
        <w:t xml:space="preserve">, 60. Available at: </w:t>
      </w:r>
      <w:hyperlink r:id="rId20" w:history="1">
        <w:r w:rsidRPr="00CB54AA">
          <w:rPr>
            <w:rStyle w:val="Hyperlink"/>
            <w:rFonts w:ascii="Times New Roman" w:eastAsia="Times New Roman" w:hAnsi="Times New Roman" w:cs="Times New Roman"/>
            <w:kern w:val="0"/>
            <w:sz w:val="24"/>
            <w:szCs w:val="24"/>
            <w:lang w:eastAsia="en-GB"/>
            <w14:ligatures w14:val="none"/>
          </w:rPr>
          <w:t>https://doi.org/10.1016/j.esr.2025.101790</w:t>
        </w:r>
      </w:hyperlink>
      <w:r w:rsidRPr="006526B0">
        <w:rPr>
          <w:rFonts w:ascii="Times New Roman" w:eastAsia="Times New Roman" w:hAnsi="Times New Roman" w:cs="Times New Roman"/>
          <w:kern w:val="0"/>
          <w:sz w:val="24"/>
          <w:szCs w:val="24"/>
          <w:lang w:eastAsia="en-GB"/>
          <w14:ligatures w14:val="none"/>
        </w:rPr>
        <w:t>.</w:t>
      </w:r>
    </w:p>
    <w:p w14:paraId="3AE5E2E4" w14:textId="77777777" w:rsidR="00812936" w:rsidRDefault="00812936" w:rsidP="003B02BA">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3B02BA">
        <w:rPr>
          <w:rFonts w:ascii="Times New Roman" w:eastAsia="Times New Roman" w:hAnsi="Times New Roman" w:cs="Times New Roman"/>
          <w:kern w:val="0"/>
          <w:sz w:val="24"/>
          <w:szCs w:val="24"/>
          <w:lang w:eastAsia="en-GB"/>
          <w14:ligatures w14:val="none"/>
        </w:rPr>
        <w:t xml:space="preserve">Vaishali, K. and Prabha, D.R. (2025) ‘Economic and reliability assessment of intermediate charging ports for EV stations’, </w:t>
      </w:r>
      <w:r w:rsidRPr="003B02BA">
        <w:rPr>
          <w:rFonts w:ascii="Times New Roman" w:eastAsia="Times New Roman" w:hAnsi="Times New Roman" w:cs="Times New Roman"/>
          <w:i/>
          <w:iCs/>
          <w:kern w:val="0"/>
          <w:sz w:val="24"/>
          <w:szCs w:val="24"/>
          <w:lang w:eastAsia="en-GB"/>
          <w14:ligatures w14:val="none"/>
        </w:rPr>
        <w:t>Scientific reports</w:t>
      </w:r>
      <w:r w:rsidRPr="003B02BA">
        <w:rPr>
          <w:rFonts w:ascii="Times New Roman" w:eastAsia="Times New Roman" w:hAnsi="Times New Roman" w:cs="Times New Roman"/>
          <w:kern w:val="0"/>
          <w:sz w:val="24"/>
          <w:szCs w:val="24"/>
          <w:lang w:eastAsia="en-GB"/>
          <w14:ligatures w14:val="none"/>
        </w:rPr>
        <w:t xml:space="preserve">, 15(1), p. 42380. Available at: </w:t>
      </w:r>
      <w:hyperlink r:id="rId21" w:history="1">
        <w:r w:rsidRPr="00CB54AA">
          <w:rPr>
            <w:rStyle w:val="Hyperlink"/>
            <w:rFonts w:ascii="Times New Roman" w:eastAsia="Times New Roman" w:hAnsi="Times New Roman" w:cs="Times New Roman"/>
            <w:kern w:val="0"/>
            <w:sz w:val="24"/>
            <w:szCs w:val="24"/>
            <w:lang w:eastAsia="en-GB"/>
            <w14:ligatures w14:val="none"/>
          </w:rPr>
          <w:t>https://doi.org/10.1038/s41598-025-26362-w</w:t>
        </w:r>
      </w:hyperlink>
    </w:p>
    <w:p w14:paraId="203E0678" w14:textId="77777777" w:rsidR="00812936" w:rsidRDefault="00812936" w:rsidP="00840FD7">
      <w:pPr>
        <w:pStyle w:val="ListParagraph"/>
        <w:numPr>
          <w:ilvl w:val="0"/>
          <w:numId w:val="1"/>
        </w:numPr>
        <w:spacing w:after="0" w:line="240" w:lineRule="auto"/>
        <w:rPr>
          <w:rFonts w:ascii="Times New Roman" w:eastAsia="Times New Roman" w:hAnsi="Times New Roman" w:cs="Times New Roman"/>
          <w:kern w:val="0"/>
          <w:sz w:val="24"/>
          <w:szCs w:val="24"/>
          <w:lang w:eastAsia="en-GB"/>
          <w14:ligatures w14:val="none"/>
        </w:rPr>
      </w:pPr>
      <w:r w:rsidRPr="00840FD7">
        <w:rPr>
          <w:rFonts w:ascii="Times New Roman" w:eastAsia="Times New Roman" w:hAnsi="Times New Roman" w:cs="Times New Roman"/>
          <w:kern w:val="0"/>
          <w:sz w:val="24"/>
          <w:szCs w:val="24"/>
          <w:lang w:eastAsia="en-GB"/>
          <w14:ligatures w14:val="none"/>
        </w:rPr>
        <w:t xml:space="preserve">Zhou, X., An, K. and </w:t>
      </w:r>
      <w:proofErr w:type="spellStart"/>
      <w:r w:rsidRPr="00840FD7">
        <w:rPr>
          <w:rFonts w:ascii="Times New Roman" w:eastAsia="Times New Roman" w:hAnsi="Times New Roman" w:cs="Times New Roman"/>
          <w:kern w:val="0"/>
          <w:sz w:val="24"/>
          <w:szCs w:val="24"/>
          <w:lang w:eastAsia="en-GB"/>
          <w14:ligatures w14:val="none"/>
        </w:rPr>
        <w:t>Schmöcker</w:t>
      </w:r>
      <w:proofErr w:type="spellEnd"/>
      <w:r w:rsidRPr="00840FD7">
        <w:rPr>
          <w:rFonts w:ascii="Times New Roman" w:eastAsia="Times New Roman" w:hAnsi="Times New Roman" w:cs="Times New Roman"/>
          <w:kern w:val="0"/>
          <w:sz w:val="24"/>
          <w:szCs w:val="24"/>
          <w:lang w:eastAsia="en-GB"/>
          <w14:ligatures w14:val="none"/>
        </w:rPr>
        <w:t xml:space="preserve">, J.-D. (2025) ‘Optimization of charging and discharging schedules for battery electric buses under the V2G environment’, </w:t>
      </w:r>
      <w:proofErr w:type="spellStart"/>
      <w:r w:rsidRPr="00840FD7">
        <w:rPr>
          <w:rFonts w:ascii="Times New Roman" w:eastAsia="Times New Roman" w:hAnsi="Times New Roman" w:cs="Times New Roman"/>
          <w:i/>
          <w:iCs/>
          <w:kern w:val="0"/>
          <w:sz w:val="24"/>
          <w:szCs w:val="24"/>
          <w:lang w:eastAsia="en-GB"/>
          <w14:ligatures w14:val="none"/>
        </w:rPr>
        <w:t>Transportmetrica</w:t>
      </w:r>
      <w:proofErr w:type="spellEnd"/>
      <w:r w:rsidRPr="00840FD7">
        <w:rPr>
          <w:rFonts w:ascii="Times New Roman" w:eastAsia="Times New Roman" w:hAnsi="Times New Roman" w:cs="Times New Roman"/>
          <w:i/>
          <w:iCs/>
          <w:kern w:val="0"/>
          <w:sz w:val="24"/>
          <w:szCs w:val="24"/>
          <w:lang w:eastAsia="en-GB"/>
          <w14:ligatures w14:val="none"/>
        </w:rPr>
        <w:t>. (Abingdon, Oxfordshire, UK)</w:t>
      </w:r>
      <w:r w:rsidRPr="00840FD7">
        <w:rPr>
          <w:rFonts w:ascii="Times New Roman" w:eastAsia="Times New Roman" w:hAnsi="Times New Roman" w:cs="Times New Roman"/>
          <w:kern w:val="0"/>
          <w:sz w:val="24"/>
          <w:szCs w:val="24"/>
          <w:lang w:eastAsia="en-GB"/>
          <w14:ligatures w14:val="none"/>
        </w:rPr>
        <w:t xml:space="preserve">, 13(1). Available at: </w:t>
      </w:r>
      <w:hyperlink r:id="rId22" w:history="1">
        <w:r w:rsidRPr="00840FD7">
          <w:rPr>
            <w:rStyle w:val="Hyperlink"/>
            <w:rFonts w:ascii="Times New Roman" w:eastAsia="Times New Roman" w:hAnsi="Times New Roman" w:cs="Times New Roman"/>
            <w:kern w:val="0"/>
            <w:sz w:val="24"/>
            <w:szCs w:val="24"/>
            <w:lang w:eastAsia="en-GB"/>
            <w14:ligatures w14:val="none"/>
          </w:rPr>
          <w:t>https://doi.org/10.1080/21680566.2025.2506689</w:t>
        </w:r>
      </w:hyperlink>
      <w:r w:rsidRPr="00840FD7">
        <w:rPr>
          <w:rFonts w:ascii="Times New Roman" w:eastAsia="Times New Roman" w:hAnsi="Times New Roman" w:cs="Times New Roman"/>
          <w:kern w:val="0"/>
          <w:sz w:val="24"/>
          <w:szCs w:val="24"/>
          <w:lang w:eastAsia="en-GB"/>
          <w14:ligatures w14:val="none"/>
        </w:rPr>
        <w:t>.</w:t>
      </w:r>
    </w:p>
    <w:p w14:paraId="01DC9D00" w14:textId="1DD59170" w:rsidR="00EA33DF" w:rsidRPr="00EA33DF" w:rsidRDefault="00EA33DF" w:rsidP="00EA33DF">
      <w:pPr>
        <w:pStyle w:val="ListParagraph"/>
        <w:spacing w:after="0" w:line="240" w:lineRule="auto"/>
        <w:rPr>
          <w:rFonts w:ascii="Times New Roman" w:eastAsia="Times New Roman" w:hAnsi="Times New Roman" w:cs="Times New Roman"/>
          <w:kern w:val="0"/>
          <w:sz w:val="24"/>
          <w:szCs w:val="24"/>
          <w:lang w:eastAsia="en-GB"/>
          <w14:ligatures w14:val="none"/>
        </w:rPr>
      </w:pPr>
    </w:p>
    <w:sectPr w:rsidR="00EA33DF" w:rsidRPr="00EA3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10C"/>
    <w:multiLevelType w:val="hybridMultilevel"/>
    <w:tmpl w:val="0030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931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419"/>
    <w:rsid w:val="0001731F"/>
    <w:rsid w:val="000264D8"/>
    <w:rsid w:val="00030B0F"/>
    <w:rsid w:val="00042DF8"/>
    <w:rsid w:val="00090A70"/>
    <w:rsid w:val="000C13B2"/>
    <w:rsid w:val="0010671D"/>
    <w:rsid w:val="00120947"/>
    <w:rsid w:val="00136D74"/>
    <w:rsid w:val="001577F9"/>
    <w:rsid w:val="00180732"/>
    <w:rsid w:val="0019197D"/>
    <w:rsid w:val="00204C17"/>
    <w:rsid w:val="00227F5A"/>
    <w:rsid w:val="002828CB"/>
    <w:rsid w:val="0029063B"/>
    <w:rsid w:val="002A191F"/>
    <w:rsid w:val="002E2419"/>
    <w:rsid w:val="002E262C"/>
    <w:rsid w:val="002E4318"/>
    <w:rsid w:val="00304270"/>
    <w:rsid w:val="0030598B"/>
    <w:rsid w:val="00310F9F"/>
    <w:rsid w:val="00357108"/>
    <w:rsid w:val="00362C0F"/>
    <w:rsid w:val="00377AC1"/>
    <w:rsid w:val="003B02BA"/>
    <w:rsid w:val="003D460B"/>
    <w:rsid w:val="003F5EE8"/>
    <w:rsid w:val="004239DA"/>
    <w:rsid w:val="00470962"/>
    <w:rsid w:val="00492760"/>
    <w:rsid w:val="005418F1"/>
    <w:rsid w:val="0055258D"/>
    <w:rsid w:val="005B0A41"/>
    <w:rsid w:val="005D5D15"/>
    <w:rsid w:val="005E137E"/>
    <w:rsid w:val="005E567A"/>
    <w:rsid w:val="00612BD8"/>
    <w:rsid w:val="006235FE"/>
    <w:rsid w:val="00633A63"/>
    <w:rsid w:val="006526B0"/>
    <w:rsid w:val="0068627C"/>
    <w:rsid w:val="0069312C"/>
    <w:rsid w:val="006C290F"/>
    <w:rsid w:val="006D31A5"/>
    <w:rsid w:val="006F01C2"/>
    <w:rsid w:val="00755FF9"/>
    <w:rsid w:val="00783A75"/>
    <w:rsid w:val="007B6D91"/>
    <w:rsid w:val="007D3B5D"/>
    <w:rsid w:val="007F5ABD"/>
    <w:rsid w:val="00812936"/>
    <w:rsid w:val="00817DA6"/>
    <w:rsid w:val="00840FD7"/>
    <w:rsid w:val="00886C47"/>
    <w:rsid w:val="008B25D9"/>
    <w:rsid w:val="008E65AF"/>
    <w:rsid w:val="00900F2F"/>
    <w:rsid w:val="0094201A"/>
    <w:rsid w:val="00952A49"/>
    <w:rsid w:val="009A3AB3"/>
    <w:rsid w:val="009B6620"/>
    <w:rsid w:val="009F4F55"/>
    <w:rsid w:val="00A136EB"/>
    <w:rsid w:val="00A65C94"/>
    <w:rsid w:val="00A66334"/>
    <w:rsid w:val="00A95843"/>
    <w:rsid w:val="00AD0485"/>
    <w:rsid w:val="00AF2271"/>
    <w:rsid w:val="00AF389B"/>
    <w:rsid w:val="00B25D63"/>
    <w:rsid w:val="00B60138"/>
    <w:rsid w:val="00B8096C"/>
    <w:rsid w:val="00BD3527"/>
    <w:rsid w:val="00BE05F5"/>
    <w:rsid w:val="00BF6964"/>
    <w:rsid w:val="00C53827"/>
    <w:rsid w:val="00C5424C"/>
    <w:rsid w:val="00C639F7"/>
    <w:rsid w:val="00CA600D"/>
    <w:rsid w:val="00CA6B8E"/>
    <w:rsid w:val="00CD0353"/>
    <w:rsid w:val="00CF42F6"/>
    <w:rsid w:val="00D03E6E"/>
    <w:rsid w:val="00D97D54"/>
    <w:rsid w:val="00DC52C3"/>
    <w:rsid w:val="00EA33DF"/>
    <w:rsid w:val="00EB3084"/>
    <w:rsid w:val="00EC2544"/>
    <w:rsid w:val="00F10C31"/>
    <w:rsid w:val="00F13E21"/>
    <w:rsid w:val="00F36586"/>
    <w:rsid w:val="00F60120"/>
    <w:rsid w:val="00F974B6"/>
    <w:rsid w:val="00FA6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845B"/>
  <w15:chartTrackingRefBased/>
  <w15:docId w15:val="{FCF9D198-394A-42DD-994D-848F90C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2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2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419"/>
    <w:rPr>
      <w:rFonts w:eastAsiaTheme="majorEastAsia" w:cstheme="majorBidi"/>
      <w:color w:val="272727" w:themeColor="text1" w:themeTint="D8"/>
    </w:rPr>
  </w:style>
  <w:style w:type="paragraph" w:styleId="Title">
    <w:name w:val="Title"/>
    <w:basedOn w:val="Normal"/>
    <w:next w:val="Normal"/>
    <w:link w:val="TitleChar"/>
    <w:uiPriority w:val="10"/>
    <w:qFormat/>
    <w:rsid w:val="002E2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419"/>
    <w:pPr>
      <w:spacing w:before="160"/>
      <w:jc w:val="center"/>
    </w:pPr>
    <w:rPr>
      <w:i/>
      <w:iCs/>
      <w:color w:val="404040" w:themeColor="text1" w:themeTint="BF"/>
    </w:rPr>
  </w:style>
  <w:style w:type="character" w:customStyle="1" w:styleId="QuoteChar">
    <w:name w:val="Quote Char"/>
    <w:basedOn w:val="DefaultParagraphFont"/>
    <w:link w:val="Quote"/>
    <w:uiPriority w:val="29"/>
    <w:rsid w:val="002E2419"/>
    <w:rPr>
      <w:i/>
      <w:iCs/>
      <w:color w:val="404040" w:themeColor="text1" w:themeTint="BF"/>
    </w:rPr>
  </w:style>
  <w:style w:type="paragraph" w:styleId="ListParagraph">
    <w:name w:val="List Paragraph"/>
    <w:basedOn w:val="Normal"/>
    <w:uiPriority w:val="34"/>
    <w:qFormat/>
    <w:rsid w:val="002E2419"/>
    <w:pPr>
      <w:ind w:left="720"/>
      <w:contextualSpacing/>
    </w:pPr>
  </w:style>
  <w:style w:type="character" w:styleId="IntenseEmphasis">
    <w:name w:val="Intense Emphasis"/>
    <w:basedOn w:val="DefaultParagraphFont"/>
    <w:uiPriority w:val="21"/>
    <w:qFormat/>
    <w:rsid w:val="002E2419"/>
    <w:rPr>
      <w:i/>
      <w:iCs/>
      <w:color w:val="0F4761" w:themeColor="accent1" w:themeShade="BF"/>
    </w:rPr>
  </w:style>
  <w:style w:type="paragraph" w:styleId="IntenseQuote">
    <w:name w:val="Intense Quote"/>
    <w:basedOn w:val="Normal"/>
    <w:next w:val="Normal"/>
    <w:link w:val="IntenseQuoteChar"/>
    <w:uiPriority w:val="30"/>
    <w:qFormat/>
    <w:rsid w:val="002E2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419"/>
    <w:rPr>
      <w:i/>
      <w:iCs/>
      <w:color w:val="0F4761" w:themeColor="accent1" w:themeShade="BF"/>
    </w:rPr>
  </w:style>
  <w:style w:type="character" w:styleId="IntenseReference">
    <w:name w:val="Intense Reference"/>
    <w:basedOn w:val="DefaultParagraphFont"/>
    <w:uiPriority w:val="32"/>
    <w:qFormat/>
    <w:rsid w:val="002E2419"/>
    <w:rPr>
      <w:b/>
      <w:bCs/>
      <w:smallCaps/>
      <w:color w:val="0F4761" w:themeColor="accent1" w:themeShade="BF"/>
      <w:spacing w:val="5"/>
    </w:rPr>
  </w:style>
  <w:style w:type="paragraph" w:customStyle="1" w:styleId="paragraph">
    <w:name w:val="paragraph"/>
    <w:basedOn w:val="Normal"/>
    <w:rsid w:val="002E24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E2419"/>
  </w:style>
  <w:style w:type="character" w:customStyle="1" w:styleId="eop">
    <w:name w:val="eop"/>
    <w:basedOn w:val="DefaultParagraphFont"/>
    <w:rsid w:val="002E2419"/>
  </w:style>
  <w:style w:type="character" w:customStyle="1" w:styleId="normaltextrun">
    <w:name w:val="normaltextrun"/>
    <w:basedOn w:val="DefaultParagraphFont"/>
    <w:rsid w:val="002E2419"/>
  </w:style>
  <w:style w:type="character" w:styleId="Hyperlink">
    <w:name w:val="Hyperlink"/>
    <w:basedOn w:val="DefaultParagraphFont"/>
    <w:uiPriority w:val="99"/>
    <w:unhideWhenUsed/>
    <w:rsid w:val="00AF2271"/>
    <w:rPr>
      <w:color w:val="467886" w:themeColor="hyperlink"/>
      <w:u w:val="single"/>
    </w:rPr>
  </w:style>
  <w:style w:type="character" w:styleId="UnresolvedMention">
    <w:name w:val="Unresolved Mention"/>
    <w:basedOn w:val="DefaultParagraphFont"/>
    <w:uiPriority w:val="99"/>
    <w:semiHidden/>
    <w:unhideWhenUsed/>
    <w:rsid w:val="00AF2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86/s12544-025-00749-2" TargetMode="External"/><Relationship Id="rId18" Type="http://schemas.openxmlformats.org/officeDocument/2006/relationships/hyperlink" Target="https://doi.org/10.1017/S1357321725100251" TargetMode="External"/><Relationship Id="rId3" Type="http://schemas.openxmlformats.org/officeDocument/2006/relationships/customXml" Target="../customXml/item3.xml"/><Relationship Id="rId21" Type="http://schemas.openxmlformats.org/officeDocument/2006/relationships/hyperlink" Target="https://doi.org/10.1038/s41598-025-26362-w" TargetMode="External"/><Relationship Id="rId7" Type="http://schemas.openxmlformats.org/officeDocument/2006/relationships/settings" Target="settings.xml"/><Relationship Id="rId12" Type="http://schemas.openxmlformats.org/officeDocument/2006/relationships/hyperlink" Target="https://doi.org/10.1080/00207543.2024.2446624" TargetMode="External"/><Relationship Id="rId17" Type="http://schemas.openxmlformats.org/officeDocument/2006/relationships/hyperlink" Target="https://doi.org/10.1038/s41467-025-64979-7" TargetMode="External"/><Relationship Id="rId2" Type="http://schemas.openxmlformats.org/officeDocument/2006/relationships/customXml" Target="../customXml/item2.xml"/><Relationship Id="rId16" Type="http://schemas.openxmlformats.org/officeDocument/2006/relationships/hyperlink" Target="https://doi.org/10.1080/0267257X.2025.2547681" TargetMode="External"/><Relationship Id="rId20" Type="http://schemas.openxmlformats.org/officeDocument/2006/relationships/hyperlink" Target="https://doi.org/10.1016/j.esr.2025.1017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egycc.2025.100191"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80/0267257X.2025.2547681" TargetMode="External"/><Relationship Id="rId23" Type="http://schemas.openxmlformats.org/officeDocument/2006/relationships/fontTable" Target="fontTable.xml"/><Relationship Id="rId10" Type="http://schemas.openxmlformats.org/officeDocument/2006/relationships/hyperlink" Target="https://doi.org/10.1002/epa2.1216" TargetMode="External"/><Relationship Id="rId19" Type="http://schemas.openxmlformats.org/officeDocument/2006/relationships/hyperlink" Target="https://doi.org/10.1016/j.ecolecon.2025.108788"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doi.org/10.1016/j.jclepro.2025.147076" TargetMode="External"/><Relationship Id="rId22" Type="http://schemas.openxmlformats.org/officeDocument/2006/relationships/hyperlink" Target="https://doi.org/10.1080/21680566.2025.2506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2810e767ed6761f025385e6c0727f236">
  <xsd:schema xmlns:xsd="http://www.w3.org/2001/XMLSchema" xmlns:xs="http://www.w3.org/2001/XMLSchema" xmlns:p="http://schemas.microsoft.com/office/2006/metadata/properties" xmlns:ns3="f799553d-1ac0-48da-9ae3-fe400ced9c3b" targetNamespace="http://schemas.microsoft.com/office/2006/metadata/properties" ma:root="true" ma:fieldsID="7b1163323dcf0b15f74ff2f09b02541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30946-9EDA-4A6E-A2BA-4959643AD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9566CF-67E6-48D4-A168-4E947AC9114E}">
  <ds:schemaRefs>
    <ds:schemaRef ds:uri="http://schemas.microsoft.com/sharepoint/v3/contenttype/forms"/>
  </ds:schemaRefs>
</ds:datastoreItem>
</file>

<file path=customXml/itemProps3.xml><?xml version="1.0" encoding="utf-8"?>
<ds:datastoreItem xmlns:ds="http://schemas.openxmlformats.org/officeDocument/2006/customXml" ds:itemID="{74B166C1-7844-492D-A748-1D4E7D8280E2}">
  <ds:schemaRefs>
    <ds:schemaRef ds:uri="http://schemas.microsoft.com/office/2006/documentManagement/types"/>
    <ds:schemaRef ds:uri="http://www.w3.org/XML/1998/namespace"/>
    <ds:schemaRef ds:uri="f799553d-1ac0-48da-9ae3-fe400ced9c3b"/>
    <ds:schemaRef ds:uri="http://schemas.microsoft.com/office/infopath/2007/PartnerControls"/>
    <ds:schemaRef ds:uri="http://purl.org/dc/dcmitype/"/>
    <ds:schemaRef ds:uri="http://purl.org/dc/terms/"/>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2C2AB7C-4341-4D50-AFB4-5393B5042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1933</Words>
  <Characters>12609</Characters>
  <Application>Microsoft Office Word</Application>
  <DocSecurity>0</DocSecurity>
  <Lines>229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Torunska (2431559)</dc:creator>
  <cp:keywords/>
  <dc:description/>
  <cp:lastModifiedBy>Patrycja Torunska (2431559)</cp:lastModifiedBy>
  <cp:revision>2</cp:revision>
  <dcterms:created xsi:type="dcterms:W3CDTF">2025-12-05T04:43:00Z</dcterms:created>
  <dcterms:modified xsi:type="dcterms:W3CDTF">2025-12-05T04:43:00Z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