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68DE1" w14:textId="77777777" w:rsidR="00EF34E4" w:rsidRPr="00647AB7" w:rsidRDefault="00EF34E4" w:rsidP="00EF34E4">
      <w:pPr>
        <w:rPr>
          <w:b/>
          <w:bCs/>
        </w:rPr>
      </w:pPr>
    </w:p>
    <w:p w14:paraId="26DDB3CD" w14:textId="77777777" w:rsidR="00EF34E4" w:rsidRPr="00647AB7" w:rsidRDefault="00EF34E4" w:rsidP="00EF34E4">
      <w:r w:rsidRPr="00647AB7">
        <w:rPr>
          <w:noProof/>
        </w:rPr>
        <w:drawing>
          <wp:anchor distT="0" distB="0" distL="114300" distR="114300" simplePos="0" relativeHeight="251658240" behindDoc="0" locked="0" layoutInCell="1" allowOverlap="1" wp14:anchorId="77190EA4" wp14:editId="1753A630">
            <wp:simplePos x="914400" y="914400"/>
            <wp:positionH relativeFrom="column">
              <wp:align>left</wp:align>
            </wp:positionH>
            <wp:positionV relativeFrom="paragraph">
              <wp:align>top</wp:align>
            </wp:positionV>
            <wp:extent cx="1657350" cy="743585"/>
            <wp:effectExtent l="0" t="0" r="0" b="0"/>
            <wp:wrapSquare wrapText="bothSides"/>
            <wp:docPr id="261301171" name="Picture 26130117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224788C1" w14:textId="77777777" w:rsidR="00EF34E4" w:rsidRPr="00647AB7" w:rsidRDefault="00EF34E4" w:rsidP="00EF34E4">
      <w:pPr>
        <w:jc w:val="right"/>
      </w:pPr>
    </w:p>
    <w:p w14:paraId="2D562051" w14:textId="77777777" w:rsidR="00EF34E4" w:rsidRPr="00647AB7" w:rsidRDefault="00EF34E4" w:rsidP="00EF34E4">
      <w:r w:rsidRPr="00647AB7">
        <w:br w:type="textWrapping" w:clear="all"/>
      </w:r>
    </w:p>
    <w:p w14:paraId="5C2292D9" w14:textId="77777777" w:rsidR="00EF34E4" w:rsidRPr="00647AB7" w:rsidRDefault="00EF34E4" w:rsidP="00EF34E4">
      <w:pPr>
        <w:spacing w:after="165" w:line="360" w:lineRule="auto"/>
        <w:jc w:val="center"/>
        <w:rPr>
          <w:rFonts w:cs="Times New Roman"/>
        </w:rPr>
      </w:pPr>
      <w:r w:rsidRPr="00647AB7">
        <w:rPr>
          <w:rFonts w:cs="Times New Roman"/>
        </w:rPr>
        <w:tab/>
      </w:r>
    </w:p>
    <w:p w14:paraId="35687D5A" w14:textId="77777777" w:rsidR="00EF34E4" w:rsidRPr="00647AB7" w:rsidRDefault="00EF34E4" w:rsidP="00EF34E4">
      <w:pPr>
        <w:spacing w:after="165" w:line="360" w:lineRule="auto"/>
        <w:jc w:val="center"/>
        <w:rPr>
          <w:rFonts w:ascii="Tahoma" w:eastAsia="Tahoma" w:hAnsi="Tahoma" w:cs="Tahoma"/>
          <w:color w:val="000000"/>
          <w:sz w:val="40"/>
          <w:szCs w:val="40"/>
          <w:lang w:eastAsia="zh-CN"/>
        </w:rPr>
      </w:pPr>
      <w:r w:rsidRPr="00647AB7">
        <w:rPr>
          <w:rFonts w:ascii="Tahoma" w:eastAsia="Tahoma" w:hAnsi="Tahoma" w:cs="Tahoma"/>
          <w:b/>
          <w:bCs/>
          <w:color w:val="000000"/>
          <w:sz w:val="40"/>
          <w:szCs w:val="40"/>
          <w:lang w:eastAsia="zh-CN"/>
        </w:rPr>
        <w:t xml:space="preserve">MSC Engineering Project Management </w:t>
      </w:r>
      <w:r w:rsidRPr="00647AB7">
        <w:rPr>
          <w:rFonts w:ascii="Tahoma" w:eastAsia="Tahoma" w:hAnsi="Tahoma" w:cs="Tahoma"/>
          <w:color w:val="000000"/>
          <w:sz w:val="40"/>
          <w:szCs w:val="40"/>
          <w:lang w:eastAsia="zh-CN"/>
        </w:rPr>
        <w:t xml:space="preserve">Module Assignment Submission </w:t>
      </w:r>
      <w:r w:rsidRPr="00647AB7">
        <w:rPr>
          <w:rFonts w:ascii="Tahoma" w:eastAsia="Tahoma" w:hAnsi="Tahoma" w:cs="Tahoma"/>
          <w:color w:val="000000"/>
          <w:sz w:val="40"/>
          <w:szCs w:val="40"/>
          <w:lang w:eastAsia="zh-CN"/>
        </w:rPr>
        <w:br/>
      </w:r>
    </w:p>
    <w:tbl>
      <w:tblPr>
        <w:tblW w:w="97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523"/>
        <w:gridCol w:w="6206"/>
      </w:tblGrid>
      <w:tr w:rsidR="00EF34E4" w:rsidRPr="00647AB7" w14:paraId="57081EEC" w14:textId="77777777" w:rsidTr="00691C49">
        <w:trPr>
          <w:trHeight w:val="522"/>
        </w:trPr>
        <w:tc>
          <w:tcPr>
            <w:tcW w:w="3523" w:type="dxa"/>
            <w:shd w:val="clear" w:color="auto" w:fill="D9D9D9"/>
          </w:tcPr>
          <w:p w14:paraId="049DBC77" w14:textId="77777777" w:rsidR="00EF34E4" w:rsidRPr="00647AB7" w:rsidRDefault="00EF34E4" w:rsidP="00CC6539">
            <w:pPr>
              <w:spacing w:before="120" w:line="360" w:lineRule="auto"/>
              <w:rPr>
                <w:rFonts w:ascii="Tahoma" w:eastAsia="Tahoma" w:hAnsi="Tahoma" w:cs="Tahoma"/>
                <w:sz w:val="32"/>
                <w:szCs w:val="32"/>
                <w:lang w:eastAsia="zh-CN"/>
              </w:rPr>
            </w:pPr>
            <w:r w:rsidRPr="00647AB7">
              <w:rPr>
                <w:rFonts w:ascii="Tahoma" w:eastAsia="Tahoma" w:hAnsi="Tahoma" w:cs="Tahoma"/>
                <w:sz w:val="32"/>
                <w:szCs w:val="32"/>
                <w:lang w:eastAsia="zh-CN"/>
              </w:rPr>
              <w:t>Student Name:</w:t>
            </w:r>
          </w:p>
        </w:tc>
        <w:tc>
          <w:tcPr>
            <w:tcW w:w="6206" w:type="dxa"/>
          </w:tcPr>
          <w:p w14:paraId="3253E1BF" w14:textId="77777777" w:rsidR="00EF34E4" w:rsidRPr="00647AB7" w:rsidRDefault="00EF34E4" w:rsidP="00CC6539">
            <w:pPr>
              <w:spacing w:before="120" w:line="360" w:lineRule="auto"/>
              <w:jc w:val="center"/>
              <w:rPr>
                <w:rFonts w:ascii="Tahoma" w:eastAsia="Tahoma" w:hAnsi="Tahoma" w:cs="Tahoma"/>
                <w:sz w:val="32"/>
                <w:szCs w:val="32"/>
                <w:lang w:eastAsia="zh-CN"/>
              </w:rPr>
            </w:pPr>
            <w:r w:rsidRPr="00647AB7">
              <w:rPr>
                <w:rFonts w:ascii="Tahoma" w:eastAsia="Tahoma" w:hAnsi="Tahoma" w:cs="Tahoma"/>
                <w:sz w:val="32"/>
                <w:szCs w:val="32"/>
                <w:lang w:eastAsia="zh-CN"/>
              </w:rPr>
              <w:t>Armin Tiberiu Polyak</w:t>
            </w:r>
          </w:p>
        </w:tc>
      </w:tr>
      <w:tr w:rsidR="00EF34E4" w:rsidRPr="00647AB7" w14:paraId="5BCC2BD2" w14:textId="77777777" w:rsidTr="00691C49">
        <w:trPr>
          <w:trHeight w:val="522"/>
        </w:trPr>
        <w:tc>
          <w:tcPr>
            <w:tcW w:w="3523" w:type="dxa"/>
            <w:shd w:val="clear" w:color="auto" w:fill="D9D9D9"/>
          </w:tcPr>
          <w:p w14:paraId="6D9728F6" w14:textId="77777777" w:rsidR="00EF34E4" w:rsidRPr="00647AB7" w:rsidRDefault="00EF34E4" w:rsidP="00CC6539">
            <w:pPr>
              <w:spacing w:before="120" w:line="360" w:lineRule="auto"/>
              <w:rPr>
                <w:rFonts w:ascii="Tahoma" w:eastAsia="Tahoma" w:hAnsi="Tahoma" w:cs="Tahoma"/>
                <w:sz w:val="32"/>
                <w:szCs w:val="32"/>
                <w:lang w:eastAsia="zh-CN"/>
              </w:rPr>
            </w:pPr>
            <w:r w:rsidRPr="00647AB7">
              <w:rPr>
                <w:rFonts w:ascii="Tahoma" w:eastAsia="Tahoma" w:hAnsi="Tahoma" w:cs="Tahoma"/>
                <w:sz w:val="32"/>
                <w:szCs w:val="32"/>
                <w:lang w:eastAsia="zh-CN"/>
              </w:rPr>
              <w:t>Student Number:</w:t>
            </w:r>
          </w:p>
        </w:tc>
        <w:tc>
          <w:tcPr>
            <w:tcW w:w="6206" w:type="dxa"/>
          </w:tcPr>
          <w:p w14:paraId="5B0B4E6A" w14:textId="77777777" w:rsidR="00EF34E4" w:rsidRPr="00647AB7" w:rsidRDefault="00EF34E4" w:rsidP="00CC6539">
            <w:pPr>
              <w:spacing w:before="120" w:line="360" w:lineRule="auto"/>
              <w:jc w:val="center"/>
              <w:rPr>
                <w:rFonts w:ascii="Tahoma" w:eastAsia="Tahoma" w:hAnsi="Tahoma" w:cs="Tahoma"/>
                <w:sz w:val="32"/>
                <w:szCs w:val="32"/>
                <w:lang w:eastAsia="zh-CN"/>
              </w:rPr>
            </w:pPr>
            <w:r w:rsidRPr="00647AB7">
              <w:rPr>
                <w:rFonts w:ascii="Tahoma" w:eastAsia="Tahoma" w:hAnsi="Tahoma" w:cs="Tahoma"/>
                <w:sz w:val="32"/>
                <w:szCs w:val="32"/>
                <w:lang w:eastAsia="zh-CN"/>
              </w:rPr>
              <w:t>1904920</w:t>
            </w:r>
          </w:p>
        </w:tc>
      </w:tr>
      <w:tr w:rsidR="00EF34E4" w:rsidRPr="00647AB7" w14:paraId="3C34A448" w14:textId="77777777" w:rsidTr="00691C49">
        <w:trPr>
          <w:trHeight w:val="522"/>
        </w:trPr>
        <w:tc>
          <w:tcPr>
            <w:tcW w:w="3523" w:type="dxa"/>
            <w:shd w:val="clear" w:color="auto" w:fill="D9D9D9"/>
          </w:tcPr>
          <w:p w14:paraId="42BA0609" w14:textId="77777777" w:rsidR="00EF34E4" w:rsidRPr="00647AB7" w:rsidRDefault="00EF34E4" w:rsidP="00CC6539">
            <w:pPr>
              <w:spacing w:before="120" w:line="360" w:lineRule="auto"/>
              <w:rPr>
                <w:rFonts w:ascii="Tahoma" w:eastAsia="Tahoma" w:hAnsi="Tahoma" w:cs="Tahoma"/>
                <w:sz w:val="32"/>
                <w:szCs w:val="32"/>
                <w:lang w:eastAsia="zh-CN"/>
              </w:rPr>
            </w:pPr>
            <w:r w:rsidRPr="00647AB7">
              <w:rPr>
                <w:rFonts w:ascii="Tahoma" w:eastAsia="Tahoma" w:hAnsi="Tahoma" w:cs="Tahoma"/>
                <w:sz w:val="32"/>
                <w:szCs w:val="32"/>
                <w:lang w:eastAsia="zh-CN"/>
              </w:rPr>
              <w:t>Module No:</w:t>
            </w:r>
          </w:p>
        </w:tc>
        <w:tc>
          <w:tcPr>
            <w:tcW w:w="6206" w:type="dxa"/>
          </w:tcPr>
          <w:p w14:paraId="75864C93" w14:textId="77777777" w:rsidR="00EF34E4" w:rsidRPr="00647AB7" w:rsidRDefault="00EF34E4" w:rsidP="00CC6539">
            <w:pPr>
              <w:spacing w:before="120" w:line="360" w:lineRule="auto"/>
              <w:jc w:val="center"/>
              <w:rPr>
                <w:rFonts w:ascii="Tahoma" w:eastAsia="Tahoma" w:hAnsi="Tahoma" w:cs="Tahoma"/>
                <w:color w:val="000000" w:themeColor="text1"/>
                <w:sz w:val="32"/>
                <w:szCs w:val="32"/>
                <w:lang w:eastAsia="zh-CN"/>
              </w:rPr>
            </w:pPr>
            <w:r w:rsidRPr="00647AB7">
              <w:rPr>
                <w:rFonts w:ascii="Tahoma" w:eastAsia="Tahoma" w:hAnsi="Tahoma" w:cs="Tahoma"/>
                <w:color w:val="000000" w:themeColor="text1"/>
                <w:sz w:val="32"/>
                <w:szCs w:val="32"/>
                <w:lang w:eastAsia="zh-CN"/>
              </w:rPr>
              <w:t>ACHA 7025</w:t>
            </w:r>
          </w:p>
        </w:tc>
      </w:tr>
      <w:tr w:rsidR="00EF34E4" w:rsidRPr="00647AB7" w14:paraId="79A8CFA2" w14:textId="77777777" w:rsidTr="00691C49">
        <w:trPr>
          <w:trHeight w:val="1287"/>
        </w:trPr>
        <w:tc>
          <w:tcPr>
            <w:tcW w:w="3523" w:type="dxa"/>
            <w:shd w:val="clear" w:color="auto" w:fill="D9D9D9"/>
          </w:tcPr>
          <w:p w14:paraId="4A8F21D1" w14:textId="77777777" w:rsidR="00EF34E4" w:rsidRPr="00647AB7" w:rsidRDefault="00EF34E4" w:rsidP="00CC6539">
            <w:pPr>
              <w:spacing w:before="120" w:line="360" w:lineRule="auto"/>
              <w:rPr>
                <w:rFonts w:ascii="Times New Roman" w:eastAsia="Tahoma" w:hAnsi="Times New Roman" w:cs="Times New Roman"/>
                <w:sz w:val="32"/>
                <w:szCs w:val="32"/>
                <w:lang w:eastAsia="zh-CN"/>
              </w:rPr>
            </w:pPr>
            <w:r w:rsidRPr="00647AB7">
              <w:rPr>
                <w:rFonts w:ascii="Times New Roman" w:eastAsia="Tahoma" w:hAnsi="Times New Roman" w:cs="Times New Roman"/>
                <w:sz w:val="32"/>
                <w:szCs w:val="32"/>
                <w:lang w:eastAsia="zh-CN"/>
              </w:rPr>
              <w:t>Module Title:</w:t>
            </w:r>
          </w:p>
        </w:tc>
        <w:tc>
          <w:tcPr>
            <w:tcW w:w="6206" w:type="dxa"/>
          </w:tcPr>
          <w:p w14:paraId="70112996" w14:textId="678BD71F" w:rsidR="00EF34E4" w:rsidRPr="00647AB7" w:rsidRDefault="00647AB7" w:rsidP="00647AB7">
            <w:pPr>
              <w:rPr>
                <w:sz w:val="40"/>
                <w:szCs w:val="40"/>
              </w:rPr>
            </w:pPr>
            <w:r>
              <w:rPr>
                <w:sz w:val="40"/>
                <w:szCs w:val="40"/>
              </w:rPr>
              <w:t xml:space="preserve">           </w:t>
            </w:r>
            <w:r w:rsidR="00EF34E4" w:rsidRPr="00647AB7">
              <w:rPr>
                <w:sz w:val="40"/>
                <w:szCs w:val="40"/>
              </w:rPr>
              <w:t>Project Management</w:t>
            </w:r>
          </w:p>
          <w:p w14:paraId="2DA53661" w14:textId="7AB6353C" w:rsidR="00EF34E4" w:rsidRPr="00647AB7" w:rsidRDefault="00EF34E4" w:rsidP="00CC6539">
            <w:pPr>
              <w:jc w:val="center"/>
              <w:rPr>
                <w:sz w:val="40"/>
                <w:szCs w:val="40"/>
              </w:rPr>
            </w:pPr>
            <w:r w:rsidRPr="00647AB7">
              <w:rPr>
                <w:sz w:val="40"/>
                <w:szCs w:val="40"/>
              </w:rPr>
              <w:t xml:space="preserve"> </w:t>
            </w:r>
          </w:p>
          <w:p w14:paraId="5D755773" w14:textId="77777777" w:rsidR="00EF34E4" w:rsidRPr="00647AB7" w:rsidRDefault="00EF34E4" w:rsidP="00CC6539">
            <w:pPr>
              <w:spacing w:before="200" w:line="360" w:lineRule="auto"/>
              <w:jc w:val="center"/>
              <w:rPr>
                <w:rFonts w:eastAsia="Tahoma" w:cs="Arial"/>
                <w:color w:val="000000" w:themeColor="text1"/>
                <w:sz w:val="36"/>
                <w:szCs w:val="36"/>
                <w:lang w:eastAsia="zh-CN"/>
              </w:rPr>
            </w:pPr>
          </w:p>
        </w:tc>
      </w:tr>
    </w:tbl>
    <w:p w14:paraId="5C327987" w14:textId="53D38BF5" w:rsidR="00EF34E4" w:rsidRPr="00647AB7" w:rsidRDefault="00EF34E4" w:rsidP="00EF34E4">
      <w:pPr>
        <w:spacing w:before="120" w:line="360" w:lineRule="auto"/>
        <w:rPr>
          <w:rFonts w:ascii="Times New Roman" w:eastAsia="Calibri" w:hAnsi="Times New Roman" w:cs="Times New Roman"/>
          <w:color w:val="FF0000"/>
          <w:sz w:val="32"/>
          <w:szCs w:val="32"/>
          <w:lang w:eastAsia="zh-CN"/>
        </w:rPr>
      </w:pPr>
    </w:p>
    <w:p w14:paraId="176D1DAA" w14:textId="77777777" w:rsidR="00EF34E4" w:rsidRPr="00647AB7" w:rsidRDefault="00EF34E4" w:rsidP="00EF34E4">
      <w:pPr>
        <w:spacing w:after="0" w:line="240" w:lineRule="auto"/>
        <w:textAlignment w:val="baseline"/>
        <w:rPr>
          <w:b/>
          <w:bCs/>
        </w:rPr>
      </w:pPr>
    </w:p>
    <w:p w14:paraId="5271679F" w14:textId="77777777" w:rsidR="00EF34E4" w:rsidRPr="00647AB7" w:rsidRDefault="00EF34E4" w:rsidP="00EF34E4"/>
    <w:p w14:paraId="63A11288" w14:textId="77777777" w:rsidR="00EF34E4" w:rsidRPr="00647AB7" w:rsidRDefault="00EF34E4" w:rsidP="00EF34E4">
      <w:pPr>
        <w:rPr>
          <w:b/>
          <w:bCs/>
        </w:rPr>
      </w:pPr>
      <w:r w:rsidRPr="00647AB7">
        <w:rPr>
          <w:b/>
          <w:bCs/>
        </w:rPr>
        <w:t>Name: Armin Polyak</w:t>
      </w:r>
    </w:p>
    <w:p w14:paraId="3550C818" w14:textId="77777777" w:rsidR="00EF34E4" w:rsidRPr="00647AB7" w:rsidRDefault="00EF34E4" w:rsidP="00EF34E4">
      <w:pPr>
        <w:rPr>
          <w:b/>
          <w:bCs/>
        </w:rPr>
      </w:pPr>
      <w:r w:rsidRPr="00647AB7">
        <w:rPr>
          <w:b/>
          <w:bCs/>
        </w:rPr>
        <w:t>Student ID: 1904920</w:t>
      </w:r>
    </w:p>
    <w:p w14:paraId="5BF12037" w14:textId="77777777" w:rsidR="00556679" w:rsidRPr="00647AB7" w:rsidRDefault="00BD2F48" w:rsidP="00B91CF0">
      <w:pPr>
        <w:pStyle w:val="Heading1"/>
        <w:tabs>
          <w:tab w:val="left" w:pos="8677"/>
        </w:tabs>
      </w:pPr>
      <w:bookmarkStart w:id="0" w:name="_Toc242480982"/>
      <w:r w:rsidRPr="00647AB7">
        <w:lastRenderedPageBreak/>
        <w:t>Executive Summary</w:t>
      </w:r>
      <w:bookmarkEnd w:id="0"/>
    </w:p>
    <w:p w14:paraId="2244BF42" w14:textId="4C6DD677" w:rsidR="009E0D87" w:rsidRPr="00647AB7" w:rsidRDefault="00B91CF0" w:rsidP="00B91CF0">
      <w:pPr>
        <w:pStyle w:val="Heading1"/>
        <w:tabs>
          <w:tab w:val="left" w:pos="8677"/>
        </w:tabs>
      </w:pPr>
      <w:r w:rsidRPr="00647AB7">
        <w:tab/>
      </w:r>
    </w:p>
    <w:p w14:paraId="426A1799" w14:textId="0EB4CE22" w:rsidR="009E0D87" w:rsidRPr="00647AB7" w:rsidRDefault="00BD2F48">
      <w:pPr>
        <w:jc w:val="both"/>
        <w:rPr>
          <w:sz w:val="24"/>
          <w:szCs w:val="24"/>
        </w:rPr>
      </w:pPr>
      <w:r w:rsidRPr="00647AB7">
        <w:rPr>
          <w:sz w:val="24"/>
          <w:szCs w:val="24"/>
        </w:rPr>
        <w:t xml:space="preserve">This report evaluates the feasibility of relocating and expanding a small UK smoothie manufacturer that has experienced strong sales growth and interest from a third major supermarket. The proposed move to larger industrial premises would increase production capacity and enable diversification into products such as coconut water, children’s juice, healthy </w:t>
      </w:r>
      <w:r w:rsidR="00521EC1" w:rsidRPr="00647AB7">
        <w:rPr>
          <w:sz w:val="24"/>
          <w:szCs w:val="24"/>
        </w:rPr>
        <w:t>soups,</w:t>
      </w:r>
      <w:r w:rsidRPr="00647AB7">
        <w:rPr>
          <w:sz w:val="24"/>
          <w:szCs w:val="24"/>
        </w:rPr>
        <w:t xml:space="preserve"> and yoghurt-based drinks. However, the case also identifies deteriorating quality, </w:t>
      </w:r>
      <w:r w:rsidR="00DB6106" w:rsidRPr="00647AB7">
        <w:rPr>
          <w:sz w:val="24"/>
          <w:szCs w:val="24"/>
        </w:rPr>
        <w:t>missing</w:t>
      </w:r>
      <w:r w:rsidRPr="00647AB7">
        <w:rPr>
          <w:sz w:val="24"/>
          <w:szCs w:val="24"/>
        </w:rPr>
        <w:t xml:space="preserve"> supplier collections and customer deliveries, poor communication, weak organisational </w:t>
      </w:r>
      <w:r w:rsidR="00521EC1" w:rsidRPr="00647AB7">
        <w:rPr>
          <w:sz w:val="24"/>
          <w:szCs w:val="24"/>
        </w:rPr>
        <w:t>structure,</w:t>
      </w:r>
      <w:r w:rsidRPr="00647AB7">
        <w:rPr>
          <w:sz w:val="24"/>
          <w:szCs w:val="24"/>
        </w:rPr>
        <w:t xml:space="preserve"> and inadequate management of change. The analysis concludes that expansion is commercially attractive but should not be approached simply as a property move. A defined business case, proportionate governance, scope control, risk management, stakeholder </w:t>
      </w:r>
      <w:r w:rsidR="00521EC1" w:rsidRPr="00647AB7">
        <w:rPr>
          <w:sz w:val="24"/>
          <w:szCs w:val="24"/>
        </w:rPr>
        <w:t>engagement,</w:t>
      </w:r>
      <w:r w:rsidRPr="00647AB7">
        <w:rPr>
          <w:sz w:val="24"/>
          <w:szCs w:val="24"/>
        </w:rPr>
        <w:t xml:space="preserve"> and phased implementation are required. SWOT and PESTLE analyses indicate significant market opportunity but also expose supply-chain, regulatory, </w:t>
      </w:r>
      <w:r w:rsidR="00521EC1" w:rsidRPr="00647AB7">
        <w:rPr>
          <w:sz w:val="24"/>
          <w:szCs w:val="24"/>
        </w:rPr>
        <w:t>financial,</w:t>
      </w:r>
      <w:r w:rsidRPr="00647AB7">
        <w:rPr>
          <w:sz w:val="24"/>
          <w:szCs w:val="24"/>
        </w:rPr>
        <w:t xml:space="preserve"> and operational risks. A clearer functional structure is proposed, supported by digital integration between the company, growers, logistics </w:t>
      </w:r>
      <w:r w:rsidR="00521EC1" w:rsidRPr="00647AB7">
        <w:rPr>
          <w:sz w:val="24"/>
          <w:szCs w:val="24"/>
        </w:rPr>
        <w:t>providers,</w:t>
      </w:r>
      <w:r w:rsidRPr="00647AB7">
        <w:rPr>
          <w:sz w:val="24"/>
          <w:szCs w:val="24"/>
        </w:rPr>
        <w:t xml:space="preserve"> and supermarket customers. Contemporary food-supply-chain research suggests digitalisation can improve visibility and resilience, although cost, capability and data-quality barriers are important for SMEs. The report recommends proceeding conditionally: transfer and stabilise the existing smoothie operation first, then introduce further product categories after the new facility demonstrates reliable performance.</w:t>
      </w:r>
    </w:p>
    <w:p w14:paraId="7B183380" w14:textId="77777777" w:rsidR="009E0D87" w:rsidRPr="00647AB7" w:rsidRDefault="00BD2F48">
      <w:pPr>
        <w:rPr>
          <w:sz w:val="24"/>
          <w:szCs w:val="24"/>
        </w:rPr>
      </w:pPr>
      <w:r w:rsidRPr="00647AB7">
        <w:rPr>
          <w:sz w:val="24"/>
          <w:szCs w:val="24"/>
        </w:rPr>
        <w:br w:type="page"/>
      </w:r>
    </w:p>
    <w:sdt>
      <w:sdtPr>
        <w:rPr>
          <w:rFonts w:ascii="Arial" w:eastAsiaTheme="minorEastAsia" w:hAnsi="Arial" w:cstheme="minorBidi"/>
          <w:b w:val="0"/>
          <w:bCs w:val="0"/>
          <w:color w:val="auto"/>
          <w:sz w:val="21"/>
          <w:szCs w:val="22"/>
        </w:rPr>
        <w:id w:val="-1466805947"/>
        <w:docPartObj>
          <w:docPartGallery w:val="Table of Contents"/>
          <w:docPartUnique/>
        </w:docPartObj>
      </w:sdtPr>
      <w:sdtEndPr/>
      <w:sdtContent>
        <w:p w14:paraId="4A129067" w14:textId="053EC64A" w:rsidR="003349A5" w:rsidRPr="00647AB7" w:rsidRDefault="003349A5">
          <w:pPr>
            <w:pStyle w:val="TOCHeading"/>
          </w:pPr>
          <w:r w:rsidRPr="00647AB7">
            <w:t>Contents</w:t>
          </w:r>
        </w:p>
        <w:p w14:paraId="06C138E4" w14:textId="69F9C83B" w:rsidR="003349A5" w:rsidRPr="00647AB7" w:rsidRDefault="003349A5">
          <w:pPr>
            <w:pStyle w:val="TOC1"/>
            <w:tabs>
              <w:tab w:val="right" w:leader="dot" w:pos="9396"/>
            </w:tabs>
            <w:rPr>
              <w:rFonts w:asciiTheme="minorHAnsi" w:hAnsiTheme="minorHAnsi"/>
              <w:noProof/>
              <w:kern w:val="2"/>
              <w:sz w:val="24"/>
              <w:szCs w:val="24"/>
              <w:lang w:eastAsia="en-GB"/>
              <w14:ligatures w14:val="standardContextual"/>
            </w:rPr>
          </w:pPr>
          <w:r w:rsidRPr="00647AB7">
            <w:fldChar w:fldCharType="begin"/>
          </w:r>
          <w:r w:rsidRPr="00647AB7">
            <w:instrText xml:space="preserve"> TOC \o "1-3" \h \z \u </w:instrText>
          </w:r>
          <w:r w:rsidRPr="00647AB7">
            <w:fldChar w:fldCharType="separate"/>
          </w:r>
          <w:hyperlink w:anchor="_Toc242480982" w:history="1">
            <w:r w:rsidRPr="00647AB7">
              <w:rPr>
                <w:rStyle w:val="Hyperlink"/>
                <w:noProof/>
              </w:rPr>
              <w:t>Executive Summary</w:t>
            </w:r>
            <w:r w:rsidRPr="00647AB7">
              <w:rPr>
                <w:noProof/>
                <w:webHidden/>
              </w:rPr>
              <w:tab/>
            </w:r>
            <w:r w:rsidRPr="00647AB7">
              <w:rPr>
                <w:noProof/>
                <w:webHidden/>
              </w:rPr>
              <w:fldChar w:fldCharType="begin"/>
            </w:r>
            <w:r w:rsidRPr="00647AB7">
              <w:rPr>
                <w:noProof/>
                <w:webHidden/>
              </w:rPr>
              <w:instrText xml:space="preserve"> PAGEREF _Toc242480982 \h </w:instrText>
            </w:r>
            <w:r w:rsidRPr="00647AB7">
              <w:rPr>
                <w:noProof/>
                <w:webHidden/>
              </w:rPr>
            </w:r>
            <w:r w:rsidRPr="00647AB7">
              <w:rPr>
                <w:noProof/>
                <w:webHidden/>
              </w:rPr>
              <w:fldChar w:fldCharType="separate"/>
            </w:r>
            <w:r w:rsidR="00B205E4">
              <w:rPr>
                <w:noProof/>
                <w:webHidden/>
              </w:rPr>
              <w:t>2</w:t>
            </w:r>
            <w:r w:rsidRPr="00647AB7">
              <w:rPr>
                <w:noProof/>
                <w:webHidden/>
              </w:rPr>
              <w:fldChar w:fldCharType="end"/>
            </w:r>
          </w:hyperlink>
        </w:p>
        <w:p w14:paraId="3DB04597" w14:textId="38633966" w:rsidR="003349A5" w:rsidRPr="00647AB7" w:rsidRDefault="003349A5">
          <w:pPr>
            <w:pStyle w:val="TOC1"/>
            <w:tabs>
              <w:tab w:val="right" w:leader="dot" w:pos="9396"/>
            </w:tabs>
            <w:rPr>
              <w:rFonts w:asciiTheme="minorHAnsi" w:hAnsiTheme="minorHAnsi"/>
              <w:noProof/>
              <w:kern w:val="2"/>
              <w:sz w:val="24"/>
              <w:szCs w:val="24"/>
              <w:lang w:eastAsia="en-GB"/>
              <w14:ligatures w14:val="standardContextual"/>
            </w:rPr>
          </w:pPr>
          <w:hyperlink w:anchor="_Toc242480983" w:history="1">
            <w:r w:rsidRPr="00647AB7">
              <w:rPr>
                <w:rStyle w:val="Hyperlink"/>
                <w:noProof/>
              </w:rPr>
              <w:t>List of Figures and Tables</w:t>
            </w:r>
            <w:r w:rsidRPr="00647AB7">
              <w:rPr>
                <w:noProof/>
                <w:webHidden/>
              </w:rPr>
              <w:tab/>
            </w:r>
            <w:r w:rsidRPr="00647AB7">
              <w:rPr>
                <w:noProof/>
                <w:webHidden/>
              </w:rPr>
              <w:fldChar w:fldCharType="begin"/>
            </w:r>
            <w:r w:rsidRPr="00647AB7">
              <w:rPr>
                <w:noProof/>
                <w:webHidden/>
              </w:rPr>
              <w:instrText xml:space="preserve"> PAGEREF _Toc242480983 \h </w:instrText>
            </w:r>
            <w:r w:rsidRPr="00647AB7">
              <w:rPr>
                <w:noProof/>
                <w:webHidden/>
              </w:rPr>
            </w:r>
            <w:r w:rsidRPr="00647AB7">
              <w:rPr>
                <w:noProof/>
                <w:webHidden/>
              </w:rPr>
              <w:fldChar w:fldCharType="separate"/>
            </w:r>
            <w:r w:rsidR="00B205E4">
              <w:rPr>
                <w:noProof/>
                <w:webHidden/>
              </w:rPr>
              <w:t>3</w:t>
            </w:r>
            <w:r w:rsidRPr="00647AB7">
              <w:rPr>
                <w:noProof/>
                <w:webHidden/>
              </w:rPr>
              <w:fldChar w:fldCharType="end"/>
            </w:r>
          </w:hyperlink>
        </w:p>
        <w:p w14:paraId="2E6A85A0" w14:textId="7344FB7A" w:rsidR="003349A5" w:rsidRPr="00647AB7" w:rsidRDefault="003349A5">
          <w:pPr>
            <w:pStyle w:val="TOC1"/>
            <w:tabs>
              <w:tab w:val="left" w:pos="480"/>
              <w:tab w:val="right" w:leader="dot" w:pos="9396"/>
            </w:tabs>
            <w:rPr>
              <w:rFonts w:asciiTheme="minorHAnsi" w:hAnsiTheme="minorHAnsi"/>
              <w:noProof/>
              <w:kern w:val="2"/>
              <w:sz w:val="24"/>
              <w:szCs w:val="24"/>
              <w:lang w:eastAsia="en-GB"/>
              <w14:ligatures w14:val="standardContextual"/>
            </w:rPr>
          </w:pPr>
          <w:hyperlink w:anchor="_Toc242480984" w:history="1">
            <w:r w:rsidRPr="00647AB7">
              <w:rPr>
                <w:rStyle w:val="Hyperlink"/>
                <w:noProof/>
              </w:rPr>
              <w:t>1.</w:t>
            </w:r>
            <w:r w:rsidRPr="00647AB7">
              <w:rPr>
                <w:rFonts w:asciiTheme="minorHAnsi" w:hAnsiTheme="minorHAnsi"/>
                <w:noProof/>
                <w:kern w:val="2"/>
                <w:sz w:val="24"/>
                <w:szCs w:val="24"/>
                <w:lang w:eastAsia="en-GB"/>
                <w14:ligatures w14:val="standardContextual"/>
              </w:rPr>
              <w:tab/>
            </w:r>
            <w:r w:rsidRPr="00647AB7">
              <w:rPr>
                <w:rStyle w:val="Hyperlink"/>
                <w:noProof/>
              </w:rPr>
              <w:t>Introduction</w:t>
            </w:r>
            <w:r w:rsidRPr="00647AB7">
              <w:rPr>
                <w:noProof/>
                <w:webHidden/>
              </w:rPr>
              <w:tab/>
            </w:r>
            <w:r w:rsidRPr="00647AB7">
              <w:rPr>
                <w:noProof/>
                <w:webHidden/>
              </w:rPr>
              <w:fldChar w:fldCharType="begin"/>
            </w:r>
            <w:r w:rsidRPr="00647AB7">
              <w:rPr>
                <w:noProof/>
                <w:webHidden/>
              </w:rPr>
              <w:instrText xml:space="preserve"> PAGEREF _Toc242480984 \h </w:instrText>
            </w:r>
            <w:r w:rsidRPr="00647AB7">
              <w:rPr>
                <w:noProof/>
                <w:webHidden/>
              </w:rPr>
            </w:r>
            <w:r w:rsidRPr="00647AB7">
              <w:rPr>
                <w:noProof/>
                <w:webHidden/>
              </w:rPr>
              <w:fldChar w:fldCharType="separate"/>
            </w:r>
            <w:r w:rsidR="00B205E4">
              <w:rPr>
                <w:noProof/>
                <w:webHidden/>
              </w:rPr>
              <w:t>4</w:t>
            </w:r>
            <w:r w:rsidRPr="00647AB7">
              <w:rPr>
                <w:noProof/>
                <w:webHidden/>
              </w:rPr>
              <w:fldChar w:fldCharType="end"/>
            </w:r>
          </w:hyperlink>
        </w:p>
        <w:p w14:paraId="479527D0" w14:textId="656851ED" w:rsidR="003349A5" w:rsidRPr="00647AB7" w:rsidRDefault="003349A5">
          <w:pPr>
            <w:pStyle w:val="TOC1"/>
            <w:tabs>
              <w:tab w:val="left" w:pos="480"/>
              <w:tab w:val="right" w:leader="dot" w:pos="9396"/>
            </w:tabs>
            <w:rPr>
              <w:rFonts w:asciiTheme="minorHAnsi" w:hAnsiTheme="minorHAnsi"/>
              <w:noProof/>
              <w:kern w:val="2"/>
              <w:sz w:val="24"/>
              <w:szCs w:val="24"/>
              <w:lang w:eastAsia="en-GB"/>
              <w14:ligatures w14:val="standardContextual"/>
            </w:rPr>
          </w:pPr>
          <w:hyperlink w:anchor="_Toc242480985" w:history="1">
            <w:r w:rsidRPr="00647AB7">
              <w:rPr>
                <w:rStyle w:val="Hyperlink"/>
                <w:noProof/>
              </w:rPr>
              <w:t>2.</w:t>
            </w:r>
            <w:r w:rsidRPr="00647AB7">
              <w:rPr>
                <w:rFonts w:asciiTheme="minorHAnsi" w:hAnsiTheme="minorHAnsi"/>
                <w:noProof/>
                <w:kern w:val="2"/>
                <w:sz w:val="24"/>
                <w:szCs w:val="24"/>
                <w:lang w:eastAsia="en-GB"/>
                <w14:ligatures w14:val="standardContextual"/>
              </w:rPr>
              <w:tab/>
            </w:r>
            <w:r w:rsidRPr="00647AB7">
              <w:rPr>
                <w:rStyle w:val="Hyperlink"/>
                <w:noProof/>
              </w:rPr>
              <w:t>Fundamental Principles of Project Management</w:t>
            </w:r>
            <w:r w:rsidRPr="00647AB7">
              <w:rPr>
                <w:noProof/>
                <w:webHidden/>
              </w:rPr>
              <w:tab/>
            </w:r>
            <w:r w:rsidRPr="00647AB7">
              <w:rPr>
                <w:noProof/>
                <w:webHidden/>
              </w:rPr>
              <w:fldChar w:fldCharType="begin"/>
            </w:r>
            <w:r w:rsidRPr="00647AB7">
              <w:rPr>
                <w:noProof/>
                <w:webHidden/>
              </w:rPr>
              <w:instrText xml:space="preserve"> PAGEREF _Toc242480985 \h </w:instrText>
            </w:r>
            <w:r w:rsidRPr="00647AB7">
              <w:rPr>
                <w:noProof/>
                <w:webHidden/>
              </w:rPr>
            </w:r>
            <w:r w:rsidRPr="00647AB7">
              <w:rPr>
                <w:noProof/>
                <w:webHidden/>
              </w:rPr>
              <w:fldChar w:fldCharType="separate"/>
            </w:r>
            <w:r w:rsidR="00B205E4">
              <w:rPr>
                <w:noProof/>
                <w:webHidden/>
              </w:rPr>
              <w:t>4</w:t>
            </w:r>
            <w:r w:rsidRPr="00647AB7">
              <w:rPr>
                <w:noProof/>
                <w:webHidden/>
              </w:rPr>
              <w:fldChar w:fldCharType="end"/>
            </w:r>
          </w:hyperlink>
        </w:p>
        <w:p w14:paraId="4025247D" w14:textId="382EA92F" w:rsidR="003349A5" w:rsidRPr="00647AB7" w:rsidRDefault="003349A5">
          <w:pPr>
            <w:pStyle w:val="TOC2"/>
            <w:tabs>
              <w:tab w:val="right" w:leader="dot" w:pos="9396"/>
            </w:tabs>
            <w:rPr>
              <w:rFonts w:asciiTheme="minorHAnsi" w:hAnsiTheme="minorHAnsi"/>
              <w:noProof/>
              <w:kern w:val="2"/>
              <w:sz w:val="24"/>
              <w:szCs w:val="24"/>
              <w:lang w:eastAsia="en-GB"/>
              <w14:ligatures w14:val="standardContextual"/>
            </w:rPr>
          </w:pPr>
          <w:hyperlink w:anchor="_Toc242480986" w:history="1">
            <w:r w:rsidRPr="00647AB7">
              <w:rPr>
                <w:rStyle w:val="Hyperlink"/>
                <w:noProof/>
              </w:rPr>
              <w:t>2.1 Business case, objectives, and success criteria</w:t>
            </w:r>
            <w:r w:rsidRPr="00647AB7">
              <w:rPr>
                <w:noProof/>
                <w:webHidden/>
              </w:rPr>
              <w:tab/>
            </w:r>
            <w:r w:rsidRPr="00647AB7">
              <w:rPr>
                <w:noProof/>
                <w:webHidden/>
              </w:rPr>
              <w:fldChar w:fldCharType="begin"/>
            </w:r>
            <w:r w:rsidRPr="00647AB7">
              <w:rPr>
                <w:noProof/>
                <w:webHidden/>
              </w:rPr>
              <w:instrText xml:space="preserve"> PAGEREF _Toc242480986 \h </w:instrText>
            </w:r>
            <w:r w:rsidRPr="00647AB7">
              <w:rPr>
                <w:noProof/>
                <w:webHidden/>
              </w:rPr>
            </w:r>
            <w:r w:rsidRPr="00647AB7">
              <w:rPr>
                <w:noProof/>
                <w:webHidden/>
              </w:rPr>
              <w:fldChar w:fldCharType="separate"/>
            </w:r>
            <w:r w:rsidR="00B205E4">
              <w:rPr>
                <w:noProof/>
                <w:webHidden/>
              </w:rPr>
              <w:t>4</w:t>
            </w:r>
            <w:r w:rsidRPr="00647AB7">
              <w:rPr>
                <w:noProof/>
                <w:webHidden/>
              </w:rPr>
              <w:fldChar w:fldCharType="end"/>
            </w:r>
          </w:hyperlink>
        </w:p>
        <w:p w14:paraId="6BF5A5A6" w14:textId="2F4C23FE" w:rsidR="003349A5" w:rsidRPr="00647AB7" w:rsidRDefault="003349A5">
          <w:pPr>
            <w:pStyle w:val="TOC2"/>
            <w:tabs>
              <w:tab w:val="left" w:pos="960"/>
              <w:tab w:val="right" w:leader="dot" w:pos="9396"/>
            </w:tabs>
            <w:rPr>
              <w:rStyle w:val="Hyperlink"/>
              <w:noProof/>
            </w:rPr>
          </w:pPr>
          <w:hyperlink w:anchor="_Toc242480987" w:history="1">
            <w:r w:rsidRPr="00647AB7">
              <w:rPr>
                <w:rStyle w:val="Hyperlink"/>
                <w:noProof/>
              </w:rPr>
              <w:t>2.2</w:t>
            </w:r>
            <w:r w:rsidRPr="00647AB7">
              <w:rPr>
                <w:rFonts w:asciiTheme="minorHAnsi" w:hAnsiTheme="minorHAnsi"/>
                <w:noProof/>
                <w:kern w:val="2"/>
                <w:sz w:val="24"/>
                <w:szCs w:val="24"/>
                <w:lang w:eastAsia="en-GB"/>
                <w14:ligatures w14:val="standardContextual"/>
              </w:rPr>
              <w:tab/>
            </w:r>
            <w:r w:rsidRPr="00647AB7">
              <w:rPr>
                <w:rStyle w:val="Hyperlink"/>
                <w:noProof/>
              </w:rPr>
              <w:t>Scope, lifecycle, and change control</w:t>
            </w:r>
            <w:r w:rsidRPr="00647AB7">
              <w:rPr>
                <w:noProof/>
                <w:webHidden/>
              </w:rPr>
              <w:tab/>
            </w:r>
            <w:r w:rsidRPr="00647AB7">
              <w:rPr>
                <w:noProof/>
                <w:webHidden/>
              </w:rPr>
              <w:fldChar w:fldCharType="begin"/>
            </w:r>
            <w:r w:rsidRPr="00647AB7">
              <w:rPr>
                <w:noProof/>
                <w:webHidden/>
              </w:rPr>
              <w:instrText xml:space="preserve"> PAGEREF _Toc242480987 \h </w:instrText>
            </w:r>
            <w:r w:rsidRPr="00647AB7">
              <w:rPr>
                <w:noProof/>
                <w:webHidden/>
              </w:rPr>
            </w:r>
            <w:r w:rsidRPr="00647AB7">
              <w:rPr>
                <w:noProof/>
                <w:webHidden/>
              </w:rPr>
              <w:fldChar w:fldCharType="separate"/>
            </w:r>
            <w:r w:rsidR="00B205E4">
              <w:rPr>
                <w:noProof/>
                <w:webHidden/>
              </w:rPr>
              <w:t>5</w:t>
            </w:r>
            <w:r w:rsidRPr="00647AB7">
              <w:rPr>
                <w:noProof/>
                <w:webHidden/>
              </w:rPr>
              <w:fldChar w:fldCharType="end"/>
            </w:r>
          </w:hyperlink>
        </w:p>
        <w:p w14:paraId="70178C9A" w14:textId="2312D652" w:rsidR="00BF7921" w:rsidRPr="00647AB7" w:rsidRDefault="00BF7921" w:rsidP="00BF7921">
          <w:pPr>
            <w:rPr>
              <w:noProof/>
              <w:lang w:eastAsia="en-GB"/>
            </w:rPr>
          </w:pPr>
          <w:r w:rsidRPr="00647AB7">
            <w:rPr>
              <w:noProof/>
              <w:lang w:eastAsia="en-GB"/>
            </w:rPr>
            <w:t xml:space="preserve">    2.3 Governance and accountability………………………………………………………………………</w:t>
          </w:r>
          <w:r w:rsidR="006453A1" w:rsidRPr="00647AB7">
            <w:rPr>
              <w:noProof/>
              <w:lang w:eastAsia="en-GB"/>
            </w:rPr>
            <w:t>.5</w:t>
          </w:r>
        </w:p>
        <w:p w14:paraId="49E0D421" w14:textId="6AE1F75C" w:rsidR="003349A5" w:rsidRPr="00647AB7" w:rsidRDefault="003349A5">
          <w:pPr>
            <w:pStyle w:val="TOC2"/>
            <w:tabs>
              <w:tab w:val="left" w:pos="960"/>
              <w:tab w:val="right" w:leader="dot" w:pos="9396"/>
            </w:tabs>
            <w:rPr>
              <w:rFonts w:asciiTheme="minorHAnsi" w:hAnsiTheme="minorHAnsi"/>
              <w:noProof/>
              <w:kern w:val="2"/>
              <w:sz w:val="24"/>
              <w:szCs w:val="24"/>
              <w:lang w:eastAsia="en-GB"/>
              <w14:ligatures w14:val="standardContextual"/>
            </w:rPr>
          </w:pPr>
          <w:hyperlink w:anchor="_Toc242480988" w:history="1">
            <w:r w:rsidRPr="00647AB7">
              <w:rPr>
                <w:rStyle w:val="Hyperlink"/>
                <w:noProof/>
              </w:rPr>
              <w:t>2.4</w:t>
            </w:r>
            <w:r w:rsidRPr="00647AB7">
              <w:rPr>
                <w:rFonts w:asciiTheme="minorHAnsi" w:hAnsiTheme="minorHAnsi"/>
                <w:noProof/>
                <w:kern w:val="2"/>
                <w:sz w:val="24"/>
                <w:szCs w:val="24"/>
                <w:lang w:eastAsia="en-GB"/>
                <w14:ligatures w14:val="standardContextual"/>
              </w:rPr>
              <w:tab/>
            </w:r>
            <w:r w:rsidRPr="00647AB7">
              <w:rPr>
                <w:rStyle w:val="Hyperlink"/>
                <w:noProof/>
              </w:rPr>
              <w:t>Stakeholder and communication management</w:t>
            </w:r>
            <w:r w:rsidRPr="00647AB7">
              <w:rPr>
                <w:noProof/>
                <w:webHidden/>
              </w:rPr>
              <w:tab/>
            </w:r>
            <w:r w:rsidRPr="00647AB7">
              <w:rPr>
                <w:noProof/>
                <w:webHidden/>
              </w:rPr>
              <w:fldChar w:fldCharType="begin"/>
            </w:r>
            <w:r w:rsidRPr="00647AB7">
              <w:rPr>
                <w:noProof/>
                <w:webHidden/>
              </w:rPr>
              <w:instrText xml:space="preserve"> PAGEREF _Toc242480988 \h </w:instrText>
            </w:r>
            <w:r w:rsidRPr="00647AB7">
              <w:rPr>
                <w:noProof/>
                <w:webHidden/>
              </w:rPr>
            </w:r>
            <w:r w:rsidRPr="00647AB7">
              <w:rPr>
                <w:noProof/>
                <w:webHidden/>
              </w:rPr>
              <w:fldChar w:fldCharType="separate"/>
            </w:r>
            <w:r w:rsidR="00B205E4">
              <w:rPr>
                <w:noProof/>
                <w:webHidden/>
              </w:rPr>
              <w:t>6</w:t>
            </w:r>
            <w:r w:rsidRPr="00647AB7">
              <w:rPr>
                <w:noProof/>
                <w:webHidden/>
              </w:rPr>
              <w:fldChar w:fldCharType="end"/>
            </w:r>
          </w:hyperlink>
        </w:p>
        <w:p w14:paraId="5136D585" w14:textId="6866B7CC" w:rsidR="003349A5" w:rsidRPr="00647AB7" w:rsidRDefault="003349A5">
          <w:pPr>
            <w:pStyle w:val="TOC2"/>
            <w:tabs>
              <w:tab w:val="left" w:pos="960"/>
              <w:tab w:val="right" w:leader="dot" w:pos="9396"/>
            </w:tabs>
            <w:rPr>
              <w:rFonts w:asciiTheme="minorHAnsi" w:hAnsiTheme="minorHAnsi"/>
              <w:noProof/>
              <w:kern w:val="2"/>
              <w:sz w:val="24"/>
              <w:szCs w:val="24"/>
              <w:lang w:eastAsia="en-GB"/>
              <w14:ligatures w14:val="standardContextual"/>
            </w:rPr>
          </w:pPr>
          <w:hyperlink w:anchor="_Toc242480989" w:history="1">
            <w:r w:rsidRPr="00647AB7">
              <w:rPr>
                <w:rStyle w:val="Hyperlink"/>
                <w:noProof/>
              </w:rPr>
              <w:t>2.5</w:t>
            </w:r>
            <w:r w:rsidRPr="00647AB7">
              <w:rPr>
                <w:rFonts w:asciiTheme="minorHAnsi" w:hAnsiTheme="minorHAnsi"/>
                <w:noProof/>
                <w:kern w:val="2"/>
                <w:sz w:val="24"/>
                <w:szCs w:val="24"/>
                <w:lang w:eastAsia="en-GB"/>
                <w14:ligatures w14:val="standardContextual"/>
              </w:rPr>
              <w:tab/>
            </w:r>
            <w:r w:rsidRPr="00647AB7">
              <w:rPr>
                <w:rStyle w:val="Hyperlink"/>
                <w:noProof/>
              </w:rPr>
              <w:t>Schedule, cost, quality, and risk</w:t>
            </w:r>
            <w:r w:rsidRPr="00647AB7">
              <w:rPr>
                <w:noProof/>
                <w:webHidden/>
              </w:rPr>
              <w:tab/>
            </w:r>
            <w:r w:rsidRPr="00647AB7">
              <w:rPr>
                <w:noProof/>
                <w:webHidden/>
              </w:rPr>
              <w:fldChar w:fldCharType="begin"/>
            </w:r>
            <w:r w:rsidRPr="00647AB7">
              <w:rPr>
                <w:noProof/>
                <w:webHidden/>
              </w:rPr>
              <w:instrText xml:space="preserve"> PAGEREF _Toc242480989 \h </w:instrText>
            </w:r>
            <w:r w:rsidRPr="00647AB7">
              <w:rPr>
                <w:noProof/>
                <w:webHidden/>
              </w:rPr>
            </w:r>
            <w:r w:rsidRPr="00647AB7">
              <w:rPr>
                <w:noProof/>
                <w:webHidden/>
              </w:rPr>
              <w:fldChar w:fldCharType="separate"/>
            </w:r>
            <w:r w:rsidR="00B205E4">
              <w:rPr>
                <w:noProof/>
                <w:webHidden/>
              </w:rPr>
              <w:t>6</w:t>
            </w:r>
            <w:r w:rsidRPr="00647AB7">
              <w:rPr>
                <w:noProof/>
                <w:webHidden/>
              </w:rPr>
              <w:fldChar w:fldCharType="end"/>
            </w:r>
          </w:hyperlink>
        </w:p>
        <w:p w14:paraId="3FAA3FDC" w14:textId="32244FE1" w:rsidR="003349A5" w:rsidRPr="00647AB7" w:rsidRDefault="003349A5">
          <w:pPr>
            <w:pStyle w:val="TOC2"/>
            <w:tabs>
              <w:tab w:val="right" w:leader="dot" w:pos="9396"/>
            </w:tabs>
            <w:rPr>
              <w:rFonts w:asciiTheme="minorHAnsi" w:hAnsiTheme="minorHAnsi"/>
              <w:noProof/>
              <w:kern w:val="2"/>
              <w:sz w:val="24"/>
              <w:szCs w:val="24"/>
              <w:lang w:eastAsia="en-GB"/>
              <w14:ligatures w14:val="standardContextual"/>
            </w:rPr>
          </w:pPr>
          <w:hyperlink w:anchor="_Toc242480990" w:history="1">
            <w:r w:rsidRPr="00647AB7">
              <w:rPr>
                <w:rStyle w:val="Hyperlink"/>
                <w:noProof/>
              </w:rPr>
              <w:t>3.1 SWOT analysis</w:t>
            </w:r>
            <w:r w:rsidRPr="00647AB7">
              <w:rPr>
                <w:noProof/>
                <w:webHidden/>
              </w:rPr>
              <w:tab/>
            </w:r>
            <w:r w:rsidRPr="00647AB7">
              <w:rPr>
                <w:noProof/>
                <w:webHidden/>
              </w:rPr>
              <w:fldChar w:fldCharType="begin"/>
            </w:r>
            <w:r w:rsidRPr="00647AB7">
              <w:rPr>
                <w:noProof/>
                <w:webHidden/>
              </w:rPr>
              <w:instrText xml:space="preserve"> PAGEREF _Toc242480990 \h </w:instrText>
            </w:r>
            <w:r w:rsidRPr="00647AB7">
              <w:rPr>
                <w:noProof/>
                <w:webHidden/>
              </w:rPr>
            </w:r>
            <w:r w:rsidRPr="00647AB7">
              <w:rPr>
                <w:noProof/>
                <w:webHidden/>
              </w:rPr>
              <w:fldChar w:fldCharType="separate"/>
            </w:r>
            <w:r w:rsidR="00B205E4">
              <w:rPr>
                <w:noProof/>
                <w:webHidden/>
              </w:rPr>
              <w:t>7</w:t>
            </w:r>
            <w:r w:rsidRPr="00647AB7">
              <w:rPr>
                <w:noProof/>
                <w:webHidden/>
              </w:rPr>
              <w:fldChar w:fldCharType="end"/>
            </w:r>
          </w:hyperlink>
        </w:p>
        <w:p w14:paraId="0160AE06" w14:textId="1931DBBA" w:rsidR="003349A5" w:rsidRPr="00647AB7" w:rsidRDefault="003349A5">
          <w:pPr>
            <w:pStyle w:val="TOC2"/>
            <w:tabs>
              <w:tab w:val="right" w:leader="dot" w:pos="9396"/>
            </w:tabs>
            <w:rPr>
              <w:rFonts w:asciiTheme="minorHAnsi" w:hAnsiTheme="minorHAnsi"/>
              <w:noProof/>
              <w:kern w:val="2"/>
              <w:sz w:val="24"/>
              <w:szCs w:val="24"/>
              <w:lang w:eastAsia="en-GB"/>
              <w14:ligatures w14:val="standardContextual"/>
            </w:rPr>
          </w:pPr>
          <w:hyperlink w:anchor="_Toc242480991" w:history="1">
            <w:r w:rsidRPr="00647AB7">
              <w:rPr>
                <w:rStyle w:val="Hyperlink"/>
                <w:noProof/>
              </w:rPr>
              <w:t>3.2 PESTLE analysis</w:t>
            </w:r>
            <w:r w:rsidRPr="00647AB7">
              <w:rPr>
                <w:noProof/>
                <w:webHidden/>
              </w:rPr>
              <w:tab/>
            </w:r>
            <w:r w:rsidRPr="00647AB7">
              <w:rPr>
                <w:noProof/>
                <w:webHidden/>
              </w:rPr>
              <w:fldChar w:fldCharType="begin"/>
            </w:r>
            <w:r w:rsidRPr="00647AB7">
              <w:rPr>
                <w:noProof/>
                <w:webHidden/>
              </w:rPr>
              <w:instrText xml:space="preserve"> PAGEREF _Toc242480991 \h </w:instrText>
            </w:r>
            <w:r w:rsidRPr="00647AB7">
              <w:rPr>
                <w:noProof/>
                <w:webHidden/>
              </w:rPr>
            </w:r>
            <w:r w:rsidRPr="00647AB7">
              <w:rPr>
                <w:noProof/>
                <w:webHidden/>
              </w:rPr>
              <w:fldChar w:fldCharType="separate"/>
            </w:r>
            <w:r w:rsidR="00B205E4">
              <w:rPr>
                <w:noProof/>
                <w:webHidden/>
              </w:rPr>
              <w:t>8</w:t>
            </w:r>
            <w:r w:rsidRPr="00647AB7">
              <w:rPr>
                <w:noProof/>
                <w:webHidden/>
              </w:rPr>
              <w:fldChar w:fldCharType="end"/>
            </w:r>
          </w:hyperlink>
        </w:p>
        <w:p w14:paraId="7500BA26" w14:textId="3FCDBB62" w:rsidR="003349A5" w:rsidRPr="00647AB7" w:rsidRDefault="003349A5">
          <w:pPr>
            <w:pStyle w:val="TOC1"/>
            <w:tabs>
              <w:tab w:val="right" w:leader="dot" w:pos="9396"/>
            </w:tabs>
            <w:rPr>
              <w:rFonts w:asciiTheme="minorHAnsi" w:hAnsiTheme="minorHAnsi"/>
              <w:noProof/>
              <w:kern w:val="2"/>
              <w:sz w:val="24"/>
              <w:szCs w:val="24"/>
              <w:lang w:eastAsia="en-GB"/>
              <w14:ligatures w14:val="standardContextual"/>
            </w:rPr>
          </w:pPr>
          <w:hyperlink w:anchor="_Toc242480992" w:history="1">
            <w:r w:rsidRPr="00647AB7">
              <w:rPr>
                <w:rStyle w:val="Hyperlink"/>
                <w:noProof/>
              </w:rPr>
              <w:t>4. Organisational Structure, Technology and Communication</w:t>
            </w:r>
            <w:r w:rsidRPr="00647AB7">
              <w:rPr>
                <w:noProof/>
                <w:webHidden/>
              </w:rPr>
              <w:tab/>
            </w:r>
            <w:r w:rsidRPr="00647AB7">
              <w:rPr>
                <w:noProof/>
                <w:webHidden/>
              </w:rPr>
              <w:fldChar w:fldCharType="begin"/>
            </w:r>
            <w:r w:rsidRPr="00647AB7">
              <w:rPr>
                <w:noProof/>
                <w:webHidden/>
              </w:rPr>
              <w:instrText xml:space="preserve"> PAGEREF _Toc242480992 \h </w:instrText>
            </w:r>
            <w:r w:rsidRPr="00647AB7">
              <w:rPr>
                <w:noProof/>
                <w:webHidden/>
              </w:rPr>
            </w:r>
            <w:r w:rsidRPr="00647AB7">
              <w:rPr>
                <w:noProof/>
                <w:webHidden/>
              </w:rPr>
              <w:fldChar w:fldCharType="separate"/>
            </w:r>
            <w:r w:rsidR="00B205E4">
              <w:rPr>
                <w:noProof/>
                <w:webHidden/>
              </w:rPr>
              <w:t>9</w:t>
            </w:r>
            <w:r w:rsidRPr="00647AB7">
              <w:rPr>
                <w:noProof/>
                <w:webHidden/>
              </w:rPr>
              <w:fldChar w:fldCharType="end"/>
            </w:r>
          </w:hyperlink>
        </w:p>
        <w:p w14:paraId="37F236D2" w14:textId="29C85D04" w:rsidR="003349A5" w:rsidRPr="00647AB7" w:rsidRDefault="003349A5">
          <w:pPr>
            <w:pStyle w:val="TOC2"/>
            <w:tabs>
              <w:tab w:val="right" w:leader="dot" w:pos="9396"/>
            </w:tabs>
            <w:rPr>
              <w:rFonts w:asciiTheme="minorHAnsi" w:hAnsiTheme="minorHAnsi"/>
              <w:noProof/>
              <w:kern w:val="2"/>
              <w:sz w:val="24"/>
              <w:szCs w:val="24"/>
              <w:lang w:eastAsia="en-GB"/>
              <w14:ligatures w14:val="standardContextual"/>
            </w:rPr>
          </w:pPr>
          <w:hyperlink w:anchor="_Toc242480993" w:history="1">
            <w:r w:rsidRPr="00647AB7">
              <w:rPr>
                <w:rStyle w:val="Hyperlink"/>
                <w:noProof/>
              </w:rPr>
              <w:t>4.1 Organisational redesign</w:t>
            </w:r>
            <w:r w:rsidRPr="00647AB7">
              <w:rPr>
                <w:noProof/>
                <w:webHidden/>
              </w:rPr>
              <w:tab/>
            </w:r>
            <w:r w:rsidRPr="00647AB7">
              <w:rPr>
                <w:noProof/>
                <w:webHidden/>
              </w:rPr>
              <w:fldChar w:fldCharType="begin"/>
            </w:r>
            <w:r w:rsidRPr="00647AB7">
              <w:rPr>
                <w:noProof/>
                <w:webHidden/>
              </w:rPr>
              <w:instrText xml:space="preserve"> PAGEREF _Toc242480993 \h </w:instrText>
            </w:r>
            <w:r w:rsidRPr="00647AB7">
              <w:rPr>
                <w:noProof/>
                <w:webHidden/>
              </w:rPr>
            </w:r>
            <w:r w:rsidRPr="00647AB7">
              <w:rPr>
                <w:noProof/>
                <w:webHidden/>
              </w:rPr>
              <w:fldChar w:fldCharType="separate"/>
            </w:r>
            <w:r w:rsidR="00B205E4">
              <w:rPr>
                <w:noProof/>
                <w:webHidden/>
              </w:rPr>
              <w:t>9</w:t>
            </w:r>
            <w:r w:rsidRPr="00647AB7">
              <w:rPr>
                <w:noProof/>
                <w:webHidden/>
              </w:rPr>
              <w:fldChar w:fldCharType="end"/>
            </w:r>
          </w:hyperlink>
        </w:p>
        <w:p w14:paraId="622DF4C6" w14:textId="1ADE96E9" w:rsidR="003349A5" w:rsidRPr="00647AB7" w:rsidRDefault="003349A5">
          <w:pPr>
            <w:pStyle w:val="TOC2"/>
            <w:tabs>
              <w:tab w:val="right" w:leader="dot" w:pos="9396"/>
            </w:tabs>
            <w:rPr>
              <w:rFonts w:asciiTheme="minorHAnsi" w:hAnsiTheme="minorHAnsi"/>
              <w:noProof/>
              <w:kern w:val="2"/>
              <w:sz w:val="24"/>
              <w:szCs w:val="24"/>
              <w:lang w:eastAsia="en-GB"/>
              <w14:ligatures w14:val="standardContextual"/>
            </w:rPr>
          </w:pPr>
          <w:hyperlink w:anchor="_Toc242480994" w:history="1">
            <w:r w:rsidRPr="00647AB7">
              <w:rPr>
                <w:rStyle w:val="Hyperlink"/>
                <w:noProof/>
              </w:rPr>
              <w:t>4.2 Digital technology and information flow</w:t>
            </w:r>
            <w:r w:rsidRPr="00647AB7">
              <w:rPr>
                <w:noProof/>
                <w:webHidden/>
              </w:rPr>
              <w:tab/>
            </w:r>
            <w:r w:rsidRPr="00647AB7">
              <w:rPr>
                <w:noProof/>
                <w:webHidden/>
              </w:rPr>
              <w:fldChar w:fldCharType="begin"/>
            </w:r>
            <w:r w:rsidRPr="00647AB7">
              <w:rPr>
                <w:noProof/>
                <w:webHidden/>
              </w:rPr>
              <w:instrText xml:space="preserve"> PAGEREF _Toc242480994 \h </w:instrText>
            </w:r>
            <w:r w:rsidRPr="00647AB7">
              <w:rPr>
                <w:noProof/>
                <w:webHidden/>
              </w:rPr>
            </w:r>
            <w:r w:rsidRPr="00647AB7">
              <w:rPr>
                <w:noProof/>
                <w:webHidden/>
              </w:rPr>
              <w:fldChar w:fldCharType="separate"/>
            </w:r>
            <w:r w:rsidR="00B205E4">
              <w:rPr>
                <w:noProof/>
                <w:webHidden/>
              </w:rPr>
              <w:t>10</w:t>
            </w:r>
            <w:r w:rsidRPr="00647AB7">
              <w:rPr>
                <w:noProof/>
                <w:webHidden/>
              </w:rPr>
              <w:fldChar w:fldCharType="end"/>
            </w:r>
          </w:hyperlink>
        </w:p>
        <w:p w14:paraId="18142BA5" w14:textId="3BFF71AE" w:rsidR="003349A5" w:rsidRPr="00647AB7" w:rsidRDefault="003349A5">
          <w:pPr>
            <w:pStyle w:val="TOC2"/>
            <w:tabs>
              <w:tab w:val="right" w:leader="dot" w:pos="9396"/>
            </w:tabs>
            <w:rPr>
              <w:rFonts w:asciiTheme="minorHAnsi" w:hAnsiTheme="minorHAnsi"/>
              <w:noProof/>
              <w:kern w:val="2"/>
              <w:sz w:val="24"/>
              <w:szCs w:val="24"/>
              <w:lang w:eastAsia="en-GB"/>
              <w14:ligatures w14:val="standardContextual"/>
            </w:rPr>
          </w:pPr>
          <w:hyperlink w:anchor="_Toc242480995" w:history="1">
            <w:r w:rsidRPr="00647AB7">
              <w:rPr>
                <w:rStyle w:val="Hyperlink"/>
                <w:noProof/>
              </w:rPr>
              <w:t>4.3 Supply-chain communication</w:t>
            </w:r>
            <w:r w:rsidRPr="00647AB7">
              <w:rPr>
                <w:noProof/>
                <w:webHidden/>
              </w:rPr>
              <w:tab/>
            </w:r>
            <w:r w:rsidRPr="00647AB7">
              <w:rPr>
                <w:noProof/>
                <w:webHidden/>
              </w:rPr>
              <w:fldChar w:fldCharType="begin"/>
            </w:r>
            <w:r w:rsidRPr="00647AB7">
              <w:rPr>
                <w:noProof/>
                <w:webHidden/>
              </w:rPr>
              <w:instrText xml:space="preserve"> PAGEREF _Toc242480995 \h </w:instrText>
            </w:r>
            <w:r w:rsidRPr="00647AB7">
              <w:rPr>
                <w:noProof/>
                <w:webHidden/>
              </w:rPr>
            </w:r>
            <w:r w:rsidRPr="00647AB7">
              <w:rPr>
                <w:noProof/>
                <w:webHidden/>
              </w:rPr>
              <w:fldChar w:fldCharType="separate"/>
            </w:r>
            <w:r w:rsidR="00B205E4">
              <w:rPr>
                <w:noProof/>
                <w:webHidden/>
              </w:rPr>
              <w:t>10</w:t>
            </w:r>
            <w:r w:rsidRPr="00647AB7">
              <w:rPr>
                <w:noProof/>
                <w:webHidden/>
              </w:rPr>
              <w:fldChar w:fldCharType="end"/>
            </w:r>
          </w:hyperlink>
        </w:p>
        <w:p w14:paraId="58DB1901" w14:textId="32A0DE30" w:rsidR="003349A5" w:rsidRPr="00647AB7" w:rsidRDefault="003349A5">
          <w:pPr>
            <w:pStyle w:val="TOC1"/>
            <w:tabs>
              <w:tab w:val="right" w:leader="dot" w:pos="9396"/>
            </w:tabs>
            <w:rPr>
              <w:rFonts w:asciiTheme="minorHAnsi" w:hAnsiTheme="minorHAnsi"/>
              <w:noProof/>
              <w:kern w:val="2"/>
              <w:sz w:val="24"/>
              <w:szCs w:val="24"/>
              <w:lang w:eastAsia="en-GB"/>
              <w14:ligatures w14:val="standardContextual"/>
            </w:rPr>
          </w:pPr>
          <w:hyperlink w:anchor="_Toc242480996" w:history="1">
            <w:r w:rsidRPr="00647AB7">
              <w:rPr>
                <w:rStyle w:val="Hyperlink"/>
                <w:noProof/>
              </w:rPr>
              <w:t>5. Relocation, Change Management and Leadership</w:t>
            </w:r>
            <w:r w:rsidRPr="00647AB7">
              <w:rPr>
                <w:noProof/>
                <w:webHidden/>
              </w:rPr>
              <w:tab/>
            </w:r>
            <w:r w:rsidRPr="00647AB7">
              <w:rPr>
                <w:noProof/>
                <w:webHidden/>
              </w:rPr>
              <w:fldChar w:fldCharType="begin"/>
            </w:r>
            <w:r w:rsidRPr="00647AB7">
              <w:rPr>
                <w:noProof/>
                <w:webHidden/>
              </w:rPr>
              <w:instrText xml:space="preserve"> PAGEREF _Toc242480996 \h </w:instrText>
            </w:r>
            <w:r w:rsidRPr="00647AB7">
              <w:rPr>
                <w:noProof/>
                <w:webHidden/>
              </w:rPr>
            </w:r>
            <w:r w:rsidRPr="00647AB7">
              <w:rPr>
                <w:noProof/>
                <w:webHidden/>
              </w:rPr>
              <w:fldChar w:fldCharType="separate"/>
            </w:r>
            <w:r w:rsidR="00B205E4">
              <w:rPr>
                <w:noProof/>
                <w:webHidden/>
              </w:rPr>
              <w:t>11</w:t>
            </w:r>
            <w:r w:rsidRPr="00647AB7">
              <w:rPr>
                <w:noProof/>
                <w:webHidden/>
              </w:rPr>
              <w:fldChar w:fldCharType="end"/>
            </w:r>
          </w:hyperlink>
        </w:p>
        <w:p w14:paraId="685B20D0" w14:textId="6E1FC23E" w:rsidR="003349A5" w:rsidRPr="00647AB7" w:rsidRDefault="003349A5">
          <w:pPr>
            <w:pStyle w:val="TOC2"/>
            <w:tabs>
              <w:tab w:val="right" w:leader="dot" w:pos="9396"/>
            </w:tabs>
            <w:rPr>
              <w:rFonts w:asciiTheme="minorHAnsi" w:hAnsiTheme="minorHAnsi"/>
              <w:noProof/>
              <w:kern w:val="2"/>
              <w:sz w:val="24"/>
              <w:szCs w:val="24"/>
              <w:lang w:eastAsia="en-GB"/>
              <w14:ligatures w14:val="standardContextual"/>
            </w:rPr>
          </w:pPr>
          <w:hyperlink w:anchor="_Toc242480997" w:history="1">
            <w:r w:rsidRPr="00647AB7">
              <w:rPr>
                <w:rStyle w:val="Hyperlink"/>
                <w:noProof/>
              </w:rPr>
              <w:t>5.1 Managing the physical transition.</w:t>
            </w:r>
            <w:r w:rsidRPr="00647AB7">
              <w:rPr>
                <w:noProof/>
                <w:webHidden/>
              </w:rPr>
              <w:tab/>
            </w:r>
            <w:r w:rsidRPr="00647AB7">
              <w:rPr>
                <w:noProof/>
                <w:webHidden/>
              </w:rPr>
              <w:fldChar w:fldCharType="begin"/>
            </w:r>
            <w:r w:rsidRPr="00647AB7">
              <w:rPr>
                <w:noProof/>
                <w:webHidden/>
              </w:rPr>
              <w:instrText xml:space="preserve"> PAGEREF _Toc242480997 \h </w:instrText>
            </w:r>
            <w:r w:rsidRPr="00647AB7">
              <w:rPr>
                <w:noProof/>
                <w:webHidden/>
              </w:rPr>
            </w:r>
            <w:r w:rsidRPr="00647AB7">
              <w:rPr>
                <w:noProof/>
                <w:webHidden/>
              </w:rPr>
              <w:fldChar w:fldCharType="separate"/>
            </w:r>
            <w:r w:rsidR="00B205E4">
              <w:rPr>
                <w:noProof/>
                <w:webHidden/>
              </w:rPr>
              <w:t>11</w:t>
            </w:r>
            <w:r w:rsidRPr="00647AB7">
              <w:rPr>
                <w:noProof/>
                <w:webHidden/>
              </w:rPr>
              <w:fldChar w:fldCharType="end"/>
            </w:r>
          </w:hyperlink>
        </w:p>
        <w:p w14:paraId="0B06C985" w14:textId="7B51A630" w:rsidR="003349A5" w:rsidRPr="00647AB7" w:rsidRDefault="003349A5">
          <w:pPr>
            <w:pStyle w:val="TOC2"/>
            <w:tabs>
              <w:tab w:val="right" w:leader="dot" w:pos="9396"/>
            </w:tabs>
            <w:rPr>
              <w:rFonts w:asciiTheme="minorHAnsi" w:hAnsiTheme="minorHAnsi"/>
              <w:noProof/>
              <w:kern w:val="2"/>
              <w:sz w:val="24"/>
              <w:szCs w:val="24"/>
              <w:lang w:eastAsia="en-GB"/>
              <w14:ligatures w14:val="standardContextual"/>
            </w:rPr>
          </w:pPr>
          <w:hyperlink w:anchor="_Toc242480998" w:history="1">
            <w:r w:rsidRPr="00647AB7">
              <w:rPr>
                <w:rStyle w:val="Hyperlink"/>
                <w:noProof/>
              </w:rPr>
              <w:t>5.2 Managing organisational change.</w:t>
            </w:r>
            <w:r w:rsidRPr="00647AB7">
              <w:rPr>
                <w:noProof/>
                <w:webHidden/>
              </w:rPr>
              <w:tab/>
            </w:r>
            <w:r w:rsidRPr="00647AB7">
              <w:rPr>
                <w:noProof/>
                <w:webHidden/>
              </w:rPr>
              <w:fldChar w:fldCharType="begin"/>
            </w:r>
            <w:r w:rsidRPr="00647AB7">
              <w:rPr>
                <w:noProof/>
                <w:webHidden/>
              </w:rPr>
              <w:instrText xml:space="preserve"> PAGEREF _Toc242480998 \h </w:instrText>
            </w:r>
            <w:r w:rsidRPr="00647AB7">
              <w:rPr>
                <w:noProof/>
                <w:webHidden/>
              </w:rPr>
            </w:r>
            <w:r w:rsidRPr="00647AB7">
              <w:rPr>
                <w:noProof/>
                <w:webHidden/>
              </w:rPr>
              <w:fldChar w:fldCharType="separate"/>
            </w:r>
            <w:r w:rsidR="00B205E4">
              <w:rPr>
                <w:noProof/>
                <w:webHidden/>
              </w:rPr>
              <w:t>11</w:t>
            </w:r>
            <w:r w:rsidRPr="00647AB7">
              <w:rPr>
                <w:noProof/>
                <w:webHidden/>
              </w:rPr>
              <w:fldChar w:fldCharType="end"/>
            </w:r>
          </w:hyperlink>
        </w:p>
        <w:p w14:paraId="1E6DB3C2" w14:textId="49CFC595" w:rsidR="003349A5" w:rsidRPr="00647AB7" w:rsidRDefault="003349A5">
          <w:pPr>
            <w:pStyle w:val="TOC2"/>
            <w:tabs>
              <w:tab w:val="right" w:leader="dot" w:pos="9396"/>
            </w:tabs>
            <w:rPr>
              <w:rFonts w:asciiTheme="minorHAnsi" w:hAnsiTheme="minorHAnsi"/>
              <w:noProof/>
              <w:kern w:val="2"/>
              <w:sz w:val="24"/>
              <w:szCs w:val="24"/>
              <w:lang w:eastAsia="en-GB"/>
              <w14:ligatures w14:val="standardContextual"/>
            </w:rPr>
          </w:pPr>
          <w:hyperlink w:anchor="_Toc242480999" w:history="1">
            <w:r w:rsidRPr="00647AB7">
              <w:rPr>
                <w:rStyle w:val="Hyperlink"/>
                <w:noProof/>
              </w:rPr>
              <w:t>5.3 Leadership styles</w:t>
            </w:r>
            <w:r w:rsidRPr="00647AB7">
              <w:rPr>
                <w:noProof/>
                <w:webHidden/>
              </w:rPr>
              <w:tab/>
            </w:r>
            <w:r w:rsidRPr="00647AB7">
              <w:rPr>
                <w:noProof/>
                <w:webHidden/>
              </w:rPr>
              <w:fldChar w:fldCharType="begin"/>
            </w:r>
            <w:r w:rsidRPr="00647AB7">
              <w:rPr>
                <w:noProof/>
                <w:webHidden/>
              </w:rPr>
              <w:instrText xml:space="preserve"> PAGEREF _Toc242480999 \h </w:instrText>
            </w:r>
            <w:r w:rsidRPr="00647AB7">
              <w:rPr>
                <w:noProof/>
                <w:webHidden/>
              </w:rPr>
            </w:r>
            <w:r w:rsidRPr="00647AB7">
              <w:rPr>
                <w:noProof/>
                <w:webHidden/>
              </w:rPr>
              <w:fldChar w:fldCharType="separate"/>
            </w:r>
            <w:r w:rsidR="00B205E4">
              <w:rPr>
                <w:noProof/>
                <w:webHidden/>
              </w:rPr>
              <w:t>12</w:t>
            </w:r>
            <w:r w:rsidRPr="00647AB7">
              <w:rPr>
                <w:noProof/>
                <w:webHidden/>
              </w:rPr>
              <w:fldChar w:fldCharType="end"/>
            </w:r>
          </w:hyperlink>
        </w:p>
        <w:p w14:paraId="7195D50B" w14:textId="37B6CC53" w:rsidR="003349A5" w:rsidRPr="00647AB7" w:rsidRDefault="003349A5">
          <w:pPr>
            <w:pStyle w:val="TOC1"/>
            <w:tabs>
              <w:tab w:val="right" w:leader="dot" w:pos="9396"/>
            </w:tabs>
            <w:rPr>
              <w:rFonts w:asciiTheme="minorHAnsi" w:hAnsiTheme="minorHAnsi"/>
              <w:noProof/>
              <w:kern w:val="2"/>
              <w:sz w:val="24"/>
              <w:szCs w:val="24"/>
              <w:lang w:eastAsia="en-GB"/>
              <w14:ligatures w14:val="standardContextual"/>
            </w:rPr>
          </w:pPr>
          <w:hyperlink w:anchor="_Toc242481000" w:history="1">
            <w:r w:rsidRPr="00647AB7">
              <w:rPr>
                <w:rStyle w:val="Hyperlink"/>
                <w:noProof/>
              </w:rPr>
              <w:t>6. Recommendations and Conclusion</w:t>
            </w:r>
            <w:r w:rsidRPr="00647AB7">
              <w:rPr>
                <w:noProof/>
                <w:webHidden/>
              </w:rPr>
              <w:tab/>
            </w:r>
            <w:r w:rsidRPr="00647AB7">
              <w:rPr>
                <w:noProof/>
                <w:webHidden/>
              </w:rPr>
              <w:fldChar w:fldCharType="begin"/>
            </w:r>
            <w:r w:rsidRPr="00647AB7">
              <w:rPr>
                <w:noProof/>
                <w:webHidden/>
              </w:rPr>
              <w:instrText xml:space="preserve"> PAGEREF _Toc242481000 \h </w:instrText>
            </w:r>
            <w:r w:rsidRPr="00647AB7">
              <w:rPr>
                <w:noProof/>
                <w:webHidden/>
              </w:rPr>
            </w:r>
            <w:r w:rsidRPr="00647AB7">
              <w:rPr>
                <w:noProof/>
                <w:webHidden/>
              </w:rPr>
              <w:fldChar w:fldCharType="separate"/>
            </w:r>
            <w:r w:rsidR="00B205E4">
              <w:rPr>
                <w:noProof/>
                <w:webHidden/>
              </w:rPr>
              <w:t>13</w:t>
            </w:r>
            <w:r w:rsidRPr="00647AB7">
              <w:rPr>
                <w:noProof/>
                <w:webHidden/>
              </w:rPr>
              <w:fldChar w:fldCharType="end"/>
            </w:r>
          </w:hyperlink>
        </w:p>
        <w:p w14:paraId="1C1AF059" w14:textId="5AAED664" w:rsidR="003349A5" w:rsidRPr="00647AB7" w:rsidRDefault="003349A5">
          <w:pPr>
            <w:pStyle w:val="TOC1"/>
            <w:tabs>
              <w:tab w:val="right" w:leader="dot" w:pos="9396"/>
            </w:tabs>
            <w:rPr>
              <w:rFonts w:asciiTheme="minorHAnsi" w:hAnsiTheme="minorHAnsi"/>
              <w:noProof/>
              <w:kern w:val="2"/>
              <w:sz w:val="24"/>
              <w:szCs w:val="24"/>
              <w:lang w:eastAsia="en-GB"/>
              <w14:ligatures w14:val="standardContextual"/>
            </w:rPr>
          </w:pPr>
          <w:hyperlink w:anchor="_Toc242481001" w:history="1">
            <w:r w:rsidRPr="00647AB7">
              <w:rPr>
                <w:rStyle w:val="Hyperlink"/>
                <w:noProof/>
              </w:rPr>
              <w:t>References</w:t>
            </w:r>
            <w:r w:rsidRPr="00647AB7">
              <w:rPr>
                <w:noProof/>
                <w:webHidden/>
              </w:rPr>
              <w:tab/>
            </w:r>
            <w:r w:rsidRPr="00647AB7">
              <w:rPr>
                <w:noProof/>
                <w:webHidden/>
              </w:rPr>
              <w:fldChar w:fldCharType="begin"/>
            </w:r>
            <w:r w:rsidRPr="00647AB7">
              <w:rPr>
                <w:noProof/>
                <w:webHidden/>
              </w:rPr>
              <w:instrText xml:space="preserve"> PAGEREF _Toc242481001 \h </w:instrText>
            </w:r>
            <w:r w:rsidRPr="00647AB7">
              <w:rPr>
                <w:noProof/>
                <w:webHidden/>
              </w:rPr>
            </w:r>
            <w:r w:rsidRPr="00647AB7">
              <w:rPr>
                <w:noProof/>
                <w:webHidden/>
              </w:rPr>
              <w:fldChar w:fldCharType="separate"/>
            </w:r>
            <w:r w:rsidR="00B205E4">
              <w:rPr>
                <w:noProof/>
                <w:webHidden/>
              </w:rPr>
              <w:t>14</w:t>
            </w:r>
            <w:r w:rsidRPr="00647AB7">
              <w:rPr>
                <w:noProof/>
                <w:webHidden/>
              </w:rPr>
              <w:fldChar w:fldCharType="end"/>
            </w:r>
          </w:hyperlink>
        </w:p>
        <w:p w14:paraId="453A91EA" w14:textId="508348CB" w:rsidR="003349A5" w:rsidRPr="00647AB7" w:rsidRDefault="003349A5">
          <w:r w:rsidRPr="00647AB7">
            <w:rPr>
              <w:b/>
              <w:bCs/>
            </w:rPr>
            <w:fldChar w:fldCharType="end"/>
          </w:r>
        </w:p>
      </w:sdtContent>
    </w:sdt>
    <w:p w14:paraId="01199CBE" w14:textId="77777777" w:rsidR="009E0D87" w:rsidRPr="00647AB7" w:rsidRDefault="00BD2F48">
      <w:pPr>
        <w:pStyle w:val="Heading1"/>
      </w:pPr>
      <w:bookmarkStart w:id="1" w:name="_Toc242480983"/>
      <w:r w:rsidRPr="00647AB7">
        <w:t>List of Figures and Tables</w:t>
      </w:r>
      <w:bookmarkEnd w:id="1"/>
    </w:p>
    <w:p w14:paraId="4E9ED73A" w14:textId="27FE6289" w:rsidR="009E0D87" w:rsidRPr="00647AB7" w:rsidRDefault="00BD2F48">
      <w:pPr>
        <w:jc w:val="both"/>
      </w:pPr>
      <w:r w:rsidRPr="00647AB7">
        <w:t xml:space="preserve">Figure 1. Proposed phased project </w:t>
      </w:r>
      <w:r w:rsidR="00DB6106" w:rsidRPr="00647AB7">
        <w:t>lifecycle.</w:t>
      </w:r>
    </w:p>
    <w:p w14:paraId="3EB39A5F" w14:textId="2B9C625A" w:rsidR="009E0D87" w:rsidRPr="00647AB7" w:rsidRDefault="00BD2F48">
      <w:pPr>
        <w:jc w:val="both"/>
      </w:pPr>
      <w:r w:rsidRPr="00647AB7">
        <w:t xml:space="preserve">Figure 2. Proposed functional organisational </w:t>
      </w:r>
      <w:r w:rsidR="00DB6106" w:rsidRPr="00647AB7">
        <w:t>structure.</w:t>
      </w:r>
    </w:p>
    <w:p w14:paraId="0B360CB3" w14:textId="77777777" w:rsidR="009E0D87" w:rsidRPr="00647AB7" w:rsidRDefault="00BD2F48">
      <w:pPr>
        <w:jc w:val="both"/>
      </w:pPr>
      <w:r w:rsidRPr="00647AB7">
        <w:t>Table 1. SWOT analysis</w:t>
      </w:r>
    </w:p>
    <w:p w14:paraId="3391EEDE" w14:textId="77777777" w:rsidR="009E0D87" w:rsidRPr="00647AB7" w:rsidRDefault="00BD2F48">
      <w:pPr>
        <w:jc w:val="both"/>
      </w:pPr>
      <w:r w:rsidRPr="00647AB7">
        <w:t>Table 2. PESTLE analysis</w:t>
      </w:r>
    </w:p>
    <w:p w14:paraId="00858B33" w14:textId="77777777" w:rsidR="009E0D87" w:rsidRPr="00647AB7" w:rsidRDefault="00BD2F48">
      <w:r w:rsidRPr="00647AB7">
        <w:br w:type="page"/>
      </w:r>
    </w:p>
    <w:p w14:paraId="4A5AAC5F" w14:textId="1CB2A77D" w:rsidR="00763831" w:rsidRPr="00647AB7" w:rsidRDefault="00BD2F48" w:rsidP="00763831">
      <w:pPr>
        <w:pStyle w:val="Heading1"/>
        <w:numPr>
          <w:ilvl w:val="0"/>
          <w:numId w:val="10"/>
        </w:numPr>
      </w:pPr>
      <w:bookmarkStart w:id="2" w:name="_Toc242480984"/>
      <w:r w:rsidRPr="00647AB7">
        <w:lastRenderedPageBreak/>
        <w:t>Introductio</w:t>
      </w:r>
      <w:r w:rsidR="00763831" w:rsidRPr="00647AB7">
        <w:t>n</w:t>
      </w:r>
      <w:bookmarkEnd w:id="2"/>
    </w:p>
    <w:p w14:paraId="2B2C9536" w14:textId="77777777" w:rsidR="00763831" w:rsidRPr="00647AB7" w:rsidRDefault="00763831" w:rsidP="00763831"/>
    <w:p w14:paraId="2D7E2194" w14:textId="7F1E83FD" w:rsidR="009E0D87" w:rsidRPr="00647AB7" w:rsidRDefault="00BD2F48">
      <w:pPr>
        <w:jc w:val="both"/>
        <w:rPr>
          <w:sz w:val="24"/>
          <w:szCs w:val="24"/>
        </w:rPr>
      </w:pPr>
      <w:r w:rsidRPr="00647AB7">
        <w:rPr>
          <w:sz w:val="24"/>
          <w:szCs w:val="24"/>
        </w:rPr>
        <w:t xml:space="preserve">The smoothie manufacturer has reached a transition point between entrepreneurial growth and more structured organisational development. Three university friends established the business and currently operate from a small unit. Strong sales through two major UK supermarkets and interest from a third indicate substantial market demand. Larger premises could provide additional capacity and enable diversification into coconut water, children’s juice, healthy </w:t>
      </w:r>
      <w:r w:rsidR="00521EC1" w:rsidRPr="00647AB7">
        <w:rPr>
          <w:sz w:val="24"/>
          <w:szCs w:val="24"/>
        </w:rPr>
        <w:t>soups,</w:t>
      </w:r>
      <w:r w:rsidRPr="00647AB7">
        <w:rPr>
          <w:sz w:val="24"/>
          <w:szCs w:val="24"/>
        </w:rPr>
        <w:t xml:space="preserve"> and yoghurt-based drinks.</w:t>
      </w:r>
    </w:p>
    <w:p w14:paraId="5ADAFC66" w14:textId="22453221" w:rsidR="009E0D87" w:rsidRPr="00647AB7" w:rsidRDefault="00BD2F48">
      <w:pPr>
        <w:jc w:val="both"/>
        <w:rPr>
          <w:sz w:val="24"/>
          <w:szCs w:val="24"/>
        </w:rPr>
      </w:pPr>
      <w:r w:rsidRPr="00647AB7">
        <w:rPr>
          <w:sz w:val="24"/>
          <w:szCs w:val="24"/>
        </w:rPr>
        <w:t xml:space="preserve">Growth has also exposed operational weaknesses. Although the company has established relationships with fruit growers and transport providers, the case reports missed collections and deliveries, deterioration in quality, poor communication, an ineffective organisational </w:t>
      </w:r>
      <w:r w:rsidR="00521EC1" w:rsidRPr="00647AB7">
        <w:rPr>
          <w:sz w:val="24"/>
          <w:szCs w:val="24"/>
        </w:rPr>
        <w:t>structure,</w:t>
      </w:r>
      <w:r w:rsidRPr="00647AB7">
        <w:rPr>
          <w:sz w:val="24"/>
          <w:szCs w:val="24"/>
        </w:rPr>
        <w:t xml:space="preserve"> and weak management of change. These issues are strategically important because additional volume will increase the number of transactions, production </w:t>
      </w:r>
      <w:r w:rsidR="00521EC1" w:rsidRPr="00647AB7">
        <w:rPr>
          <w:sz w:val="24"/>
          <w:szCs w:val="24"/>
        </w:rPr>
        <w:t>decisions,</w:t>
      </w:r>
      <w:r w:rsidRPr="00647AB7">
        <w:rPr>
          <w:sz w:val="24"/>
          <w:szCs w:val="24"/>
        </w:rPr>
        <w:t xml:space="preserve"> and supply-chain dependencies that the business must coordinate.</w:t>
      </w:r>
    </w:p>
    <w:p w14:paraId="1E11BE25" w14:textId="27FC1E99" w:rsidR="009E0D87" w:rsidRPr="00647AB7" w:rsidRDefault="00BD2F48">
      <w:pPr>
        <w:jc w:val="both"/>
        <w:rPr>
          <w:sz w:val="24"/>
          <w:szCs w:val="24"/>
        </w:rPr>
      </w:pPr>
      <w:r w:rsidRPr="00647AB7">
        <w:rPr>
          <w:sz w:val="24"/>
          <w:szCs w:val="24"/>
        </w:rPr>
        <w:t xml:space="preserve">Relocation should therefore be treated as an organisational change project rather than an isolated property decision. Increasing physical capacity without improving managerial capability could magnify existing weaknesses. This report evaluates the project-management principles applicable to the case, undertakes SWOT and PESTLE analysis, proposes organisational and technological improvements, and evaluates relocation and leadership issues. The central argument is that relocation is </w:t>
      </w:r>
      <w:r w:rsidR="00DB6106" w:rsidRPr="00647AB7">
        <w:rPr>
          <w:sz w:val="24"/>
          <w:szCs w:val="24"/>
        </w:rPr>
        <w:t>feasible but</w:t>
      </w:r>
      <w:r w:rsidRPr="00647AB7">
        <w:rPr>
          <w:sz w:val="24"/>
          <w:szCs w:val="24"/>
        </w:rPr>
        <w:t xml:space="preserve"> should proceed through a phased and formally governed project in which operational capability develops alongside physical capacity.</w:t>
      </w:r>
    </w:p>
    <w:p w14:paraId="29B84E96" w14:textId="128296E5" w:rsidR="009E0D87" w:rsidRPr="00647AB7" w:rsidRDefault="00BD2F48" w:rsidP="00763831">
      <w:pPr>
        <w:pStyle w:val="Heading1"/>
        <w:numPr>
          <w:ilvl w:val="0"/>
          <w:numId w:val="10"/>
        </w:numPr>
      </w:pPr>
      <w:bookmarkStart w:id="3" w:name="_Toc242480985"/>
      <w:r w:rsidRPr="00647AB7">
        <w:t>Fundamental Principles of Project Management</w:t>
      </w:r>
      <w:bookmarkEnd w:id="3"/>
    </w:p>
    <w:p w14:paraId="03DEB997" w14:textId="77777777" w:rsidR="00763831" w:rsidRPr="00647AB7" w:rsidRDefault="00763831" w:rsidP="00763831">
      <w:pPr>
        <w:pStyle w:val="ListParagraph"/>
      </w:pPr>
    </w:p>
    <w:p w14:paraId="1EAB8C5D" w14:textId="3922965D" w:rsidR="009E0D87" w:rsidRPr="00647AB7" w:rsidRDefault="00BD2F48">
      <w:pPr>
        <w:pStyle w:val="Heading2"/>
      </w:pPr>
      <w:bookmarkStart w:id="4" w:name="_Toc242480986"/>
      <w:r w:rsidRPr="00647AB7">
        <w:t xml:space="preserve">2.1 Business case, </w:t>
      </w:r>
      <w:r w:rsidR="00521EC1" w:rsidRPr="00647AB7">
        <w:t>objectives,</w:t>
      </w:r>
      <w:r w:rsidRPr="00647AB7">
        <w:t xml:space="preserve"> and success criteria</w:t>
      </w:r>
      <w:bookmarkEnd w:id="4"/>
    </w:p>
    <w:p w14:paraId="3C8A5793" w14:textId="77777777" w:rsidR="00C43444" w:rsidRPr="00647AB7" w:rsidRDefault="00C43444" w:rsidP="00C43444"/>
    <w:p w14:paraId="36348448" w14:textId="2A2DAC9D" w:rsidR="009E0D87" w:rsidRPr="00647AB7" w:rsidRDefault="00BD2F48">
      <w:pPr>
        <w:jc w:val="both"/>
        <w:rPr>
          <w:sz w:val="24"/>
          <w:szCs w:val="24"/>
        </w:rPr>
      </w:pPr>
      <w:r w:rsidRPr="00647AB7">
        <w:rPr>
          <w:sz w:val="24"/>
          <w:szCs w:val="24"/>
        </w:rPr>
        <w:t xml:space="preserve">The first requirement is a formal business case. The commercial rationale is credible because current products are selling strongly and another supermarket wishes to stock them. Demand alone, however, does not prove that relocation is the best investment. The directors should compare at least three options: optimise the current site; relocate existing production without immediate diversification; or relocate while simultaneously introducing several new product categories. Each option should be assessed against capital requirements, capacity, operating cost, expected benefits, implementation </w:t>
      </w:r>
      <w:r w:rsidR="00521EC1" w:rsidRPr="00647AB7">
        <w:rPr>
          <w:sz w:val="24"/>
          <w:szCs w:val="24"/>
        </w:rPr>
        <w:t>risk,</w:t>
      </w:r>
      <w:r w:rsidRPr="00647AB7">
        <w:rPr>
          <w:sz w:val="24"/>
          <w:szCs w:val="24"/>
        </w:rPr>
        <w:t xml:space="preserve"> and strategic fit.</w:t>
      </w:r>
    </w:p>
    <w:p w14:paraId="17C3965A" w14:textId="702FACD2" w:rsidR="009E0D87" w:rsidRPr="00647AB7" w:rsidRDefault="00BD2F48">
      <w:pPr>
        <w:jc w:val="both"/>
        <w:rPr>
          <w:sz w:val="24"/>
          <w:szCs w:val="24"/>
        </w:rPr>
      </w:pPr>
      <w:r w:rsidRPr="00647AB7">
        <w:rPr>
          <w:sz w:val="24"/>
          <w:szCs w:val="24"/>
        </w:rPr>
        <w:t xml:space="preserve">The third option offers the greatest growth potential but also creates the greatest complexity. Relocating production, introducing </w:t>
      </w:r>
      <w:r w:rsidR="00521EC1" w:rsidRPr="00647AB7">
        <w:rPr>
          <w:sz w:val="24"/>
          <w:szCs w:val="24"/>
        </w:rPr>
        <w:t>innovative technology,</w:t>
      </w:r>
      <w:r w:rsidRPr="00647AB7">
        <w:rPr>
          <w:sz w:val="24"/>
          <w:szCs w:val="24"/>
        </w:rPr>
        <w:t xml:space="preserve"> and launching </w:t>
      </w:r>
      <w:r w:rsidRPr="00647AB7">
        <w:rPr>
          <w:sz w:val="24"/>
          <w:szCs w:val="24"/>
        </w:rPr>
        <w:lastRenderedPageBreak/>
        <w:t>several product categories at the same time could exceed the management capacity of a small organisation already experiencing communication and quality problems. A staged approach is therefore more defensible: transfer and stabilise existing smoothie production before major diversification.</w:t>
      </w:r>
    </w:p>
    <w:p w14:paraId="456BA627" w14:textId="1A4600C8" w:rsidR="009E0D87" w:rsidRPr="00647AB7" w:rsidRDefault="00BD2F48">
      <w:pPr>
        <w:jc w:val="both"/>
        <w:rPr>
          <w:sz w:val="24"/>
          <w:szCs w:val="24"/>
        </w:rPr>
      </w:pPr>
      <w:r w:rsidRPr="00647AB7">
        <w:rPr>
          <w:sz w:val="24"/>
          <w:szCs w:val="24"/>
        </w:rPr>
        <w:t>Project success should extend beyond completing the move on time and within budget. Musawir et al. (2017), using an international survey of 333 projects, found that effective project governance improves project success directly and through stronger benefits management, while a high-quality</w:t>
      </w:r>
      <w:r w:rsidRPr="00647AB7">
        <w:t xml:space="preserve"> </w:t>
      </w:r>
      <w:r w:rsidRPr="00647AB7">
        <w:rPr>
          <w:sz w:val="24"/>
          <w:szCs w:val="24"/>
        </w:rPr>
        <w:t xml:space="preserve">business case is particularly important. For this company, the business case should therefore define measurable benefits such as additional capacity, improved on-time delivery, stable product quality, reduced </w:t>
      </w:r>
      <w:r w:rsidR="00521EC1" w:rsidRPr="00647AB7">
        <w:rPr>
          <w:sz w:val="24"/>
          <w:szCs w:val="24"/>
        </w:rPr>
        <w:t>disruption,</w:t>
      </w:r>
      <w:r w:rsidRPr="00647AB7">
        <w:rPr>
          <w:sz w:val="24"/>
          <w:szCs w:val="24"/>
        </w:rPr>
        <w:t xml:space="preserve"> and the ability to support future retailer demand. A technically successful move that damages service or quality would not represent strategic success.</w:t>
      </w:r>
    </w:p>
    <w:p w14:paraId="4DD20D7E" w14:textId="7A6C2630" w:rsidR="009E0D87" w:rsidRPr="00647AB7" w:rsidRDefault="00BD2F48" w:rsidP="00763831">
      <w:pPr>
        <w:pStyle w:val="Heading2"/>
        <w:numPr>
          <w:ilvl w:val="1"/>
          <w:numId w:val="10"/>
        </w:numPr>
      </w:pPr>
      <w:bookmarkStart w:id="5" w:name="_Toc242480987"/>
      <w:r w:rsidRPr="00647AB7">
        <w:t xml:space="preserve">Scope, </w:t>
      </w:r>
      <w:r w:rsidR="00521EC1" w:rsidRPr="00647AB7">
        <w:t>lifecycle,</w:t>
      </w:r>
      <w:r w:rsidRPr="00647AB7">
        <w:t xml:space="preserve"> and change control</w:t>
      </w:r>
      <w:bookmarkEnd w:id="5"/>
    </w:p>
    <w:p w14:paraId="0D9DD11E" w14:textId="77777777" w:rsidR="00763831" w:rsidRPr="00647AB7" w:rsidRDefault="00763831" w:rsidP="00763831">
      <w:pPr>
        <w:pStyle w:val="ListParagraph"/>
      </w:pPr>
    </w:p>
    <w:p w14:paraId="0E5C8720" w14:textId="74DA2517" w:rsidR="009E0D87" w:rsidRPr="00647AB7" w:rsidRDefault="00BD2F48">
      <w:pPr>
        <w:jc w:val="both"/>
        <w:rPr>
          <w:sz w:val="24"/>
          <w:szCs w:val="24"/>
        </w:rPr>
      </w:pPr>
      <w:r w:rsidRPr="00647AB7">
        <w:rPr>
          <w:sz w:val="24"/>
          <w:szCs w:val="24"/>
        </w:rPr>
        <w:t xml:space="preserve">Scope should define exactly what the relocation includes: site selection, facility layout, utilities, production and bottling equipment, cold storage, IT infrastructure, food-safety systems, employee transfer or recruitment, supplier transition, testing, </w:t>
      </w:r>
      <w:r w:rsidR="00521EC1" w:rsidRPr="00647AB7">
        <w:rPr>
          <w:sz w:val="24"/>
          <w:szCs w:val="24"/>
        </w:rPr>
        <w:t>commissioning,</w:t>
      </w:r>
      <w:r w:rsidRPr="00647AB7">
        <w:rPr>
          <w:sz w:val="24"/>
          <w:szCs w:val="24"/>
        </w:rPr>
        <w:t xml:space="preserve"> and operational handover. It should also define exclusions. </w:t>
      </w:r>
      <w:r w:rsidR="00223C53" w:rsidRPr="00647AB7">
        <w:rPr>
          <w:sz w:val="24"/>
          <w:szCs w:val="24"/>
        </w:rPr>
        <w:t>Launching</w:t>
      </w:r>
      <w:r w:rsidRPr="00647AB7">
        <w:rPr>
          <w:sz w:val="24"/>
          <w:szCs w:val="24"/>
        </w:rPr>
        <w:t xml:space="preserve"> every proposed new product should not automatically be included in the initial relocation scope.</w:t>
      </w:r>
    </w:p>
    <w:p w14:paraId="0EB87CC4" w14:textId="66FB677B" w:rsidR="009E0D87" w:rsidRPr="00647AB7" w:rsidRDefault="00BD2F48">
      <w:pPr>
        <w:jc w:val="both"/>
        <w:rPr>
          <w:sz w:val="24"/>
          <w:szCs w:val="24"/>
        </w:rPr>
      </w:pPr>
      <w:r w:rsidRPr="00647AB7">
        <w:rPr>
          <w:sz w:val="24"/>
          <w:szCs w:val="24"/>
        </w:rPr>
        <w:t xml:space="preserve">Formal change control is important because rapid commercial growth may encourage the directors to add requirements during implementation. Additional equipment or another product line could alter layout, utilities, </w:t>
      </w:r>
      <w:r w:rsidR="00521EC1" w:rsidRPr="00647AB7">
        <w:rPr>
          <w:sz w:val="24"/>
          <w:szCs w:val="24"/>
        </w:rPr>
        <w:t>cost,</w:t>
      </w:r>
      <w:r w:rsidRPr="00647AB7">
        <w:rPr>
          <w:sz w:val="24"/>
          <w:szCs w:val="24"/>
        </w:rPr>
        <w:t xml:space="preserve"> and completion dates. Proposed changes should therefore be assessed for their impact on cost, schedule, quality, </w:t>
      </w:r>
      <w:r w:rsidR="00521EC1" w:rsidRPr="00647AB7">
        <w:rPr>
          <w:sz w:val="24"/>
          <w:szCs w:val="24"/>
        </w:rPr>
        <w:t>risk,</w:t>
      </w:r>
      <w:r w:rsidRPr="00647AB7">
        <w:rPr>
          <w:sz w:val="24"/>
          <w:szCs w:val="24"/>
        </w:rPr>
        <w:t xml:space="preserve"> and expected benefits before approval.</w:t>
      </w:r>
    </w:p>
    <w:p w14:paraId="56973023" w14:textId="25FD24BF" w:rsidR="009E0D87" w:rsidRPr="00647AB7" w:rsidRDefault="00BD2F48">
      <w:pPr>
        <w:jc w:val="both"/>
        <w:rPr>
          <w:sz w:val="24"/>
          <w:szCs w:val="24"/>
        </w:rPr>
      </w:pPr>
      <w:r w:rsidRPr="00647AB7">
        <w:rPr>
          <w:sz w:val="24"/>
          <w:szCs w:val="24"/>
        </w:rPr>
        <w:t xml:space="preserve">A phased lifecycle provides decision points at which the directors can </w:t>
      </w:r>
      <w:r w:rsidR="00521EC1" w:rsidRPr="00647AB7">
        <w:rPr>
          <w:sz w:val="24"/>
          <w:szCs w:val="24"/>
        </w:rPr>
        <w:t>assess</w:t>
      </w:r>
      <w:r w:rsidRPr="00647AB7">
        <w:rPr>
          <w:sz w:val="24"/>
          <w:szCs w:val="24"/>
        </w:rPr>
        <w:t xml:space="preserve"> readiness before committing further resources. This is proportionate to a small firm because it creates control without requiring a large project management office.</w:t>
      </w:r>
    </w:p>
    <w:p w14:paraId="08F7C43F" w14:textId="6DFDAE9E" w:rsidR="009E0D87" w:rsidRPr="00647AB7" w:rsidRDefault="00BD2F48" w:rsidP="00556679">
      <w:r w:rsidRPr="00647AB7">
        <w:rPr>
          <w:noProof/>
        </w:rPr>
        <w:drawing>
          <wp:inline distT="0" distB="0" distL="0" distR="0" wp14:anchorId="0813CB75" wp14:editId="7A710E9C">
            <wp:extent cx="5943600" cy="12552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ject_lifecycle.png"/>
                    <pic:cNvPicPr/>
                  </pic:nvPicPr>
                  <pic:blipFill>
                    <a:blip r:embed="rId9"/>
                    <a:stretch>
                      <a:fillRect/>
                    </a:stretch>
                  </pic:blipFill>
                  <pic:spPr>
                    <a:xfrm>
                      <a:off x="0" y="0"/>
                      <a:ext cx="5943600" cy="1255251"/>
                    </a:xfrm>
                    <a:prstGeom prst="rect">
                      <a:avLst/>
                    </a:prstGeom>
                  </pic:spPr>
                </pic:pic>
              </a:graphicData>
            </a:graphic>
          </wp:inline>
        </w:drawing>
      </w:r>
      <w:r w:rsidRPr="00647AB7">
        <w:rPr>
          <w:rStyle w:val="Heading2Char"/>
        </w:rPr>
        <w:t>2.3 Governance and accountability</w:t>
      </w:r>
    </w:p>
    <w:p w14:paraId="24306D3B" w14:textId="5D950C74" w:rsidR="009E0D87" w:rsidRPr="00647AB7" w:rsidRDefault="00BD2F48">
      <w:pPr>
        <w:jc w:val="both"/>
        <w:rPr>
          <w:sz w:val="24"/>
          <w:szCs w:val="24"/>
        </w:rPr>
      </w:pPr>
      <w:r w:rsidRPr="00647AB7">
        <w:rPr>
          <w:sz w:val="24"/>
          <w:szCs w:val="24"/>
        </w:rPr>
        <w:t xml:space="preserve">Governance is especially important because </w:t>
      </w:r>
      <w:r w:rsidR="00925B49" w:rsidRPr="00647AB7">
        <w:rPr>
          <w:sz w:val="24"/>
          <w:szCs w:val="24"/>
        </w:rPr>
        <w:t>three friends control the current organisation</w:t>
      </w:r>
      <w:r w:rsidRPr="00647AB7">
        <w:rPr>
          <w:sz w:val="24"/>
          <w:szCs w:val="24"/>
        </w:rPr>
        <w:t xml:space="preserve"> and the case already identifies structural weaknesses. Informal decision-making may have been efficient during start-up, but it becomes riskier as investment, retailer </w:t>
      </w:r>
      <w:r w:rsidR="00521EC1" w:rsidRPr="00647AB7">
        <w:rPr>
          <w:sz w:val="24"/>
          <w:szCs w:val="24"/>
        </w:rPr>
        <w:t>commitments,</w:t>
      </w:r>
      <w:r w:rsidRPr="00647AB7">
        <w:rPr>
          <w:sz w:val="24"/>
          <w:szCs w:val="24"/>
        </w:rPr>
        <w:t xml:space="preserve"> and regulatory exposure increase. Musawir et al. (2017) show that </w:t>
      </w:r>
      <w:r w:rsidRPr="00647AB7">
        <w:rPr>
          <w:sz w:val="24"/>
          <w:szCs w:val="24"/>
        </w:rPr>
        <w:lastRenderedPageBreak/>
        <w:t xml:space="preserve">governance contributes to project success partly by strengthening benefits management, while Yang et al. (2022) demonstrate that contractual and relational governance can improve resilience by clarifying roles and building collective understanding. The implication here is not that a small smoothie business needs corporate bureaucracy. Rather, it needs enough formalisation to prevent friendship-based consensus from obscuring accountability. One director should </w:t>
      </w:r>
      <w:r w:rsidR="00521EC1" w:rsidRPr="00647AB7">
        <w:rPr>
          <w:sz w:val="24"/>
          <w:szCs w:val="24"/>
        </w:rPr>
        <w:t>function as</w:t>
      </w:r>
      <w:r w:rsidRPr="00647AB7">
        <w:rPr>
          <w:sz w:val="24"/>
          <w:szCs w:val="24"/>
        </w:rPr>
        <w:t xml:space="preserve"> project sponsor and remain accountable for the business case and strategic benefits; a project manager should coordinate delivery; and major expenditure, scope changes and high-level risks should remain subject to board approval.</w:t>
      </w:r>
    </w:p>
    <w:p w14:paraId="70DB4570" w14:textId="549A0A93" w:rsidR="009E0D87" w:rsidRPr="00647AB7" w:rsidRDefault="00BD2F48">
      <w:pPr>
        <w:jc w:val="both"/>
        <w:rPr>
          <w:sz w:val="24"/>
          <w:szCs w:val="24"/>
        </w:rPr>
      </w:pPr>
      <w:r w:rsidRPr="00647AB7">
        <w:rPr>
          <w:sz w:val="24"/>
          <w:szCs w:val="24"/>
        </w:rPr>
        <w:t xml:space="preserve">Governance should remain proportionate. A simple structure of Board/Directors → Project Sponsor → Project Manager → Workstream Leads would be sufficient if decision rights, reporting frequency, tolerances and escalation routes are explicit. Workstreams could cover facility and equipment, operations, supply chain, IT, quality/food </w:t>
      </w:r>
      <w:r w:rsidR="00521EC1" w:rsidRPr="00647AB7">
        <w:rPr>
          <w:sz w:val="24"/>
          <w:szCs w:val="24"/>
        </w:rPr>
        <w:t>safety,</w:t>
      </w:r>
      <w:r w:rsidRPr="00647AB7">
        <w:rPr>
          <w:sz w:val="24"/>
          <w:szCs w:val="24"/>
        </w:rPr>
        <w:t xml:space="preserve"> and people/change. This would reduce ambiguity and ensure that problems have identifiable owners.</w:t>
      </w:r>
    </w:p>
    <w:p w14:paraId="2703C972" w14:textId="49283BEC" w:rsidR="009E0D87" w:rsidRPr="00647AB7" w:rsidRDefault="00BD2F48" w:rsidP="00C243E4">
      <w:pPr>
        <w:pStyle w:val="Heading2"/>
        <w:numPr>
          <w:ilvl w:val="1"/>
          <w:numId w:val="11"/>
        </w:numPr>
      </w:pPr>
      <w:bookmarkStart w:id="6" w:name="_Toc242480988"/>
      <w:r w:rsidRPr="00647AB7">
        <w:t>Stakeholder and communication management</w:t>
      </w:r>
      <w:bookmarkEnd w:id="6"/>
    </w:p>
    <w:p w14:paraId="6502FEB4" w14:textId="77777777" w:rsidR="00763831" w:rsidRPr="00647AB7" w:rsidRDefault="00763831" w:rsidP="00763831">
      <w:pPr>
        <w:pStyle w:val="ListParagraph"/>
      </w:pPr>
    </w:p>
    <w:p w14:paraId="5753DDEC" w14:textId="07F5117B" w:rsidR="009E0D87" w:rsidRPr="00647AB7" w:rsidRDefault="00BD2F48">
      <w:pPr>
        <w:jc w:val="both"/>
        <w:rPr>
          <w:sz w:val="24"/>
          <w:szCs w:val="24"/>
        </w:rPr>
      </w:pPr>
      <w:r w:rsidRPr="00647AB7">
        <w:rPr>
          <w:sz w:val="24"/>
          <w:szCs w:val="24"/>
        </w:rPr>
        <w:t xml:space="preserve">Employees, growers, transport companies, supermarkets, suppliers, </w:t>
      </w:r>
      <w:r w:rsidR="00521EC1" w:rsidRPr="00647AB7">
        <w:rPr>
          <w:sz w:val="24"/>
          <w:szCs w:val="24"/>
        </w:rPr>
        <w:t>contractors,</w:t>
      </w:r>
      <w:r w:rsidRPr="00647AB7">
        <w:rPr>
          <w:sz w:val="24"/>
          <w:szCs w:val="24"/>
        </w:rPr>
        <w:t xml:space="preserve"> and regulators can all influence project outcomes, but their interests differ. Retailers prioritise reliable supply and quality; growers need realistic forecasts; logistics providers need accurate schedules; and employees may be concerned about travel, job </w:t>
      </w:r>
      <w:r w:rsidR="00521EC1" w:rsidRPr="00647AB7">
        <w:rPr>
          <w:sz w:val="24"/>
          <w:szCs w:val="24"/>
        </w:rPr>
        <w:t>security,</w:t>
      </w:r>
      <w:r w:rsidRPr="00647AB7">
        <w:rPr>
          <w:sz w:val="24"/>
          <w:szCs w:val="24"/>
        </w:rPr>
        <w:t xml:space="preserve"> and changed practices. Stakeholder engagement is associated with project performance, but its value depends on project complexity and how competing interests are managed (Derakhshan, </w:t>
      </w:r>
      <w:r w:rsidR="00521EC1" w:rsidRPr="00647AB7">
        <w:rPr>
          <w:sz w:val="24"/>
          <w:szCs w:val="24"/>
        </w:rPr>
        <w:t>Turner,</w:t>
      </w:r>
      <w:r w:rsidRPr="00647AB7">
        <w:rPr>
          <w:sz w:val="24"/>
          <w:szCs w:val="24"/>
        </w:rPr>
        <w:t xml:space="preserve"> and Mancini, 2021). More meetings alone would not solve the company’s communication problem; communication must produce timely decisions and reliable commitments.</w:t>
      </w:r>
    </w:p>
    <w:p w14:paraId="477599D3" w14:textId="198D2A2C" w:rsidR="009E0D87" w:rsidRPr="00647AB7" w:rsidRDefault="00BD2F48">
      <w:pPr>
        <w:jc w:val="both"/>
        <w:rPr>
          <w:sz w:val="24"/>
          <w:szCs w:val="24"/>
        </w:rPr>
      </w:pPr>
      <w:r w:rsidRPr="00647AB7">
        <w:rPr>
          <w:sz w:val="24"/>
          <w:szCs w:val="24"/>
        </w:rPr>
        <w:t xml:space="preserve">Stakeholders should therefore be assessed according to influence, </w:t>
      </w:r>
      <w:r w:rsidR="00521EC1" w:rsidRPr="00647AB7">
        <w:rPr>
          <w:sz w:val="24"/>
          <w:szCs w:val="24"/>
        </w:rPr>
        <w:t>interest,</w:t>
      </w:r>
      <w:r w:rsidRPr="00647AB7">
        <w:rPr>
          <w:sz w:val="24"/>
          <w:szCs w:val="24"/>
        </w:rPr>
        <w:t xml:space="preserve"> and potential impact. High-influence stakeholders such as supermarket customers require </w:t>
      </w:r>
      <w:r w:rsidR="00BD760F" w:rsidRPr="00647AB7">
        <w:rPr>
          <w:sz w:val="24"/>
          <w:szCs w:val="24"/>
        </w:rPr>
        <w:t>proactive</w:t>
      </w:r>
      <w:r w:rsidRPr="00647AB7">
        <w:rPr>
          <w:sz w:val="24"/>
          <w:szCs w:val="24"/>
        </w:rPr>
        <w:t xml:space="preserve"> engagement, while growers and </w:t>
      </w:r>
      <w:r w:rsidR="00C77700">
        <w:rPr>
          <w:sz w:val="24"/>
          <w:szCs w:val="24"/>
        </w:rPr>
        <w:t>logistics</w:t>
      </w:r>
      <w:r w:rsidRPr="00647AB7">
        <w:rPr>
          <w:sz w:val="24"/>
          <w:szCs w:val="24"/>
        </w:rPr>
        <w:t xml:space="preserve"> providers require detailed operational coordination. Communication should be planned rather than reactive. Retailers may receive continuity updates; suppliers rolling forecasts and confirmed orders; employees regular transition briefings; and directors concise reports on schedule, cost, </w:t>
      </w:r>
      <w:r w:rsidR="00521EC1" w:rsidRPr="00647AB7">
        <w:rPr>
          <w:sz w:val="24"/>
          <w:szCs w:val="24"/>
        </w:rPr>
        <w:t>risk,</w:t>
      </w:r>
      <w:r w:rsidRPr="00647AB7">
        <w:rPr>
          <w:sz w:val="24"/>
          <w:szCs w:val="24"/>
        </w:rPr>
        <w:t xml:space="preserve"> and decisions. This directly addresses the poor communication identified in the case.</w:t>
      </w:r>
    </w:p>
    <w:p w14:paraId="059B0D7F" w14:textId="08153F1C" w:rsidR="009E0D87" w:rsidRPr="00647AB7" w:rsidRDefault="00BD2F48" w:rsidP="00C243E4">
      <w:pPr>
        <w:pStyle w:val="Heading2"/>
        <w:numPr>
          <w:ilvl w:val="1"/>
          <w:numId w:val="11"/>
        </w:numPr>
      </w:pPr>
      <w:bookmarkStart w:id="7" w:name="_Toc242480989"/>
      <w:r w:rsidRPr="00647AB7">
        <w:t xml:space="preserve">Schedule, cost, </w:t>
      </w:r>
      <w:r w:rsidR="00521EC1" w:rsidRPr="00647AB7">
        <w:t>quality,</w:t>
      </w:r>
      <w:r w:rsidRPr="00647AB7">
        <w:t xml:space="preserve"> and risk</w:t>
      </w:r>
      <w:bookmarkEnd w:id="7"/>
    </w:p>
    <w:p w14:paraId="2960F7F5" w14:textId="77777777" w:rsidR="00763831" w:rsidRPr="00647AB7" w:rsidRDefault="00763831" w:rsidP="00763831">
      <w:pPr>
        <w:pStyle w:val="ListParagraph"/>
      </w:pPr>
    </w:p>
    <w:p w14:paraId="28616C72" w14:textId="01E42D78" w:rsidR="009E0D87" w:rsidRPr="00647AB7" w:rsidRDefault="00BD2F48">
      <w:pPr>
        <w:jc w:val="both"/>
        <w:rPr>
          <w:sz w:val="24"/>
          <w:szCs w:val="24"/>
        </w:rPr>
      </w:pPr>
      <w:r w:rsidRPr="00647AB7">
        <w:rPr>
          <w:sz w:val="24"/>
          <w:szCs w:val="24"/>
        </w:rPr>
        <w:t xml:space="preserve">Relocation requires an integrated schedule covering property preparation, equipment installation, IT implementation, regulatory activities, trial </w:t>
      </w:r>
      <w:r w:rsidR="00521EC1" w:rsidRPr="00647AB7">
        <w:rPr>
          <w:sz w:val="24"/>
          <w:szCs w:val="24"/>
        </w:rPr>
        <w:t>production,</w:t>
      </w:r>
      <w:r w:rsidRPr="00647AB7">
        <w:rPr>
          <w:sz w:val="24"/>
          <w:szCs w:val="24"/>
        </w:rPr>
        <w:t xml:space="preserve"> and final transfer. </w:t>
      </w:r>
      <w:r w:rsidR="00521EC1" w:rsidRPr="00647AB7">
        <w:rPr>
          <w:sz w:val="24"/>
          <w:szCs w:val="24"/>
        </w:rPr>
        <w:t>Dependenc</w:t>
      </w:r>
      <w:r w:rsidR="00EC2C91" w:rsidRPr="00647AB7">
        <w:rPr>
          <w:sz w:val="24"/>
          <w:szCs w:val="24"/>
        </w:rPr>
        <w:t>ies</w:t>
      </w:r>
      <w:r w:rsidR="00521EC1" w:rsidRPr="00647AB7">
        <w:rPr>
          <w:sz w:val="24"/>
          <w:szCs w:val="24"/>
        </w:rPr>
        <w:t xml:space="preserve"> </w:t>
      </w:r>
      <w:r w:rsidR="00EC2C91" w:rsidRPr="00647AB7">
        <w:rPr>
          <w:sz w:val="24"/>
          <w:szCs w:val="24"/>
        </w:rPr>
        <w:t>are</w:t>
      </w:r>
      <w:r w:rsidRPr="00647AB7">
        <w:rPr>
          <w:sz w:val="24"/>
          <w:szCs w:val="24"/>
        </w:rPr>
        <w:t xml:space="preserve"> critical: equipment cannot be commissioned effectively if utilities, </w:t>
      </w:r>
      <w:r w:rsidRPr="00647AB7">
        <w:rPr>
          <w:sz w:val="24"/>
          <w:szCs w:val="24"/>
        </w:rPr>
        <w:lastRenderedPageBreak/>
        <w:t xml:space="preserve">hygienic </w:t>
      </w:r>
      <w:r w:rsidR="00521EC1" w:rsidRPr="00647AB7">
        <w:rPr>
          <w:sz w:val="24"/>
          <w:szCs w:val="24"/>
        </w:rPr>
        <w:t>areas,</w:t>
      </w:r>
      <w:r w:rsidRPr="00647AB7">
        <w:rPr>
          <w:sz w:val="24"/>
          <w:szCs w:val="24"/>
        </w:rPr>
        <w:t xml:space="preserve"> or digital systems are incomplete. Critical-path analysis should identify activities where </w:t>
      </w:r>
      <w:r w:rsidR="00DB6106" w:rsidRPr="00647AB7">
        <w:rPr>
          <w:sz w:val="24"/>
          <w:szCs w:val="24"/>
        </w:rPr>
        <w:t>delays</w:t>
      </w:r>
      <w:r w:rsidRPr="00647AB7">
        <w:rPr>
          <w:sz w:val="24"/>
          <w:szCs w:val="24"/>
        </w:rPr>
        <w:t xml:space="preserve"> would directly affect go-live.</w:t>
      </w:r>
    </w:p>
    <w:p w14:paraId="3C8A2ACE" w14:textId="60A1A54E" w:rsidR="009E0D87" w:rsidRPr="00647AB7" w:rsidRDefault="00BD2F48">
      <w:pPr>
        <w:jc w:val="both"/>
        <w:rPr>
          <w:sz w:val="24"/>
          <w:szCs w:val="24"/>
        </w:rPr>
      </w:pPr>
      <w:r w:rsidRPr="00647AB7">
        <w:rPr>
          <w:sz w:val="24"/>
          <w:szCs w:val="24"/>
        </w:rPr>
        <w:t xml:space="preserve">Cost management must extend beyond the property itself. Capital expenditure may include fit-out, refrigeration, processing equipment, storage, </w:t>
      </w:r>
      <w:r w:rsidR="00521EC1" w:rsidRPr="00647AB7">
        <w:rPr>
          <w:sz w:val="24"/>
          <w:szCs w:val="24"/>
        </w:rPr>
        <w:t>IT,</w:t>
      </w:r>
      <w:r w:rsidRPr="00647AB7">
        <w:rPr>
          <w:sz w:val="24"/>
          <w:szCs w:val="24"/>
        </w:rPr>
        <w:t xml:space="preserve"> and professional fees, while transition costs may include training, duplicated rent, temporary logistics and downtime. As the case provides no financial data, precise costs should not be invented; quotations and an evidence-based contingency should form the baseline after feasibility work.</w:t>
      </w:r>
    </w:p>
    <w:p w14:paraId="52B32DBC" w14:textId="77777777" w:rsidR="00EF0C31" w:rsidRPr="00647AB7" w:rsidRDefault="00BD2F48" w:rsidP="00B91CF0">
      <w:pPr>
        <w:jc w:val="both"/>
        <w:rPr>
          <w:sz w:val="24"/>
          <w:szCs w:val="24"/>
        </w:rPr>
      </w:pPr>
      <w:r w:rsidRPr="00647AB7">
        <w:rPr>
          <w:sz w:val="24"/>
          <w:szCs w:val="24"/>
        </w:rPr>
        <w:t xml:space="preserve">Quality requires particular attention because deterioration is already evident. Acceptance criteria should therefore be defined before handover. A live risk register should cover facility </w:t>
      </w:r>
      <w:r w:rsidR="00DB6106" w:rsidRPr="00647AB7">
        <w:rPr>
          <w:sz w:val="24"/>
          <w:szCs w:val="24"/>
        </w:rPr>
        <w:t>delays</w:t>
      </w:r>
      <w:r w:rsidRPr="00647AB7">
        <w:rPr>
          <w:sz w:val="24"/>
          <w:szCs w:val="24"/>
        </w:rPr>
        <w:t xml:space="preserve">, equipment failure, interruption to supermarket supply, supplier disruption, IT problems, staff resistance, cost </w:t>
      </w:r>
      <w:r w:rsidR="00521EC1" w:rsidRPr="00647AB7">
        <w:rPr>
          <w:sz w:val="24"/>
          <w:szCs w:val="24"/>
        </w:rPr>
        <w:t>escalation,</w:t>
      </w:r>
      <w:r w:rsidRPr="00647AB7">
        <w:rPr>
          <w:sz w:val="24"/>
          <w:szCs w:val="24"/>
        </w:rPr>
        <w:t xml:space="preserve"> and food-safety non-compliance. Each material risk should have an owner, </w:t>
      </w:r>
      <w:r w:rsidR="00521EC1" w:rsidRPr="00647AB7">
        <w:rPr>
          <w:sz w:val="24"/>
          <w:szCs w:val="24"/>
        </w:rPr>
        <w:t>mitigation,</w:t>
      </w:r>
      <w:r w:rsidRPr="00647AB7">
        <w:rPr>
          <w:sz w:val="24"/>
          <w:szCs w:val="24"/>
        </w:rPr>
        <w:t xml:space="preserve"> and contingency response. A conventional probability-impact register is useful but insufficient on its own: uncertainty also arises from stakeholder interactions, changing demand and assumptions that cannot be assigned a reliable probability. Chapman and Ward (2003) therefore argue for uncertainty management rather than an overly narrow risk-management perspective, while Petronijevic et al. (2023) highlight the need to connect project and product risks. For this manufacturer that distinction matters: the relocation could meet its schedule while still failing commercially if product quality or retailer service deteriorates.</w:t>
      </w:r>
    </w:p>
    <w:p w14:paraId="55180490" w14:textId="56674447" w:rsidR="009E0D87" w:rsidRPr="00647AB7" w:rsidRDefault="00BD2F48" w:rsidP="00B91CF0">
      <w:pPr>
        <w:jc w:val="both"/>
        <w:rPr>
          <w:sz w:val="24"/>
          <w:szCs w:val="24"/>
        </w:rPr>
      </w:pPr>
      <w:r w:rsidRPr="00647AB7">
        <w:rPr>
          <w:sz w:val="24"/>
          <w:szCs w:val="24"/>
        </w:rPr>
        <w:t>3. SWOT and PESTLE Analysis</w:t>
      </w:r>
    </w:p>
    <w:p w14:paraId="1573FAA8" w14:textId="77777777" w:rsidR="009E0D87" w:rsidRPr="00647AB7" w:rsidRDefault="00BD2F48">
      <w:pPr>
        <w:pStyle w:val="Heading2"/>
      </w:pPr>
      <w:bookmarkStart w:id="8" w:name="_Toc242480990"/>
      <w:r w:rsidRPr="00647AB7">
        <w:t>3.1 SWOT analysis</w:t>
      </w:r>
      <w:bookmarkEnd w:id="8"/>
    </w:p>
    <w:p w14:paraId="75E1A625" w14:textId="77777777" w:rsidR="00763831" w:rsidRPr="00647AB7" w:rsidRDefault="00763831" w:rsidP="00763831"/>
    <w:tbl>
      <w:tblPr>
        <w:tblStyle w:val="TableGrid"/>
        <w:tblW w:w="0" w:type="auto"/>
        <w:jc w:val="center"/>
        <w:tblLook w:val="04A0" w:firstRow="1" w:lastRow="0" w:firstColumn="1" w:lastColumn="0" w:noHBand="0" w:noVBand="1"/>
      </w:tblPr>
      <w:tblGrid>
        <w:gridCol w:w="4703"/>
        <w:gridCol w:w="4703"/>
      </w:tblGrid>
      <w:tr w:rsidR="009E0D87" w:rsidRPr="00647AB7" w14:paraId="3ABE90AB" w14:textId="77777777">
        <w:trPr>
          <w:jc w:val="center"/>
        </w:trPr>
        <w:tc>
          <w:tcPr>
            <w:tcW w:w="4703" w:type="dxa"/>
            <w:shd w:val="clear" w:color="auto" w:fill="E7E6E6"/>
            <w:vAlign w:val="center"/>
          </w:tcPr>
          <w:p w14:paraId="1D63B98D" w14:textId="77777777" w:rsidR="009E0D87" w:rsidRPr="00647AB7" w:rsidRDefault="00BD2F48">
            <w:pPr>
              <w:spacing w:after="40"/>
            </w:pPr>
            <w:r w:rsidRPr="00647AB7">
              <w:rPr>
                <w:b/>
                <w:sz w:val="18"/>
              </w:rPr>
              <w:t>Strengths</w:t>
            </w:r>
          </w:p>
        </w:tc>
        <w:tc>
          <w:tcPr>
            <w:tcW w:w="4703" w:type="dxa"/>
            <w:shd w:val="clear" w:color="auto" w:fill="E7E6E6"/>
            <w:vAlign w:val="center"/>
          </w:tcPr>
          <w:p w14:paraId="15D22ABF" w14:textId="77777777" w:rsidR="009E0D87" w:rsidRPr="00647AB7" w:rsidRDefault="00BD2F48">
            <w:pPr>
              <w:spacing w:after="40"/>
            </w:pPr>
            <w:r w:rsidRPr="00647AB7">
              <w:rPr>
                <w:b/>
                <w:sz w:val="18"/>
              </w:rPr>
              <w:t>Weaknesses</w:t>
            </w:r>
          </w:p>
        </w:tc>
      </w:tr>
      <w:tr w:rsidR="009E0D87" w:rsidRPr="00647AB7" w14:paraId="35A84090" w14:textId="77777777">
        <w:trPr>
          <w:jc w:val="center"/>
        </w:trPr>
        <w:tc>
          <w:tcPr>
            <w:tcW w:w="4703" w:type="dxa"/>
            <w:vAlign w:val="center"/>
          </w:tcPr>
          <w:p w14:paraId="3BC0BB33" w14:textId="77777777" w:rsidR="009E0D87" w:rsidRPr="00647AB7" w:rsidRDefault="00BD2F48">
            <w:pPr>
              <w:spacing w:after="40"/>
            </w:pPr>
            <w:r w:rsidRPr="00647AB7">
              <w:rPr>
                <w:sz w:val="18"/>
              </w:rPr>
              <w:t>Strong sales through two major supermarkets</w:t>
            </w:r>
          </w:p>
        </w:tc>
        <w:tc>
          <w:tcPr>
            <w:tcW w:w="4703" w:type="dxa"/>
            <w:vAlign w:val="center"/>
          </w:tcPr>
          <w:p w14:paraId="6BDA6D84" w14:textId="77777777" w:rsidR="009E0D87" w:rsidRPr="00647AB7" w:rsidRDefault="00BD2F48">
            <w:pPr>
              <w:spacing w:after="40"/>
            </w:pPr>
            <w:r w:rsidRPr="00647AB7">
              <w:rPr>
                <w:sz w:val="18"/>
              </w:rPr>
              <w:t>Poor communication across the supply chain</w:t>
            </w:r>
          </w:p>
        </w:tc>
      </w:tr>
      <w:tr w:rsidR="009E0D87" w:rsidRPr="00647AB7" w14:paraId="47AA192E" w14:textId="77777777">
        <w:trPr>
          <w:jc w:val="center"/>
        </w:trPr>
        <w:tc>
          <w:tcPr>
            <w:tcW w:w="4703" w:type="dxa"/>
            <w:vAlign w:val="center"/>
          </w:tcPr>
          <w:p w14:paraId="12C1A577" w14:textId="77777777" w:rsidR="009E0D87" w:rsidRPr="00647AB7" w:rsidRDefault="00BD2F48">
            <w:pPr>
              <w:spacing w:after="40"/>
            </w:pPr>
            <w:r w:rsidRPr="00647AB7">
              <w:rPr>
                <w:sz w:val="18"/>
              </w:rPr>
              <w:t>Interest from a third major supermarket</w:t>
            </w:r>
          </w:p>
        </w:tc>
        <w:tc>
          <w:tcPr>
            <w:tcW w:w="4703" w:type="dxa"/>
            <w:vAlign w:val="center"/>
          </w:tcPr>
          <w:p w14:paraId="29F56ED8" w14:textId="77777777" w:rsidR="009E0D87" w:rsidRPr="00647AB7" w:rsidRDefault="00BD2F48">
            <w:pPr>
              <w:spacing w:after="40"/>
            </w:pPr>
            <w:r w:rsidRPr="00647AB7">
              <w:rPr>
                <w:sz w:val="18"/>
              </w:rPr>
              <w:t>Weak organisational structure and unclear accountability</w:t>
            </w:r>
          </w:p>
        </w:tc>
      </w:tr>
      <w:tr w:rsidR="009E0D87" w:rsidRPr="00647AB7" w14:paraId="6DBA81F6" w14:textId="77777777">
        <w:trPr>
          <w:jc w:val="center"/>
        </w:trPr>
        <w:tc>
          <w:tcPr>
            <w:tcW w:w="4703" w:type="dxa"/>
            <w:vAlign w:val="center"/>
          </w:tcPr>
          <w:p w14:paraId="6394C2D7" w14:textId="77777777" w:rsidR="009E0D87" w:rsidRPr="00647AB7" w:rsidRDefault="00BD2F48">
            <w:pPr>
              <w:spacing w:after="40"/>
            </w:pPr>
            <w:r w:rsidRPr="00647AB7">
              <w:rPr>
                <w:sz w:val="18"/>
              </w:rPr>
              <w:t>Established grower and transport relationships</w:t>
            </w:r>
          </w:p>
        </w:tc>
        <w:tc>
          <w:tcPr>
            <w:tcW w:w="4703" w:type="dxa"/>
            <w:vAlign w:val="center"/>
          </w:tcPr>
          <w:p w14:paraId="5D0396BC" w14:textId="77777777" w:rsidR="009E0D87" w:rsidRPr="00647AB7" w:rsidRDefault="00BD2F48">
            <w:pPr>
              <w:spacing w:after="40"/>
            </w:pPr>
            <w:r w:rsidRPr="00647AB7">
              <w:rPr>
                <w:sz w:val="18"/>
              </w:rPr>
              <w:t>Missed collections and customer deliveries</w:t>
            </w:r>
          </w:p>
        </w:tc>
      </w:tr>
      <w:tr w:rsidR="009E0D87" w:rsidRPr="00647AB7" w14:paraId="5F43F246" w14:textId="77777777">
        <w:trPr>
          <w:jc w:val="center"/>
        </w:trPr>
        <w:tc>
          <w:tcPr>
            <w:tcW w:w="4703" w:type="dxa"/>
            <w:vAlign w:val="center"/>
          </w:tcPr>
          <w:p w14:paraId="2718A824" w14:textId="77777777" w:rsidR="009E0D87" w:rsidRPr="00647AB7" w:rsidRDefault="00BD2F48">
            <w:pPr>
              <w:spacing w:after="40"/>
            </w:pPr>
            <w:r w:rsidRPr="00647AB7">
              <w:rPr>
                <w:sz w:val="18"/>
              </w:rPr>
              <w:t>Healthy-product market positioning</w:t>
            </w:r>
          </w:p>
        </w:tc>
        <w:tc>
          <w:tcPr>
            <w:tcW w:w="4703" w:type="dxa"/>
            <w:vAlign w:val="center"/>
          </w:tcPr>
          <w:p w14:paraId="77F72499" w14:textId="77777777" w:rsidR="009E0D87" w:rsidRPr="00647AB7" w:rsidRDefault="00BD2F48">
            <w:pPr>
              <w:spacing w:after="40"/>
            </w:pPr>
            <w:r w:rsidRPr="00647AB7">
              <w:rPr>
                <w:sz w:val="18"/>
              </w:rPr>
              <w:t>Deteriorating quality</w:t>
            </w:r>
          </w:p>
        </w:tc>
      </w:tr>
      <w:tr w:rsidR="009E0D87" w:rsidRPr="00647AB7" w14:paraId="0DDC728F" w14:textId="77777777">
        <w:trPr>
          <w:jc w:val="center"/>
        </w:trPr>
        <w:tc>
          <w:tcPr>
            <w:tcW w:w="4703" w:type="dxa"/>
            <w:vAlign w:val="center"/>
          </w:tcPr>
          <w:p w14:paraId="4CB24876" w14:textId="77777777" w:rsidR="009E0D87" w:rsidRPr="00647AB7" w:rsidRDefault="00BD2F48">
            <w:pPr>
              <w:spacing w:after="40"/>
            </w:pPr>
            <w:r w:rsidRPr="00647AB7">
              <w:rPr>
                <w:sz w:val="18"/>
              </w:rPr>
              <w:t>Experience producing and distributing smoothies</w:t>
            </w:r>
          </w:p>
        </w:tc>
        <w:tc>
          <w:tcPr>
            <w:tcW w:w="4703" w:type="dxa"/>
            <w:vAlign w:val="center"/>
          </w:tcPr>
          <w:p w14:paraId="6E92B952" w14:textId="77777777" w:rsidR="009E0D87" w:rsidRPr="00647AB7" w:rsidRDefault="00BD2F48">
            <w:pPr>
              <w:spacing w:after="40"/>
            </w:pPr>
            <w:r w:rsidRPr="00647AB7">
              <w:rPr>
                <w:sz w:val="18"/>
              </w:rPr>
              <w:t>Limited capacity at current premises</w:t>
            </w:r>
          </w:p>
        </w:tc>
      </w:tr>
      <w:tr w:rsidR="009E0D87" w:rsidRPr="00647AB7" w14:paraId="3CD68ECB" w14:textId="77777777">
        <w:trPr>
          <w:jc w:val="center"/>
        </w:trPr>
        <w:tc>
          <w:tcPr>
            <w:tcW w:w="4703" w:type="dxa"/>
            <w:vAlign w:val="center"/>
          </w:tcPr>
          <w:p w14:paraId="5D237D7D" w14:textId="77777777" w:rsidR="009E0D87" w:rsidRPr="00647AB7" w:rsidRDefault="00BD2F48">
            <w:pPr>
              <w:spacing w:after="40"/>
            </w:pPr>
            <w:r w:rsidRPr="00647AB7">
              <w:rPr>
                <w:sz w:val="18"/>
              </w:rPr>
              <w:t>Opportunities</w:t>
            </w:r>
          </w:p>
        </w:tc>
        <w:tc>
          <w:tcPr>
            <w:tcW w:w="4703" w:type="dxa"/>
            <w:vAlign w:val="center"/>
          </w:tcPr>
          <w:p w14:paraId="3591FE53" w14:textId="77777777" w:rsidR="009E0D87" w:rsidRPr="00647AB7" w:rsidRDefault="00BD2F48">
            <w:pPr>
              <w:spacing w:after="40"/>
            </w:pPr>
            <w:r w:rsidRPr="00647AB7">
              <w:rPr>
                <w:sz w:val="18"/>
              </w:rPr>
              <w:t>Threats</w:t>
            </w:r>
          </w:p>
        </w:tc>
      </w:tr>
      <w:tr w:rsidR="009E0D87" w:rsidRPr="00647AB7" w14:paraId="08717852" w14:textId="77777777">
        <w:trPr>
          <w:jc w:val="center"/>
        </w:trPr>
        <w:tc>
          <w:tcPr>
            <w:tcW w:w="4703" w:type="dxa"/>
            <w:vAlign w:val="center"/>
          </w:tcPr>
          <w:p w14:paraId="0E30D705" w14:textId="77777777" w:rsidR="009E0D87" w:rsidRPr="00647AB7" w:rsidRDefault="00BD2F48">
            <w:pPr>
              <w:spacing w:after="40"/>
            </w:pPr>
            <w:r w:rsidRPr="00647AB7">
              <w:rPr>
                <w:sz w:val="18"/>
              </w:rPr>
              <w:t>Larger production capacity</w:t>
            </w:r>
          </w:p>
        </w:tc>
        <w:tc>
          <w:tcPr>
            <w:tcW w:w="4703" w:type="dxa"/>
            <w:vAlign w:val="center"/>
          </w:tcPr>
          <w:p w14:paraId="02B5830F" w14:textId="77777777" w:rsidR="009E0D87" w:rsidRPr="00647AB7" w:rsidRDefault="00BD2F48">
            <w:pPr>
              <w:spacing w:after="40"/>
            </w:pPr>
            <w:r w:rsidRPr="00647AB7">
              <w:rPr>
                <w:sz w:val="18"/>
              </w:rPr>
              <w:t>Expansion may amplify current operational failures</w:t>
            </w:r>
          </w:p>
        </w:tc>
      </w:tr>
      <w:tr w:rsidR="009E0D87" w:rsidRPr="00647AB7" w14:paraId="7AE191E4" w14:textId="77777777">
        <w:trPr>
          <w:jc w:val="center"/>
        </w:trPr>
        <w:tc>
          <w:tcPr>
            <w:tcW w:w="4703" w:type="dxa"/>
            <w:vAlign w:val="center"/>
          </w:tcPr>
          <w:p w14:paraId="0421992B" w14:textId="77777777" w:rsidR="009E0D87" w:rsidRPr="00647AB7" w:rsidRDefault="00BD2F48">
            <w:pPr>
              <w:spacing w:after="40"/>
            </w:pPr>
            <w:r w:rsidRPr="00647AB7">
              <w:rPr>
                <w:sz w:val="18"/>
              </w:rPr>
              <w:t>Third supermarket and increased volume</w:t>
            </w:r>
          </w:p>
        </w:tc>
        <w:tc>
          <w:tcPr>
            <w:tcW w:w="4703" w:type="dxa"/>
            <w:vAlign w:val="center"/>
          </w:tcPr>
          <w:p w14:paraId="17FDB3A5" w14:textId="77777777" w:rsidR="009E0D87" w:rsidRPr="00647AB7" w:rsidRDefault="00BD2F48">
            <w:pPr>
              <w:spacing w:after="40"/>
            </w:pPr>
            <w:r w:rsidRPr="00647AB7">
              <w:rPr>
                <w:sz w:val="18"/>
              </w:rPr>
              <w:t>Food-safety or quality failure could damage retailer relationships</w:t>
            </w:r>
          </w:p>
        </w:tc>
      </w:tr>
      <w:tr w:rsidR="009E0D87" w:rsidRPr="00647AB7" w14:paraId="66EB646E" w14:textId="77777777">
        <w:trPr>
          <w:jc w:val="center"/>
        </w:trPr>
        <w:tc>
          <w:tcPr>
            <w:tcW w:w="4703" w:type="dxa"/>
            <w:vAlign w:val="center"/>
          </w:tcPr>
          <w:p w14:paraId="3AA6BFAE" w14:textId="77777777" w:rsidR="009E0D87" w:rsidRPr="00647AB7" w:rsidRDefault="00BD2F48">
            <w:pPr>
              <w:spacing w:after="40"/>
            </w:pPr>
            <w:r w:rsidRPr="00647AB7">
              <w:rPr>
                <w:sz w:val="18"/>
              </w:rPr>
              <w:t>Diversification into adjacent healthy products</w:t>
            </w:r>
          </w:p>
        </w:tc>
        <w:tc>
          <w:tcPr>
            <w:tcW w:w="4703" w:type="dxa"/>
            <w:vAlign w:val="center"/>
          </w:tcPr>
          <w:p w14:paraId="2A1446C3" w14:textId="77777777" w:rsidR="009E0D87" w:rsidRPr="00647AB7" w:rsidRDefault="00BD2F48">
            <w:pPr>
              <w:spacing w:after="40"/>
            </w:pPr>
            <w:r w:rsidRPr="00647AB7">
              <w:rPr>
                <w:sz w:val="18"/>
              </w:rPr>
              <w:t>Agricultural and logistics disruption</w:t>
            </w:r>
          </w:p>
        </w:tc>
      </w:tr>
      <w:tr w:rsidR="009E0D87" w:rsidRPr="00647AB7" w14:paraId="3156928F" w14:textId="77777777">
        <w:trPr>
          <w:jc w:val="center"/>
        </w:trPr>
        <w:tc>
          <w:tcPr>
            <w:tcW w:w="4703" w:type="dxa"/>
            <w:vAlign w:val="center"/>
          </w:tcPr>
          <w:p w14:paraId="6F78B5A3" w14:textId="77777777" w:rsidR="009E0D87" w:rsidRPr="00647AB7" w:rsidRDefault="00BD2F48">
            <w:pPr>
              <w:spacing w:after="40"/>
            </w:pPr>
            <w:r w:rsidRPr="00647AB7">
              <w:rPr>
                <w:sz w:val="18"/>
              </w:rPr>
              <w:t>Digital supply-chain integration</w:t>
            </w:r>
          </w:p>
        </w:tc>
        <w:tc>
          <w:tcPr>
            <w:tcW w:w="4703" w:type="dxa"/>
            <w:vAlign w:val="center"/>
          </w:tcPr>
          <w:p w14:paraId="04DD1AB7" w14:textId="27F1F6AE" w:rsidR="009E0D87" w:rsidRPr="00647AB7" w:rsidRDefault="00BD2F48">
            <w:pPr>
              <w:spacing w:after="40"/>
            </w:pPr>
            <w:r w:rsidRPr="00647AB7">
              <w:rPr>
                <w:sz w:val="18"/>
              </w:rPr>
              <w:t xml:space="preserve">Investment, </w:t>
            </w:r>
            <w:r w:rsidR="00521EC1" w:rsidRPr="00647AB7">
              <w:rPr>
                <w:sz w:val="18"/>
              </w:rPr>
              <w:t>energy,</w:t>
            </w:r>
            <w:r w:rsidRPr="00647AB7">
              <w:rPr>
                <w:sz w:val="18"/>
              </w:rPr>
              <w:t xml:space="preserve"> and </w:t>
            </w:r>
            <w:r w:rsidR="00521EC1" w:rsidRPr="00647AB7">
              <w:rPr>
                <w:sz w:val="18"/>
              </w:rPr>
              <w:t>labo</w:t>
            </w:r>
            <w:r w:rsidR="00D4187B" w:rsidRPr="00647AB7">
              <w:rPr>
                <w:sz w:val="18"/>
              </w:rPr>
              <w:t>ur</w:t>
            </w:r>
            <w:r w:rsidRPr="00647AB7">
              <w:rPr>
                <w:sz w:val="18"/>
              </w:rPr>
              <w:t xml:space="preserve"> cost pressure</w:t>
            </w:r>
          </w:p>
        </w:tc>
      </w:tr>
      <w:tr w:rsidR="009E0D87" w:rsidRPr="00647AB7" w14:paraId="5236FF02" w14:textId="77777777">
        <w:trPr>
          <w:jc w:val="center"/>
        </w:trPr>
        <w:tc>
          <w:tcPr>
            <w:tcW w:w="4703" w:type="dxa"/>
            <w:vAlign w:val="center"/>
          </w:tcPr>
          <w:p w14:paraId="614134A4" w14:textId="77777777" w:rsidR="009E0D87" w:rsidRPr="00647AB7" w:rsidRDefault="00BD2F48">
            <w:pPr>
              <w:spacing w:after="40"/>
            </w:pPr>
            <w:r w:rsidRPr="00647AB7">
              <w:rPr>
                <w:sz w:val="18"/>
              </w:rPr>
              <w:t>More professional management and processes</w:t>
            </w:r>
          </w:p>
        </w:tc>
        <w:tc>
          <w:tcPr>
            <w:tcW w:w="4703" w:type="dxa"/>
            <w:vAlign w:val="center"/>
          </w:tcPr>
          <w:p w14:paraId="1D8D565D" w14:textId="77777777" w:rsidR="009E0D87" w:rsidRPr="00647AB7" w:rsidRDefault="00BD2F48">
            <w:pPr>
              <w:spacing w:after="40"/>
            </w:pPr>
            <w:r w:rsidRPr="00647AB7">
              <w:rPr>
                <w:sz w:val="18"/>
              </w:rPr>
              <w:t>Relocation disruption and competitor response</w:t>
            </w:r>
          </w:p>
        </w:tc>
      </w:tr>
    </w:tbl>
    <w:p w14:paraId="6DE77A8B" w14:textId="77777777" w:rsidR="00B91CF0" w:rsidRPr="00647AB7" w:rsidRDefault="00B91CF0">
      <w:pPr>
        <w:jc w:val="both"/>
      </w:pPr>
    </w:p>
    <w:p w14:paraId="4A691812" w14:textId="6E92FBFF" w:rsidR="009E0D87" w:rsidRPr="00647AB7" w:rsidRDefault="00BD2F48">
      <w:pPr>
        <w:jc w:val="both"/>
        <w:rPr>
          <w:sz w:val="24"/>
          <w:szCs w:val="24"/>
        </w:rPr>
      </w:pPr>
      <w:r w:rsidRPr="00647AB7">
        <w:rPr>
          <w:sz w:val="24"/>
          <w:szCs w:val="24"/>
        </w:rPr>
        <w:t xml:space="preserve">The SWOT analysis reveals a central contradiction: the factors creating the strongest growth opportunity also increase operational exposure. Strong </w:t>
      </w:r>
      <w:r w:rsidR="00DB6106" w:rsidRPr="00647AB7">
        <w:rPr>
          <w:sz w:val="24"/>
          <w:szCs w:val="24"/>
        </w:rPr>
        <w:t>retailer</w:t>
      </w:r>
      <w:r w:rsidRPr="00647AB7">
        <w:rPr>
          <w:sz w:val="24"/>
          <w:szCs w:val="24"/>
        </w:rPr>
        <w:t xml:space="preserve"> demand supports investment, but additional volume will place more pressure on the processes that are </w:t>
      </w:r>
      <w:r w:rsidRPr="00647AB7">
        <w:rPr>
          <w:sz w:val="24"/>
          <w:szCs w:val="24"/>
        </w:rPr>
        <w:lastRenderedPageBreak/>
        <w:t>already producing missed deliveries and quality problems. Established supplier relationships are valuable, yet relationships alone have not prevented failures, suggesting that trust must be complemented by formal processes and shared information.</w:t>
      </w:r>
    </w:p>
    <w:p w14:paraId="3CCD5A68" w14:textId="77777777" w:rsidR="009E0D87" w:rsidRPr="00647AB7" w:rsidRDefault="00BD2F48">
      <w:pPr>
        <w:jc w:val="both"/>
        <w:rPr>
          <w:sz w:val="24"/>
          <w:szCs w:val="24"/>
        </w:rPr>
      </w:pPr>
      <w:r w:rsidRPr="00647AB7">
        <w:rPr>
          <w:sz w:val="24"/>
          <w:szCs w:val="24"/>
        </w:rPr>
        <w:t>The third supermarket is a significant opportunity but should not encourage premature commitments. The company should negotiate realistic ramp-up volumes and avoid promising full expanded capacity before the new operation is stable. In strategic terms, growth should therefore be conditional on improvements in organisational capability.</w:t>
      </w:r>
    </w:p>
    <w:p w14:paraId="5B25968F" w14:textId="77777777" w:rsidR="00B91CF0" w:rsidRPr="00647AB7" w:rsidRDefault="00B91CF0">
      <w:pPr>
        <w:jc w:val="both"/>
        <w:rPr>
          <w:sz w:val="24"/>
          <w:szCs w:val="24"/>
        </w:rPr>
      </w:pPr>
    </w:p>
    <w:p w14:paraId="2D1228E4" w14:textId="77777777" w:rsidR="009E0D87" w:rsidRPr="00647AB7" w:rsidRDefault="00BD2F48">
      <w:pPr>
        <w:pStyle w:val="Heading2"/>
      </w:pPr>
      <w:bookmarkStart w:id="9" w:name="_Toc242480991"/>
      <w:r w:rsidRPr="00647AB7">
        <w:t>3.2 PESTLE analysis</w:t>
      </w:r>
      <w:bookmarkEnd w:id="9"/>
    </w:p>
    <w:p w14:paraId="2D8BAB50" w14:textId="77777777" w:rsidR="00763831" w:rsidRPr="00647AB7" w:rsidRDefault="00763831" w:rsidP="00763831"/>
    <w:tbl>
      <w:tblPr>
        <w:tblStyle w:val="TableGrid"/>
        <w:tblW w:w="0" w:type="auto"/>
        <w:jc w:val="center"/>
        <w:tblLook w:val="04A0" w:firstRow="1" w:lastRow="0" w:firstColumn="1" w:lastColumn="0" w:noHBand="0" w:noVBand="1"/>
      </w:tblPr>
      <w:tblGrid>
        <w:gridCol w:w="4703"/>
        <w:gridCol w:w="4703"/>
      </w:tblGrid>
      <w:tr w:rsidR="009E0D87" w:rsidRPr="00647AB7" w14:paraId="4BC37F60" w14:textId="77777777">
        <w:trPr>
          <w:jc w:val="center"/>
        </w:trPr>
        <w:tc>
          <w:tcPr>
            <w:tcW w:w="4703" w:type="dxa"/>
            <w:shd w:val="clear" w:color="auto" w:fill="E7E6E6"/>
            <w:vAlign w:val="center"/>
          </w:tcPr>
          <w:p w14:paraId="2CB775E4" w14:textId="77777777" w:rsidR="009E0D87" w:rsidRPr="00647AB7" w:rsidRDefault="00BD2F48">
            <w:pPr>
              <w:spacing w:after="40"/>
            </w:pPr>
            <w:r w:rsidRPr="00647AB7">
              <w:rPr>
                <w:b/>
                <w:sz w:val="18"/>
              </w:rPr>
              <w:t>Factor</w:t>
            </w:r>
          </w:p>
        </w:tc>
        <w:tc>
          <w:tcPr>
            <w:tcW w:w="4703" w:type="dxa"/>
            <w:shd w:val="clear" w:color="auto" w:fill="E7E6E6"/>
            <w:vAlign w:val="center"/>
          </w:tcPr>
          <w:p w14:paraId="1532751C" w14:textId="77777777" w:rsidR="009E0D87" w:rsidRPr="00647AB7" w:rsidRDefault="00BD2F48">
            <w:pPr>
              <w:spacing w:after="40"/>
            </w:pPr>
            <w:r w:rsidRPr="00647AB7">
              <w:rPr>
                <w:b/>
                <w:sz w:val="18"/>
              </w:rPr>
              <w:t>Relevance to the expansion project</w:t>
            </w:r>
          </w:p>
        </w:tc>
      </w:tr>
      <w:tr w:rsidR="009E0D87" w:rsidRPr="00647AB7" w14:paraId="1C614FC2" w14:textId="77777777">
        <w:trPr>
          <w:jc w:val="center"/>
        </w:trPr>
        <w:tc>
          <w:tcPr>
            <w:tcW w:w="4703" w:type="dxa"/>
            <w:vAlign w:val="center"/>
          </w:tcPr>
          <w:p w14:paraId="25FA554D" w14:textId="77777777" w:rsidR="009E0D87" w:rsidRPr="00647AB7" w:rsidRDefault="00BD2F48">
            <w:pPr>
              <w:spacing w:after="40"/>
            </w:pPr>
            <w:r w:rsidRPr="00647AB7">
              <w:rPr>
                <w:sz w:val="18"/>
              </w:rPr>
              <w:t>Political</w:t>
            </w:r>
          </w:p>
        </w:tc>
        <w:tc>
          <w:tcPr>
            <w:tcW w:w="4703" w:type="dxa"/>
            <w:vAlign w:val="center"/>
          </w:tcPr>
          <w:p w14:paraId="0FA73322" w14:textId="77777777" w:rsidR="009E0D87" w:rsidRPr="00647AB7" w:rsidRDefault="00BD2F48">
            <w:pPr>
              <w:spacing w:after="40"/>
            </w:pPr>
            <w:r w:rsidRPr="00647AB7">
              <w:rPr>
                <w:sz w:val="18"/>
              </w:rPr>
              <w:t>UK agricultural, trade and food policy may affect sourcing from domestic and European growers.</w:t>
            </w:r>
          </w:p>
        </w:tc>
      </w:tr>
      <w:tr w:rsidR="009E0D87" w:rsidRPr="00647AB7" w14:paraId="1A4CA16E" w14:textId="77777777">
        <w:trPr>
          <w:jc w:val="center"/>
        </w:trPr>
        <w:tc>
          <w:tcPr>
            <w:tcW w:w="4703" w:type="dxa"/>
            <w:vAlign w:val="center"/>
          </w:tcPr>
          <w:p w14:paraId="5C3D85FD" w14:textId="77777777" w:rsidR="009E0D87" w:rsidRPr="00647AB7" w:rsidRDefault="00BD2F48">
            <w:pPr>
              <w:spacing w:after="40"/>
            </w:pPr>
            <w:r w:rsidRPr="00647AB7">
              <w:rPr>
                <w:sz w:val="18"/>
              </w:rPr>
              <w:t>Economic</w:t>
            </w:r>
          </w:p>
        </w:tc>
        <w:tc>
          <w:tcPr>
            <w:tcW w:w="4703" w:type="dxa"/>
            <w:vAlign w:val="center"/>
          </w:tcPr>
          <w:p w14:paraId="3F4A23CF" w14:textId="068777B6" w:rsidR="009E0D87" w:rsidRPr="00647AB7" w:rsidRDefault="00BD2F48">
            <w:pPr>
              <w:spacing w:after="40"/>
            </w:pPr>
            <w:r w:rsidRPr="00647AB7">
              <w:rPr>
                <w:sz w:val="18"/>
              </w:rPr>
              <w:t xml:space="preserve">Energy, </w:t>
            </w:r>
            <w:r w:rsidR="00E7130B" w:rsidRPr="00647AB7">
              <w:rPr>
                <w:sz w:val="18"/>
              </w:rPr>
              <w:t>labo</w:t>
            </w:r>
            <w:r w:rsidR="00D4187B" w:rsidRPr="00647AB7">
              <w:rPr>
                <w:sz w:val="18"/>
              </w:rPr>
              <w:t>ur</w:t>
            </w:r>
            <w:r w:rsidRPr="00647AB7">
              <w:rPr>
                <w:sz w:val="18"/>
              </w:rPr>
              <w:t xml:space="preserve">, </w:t>
            </w:r>
            <w:r w:rsidR="00B91CF0" w:rsidRPr="00647AB7">
              <w:rPr>
                <w:sz w:val="18"/>
              </w:rPr>
              <w:t>ingredients</w:t>
            </w:r>
            <w:r w:rsidRPr="00647AB7">
              <w:rPr>
                <w:sz w:val="18"/>
              </w:rPr>
              <w:t xml:space="preserve">, </w:t>
            </w:r>
            <w:r w:rsidR="00521EC1" w:rsidRPr="00647AB7">
              <w:rPr>
                <w:sz w:val="18"/>
              </w:rPr>
              <w:t>finance,</w:t>
            </w:r>
            <w:r w:rsidRPr="00647AB7">
              <w:rPr>
                <w:sz w:val="18"/>
              </w:rPr>
              <w:t xml:space="preserve"> and construction costs affect investment viability and margins.</w:t>
            </w:r>
          </w:p>
        </w:tc>
      </w:tr>
      <w:tr w:rsidR="009E0D87" w:rsidRPr="00647AB7" w14:paraId="4671989E" w14:textId="77777777">
        <w:trPr>
          <w:jc w:val="center"/>
        </w:trPr>
        <w:tc>
          <w:tcPr>
            <w:tcW w:w="4703" w:type="dxa"/>
            <w:vAlign w:val="center"/>
          </w:tcPr>
          <w:p w14:paraId="08D9BBA7" w14:textId="77777777" w:rsidR="009E0D87" w:rsidRPr="00647AB7" w:rsidRDefault="00BD2F48">
            <w:pPr>
              <w:spacing w:after="40"/>
            </w:pPr>
            <w:r w:rsidRPr="00647AB7">
              <w:rPr>
                <w:sz w:val="18"/>
              </w:rPr>
              <w:t>Social</w:t>
            </w:r>
          </w:p>
        </w:tc>
        <w:tc>
          <w:tcPr>
            <w:tcW w:w="4703" w:type="dxa"/>
            <w:vAlign w:val="center"/>
          </w:tcPr>
          <w:p w14:paraId="24009C1C" w14:textId="77777777" w:rsidR="009E0D87" w:rsidRPr="00647AB7" w:rsidRDefault="00BD2F48">
            <w:pPr>
              <w:spacing w:after="40"/>
            </w:pPr>
            <w:r w:rsidRPr="00647AB7">
              <w:rPr>
                <w:sz w:val="18"/>
              </w:rPr>
              <w:t>Consumer interest in healthier products supports diversification, but preferences can change quickly.</w:t>
            </w:r>
          </w:p>
        </w:tc>
      </w:tr>
      <w:tr w:rsidR="009E0D87" w:rsidRPr="00647AB7" w14:paraId="76B9E6B2" w14:textId="77777777">
        <w:trPr>
          <w:jc w:val="center"/>
        </w:trPr>
        <w:tc>
          <w:tcPr>
            <w:tcW w:w="4703" w:type="dxa"/>
            <w:vAlign w:val="center"/>
          </w:tcPr>
          <w:p w14:paraId="0EF8B2F4" w14:textId="77777777" w:rsidR="009E0D87" w:rsidRPr="00647AB7" w:rsidRDefault="00BD2F48">
            <w:pPr>
              <w:spacing w:after="40"/>
            </w:pPr>
            <w:r w:rsidRPr="00647AB7">
              <w:rPr>
                <w:sz w:val="18"/>
              </w:rPr>
              <w:t>Technological</w:t>
            </w:r>
          </w:p>
        </w:tc>
        <w:tc>
          <w:tcPr>
            <w:tcW w:w="4703" w:type="dxa"/>
            <w:vAlign w:val="center"/>
          </w:tcPr>
          <w:p w14:paraId="75F5EE0A" w14:textId="77777777" w:rsidR="009E0D87" w:rsidRPr="00647AB7" w:rsidRDefault="00BD2F48">
            <w:pPr>
              <w:spacing w:after="40"/>
            </w:pPr>
            <w:r w:rsidRPr="00647AB7">
              <w:rPr>
                <w:sz w:val="18"/>
              </w:rPr>
              <w:t>ERP/MRP, forecasting, traceability and transport technologies could improve visibility and coordination.</w:t>
            </w:r>
          </w:p>
        </w:tc>
      </w:tr>
      <w:tr w:rsidR="009E0D87" w:rsidRPr="00647AB7" w14:paraId="6B523994" w14:textId="77777777">
        <w:trPr>
          <w:jc w:val="center"/>
        </w:trPr>
        <w:tc>
          <w:tcPr>
            <w:tcW w:w="4703" w:type="dxa"/>
            <w:vAlign w:val="center"/>
          </w:tcPr>
          <w:p w14:paraId="54D43E9D" w14:textId="77777777" w:rsidR="009E0D87" w:rsidRPr="00647AB7" w:rsidRDefault="00BD2F48">
            <w:pPr>
              <w:spacing w:after="40"/>
            </w:pPr>
            <w:r w:rsidRPr="00647AB7">
              <w:rPr>
                <w:sz w:val="18"/>
              </w:rPr>
              <w:t>Legal</w:t>
            </w:r>
          </w:p>
        </w:tc>
        <w:tc>
          <w:tcPr>
            <w:tcW w:w="4703" w:type="dxa"/>
            <w:vAlign w:val="center"/>
          </w:tcPr>
          <w:p w14:paraId="6D72E1ED" w14:textId="7D4862F8" w:rsidR="009E0D87" w:rsidRPr="00647AB7" w:rsidRDefault="00BD2F48">
            <w:pPr>
              <w:spacing w:after="40"/>
            </w:pPr>
            <w:r w:rsidRPr="00647AB7">
              <w:rPr>
                <w:sz w:val="18"/>
              </w:rPr>
              <w:t xml:space="preserve">Food safety, hygiene, allergens, labelling, </w:t>
            </w:r>
            <w:r w:rsidR="00521EC1" w:rsidRPr="00647AB7">
              <w:rPr>
                <w:sz w:val="18"/>
              </w:rPr>
              <w:t>employment,</w:t>
            </w:r>
            <w:r w:rsidRPr="00647AB7">
              <w:rPr>
                <w:sz w:val="18"/>
              </w:rPr>
              <w:t xml:space="preserve"> and premises requirements affect design and operation.</w:t>
            </w:r>
          </w:p>
        </w:tc>
      </w:tr>
      <w:tr w:rsidR="009E0D87" w:rsidRPr="00647AB7" w14:paraId="4C924517" w14:textId="77777777">
        <w:trPr>
          <w:jc w:val="center"/>
        </w:trPr>
        <w:tc>
          <w:tcPr>
            <w:tcW w:w="4703" w:type="dxa"/>
            <w:vAlign w:val="center"/>
          </w:tcPr>
          <w:p w14:paraId="4C77E5F7" w14:textId="77777777" w:rsidR="009E0D87" w:rsidRPr="00647AB7" w:rsidRDefault="00BD2F48">
            <w:pPr>
              <w:spacing w:after="40"/>
            </w:pPr>
            <w:r w:rsidRPr="00647AB7">
              <w:rPr>
                <w:sz w:val="18"/>
              </w:rPr>
              <w:t>Environmental</w:t>
            </w:r>
          </w:p>
        </w:tc>
        <w:tc>
          <w:tcPr>
            <w:tcW w:w="4703" w:type="dxa"/>
            <w:vAlign w:val="center"/>
          </w:tcPr>
          <w:p w14:paraId="2EBE10AB" w14:textId="75631122" w:rsidR="009E0D87" w:rsidRPr="00647AB7" w:rsidRDefault="00BD2F48">
            <w:pPr>
              <w:spacing w:after="40"/>
            </w:pPr>
            <w:r w:rsidRPr="00647AB7">
              <w:rPr>
                <w:sz w:val="18"/>
              </w:rPr>
              <w:t xml:space="preserve">Refrigeration energy, transport emissions, </w:t>
            </w:r>
            <w:r w:rsidR="00521EC1" w:rsidRPr="00647AB7">
              <w:rPr>
                <w:sz w:val="18"/>
              </w:rPr>
              <w:t>packaging,</w:t>
            </w:r>
            <w:r w:rsidRPr="00647AB7">
              <w:rPr>
                <w:sz w:val="18"/>
              </w:rPr>
              <w:t xml:space="preserve"> and food waste affect both cost and reputation.</w:t>
            </w:r>
          </w:p>
        </w:tc>
      </w:tr>
    </w:tbl>
    <w:p w14:paraId="416669D4" w14:textId="77777777" w:rsidR="00B91CF0" w:rsidRPr="00647AB7" w:rsidRDefault="00B91CF0">
      <w:pPr>
        <w:jc w:val="both"/>
      </w:pPr>
    </w:p>
    <w:p w14:paraId="71F45A20" w14:textId="65D60DDF" w:rsidR="009E0D87" w:rsidRPr="00647AB7" w:rsidRDefault="00BD2F48">
      <w:pPr>
        <w:jc w:val="both"/>
        <w:rPr>
          <w:sz w:val="24"/>
          <w:szCs w:val="24"/>
        </w:rPr>
      </w:pPr>
      <w:r w:rsidRPr="00647AB7">
        <w:rPr>
          <w:sz w:val="24"/>
          <w:szCs w:val="24"/>
        </w:rPr>
        <w:t xml:space="preserve">Legal and regulatory factors should influence design from the beginning rather than being treated as a final compliance check. Current UK guidance requires food businesses to register with the relevant local authority, operate a food-safety management system based on HACCP principles, manage allergens and hazards, train </w:t>
      </w:r>
      <w:r w:rsidR="00521EC1" w:rsidRPr="00647AB7">
        <w:rPr>
          <w:sz w:val="24"/>
          <w:szCs w:val="24"/>
        </w:rPr>
        <w:t>staff,</w:t>
      </w:r>
      <w:r w:rsidRPr="00647AB7">
        <w:rPr>
          <w:sz w:val="24"/>
          <w:szCs w:val="24"/>
        </w:rPr>
        <w:t xml:space="preserve"> and maintain traceability records (GOV.UK, 2026a; GOV.UK, 2026b). Registration is required at least 28 days before trading from the new premises (GOV.UK, 2026c).</w:t>
      </w:r>
    </w:p>
    <w:p w14:paraId="786F8383" w14:textId="77777777" w:rsidR="00B91CF0" w:rsidRPr="00647AB7" w:rsidRDefault="00BD2F48">
      <w:pPr>
        <w:jc w:val="both"/>
        <w:rPr>
          <w:sz w:val="24"/>
          <w:szCs w:val="24"/>
        </w:rPr>
      </w:pPr>
      <w:r w:rsidRPr="00647AB7">
        <w:rPr>
          <w:sz w:val="24"/>
          <w:szCs w:val="24"/>
        </w:rPr>
        <w:t>Traceability is particularly relevant because the business buys fresh ingredients from multiple growers and supplies major retailers. Records must allow food to be tracked through the supply chain and support rapid withdrawal or recall if required (GOV.UK, 2026d). The proposed yoghurt-based range also warrants early regulatory review because activities involving products of animal origin can create additional approval requirements depending on the precise manufacturing and supply arrangements.</w:t>
      </w:r>
    </w:p>
    <w:p w14:paraId="1A6DFBA0" w14:textId="39EA9C00" w:rsidR="009E0D87" w:rsidRPr="00647AB7" w:rsidRDefault="00BD2F48">
      <w:pPr>
        <w:jc w:val="both"/>
        <w:rPr>
          <w:sz w:val="24"/>
          <w:szCs w:val="24"/>
        </w:rPr>
      </w:pPr>
      <w:r w:rsidRPr="00647AB7">
        <w:rPr>
          <w:sz w:val="24"/>
          <w:szCs w:val="24"/>
        </w:rPr>
        <w:t>Economic and environmental factors may conflict. More efficient refrigeration or processing equipment can require greater initial investment but reduce long-term energy use. Procurement should therefore consider whole-life value rather than purchase price alone. Overall, the PESTLE analysis supports expansion conditionally while reinforcing the need for staged investment and risk control.</w:t>
      </w:r>
    </w:p>
    <w:p w14:paraId="085AF8B4" w14:textId="77777777" w:rsidR="009E0D87" w:rsidRPr="00647AB7" w:rsidRDefault="00BD2F48">
      <w:pPr>
        <w:pStyle w:val="Heading1"/>
      </w:pPr>
      <w:bookmarkStart w:id="10" w:name="_Toc242480992"/>
      <w:r w:rsidRPr="00647AB7">
        <w:lastRenderedPageBreak/>
        <w:t>4. Organisational Structure, Technology and Communication</w:t>
      </w:r>
      <w:bookmarkEnd w:id="10"/>
    </w:p>
    <w:p w14:paraId="2503C11F" w14:textId="77777777" w:rsidR="009E0D87" w:rsidRPr="00647AB7" w:rsidRDefault="00BD2F48">
      <w:pPr>
        <w:pStyle w:val="Heading2"/>
      </w:pPr>
      <w:bookmarkStart w:id="11" w:name="_Toc242480993"/>
      <w:r w:rsidRPr="00647AB7">
        <w:t>4.1 Organisational redesign</w:t>
      </w:r>
      <w:bookmarkEnd w:id="11"/>
    </w:p>
    <w:p w14:paraId="162104C4" w14:textId="77777777" w:rsidR="00763831" w:rsidRPr="00647AB7" w:rsidRDefault="00763831" w:rsidP="00763831"/>
    <w:p w14:paraId="1C1490CA" w14:textId="7834ADD4" w:rsidR="009E0D87" w:rsidRPr="00647AB7" w:rsidRDefault="00BD2F48">
      <w:pPr>
        <w:jc w:val="both"/>
        <w:rPr>
          <w:sz w:val="24"/>
          <w:szCs w:val="24"/>
        </w:rPr>
      </w:pPr>
      <w:r w:rsidRPr="00647AB7">
        <w:rPr>
          <w:sz w:val="24"/>
          <w:szCs w:val="24"/>
        </w:rPr>
        <w:t xml:space="preserve">The current three-director arrangement appears suited </w:t>
      </w:r>
      <w:r w:rsidR="00E7130B" w:rsidRPr="00647AB7">
        <w:rPr>
          <w:sz w:val="24"/>
          <w:szCs w:val="24"/>
        </w:rPr>
        <w:t>for</w:t>
      </w:r>
      <w:r w:rsidRPr="00647AB7">
        <w:rPr>
          <w:sz w:val="24"/>
          <w:szCs w:val="24"/>
        </w:rPr>
        <w:t xml:space="preserve"> an entrepreneurial start-up but less suitable for a business supplying several national retailers. Growth increases coordination requirements and makes informal allocation of responsibility increasingly risky. Research on SMEs suggests that formalisation and organisational structure can mitigate some liabilities associated with smallness and growth (Guerrazzi et al., 2022). Nevertheless, excessive formalisation could remove the speed that helped the company grow. A clearer functional structure is therefore recommended, but not a large hierarchy. Responsibilities can initially be allocated between directors and existing staff, with specialists recruited only where capability gaps are material. This preserves entrepreneurial responsiveness while making accountability visible.</w:t>
      </w:r>
    </w:p>
    <w:p w14:paraId="5C0356A5" w14:textId="511B1AA6" w:rsidR="009E0D87" w:rsidRPr="00647AB7" w:rsidRDefault="00BD2F48">
      <w:pPr>
        <w:jc w:val="both"/>
        <w:rPr>
          <w:sz w:val="24"/>
          <w:szCs w:val="24"/>
        </w:rPr>
      </w:pPr>
      <w:r w:rsidRPr="00647AB7">
        <w:rPr>
          <w:sz w:val="24"/>
          <w:szCs w:val="24"/>
        </w:rPr>
        <w:t xml:space="preserve">The essential improvement is accountability. Supplier performance should have an identifiable owner; production another; quality and food safety should have explicit authority; and retailer relationships should be managed consistently. Functional structures can create silos, so a weekly cross-functional planning meeting should review demand, ingredient availability, production, transport, </w:t>
      </w:r>
      <w:r w:rsidR="00521EC1" w:rsidRPr="00647AB7">
        <w:rPr>
          <w:sz w:val="24"/>
          <w:szCs w:val="24"/>
        </w:rPr>
        <w:t>quality,</w:t>
      </w:r>
      <w:r w:rsidRPr="00647AB7">
        <w:rPr>
          <w:sz w:val="24"/>
          <w:szCs w:val="24"/>
        </w:rPr>
        <w:t xml:space="preserve"> and risks using common performance measures.</w:t>
      </w:r>
    </w:p>
    <w:p w14:paraId="071FD9CD" w14:textId="77777777" w:rsidR="009E0D87" w:rsidRPr="00647AB7" w:rsidRDefault="00BD2F48">
      <w:r w:rsidRPr="00647AB7">
        <w:rPr>
          <w:noProof/>
        </w:rPr>
        <w:drawing>
          <wp:inline distT="0" distB="0" distL="0" distR="0" wp14:anchorId="5E4A5EF8" wp14:editId="662A4A4D">
            <wp:extent cx="5669280" cy="26738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rganisation_structure.png"/>
                    <pic:cNvPicPr/>
                  </pic:nvPicPr>
                  <pic:blipFill>
                    <a:blip r:embed="rId10"/>
                    <a:stretch>
                      <a:fillRect/>
                    </a:stretch>
                  </pic:blipFill>
                  <pic:spPr>
                    <a:xfrm>
                      <a:off x="0" y="0"/>
                      <a:ext cx="5669280" cy="2673860"/>
                    </a:xfrm>
                    <a:prstGeom prst="rect">
                      <a:avLst/>
                    </a:prstGeom>
                  </pic:spPr>
                </pic:pic>
              </a:graphicData>
            </a:graphic>
          </wp:inline>
        </w:drawing>
      </w:r>
    </w:p>
    <w:p w14:paraId="6F572D34" w14:textId="2357E3F0" w:rsidR="009E0D87" w:rsidRPr="00647AB7" w:rsidRDefault="00BD2F48">
      <w:pPr>
        <w:jc w:val="both"/>
        <w:rPr>
          <w:sz w:val="24"/>
          <w:szCs w:val="24"/>
        </w:rPr>
      </w:pPr>
      <w:r w:rsidRPr="00647AB7">
        <w:rPr>
          <w:sz w:val="24"/>
          <w:szCs w:val="24"/>
        </w:rPr>
        <w:t xml:space="preserve">Appropriate key performance indicators would include supplier on-time delivery, customer on-time-in-full delivery, forecast accuracy, production yield, waste, </w:t>
      </w:r>
      <w:r w:rsidR="00521EC1" w:rsidRPr="00647AB7">
        <w:rPr>
          <w:sz w:val="24"/>
          <w:szCs w:val="24"/>
        </w:rPr>
        <w:t>complaints,</w:t>
      </w:r>
      <w:r w:rsidRPr="00647AB7">
        <w:rPr>
          <w:sz w:val="24"/>
          <w:szCs w:val="24"/>
        </w:rPr>
        <w:t xml:space="preserve"> and quality non-conformances. These measures would shift communication from anecdotal problem solving towards evidence-based performance management.</w:t>
      </w:r>
    </w:p>
    <w:p w14:paraId="0F717A89" w14:textId="77777777" w:rsidR="00763831" w:rsidRPr="00647AB7" w:rsidRDefault="00763831">
      <w:pPr>
        <w:jc w:val="both"/>
        <w:rPr>
          <w:sz w:val="24"/>
          <w:szCs w:val="24"/>
        </w:rPr>
      </w:pPr>
    </w:p>
    <w:p w14:paraId="7E6E1A33" w14:textId="77777777" w:rsidR="009E0D87" w:rsidRPr="00647AB7" w:rsidRDefault="00BD2F48">
      <w:pPr>
        <w:pStyle w:val="Heading2"/>
      </w:pPr>
      <w:bookmarkStart w:id="12" w:name="_Toc242480994"/>
      <w:r w:rsidRPr="00647AB7">
        <w:lastRenderedPageBreak/>
        <w:t>4.2 Digital technology and information flow</w:t>
      </w:r>
      <w:bookmarkEnd w:id="12"/>
    </w:p>
    <w:p w14:paraId="7845A17A" w14:textId="77777777" w:rsidR="00763831" w:rsidRPr="00647AB7" w:rsidRDefault="00763831" w:rsidP="00763831"/>
    <w:p w14:paraId="60F00F89" w14:textId="10BBA166" w:rsidR="009E0D87" w:rsidRPr="00647AB7" w:rsidRDefault="00BD2F48">
      <w:pPr>
        <w:jc w:val="both"/>
        <w:rPr>
          <w:sz w:val="24"/>
          <w:szCs w:val="24"/>
        </w:rPr>
      </w:pPr>
      <w:r w:rsidRPr="00647AB7">
        <w:rPr>
          <w:sz w:val="24"/>
          <w:szCs w:val="24"/>
        </w:rPr>
        <w:t xml:space="preserve">Technology should support redesigned processes rather than substitute for them. A scalable cloud-based ERP/MRP platform could connect retailer orders and forecasts with production scheduling, ingredient requirements, inventory, </w:t>
      </w:r>
      <w:r w:rsidR="00521EC1" w:rsidRPr="00647AB7">
        <w:rPr>
          <w:sz w:val="24"/>
          <w:szCs w:val="24"/>
        </w:rPr>
        <w:t>procurement,</w:t>
      </w:r>
      <w:r w:rsidRPr="00647AB7">
        <w:rPr>
          <w:sz w:val="24"/>
          <w:szCs w:val="24"/>
        </w:rPr>
        <w:t xml:space="preserve"> and dispatch. Supplier confirmations and transport tracking could provide additional visibility. The target information flow would </w:t>
      </w:r>
      <w:r w:rsidR="00E7130B" w:rsidRPr="00647AB7">
        <w:rPr>
          <w:sz w:val="24"/>
          <w:szCs w:val="24"/>
        </w:rPr>
        <w:t>be</w:t>
      </w:r>
      <w:r w:rsidRPr="00647AB7">
        <w:rPr>
          <w:sz w:val="24"/>
          <w:szCs w:val="24"/>
        </w:rPr>
        <w:t xml:space="preserve"> retailer demand → forecast → production plan → material requirement → supplier confirmation → collection schedule → goods receipt → production → dispatch → delivery confirmation.</w:t>
      </w:r>
    </w:p>
    <w:p w14:paraId="7490E218" w14:textId="7633708E" w:rsidR="009E0D87" w:rsidRPr="00647AB7" w:rsidRDefault="00BD2F48">
      <w:pPr>
        <w:jc w:val="both"/>
        <w:rPr>
          <w:sz w:val="24"/>
          <w:szCs w:val="24"/>
        </w:rPr>
      </w:pPr>
      <w:r w:rsidRPr="00647AB7">
        <w:rPr>
          <w:sz w:val="24"/>
          <w:szCs w:val="24"/>
        </w:rPr>
        <w:t xml:space="preserve">Recent food-supply-chain research supports the potential value of digitalisation, but it also cautions against treating technology as a stand-alone solution. Panigrahi, Singh and Muduli (2025), drawing on 647 Scopus-indexed documents, identify digitalisation and Industry 4.0 as important food-supply-chain themes while also highlighting financial, institutional and expertise barriers for SMEs. Pal, Ganguly and Chaudhuri (2024), using </w:t>
      </w:r>
      <w:r w:rsidR="00521EC1" w:rsidRPr="00647AB7">
        <w:rPr>
          <w:sz w:val="24"/>
          <w:szCs w:val="24"/>
        </w:rPr>
        <w:t>twenty-five</w:t>
      </w:r>
      <w:r w:rsidRPr="00647AB7">
        <w:rPr>
          <w:sz w:val="24"/>
          <w:szCs w:val="24"/>
        </w:rPr>
        <w:t xml:space="preserve"> interviews across four food-supply-chain companies, found that digital technologies supported resilience when combined with knowledge-management and dynamic capabilities. The distinction is important: the evidence supports digitally enabled organisational capability, not technology purchasing in isolation.</w:t>
      </w:r>
    </w:p>
    <w:p w14:paraId="753E9F10" w14:textId="4EC84F34" w:rsidR="009E0D87" w:rsidRPr="00647AB7" w:rsidRDefault="00BD2F48">
      <w:pPr>
        <w:jc w:val="both"/>
        <w:rPr>
          <w:sz w:val="24"/>
          <w:szCs w:val="24"/>
        </w:rPr>
      </w:pPr>
      <w:r w:rsidRPr="00647AB7">
        <w:rPr>
          <w:sz w:val="24"/>
          <w:szCs w:val="24"/>
        </w:rPr>
        <w:t xml:space="preserve">For this company, an immediate enterprise-wide ERP implementation would therefore be difficult to justify. Poor data, unclear process </w:t>
      </w:r>
      <w:r w:rsidR="00521EC1" w:rsidRPr="00647AB7">
        <w:rPr>
          <w:sz w:val="24"/>
          <w:szCs w:val="24"/>
        </w:rPr>
        <w:t>ownership,</w:t>
      </w:r>
      <w:r w:rsidRPr="00647AB7">
        <w:rPr>
          <w:sz w:val="24"/>
          <w:szCs w:val="24"/>
        </w:rPr>
        <w:t xml:space="preserve"> and inadequate training could simply digitalise existing confusion. A more defensible sequence is process mapping, data standardisation, system selection, a limited pilot, training, performance </w:t>
      </w:r>
      <w:r w:rsidR="00521EC1" w:rsidRPr="00647AB7">
        <w:rPr>
          <w:sz w:val="24"/>
          <w:szCs w:val="24"/>
        </w:rPr>
        <w:t>review,</w:t>
      </w:r>
      <w:r w:rsidRPr="00647AB7">
        <w:rPr>
          <w:sz w:val="24"/>
          <w:szCs w:val="24"/>
        </w:rPr>
        <w:t xml:space="preserve"> and only then wider deployment. A pilot involving selected growers and one transport provider would </w:t>
      </w:r>
      <w:r w:rsidR="00521EC1" w:rsidRPr="00647AB7">
        <w:rPr>
          <w:sz w:val="24"/>
          <w:szCs w:val="24"/>
        </w:rPr>
        <w:t>evaluate</w:t>
      </w:r>
      <w:r w:rsidRPr="00647AB7">
        <w:rPr>
          <w:sz w:val="24"/>
          <w:szCs w:val="24"/>
        </w:rPr>
        <w:t xml:space="preserve"> whether improved visibility </w:t>
      </w:r>
      <w:r w:rsidR="00521EC1" w:rsidRPr="00647AB7">
        <w:rPr>
          <w:sz w:val="24"/>
          <w:szCs w:val="24"/>
        </w:rPr>
        <w:t>reduces</w:t>
      </w:r>
      <w:r w:rsidRPr="00647AB7">
        <w:rPr>
          <w:sz w:val="24"/>
          <w:szCs w:val="24"/>
        </w:rPr>
        <w:t xml:space="preserve"> missed collections and delivery failures before further capital is committed. This creates a measurable stop/go decision rather than assuming that sunk technology cost must be followed by full rollout.</w:t>
      </w:r>
    </w:p>
    <w:p w14:paraId="7E691BD3" w14:textId="77777777" w:rsidR="009E0D87" w:rsidRPr="00647AB7" w:rsidRDefault="00BD2F48">
      <w:pPr>
        <w:pStyle w:val="Heading2"/>
      </w:pPr>
      <w:bookmarkStart w:id="13" w:name="_Toc242480995"/>
      <w:r w:rsidRPr="00647AB7">
        <w:t>4.3 Supply-chain communication</w:t>
      </w:r>
      <w:bookmarkEnd w:id="13"/>
    </w:p>
    <w:p w14:paraId="50A2AC3E" w14:textId="77777777" w:rsidR="00763831" w:rsidRPr="00647AB7" w:rsidRDefault="00763831" w:rsidP="00763831"/>
    <w:p w14:paraId="215D66F7" w14:textId="5AA48EEE" w:rsidR="009E0D87" w:rsidRPr="00647AB7" w:rsidRDefault="00BD2F48">
      <w:pPr>
        <w:jc w:val="both"/>
        <w:rPr>
          <w:sz w:val="24"/>
          <w:szCs w:val="24"/>
        </w:rPr>
      </w:pPr>
      <w:r w:rsidRPr="00647AB7">
        <w:rPr>
          <w:sz w:val="24"/>
          <w:szCs w:val="24"/>
        </w:rPr>
        <w:t xml:space="preserve">The existing problem </w:t>
      </w:r>
      <w:r w:rsidR="00521EC1" w:rsidRPr="00647AB7">
        <w:rPr>
          <w:sz w:val="24"/>
          <w:szCs w:val="24"/>
        </w:rPr>
        <w:t>involves not simply</w:t>
      </w:r>
      <w:r w:rsidRPr="00647AB7">
        <w:rPr>
          <w:sz w:val="24"/>
          <w:szCs w:val="24"/>
        </w:rPr>
        <w:t xml:space="preserve"> the absence of communication but its reliability, </w:t>
      </w:r>
      <w:r w:rsidR="00521EC1" w:rsidRPr="00647AB7">
        <w:rPr>
          <w:sz w:val="24"/>
          <w:szCs w:val="24"/>
        </w:rPr>
        <w:t>timing,</w:t>
      </w:r>
      <w:r w:rsidRPr="00647AB7">
        <w:rPr>
          <w:sz w:val="24"/>
          <w:szCs w:val="24"/>
        </w:rPr>
        <w:t xml:space="preserve"> and ownership. Growers require visibility of expected demand and confirmed collection dates. Transport providers require accurate collection locations, times, </w:t>
      </w:r>
      <w:r w:rsidR="00521EC1" w:rsidRPr="00647AB7">
        <w:rPr>
          <w:sz w:val="24"/>
          <w:szCs w:val="24"/>
        </w:rPr>
        <w:t>volumes,</w:t>
      </w:r>
      <w:r w:rsidRPr="00647AB7">
        <w:rPr>
          <w:sz w:val="24"/>
          <w:szCs w:val="24"/>
        </w:rPr>
        <w:t xml:space="preserve"> and priorities. Production staff need confirmed material availability, while retailers require accurate dispatch and exception information.</w:t>
      </w:r>
    </w:p>
    <w:p w14:paraId="1743C835" w14:textId="05AB6E60" w:rsidR="009E0D87" w:rsidRPr="00647AB7" w:rsidRDefault="00BD2F48">
      <w:pPr>
        <w:jc w:val="both"/>
        <w:rPr>
          <w:sz w:val="24"/>
          <w:szCs w:val="24"/>
        </w:rPr>
      </w:pPr>
      <w:r w:rsidRPr="00647AB7">
        <w:rPr>
          <w:sz w:val="24"/>
          <w:szCs w:val="24"/>
        </w:rPr>
        <w:t xml:space="preserve">The company should establish a single operational information source supported by agreed communication protocols. Exception alerts should identify late supplier deliveries, transport </w:t>
      </w:r>
      <w:r w:rsidR="00521EC1" w:rsidRPr="00647AB7">
        <w:rPr>
          <w:sz w:val="24"/>
          <w:szCs w:val="24"/>
        </w:rPr>
        <w:t>delays,</w:t>
      </w:r>
      <w:r w:rsidRPr="00647AB7">
        <w:rPr>
          <w:sz w:val="24"/>
          <w:szCs w:val="24"/>
        </w:rPr>
        <w:t xml:space="preserve"> or production shortfalls early enough for corrective action. Technology should complement, not replace, supplier reviews, logistics performance </w:t>
      </w:r>
      <w:r w:rsidR="00521EC1" w:rsidRPr="00647AB7">
        <w:rPr>
          <w:sz w:val="24"/>
          <w:szCs w:val="24"/>
        </w:rPr>
        <w:t>meetings,</w:t>
      </w:r>
      <w:r w:rsidRPr="00647AB7">
        <w:rPr>
          <w:sz w:val="24"/>
          <w:szCs w:val="24"/>
        </w:rPr>
        <w:t xml:space="preserve"> and collaborative forecasting. This combination of formal process, digital </w:t>
      </w:r>
      <w:r w:rsidRPr="00647AB7">
        <w:rPr>
          <w:sz w:val="24"/>
          <w:szCs w:val="24"/>
        </w:rPr>
        <w:lastRenderedPageBreak/>
        <w:t>visibility and relationship management is more appropriate than relying on one communication channel.</w:t>
      </w:r>
    </w:p>
    <w:p w14:paraId="1E644EC1" w14:textId="77777777" w:rsidR="009E0D87" w:rsidRPr="00647AB7" w:rsidRDefault="00BD2F48">
      <w:pPr>
        <w:pStyle w:val="Heading1"/>
      </w:pPr>
      <w:bookmarkStart w:id="14" w:name="_Toc242480996"/>
      <w:r w:rsidRPr="00647AB7">
        <w:t>5. Relocation, Change Management and Leadership</w:t>
      </w:r>
      <w:bookmarkEnd w:id="14"/>
    </w:p>
    <w:p w14:paraId="092E101E" w14:textId="3942B648" w:rsidR="009E0D87" w:rsidRPr="00647AB7" w:rsidRDefault="00BD2F48">
      <w:pPr>
        <w:pStyle w:val="Heading2"/>
      </w:pPr>
      <w:bookmarkStart w:id="15" w:name="_Toc242480997"/>
      <w:r w:rsidRPr="00647AB7">
        <w:t xml:space="preserve">5.1 Managing the physical </w:t>
      </w:r>
      <w:r w:rsidR="00E7130B" w:rsidRPr="00647AB7">
        <w:t>transition.</w:t>
      </w:r>
      <w:bookmarkEnd w:id="15"/>
    </w:p>
    <w:p w14:paraId="774FCBAC" w14:textId="77777777" w:rsidR="00763831" w:rsidRPr="00647AB7" w:rsidRDefault="00763831" w:rsidP="00763831"/>
    <w:p w14:paraId="472D05BF" w14:textId="004C0988" w:rsidR="009E0D87" w:rsidRPr="00647AB7" w:rsidRDefault="00BD2F48">
      <w:pPr>
        <w:jc w:val="both"/>
        <w:rPr>
          <w:sz w:val="24"/>
          <w:szCs w:val="24"/>
        </w:rPr>
      </w:pPr>
      <w:r w:rsidRPr="00647AB7">
        <w:rPr>
          <w:sz w:val="24"/>
          <w:szCs w:val="24"/>
        </w:rPr>
        <w:t xml:space="preserve">Relocation creates significant operational risk because the company must protect existing supermarket </w:t>
      </w:r>
      <w:r w:rsidR="00DB6106" w:rsidRPr="00647AB7">
        <w:rPr>
          <w:sz w:val="24"/>
          <w:szCs w:val="24"/>
        </w:rPr>
        <w:t>supplies</w:t>
      </w:r>
      <w:r w:rsidRPr="00647AB7">
        <w:rPr>
          <w:sz w:val="24"/>
          <w:szCs w:val="24"/>
        </w:rPr>
        <w:t xml:space="preserve"> while transferring production. A single abrupt cutover would create unnecessary exposure. The new facility should be prepared and validated, equipment installed, digital systems </w:t>
      </w:r>
      <w:r w:rsidR="00521EC1" w:rsidRPr="00647AB7">
        <w:rPr>
          <w:sz w:val="24"/>
          <w:szCs w:val="24"/>
        </w:rPr>
        <w:t>evaluated</w:t>
      </w:r>
      <w:r w:rsidRPr="00647AB7">
        <w:rPr>
          <w:sz w:val="24"/>
          <w:szCs w:val="24"/>
        </w:rPr>
        <w:t xml:space="preserve"> and trial production completed before full transfer. A limited stock buffer may protect customer service during cutover, although short shelf life means that excessive inventory would increase waste.</w:t>
      </w:r>
    </w:p>
    <w:p w14:paraId="254248BB" w14:textId="43D2B6EC" w:rsidR="009E0D87" w:rsidRPr="00647AB7" w:rsidRDefault="00BD2F48">
      <w:pPr>
        <w:jc w:val="both"/>
        <w:rPr>
          <w:sz w:val="24"/>
          <w:szCs w:val="24"/>
        </w:rPr>
      </w:pPr>
      <w:r w:rsidRPr="00647AB7">
        <w:rPr>
          <w:sz w:val="24"/>
          <w:szCs w:val="24"/>
        </w:rPr>
        <w:t xml:space="preserve">A formal readiness review should precede go-live. Criteria should include equipment acceptance, utilities, trained staff, HACCP-based food-safety controls, traceability, supplier readiness, transport </w:t>
      </w:r>
      <w:r w:rsidR="00521EC1" w:rsidRPr="00647AB7">
        <w:rPr>
          <w:sz w:val="24"/>
          <w:szCs w:val="24"/>
        </w:rPr>
        <w:t>arrangements,</w:t>
      </w:r>
      <w:r w:rsidRPr="00647AB7">
        <w:rPr>
          <w:sz w:val="24"/>
          <w:szCs w:val="24"/>
        </w:rPr>
        <w:t xml:space="preserve"> and successful trial production. Current UK guidance requires food businesses to maintain a written food-safety management system based on HACCP principles, including hazard identification, critical control points, monitoring, corrective </w:t>
      </w:r>
      <w:r w:rsidR="00521EC1" w:rsidRPr="00647AB7">
        <w:rPr>
          <w:sz w:val="24"/>
          <w:szCs w:val="24"/>
        </w:rPr>
        <w:t>action,</w:t>
      </w:r>
      <w:r w:rsidRPr="00647AB7">
        <w:rPr>
          <w:sz w:val="24"/>
          <w:szCs w:val="24"/>
        </w:rPr>
        <w:t xml:space="preserve"> and records (GOV.UK, 2026b). These requirements should be designed into the project rather than added after commissioning.</w:t>
      </w:r>
    </w:p>
    <w:p w14:paraId="7AECE753" w14:textId="0C4A0437" w:rsidR="009E0D87" w:rsidRPr="00647AB7" w:rsidRDefault="00BD2F48">
      <w:pPr>
        <w:pStyle w:val="Heading2"/>
      </w:pPr>
      <w:bookmarkStart w:id="16" w:name="_Toc242480998"/>
      <w:r w:rsidRPr="00647AB7">
        <w:t xml:space="preserve">5.2 Managing organisational </w:t>
      </w:r>
      <w:r w:rsidR="00DB6106" w:rsidRPr="00647AB7">
        <w:t>change.</w:t>
      </w:r>
      <w:bookmarkEnd w:id="16"/>
    </w:p>
    <w:p w14:paraId="4221458C" w14:textId="77777777" w:rsidR="00763831" w:rsidRPr="00647AB7" w:rsidRDefault="00763831" w:rsidP="00763831"/>
    <w:p w14:paraId="6D736099" w14:textId="1E7A14BF" w:rsidR="009E0D87" w:rsidRPr="00647AB7" w:rsidRDefault="00BD2F48">
      <w:pPr>
        <w:jc w:val="both"/>
        <w:rPr>
          <w:sz w:val="24"/>
          <w:szCs w:val="24"/>
        </w:rPr>
      </w:pPr>
      <w:r w:rsidRPr="00647AB7">
        <w:rPr>
          <w:sz w:val="24"/>
          <w:szCs w:val="24"/>
        </w:rPr>
        <w:t xml:space="preserve">Employees may be concerned about the new location, travel, altered roles, </w:t>
      </w:r>
      <w:r w:rsidR="00521EC1" w:rsidRPr="00647AB7">
        <w:rPr>
          <w:sz w:val="24"/>
          <w:szCs w:val="24"/>
        </w:rPr>
        <w:t>modern technology,</w:t>
      </w:r>
      <w:r w:rsidRPr="00647AB7">
        <w:rPr>
          <w:sz w:val="24"/>
          <w:szCs w:val="24"/>
        </w:rPr>
        <w:t xml:space="preserve"> and increased performance expectations. Resistance should therefore be treated as a foreseeable project risk rather than simply as unwillingness to change. Research on business-process change identifies communication, leadership, stakeholder </w:t>
      </w:r>
      <w:r w:rsidR="00521EC1" w:rsidRPr="00647AB7">
        <w:rPr>
          <w:sz w:val="24"/>
          <w:szCs w:val="24"/>
        </w:rPr>
        <w:t>involvement,</w:t>
      </w:r>
      <w:r w:rsidRPr="00647AB7">
        <w:rPr>
          <w:sz w:val="24"/>
          <w:szCs w:val="24"/>
        </w:rPr>
        <w:t xml:space="preserve"> and project-management capability among important change-success factors (Al-Alawi et al., 2023). Yet participation should not be romanticised: Åsgård, Bringsvor and Jørgensen (2023) found that formal employee participation in a workplace relocation project did not necessarily mean employee interests were fully integrated into decisions. The lesson for this company is that consultation must influence design where operational evidence supports it; </w:t>
      </w:r>
      <w:r w:rsidR="00DB6106" w:rsidRPr="00647AB7">
        <w:rPr>
          <w:sz w:val="24"/>
          <w:szCs w:val="24"/>
        </w:rPr>
        <w:t>otherwise,</w:t>
      </w:r>
      <w:r w:rsidRPr="00647AB7">
        <w:rPr>
          <w:sz w:val="24"/>
          <w:szCs w:val="24"/>
        </w:rPr>
        <w:t xml:space="preserve"> it risks becoming symbolic. Early communication should explain why the move is proposed, what will change, the expected timeline and how individuals will be affected.</w:t>
      </w:r>
    </w:p>
    <w:p w14:paraId="7E4DBAC0" w14:textId="370322C4" w:rsidR="009E0D87" w:rsidRPr="00647AB7" w:rsidRDefault="00BD2F48">
      <w:pPr>
        <w:jc w:val="both"/>
        <w:rPr>
          <w:sz w:val="24"/>
          <w:szCs w:val="24"/>
        </w:rPr>
      </w:pPr>
      <w:r w:rsidRPr="00647AB7">
        <w:rPr>
          <w:sz w:val="24"/>
          <w:szCs w:val="24"/>
        </w:rPr>
        <w:t xml:space="preserve">Employee involvement is particularly valuable during layout and process design because operators possess practical knowledge that senior managers may not hold. Training should occur before implementation and be reinforced during live operation. The directors must also </w:t>
      </w:r>
      <w:r w:rsidR="00DB6106" w:rsidRPr="00647AB7">
        <w:rPr>
          <w:sz w:val="24"/>
          <w:szCs w:val="24"/>
        </w:rPr>
        <w:t>adapt</w:t>
      </w:r>
      <w:r w:rsidRPr="00647AB7">
        <w:rPr>
          <w:sz w:val="24"/>
          <w:szCs w:val="24"/>
        </w:rPr>
        <w:t xml:space="preserve"> moving from founder-led informal management towards </w:t>
      </w:r>
      <w:r w:rsidRPr="00647AB7">
        <w:rPr>
          <w:sz w:val="24"/>
          <w:szCs w:val="24"/>
        </w:rPr>
        <w:lastRenderedPageBreak/>
        <w:t>clearer governance can feel like a loss of autonomy, but defined decision rights are necessary as complexity grows.</w:t>
      </w:r>
    </w:p>
    <w:p w14:paraId="07024A9E" w14:textId="77777777" w:rsidR="009E0D87" w:rsidRPr="00647AB7" w:rsidRDefault="00BD2F48">
      <w:pPr>
        <w:pStyle w:val="Heading2"/>
      </w:pPr>
      <w:bookmarkStart w:id="17" w:name="_Toc242480999"/>
      <w:r w:rsidRPr="00647AB7">
        <w:t>5.3 Leadership styles</w:t>
      </w:r>
      <w:bookmarkEnd w:id="17"/>
    </w:p>
    <w:p w14:paraId="7466E546" w14:textId="77777777" w:rsidR="00763831" w:rsidRPr="00647AB7" w:rsidRDefault="00763831" w:rsidP="00763831"/>
    <w:p w14:paraId="7DF55467" w14:textId="246ACC7D" w:rsidR="009E0D87" w:rsidRPr="00647AB7" w:rsidRDefault="00BD2F48">
      <w:pPr>
        <w:jc w:val="both"/>
        <w:rPr>
          <w:sz w:val="24"/>
          <w:szCs w:val="24"/>
        </w:rPr>
      </w:pPr>
      <w:r w:rsidRPr="00647AB7">
        <w:rPr>
          <w:sz w:val="24"/>
          <w:szCs w:val="24"/>
        </w:rPr>
        <w:t xml:space="preserve">No single leadership style is appropriate throughout the project. Transformational leadership is useful during initiation and change because leaders need to communicate a credible vision of why relocation is necessary and how growth benefits the organisation. Abbas and Ali (2023), in a meta-analysis of </w:t>
      </w:r>
      <w:r w:rsidR="00521EC1" w:rsidRPr="00647AB7">
        <w:rPr>
          <w:sz w:val="24"/>
          <w:szCs w:val="24"/>
        </w:rPr>
        <w:t>sixty-four</w:t>
      </w:r>
      <w:r w:rsidRPr="00647AB7">
        <w:rPr>
          <w:sz w:val="24"/>
          <w:szCs w:val="24"/>
        </w:rPr>
        <w:t xml:space="preserve"> effect sizes from </w:t>
      </w:r>
      <w:r w:rsidR="00521EC1" w:rsidRPr="00647AB7">
        <w:rPr>
          <w:sz w:val="24"/>
          <w:szCs w:val="24"/>
        </w:rPr>
        <w:t>forty-one</w:t>
      </w:r>
      <w:r w:rsidRPr="00647AB7">
        <w:rPr>
          <w:sz w:val="24"/>
          <w:szCs w:val="24"/>
        </w:rPr>
        <w:t xml:space="preserve"> project studies, found that transformational leadership had a stronger association with project success than transactional leadership. Importantly, they also found that project size and type </w:t>
      </w:r>
      <w:r w:rsidR="00DB6106" w:rsidRPr="00647AB7">
        <w:rPr>
          <w:sz w:val="24"/>
          <w:szCs w:val="24"/>
        </w:rPr>
        <w:t>moderate</w:t>
      </w:r>
      <w:r w:rsidRPr="00647AB7">
        <w:rPr>
          <w:sz w:val="24"/>
          <w:szCs w:val="24"/>
        </w:rPr>
        <w:t xml:space="preserve"> these effects, indicating that context matters.</w:t>
      </w:r>
    </w:p>
    <w:p w14:paraId="47B3FEC9" w14:textId="1084D0A4" w:rsidR="009E0D87" w:rsidRPr="00647AB7" w:rsidRDefault="00BD2F48">
      <w:pPr>
        <w:jc w:val="both"/>
        <w:rPr>
          <w:sz w:val="24"/>
          <w:szCs w:val="24"/>
        </w:rPr>
      </w:pPr>
      <w:r w:rsidRPr="00647AB7">
        <w:rPr>
          <w:sz w:val="24"/>
          <w:szCs w:val="24"/>
        </w:rPr>
        <w:t xml:space="preserve">A participative approach is appropriate during facility, </w:t>
      </w:r>
      <w:r w:rsidR="00521EC1" w:rsidRPr="00647AB7">
        <w:rPr>
          <w:sz w:val="24"/>
          <w:szCs w:val="24"/>
        </w:rPr>
        <w:t>workflow,</w:t>
      </w:r>
      <w:r w:rsidRPr="00647AB7">
        <w:rPr>
          <w:sz w:val="24"/>
          <w:szCs w:val="24"/>
        </w:rPr>
        <w:t xml:space="preserve"> and technology design because employees, growers and logistics partners hold operational knowledge that the directors may lack. Participation can also improve acceptance of change. By contrast, more transactional or directive leadership is appropriate where standards and rapid accountability are essential, such as food-safety controls, commissioning acceptance </w:t>
      </w:r>
      <w:r w:rsidR="00521EC1" w:rsidRPr="00647AB7">
        <w:rPr>
          <w:sz w:val="24"/>
          <w:szCs w:val="24"/>
        </w:rPr>
        <w:t>criteria,</w:t>
      </w:r>
      <w:r w:rsidRPr="00647AB7">
        <w:rPr>
          <w:sz w:val="24"/>
          <w:szCs w:val="24"/>
        </w:rPr>
        <w:t xml:space="preserve"> or urgent supply failures.</w:t>
      </w:r>
    </w:p>
    <w:p w14:paraId="5F42392A" w14:textId="0F9855DE" w:rsidR="009E0D87" w:rsidRPr="00647AB7" w:rsidRDefault="00BD2F48">
      <w:pPr>
        <w:jc w:val="both"/>
        <w:rPr>
          <w:sz w:val="24"/>
          <w:szCs w:val="24"/>
        </w:rPr>
      </w:pPr>
      <w:r w:rsidRPr="00647AB7">
        <w:rPr>
          <w:sz w:val="24"/>
          <w:szCs w:val="24"/>
        </w:rPr>
        <w:t xml:space="preserve">The strongest approach is therefore situational rather than ideological. Abbas and Ali (2023) found transformational leadership more strongly associated with project success than transactional leadership, but project size and type moderated the relationship. Zhao, Fan and Chen’s (2021) meta-analysis of </w:t>
      </w:r>
      <w:r w:rsidR="00521EC1" w:rsidRPr="00647AB7">
        <w:rPr>
          <w:sz w:val="24"/>
          <w:szCs w:val="24"/>
        </w:rPr>
        <w:t>thirty-one</w:t>
      </w:r>
      <w:r w:rsidRPr="00647AB7">
        <w:rPr>
          <w:sz w:val="24"/>
          <w:szCs w:val="24"/>
        </w:rPr>
        <w:t xml:space="preserve"> independent studies similarly found a positive transformational-leadership effect while identifying mediating and contextual influences. These findings make a blanket recommendation for transformational leadership too simplistic. In this case, transformational leadership should establish direction and commitment; participative leadership should support design and engagement; transactional controls should clarify performance expectations; and directive leadership should be available for safety-critical or urgent situations. Leadership effectiveness should therefore be </w:t>
      </w:r>
      <w:r w:rsidR="005608D1" w:rsidRPr="00647AB7">
        <w:rPr>
          <w:sz w:val="24"/>
          <w:szCs w:val="24"/>
        </w:rPr>
        <w:t>judged by its fit with the decision context</w:t>
      </w:r>
      <w:r w:rsidRPr="00647AB7">
        <w:rPr>
          <w:sz w:val="24"/>
          <w:szCs w:val="24"/>
        </w:rPr>
        <w:t>, not by adherence to one preferred style.</w:t>
      </w:r>
    </w:p>
    <w:p w14:paraId="7B301CE8" w14:textId="77777777" w:rsidR="00556679" w:rsidRPr="00647AB7" w:rsidRDefault="00556679">
      <w:pPr>
        <w:jc w:val="both"/>
        <w:rPr>
          <w:sz w:val="24"/>
          <w:szCs w:val="24"/>
        </w:rPr>
      </w:pPr>
    </w:p>
    <w:p w14:paraId="6BC7EB31" w14:textId="77777777" w:rsidR="00763831" w:rsidRPr="00647AB7" w:rsidRDefault="00763831">
      <w:pPr>
        <w:jc w:val="both"/>
        <w:rPr>
          <w:sz w:val="24"/>
          <w:szCs w:val="24"/>
        </w:rPr>
      </w:pPr>
    </w:p>
    <w:p w14:paraId="025985BD" w14:textId="77777777" w:rsidR="00763831" w:rsidRPr="00647AB7" w:rsidRDefault="00763831">
      <w:pPr>
        <w:jc w:val="both"/>
        <w:rPr>
          <w:sz w:val="24"/>
          <w:szCs w:val="24"/>
        </w:rPr>
      </w:pPr>
    </w:p>
    <w:p w14:paraId="3846C330" w14:textId="77777777" w:rsidR="00763831" w:rsidRPr="00647AB7" w:rsidRDefault="00763831">
      <w:pPr>
        <w:jc w:val="both"/>
        <w:rPr>
          <w:sz w:val="24"/>
          <w:szCs w:val="24"/>
        </w:rPr>
      </w:pPr>
    </w:p>
    <w:p w14:paraId="51D01A45" w14:textId="77777777" w:rsidR="00763831" w:rsidRPr="00647AB7" w:rsidRDefault="00763831">
      <w:pPr>
        <w:jc w:val="both"/>
        <w:rPr>
          <w:sz w:val="24"/>
          <w:szCs w:val="24"/>
        </w:rPr>
      </w:pPr>
    </w:p>
    <w:p w14:paraId="306040B2" w14:textId="77777777" w:rsidR="00556679" w:rsidRPr="00647AB7" w:rsidRDefault="00556679">
      <w:pPr>
        <w:jc w:val="both"/>
      </w:pPr>
    </w:p>
    <w:p w14:paraId="0A97D96D" w14:textId="77777777" w:rsidR="009E0D87" w:rsidRPr="00647AB7" w:rsidRDefault="00BD2F48">
      <w:pPr>
        <w:pStyle w:val="Heading1"/>
      </w:pPr>
      <w:bookmarkStart w:id="18" w:name="_Toc242481000"/>
      <w:r w:rsidRPr="00647AB7">
        <w:lastRenderedPageBreak/>
        <w:t>6. Recommendations and Conclusion</w:t>
      </w:r>
      <w:bookmarkEnd w:id="18"/>
    </w:p>
    <w:p w14:paraId="199640D7" w14:textId="77777777" w:rsidR="00763831" w:rsidRPr="00647AB7" w:rsidRDefault="00763831" w:rsidP="00763831"/>
    <w:p w14:paraId="225359DA" w14:textId="77777777" w:rsidR="00763831" w:rsidRPr="00647AB7" w:rsidRDefault="00763831" w:rsidP="00763831"/>
    <w:p w14:paraId="7E7CE3EA" w14:textId="60855C49" w:rsidR="009E0D87" w:rsidRPr="00647AB7" w:rsidRDefault="00BD2F48">
      <w:pPr>
        <w:jc w:val="both"/>
        <w:rPr>
          <w:sz w:val="24"/>
          <w:szCs w:val="24"/>
        </w:rPr>
      </w:pPr>
      <w:r w:rsidRPr="00647AB7">
        <w:rPr>
          <w:sz w:val="24"/>
          <w:szCs w:val="24"/>
        </w:rPr>
        <w:t xml:space="preserve">The proposed relocation is strategically credible because strong sales and additional retailer demand are pressing against current capacity. Nevertheless, relocation is not a solution to existing management problems. Increasing volume while communication, accountability, delivery </w:t>
      </w:r>
      <w:r w:rsidR="00521EC1" w:rsidRPr="00647AB7">
        <w:rPr>
          <w:sz w:val="24"/>
          <w:szCs w:val="24"/>
        </w:rPr>
        <w:t>reliability,</w:t>
      </w:r>
      <w:r w:rsidRPr="00647AB7">
        <w:rPr>
          <w:sz w:val="24"/>
          <w:szCs w:val="24"/>
        </w:rPr>
        <w:t xml:space="preserve"> and quality are already under pressure could amplify those weaknesses.</w:t>
      </w:r>
    </w:p>
    <w:p w14:paraId="1840867D" w14:textId="0088C944" w:rsidR="009E0D87" w:rsidRPr="00647AB7" w:rsidRDefault="00BD2F48">
      <w:pPr>
        <w:jc w:val="both"/>
        <w:rPr>
          <w:sz w:val="24"/>
          <w:szCs w:val="24"/>
        </w:rPr>
      </w:pPr>
      <w:r w:rsidRPr="00647AB7">
        <w:rPr>
          <w:sz w:val="24"/>
          <w:szCs w:val="24"/>
        </w:rPr>
        <w:t xml:space="preserve">The directors should therefore proceed conditionally through a phased project. First, a quantified business case should compare strategic options and define measurable success criteria. Second, the project should use clear governance with an identified sponsor, project manager, decision rights, stage </w:t>
      </w:r>
      <w:r w:rsidR="00521EC1" w:rsidRPr="00647AB7">
        <w:rPr>
          <w:sz w:val="24"/>
          <w:szCs w:val="24"/>
        </w:rPr>
        <w:t>gates,</w:t>
      </w:r>
      <w:r w:rsidRPr="00647AB7">
        <w:rPr>
          <w:sz w:val="24"/>
          <w:szCs w:val="24"/>
        </w:rPr>
        <w:t xml:space="preserve"> and a live risk register. Third, responsibilities for operations, supply chain, </w:t>
      </w:r>
      <w:r w:rsidR="00521EC1" w:rsidRPr="00647AB7">
        <w:rPr>
          <w:sz w:val="24"/>
          <w:szCs w:val="24"/>
        </w:rPr>
        <w:t>quality,</w:t>
      </w:r>
      <w:r w:rsidRPr="00647AB7">
        <w:rPr>
          <w:sz w:val="24"/>
          <w:szCs w:val="24"/>
        </w:rPr>
        <w:t xml:space="preserve"> and commercial management should be clarified. Fourth, digital supply-chain integration should be introduced progressively after processes and data ownership have been standardised. Finally, the new premises should be </w:t>
      </w:r>
      <w:r w:rsidR="00DB6106" w:rsidRPr="00647AB7">
        <w:rPr>
          <w:sz w:val="24"/>
          <w:szCs w:val="24"/>
        </w:rPr>
        <w:t>commissioned,</w:t>
      </w:r>
      <w:r w:rsidRPr="00647AB7">
        <w:rPr>
          <w:sz w:val="24"/>
          <w:szCs w:val="24"/>
        </w:rPr>
        <w:t xml:space="preserve"> and existing smoothie production stabilised before substantial product diversification.</w:t>
      </w:r>
    </w:p>
    <w:p w14:paraId="7E743443" w14:textId="7701BA3C" w:rsidR="009E0D87" w:rsidRPr="00647AB7" w:rsidRDefault="00BD2F48">
      <w:pPr>
        <w:jc w:val="both"/>
        <w:rPr>
          <w:sz w:val="24"/>
          <w:szCs w:val="24"/>
        </w:rPr>
      </w:pPr>
      <w:r w:rsidRPr="00647AB7">
        <w:rPr>
          <w:sz w:val="24"/>
          <w:szCs w:val="24"/>
        </w:rPr>
        <w:t xml:space="preserve">SWOT and PESTLE analysis show genuine strengths and market opportunities, but quality, communication, regulatory, supply and investment risks make uncontrolled expansion inappropriate. Leadership should also remain adaptive: transformational leadership can establish </w:t>
      </w:r>
      <w:r w:rsidR="00DB6106" w:rsidRPr="00647AB7">
        <w:rPr>
          <w:sz w:val="24"/>
          <w:szCs w:val="24"/>
        </w:rPr>
        <w:t>a</w:t>
      </w:r>
      <w:r w:rsidRPr="00647AB7">
        <w:rPr>
          <w:sz w:val="24"/>
          <w:szCs w:val="24"/>
        </w:rPr>
        <w:t xml:space="preserve"> vision for growth, participative leadership can improve design and engagement, while transactional and directive approaches remain appropriate where performance, safety and compliance require explicit control.</w:t>
      </w:r>
    </w:p>
    <w:p w14:paraId="4B05D9C9" w14:textId="565E65EE" w:rsidR="009E0D87" w:rsidRPr="00647AB7" w:rsidRDefault="00BD2F48">
      <w:pPr>
        <w:jc w:val="both"/>
        <w:rPr>
          <w:sz w:val="24"/>
          <w:szCs w:val="24"/>
        </w:rPr>
      </w:pPr>
      <w:r w:rsidRPr="00647AB7">
        <w:rPr>
          <w:sz w:val="24"/>
          <w:szCs w:val="24"/>
        </w:rPr>
        <w:t xml:space="preserve">The final recommendation is therefore to proceed with relocation and expansion, but only through a staged and formally governed programme of organisational development. Success should not be defined merely as occupying a larger building. It should be demonstrated through increased capacity, reliable deliveries, controlled quality, regulatory compliance, effective </w:t>
      </w:r>
      <w:r w:rsidR="00521EC1" w:rsidRPr="00647AB7">
        <w:rPr>
          <w:sz w:val="24"/>
          <w:szCs w:val="24"/>
        </w:rPr>
        <w:t>communication,</w:t>
      </w:r>
      <w:r w:rsidRPr="00647AB7">
        <w:rPr>
          <w:sz w:val="24"/>
          <w:szCs w:val="24"/>
        </w:rPr>
        <w:t xml:space="preserve"> and measurable </w:t>
      </w:r>
      <w:r w:rsidR="00521EC1" w:rsidRPr="00647AB7">
        <w:rPr>
          <w:sz w:val="24"/>
          <w:szCs w:val="24"/>
        </w:rPr>
        <w:t>realization</w:t>
      </w:r>
      <w:r w:rsidRPr="00647AB7">
        <w:rPr>
          <w:sz w:val="24"/>
          <w:szCs w:val="24"/>
        </w:rPr>
        <w:t xml:space="preserve"> of the commercial benefits that justified the investment.</w:t>
      </w:r>
    </w:p>
    <w:p w14:paraId="3A80E024" w14:textId="77777777" w:rsidR="009E0D87" w:rsidRPr="00647AB7" w:rsidRDefault="00BD2F48">
      <w:pPr>
        <w:rPr>
          <w:sz w:val="24"/>
          <w:szCs w:val="24"/>
        </w:rPr>
      </w:pPr>
      <w:r w:rsidRPr="00647AB7">
        <w:rPr>
          <w:sz w:val="24"/>
          <w:szCs w:val="24"/>
        </w:rPr>
        <w:br w:type="page"/>
      </w:r>
    </w:p>
    <w:p w14:paraId="7D23A309" w14:textId="77777777" w:rsidR="009E0D87" w:rsidRPr="00647AB7" w:rsidRDefault="00BD2F48">
      <w:pPr>
        <w:pStyle w:val="Heading1"/>
      </w:pPr>
      <w:bookmarkStart w:id="19" w:name="_Toc242481001"/>
      <w:r w:rsidRPr="00647AB7">
        <w:lastRenderedPageBreak/>
        <w:t>References</w:t>
      </w:r>
      <w:bookmarkEnd w:id="19"/>
    </w:p>
    <w:p w14:paraId="6AF0F3CC" w14:textId="77777777" w:rsidR="00B91CF0" w:rsidRPr="00B205E4" w:rsidRDefault="00B91CF0" w:rsidP="00B91CF0">
      <w:pPr>
        <w:rPr>
          <w:sz w:val="24"/>
          <w:szCs w:val="24"/>
        </w:rPr>
      </w:pPr>
    </w:p>
    <w:p w14:paraId="5B3287EE" w14:textId="77777777" w:rsidR="009E0D87" w:rsidRPr="00B205E4" w:rsidRDefault="00BD2F48">
      <w:pPr>
        <w:spacing w:after="80"/>
        <w:ind w:left="425" w:hanging="425"/>
        <w:rPr>
          <w:i/>
          <w:iCs/>
          <w:sz w:val="24"/>
          <w:szCs w:val="24"/>
        </w:rPr>
      </w:pPr>
      <w:r w:rsidRPr="00B205E4">
        <w:rPr>
          <w:i/>
          <w:iCs/>
          <w:sz w:val="24"/>
          <w:szCs w:val="24"/>
        </w:rPr>
        <w:t>Abbas, M. and Ali, R. (2023) ‘Transformational versus transactional leadership styles and project success: A meta-analytic review’, European Management Journal, 41(1), pp. 125–142. doi:10.1016/j.emj.2021.10.011.</w:t>
      </w:r>
    </w:p>
    <w:p w14:paraId="3C959273" w14:textId="77777777" w:rsidR="009E0D87" w:rsidRPr="00B205E4" w:rsidRDefault="00BD2F48">
      <w:pPr>
        <w:spacing w:after="80"/>
        <w:ind w:left="425" w:hanging="425"/>
        <w:rPr>
          <w:i/>
          <w:iCs/>
          <w:sz w:val="24"/>
          <w:szCs w:val="24"/>
        </w:rPr>
      </w:pPr>
      <w:r w:rsidRPr="00B205E4">
        <w:rPr>
          <w:i/>
          <w:iCs/>
          <w:sz w:val="24"/>
          <w:szCs w:val="24"/>
        </w:rPr>
        <w:t>Al-Alawi, A.I. et al. (2023) ‘Critical success factors for change management in business process management’, Business Process Management Journal, 29(7), pp. 2009–2033. doi:10.1108/BPMJ-11-2022-0625.</w:t>
      </w:r>
    </w:p>
    <w:p w14:paraId="51200936" w14:textId="77777777" w:rsidR="009E0D87" w:rsidRPr="00B205E4" w:rsidRDefault="00BD2F48">
      <w:pPr>
        <w:spacing w:after="80"/>
        <w:ind w:left="425" w:hanging="425"/>
        <w:rPr>
          <w:i/>
          <w:iCs/>
          <w:sz w:val="24"/>
          <w:szCs w:val="24"/>
        </w:rPr>
      </w:pPr>
      <w:r w:rsidRPr="00B205E4">
        <w:rPr>
          <w:i/>
          <w:iCs/>
          <w:sz w:val="24"/>
          <w:szCs w:val="24"/>
        </w:rPr>
        <w:t>Åsgård, T., Bringsvor, H.B. and Jørgensen, L. (2023) ‘Co-determination and participation in project management: Experiences from the construction of a hospital building in Norway’, Procedia Computer Science, 219, pp. 1744–1751. doi:10.1016/j.procs.2023.01.469.</w:t>
      </w:r>
    </w:p>
    <w:p w14:paraId="550E48BD" w14:textId="77777777" w:rsidR="009E0D87" w:rsidRPr="00B205E4" w:rsidRDefault="00BD2F48">
      <w:pPr>
        <w:spacing w:after="80"/>
        <w:ind w:left="425" w:hanging="425"/>
        <w:rPr>
          <w:i/>
          <w:iCs/>
          <w:sz w:val="24"/>
          <w:szCs w:val="24"/>
        </w:rPr>
      </w:pPr>
      <w:r w:rsidRPr="00B205E4">
        <w:rPr>
          <w:i/>
          <w:iCs/>
          <w:sz w:val="24"/>
          <w:szCs w:val="24"/>
        </w:rPr>
        <w:t>Association for Project Management (APM) (n.d.) What is governance? Association for Project Management.</w:t>
      </w:r>
    </w:p>
    <w:p w14:paraId="2009589F" w14:textId="77777777" w:rsidR="009E0D87" w:rsidRPr="00B205E4" w:rsidRDefault="00BD2F48">
      <w:pPr>
        <w:spacing w:after="80"/>
        <w:ind w:left="425" w:hanging="425"/>
        <w:rPr>
          <w:i/>
          <w:iCs/>
          <w:sz w:val="24"/>
          <w:szCs w:val="24"/>
        </w:rPr>
      </w:pPr>
      <w:r w:rsidRPr="00B205E4">
        <w:rPr>
          <w:i/>
          <w:iCs/>
          <w:sz w:val="24"/>
          <w:szCs w:val="24"/>
        </w:rPr>
        <w:t>Association for Project Management (APM) (n.d.) Stakeholder engagement: Just part of managing risk. Association for Project Management.</w:t>
      </w:r>
    </w:p>
    <w:p w14:paraId="21999D10" w14:textId="77777777" w:rsidR="009E0D87" w:rsidRPr="00B205E4" w:rsidRDefault="00BD2F48">
      <w:pPr>
        <w:spacing w:after="80"/>
        <w:ind w:left="425" w:hanging="425"/>
        <w:rPr>
          <w:i/>
          <w:iCs/>
          <w:sz w:val="24"/>
          <w:szCs w:val="24"/>
        </w:rPr>
      </w:pPr>
      <w:r w:rsidRPr="00B205E4">
        <w:rPr>
          <w:i/>
          <w:iCs/>
          <w:sz w:val="24"/>
          <w:szCs w:val="24"/>
        </w:rPr>
        <w:t>Chapman, C. and Ward, S. (2003) ‘Transforming project risk management into project uncertainty management’, International Journal of Project Management, 21(2), pp. 97–105.</w:t>
      </w:r>
    </w:p>
    <w:p w14:paraId="1D2B255D" w14:textId="77777777" w:rsidR="009E0D87" w:rsidRPr="00B205E4" w:rsidRDefault="00BD2F48">
      <w:pPr>
        <w:spacing w:after="80"/>
        <w:ind w:left="425" w:hanging="425"/>
        <w:rPr>
          <w:i/>
          <w:iCs/>
          <w:sz w:val="24"/>
          <w:szCs w:val="24"/>
        </w:rPr>
      </w:pPr>
      <w:r w:rsidRPr="00B205E4">
        <w:rPr>
          <w:i/>
          <w:iCs/>
          <w:sz w:val="24"/>
          <w:szCs w:val="24"/>
        </w:rPr>
        <w:t>Derakhshan, R., Turner, R. and Mancini, M. (2021) ‘Project stakeholder’s engagement and performance: a comparison between complex and non-complex projects using SEM’, Built Environment Project and Asset Management, 11(5), pp. 804–818. doi:10.1108/BEPAM-11-2020-0181.</w:t>
      </w:r>
    </w:p>
    <w:p w14:paraId="1B451D41" w14:textId="77777777" w:rsidR="009E0D87" w:rsidRPr="00B205E4" w:rsidRDefault="00BD2F48">
      <w:pPr>
        <w:spacing w:after="80"/>
        <w:ind w:left="425" w:hanging="425"/>
        <w:rPr>
          <w:i/>
          <w:iCs/>
          <w:sz w:val="24"/>
          <w:szCs w:val="24"/>
        </w:rPr>
      </w:pPr>
      <w:r w:rsidRPr="00B205E4">
        <w:rPr>
          <w:i/>
          <w:iCs/>
          <w:sz w:val="24"/>
          <w:szCs w:val="24"/>
        </w:rPr>
        <w:t>Food Standards Agency (2026) Food business registration. GOV.UK.</w:t>
      </w:r>
    </w:p>
    <w:p w14:paraId="4580107E" w14:textId="77777777" w:rsidR="009E0D87" w:rsidRPr="00B205E4" w:rsidRDefault="00BD2F48">
      <w:pPr>
        <w:spacing w:after="80"/>
        <w:ind w:left="425" w:hanging="425"/>
        <w:rPr>
          <w:i/>
          <w:iCs/>
          <w:sz w:val="24"/>
          <w:szCs w:val="24"/>
        </w:rPr>
      </w:pPr>
      <w:r w:rsidRPr="00B205E4">
        <w:rPr>
          <w:i/>
          <w:iCs/>
          <w:sz w:val="24"/>
          <w:szCs w:val="24"/>
        </w:rPr>
        <w:t>GOV.UK (2026a) Starting a food business. Food Standards Agency.</w:t>
      </w:r>
    </w:p>
    <w:p w14:paraId="5D058F5C" w14:textId="77777777" w:rsidR="009E0D87" w:rsidRPr="00B205E4" w:rsidRDefault="00BD2F48">
      <w:pPr>
        <w:spacing w:after="80"/>
        <w:ind w:left="425" w:hanging="425"/>
        <w:rPr>
          <w:i/>
          <w:iCs/>
          <w:sz w:val="24"/>
          <w:szCs w:val="24"/>
        </w:rPr>
      </w:pPr>
      <w:r w:rsidRPr="00B205E4">
        <w:rPr>
          <w:i/>
          <w:iCs/>
          <w:sz w:val="24"/>
          <w:szCs w:val="24"/>
        </w:rPr>
        <w:t>GOV.UK (2026b) Running a food business: Your responsibilities. Food Standards Agency.</w:t>
      </w:r>
    </w:p>
    <w:p w14:paraId="3959913E" w14:textId="77777777" w:rsidR="009E0D87" w:rsidRPr="00B205E4" w:rsidRDefault="00BD2F48">
      <w:pPr>
        <w:spacing w:after="80"/>
        <w:ind w:left="425" w:hanging="425"/>
        <w:rPr>
          <w:i/>
          <w:iCs/>
          <w:sz w:val="24"/>
          <w:szCs w:val="24"/>
        </w:rPr>
      </w:pPr>
      <w:r w:rsidRPr="00B205E4">
        <w:rPr>
          <w:i/>
          <w:iCs/>
          <w:sz w:val="24"/>
          <w:szCs w:val="24"/>
        </w:rPr>
        <w:t>GOV.UK (2026c) Running a food business: Suppliers and traceability. Food Standards Agency.</w:t>
      </w:r>
    </w:p>
    <w:p w14:paraId="3C25C2AD" w14:textId="77777777" w:rsidR="009E0D87" w:rsidRPr="00B205E4" w:rsidRDefault="00BD2F48">
      <w:pPr>
        <w:spacing w:after="80"/>
        <w:ind w:left="425" w:hanging="425"/>
        <w:rPr>
          <w:i/>
          <w:iCs/>
          <w:sz w:val="24"/>
          <w:szCs w:val="24"/>
        </w:rPr>
      </w:pPr>
      <w:r w:rsidRPr="00B205E4">
        <w:rPr>
          <w:i/>
          <w:iCs/>
          <w:sz w:val="24"/>
          <w:szCs w:val="24"/>
        </w:rPr>
        <w:t>Guerrazzi, L., Serra, F.A.R., Ferreira, M.A.P. and Scazziota, V.V. (2022) ‘Age and size effect on SME performance: The role of structure, legitimacy, and formalization’, Academy of Management Proceedings, 2022(1). doi:10.5465/AMBPP.2022.13418abstract.</w:t>
      </w:r>
    </w:p>
    <w:p w14:paraId="0FAA47CF" w14:textId="77777777" w:rsidR="009E0D87" w:rsidRPr="00B205E4" w:rsidRDefault="00BD2F48">
      <w:pPr>
        <w:spacing w:after="80"/>
        <w:ind w:left="425" w:hanging="425"/>
        <w:rPr>
          <w:i/>
          <w:iCs/>
          <w:sz w:val="24"/>
          <w:szCs w:val="24"/>
        </w:rPr>
      </w:pPr>
      <w:r w:rsidRPr="00B205E4">
        <w:rPr>
          <w:i/>
          <w:iCs/>
          <w:sz w:val="24"/>
          <w:szCs w:val="24"/>
        </w:rPr>
        <w:t>Musawir, A.U., Serra, C.E.M., Zwikael, O. and Ali, I. (2017) ‘Project governance, benefit management, and project success: Towards a framework for supporting organizational strategy implementation’, International Journal of Project Management, 35(8), pp. 1658–1672. doi:10.1016/j.ijproman.2017.07.007.</w:t>
      </w:r>
    </w:p>
    <w:p w14:paraId="12918554" w14:textId="77777777" w:rsidR="009E0D87" w:rsidRPr="00B205E4" w:rsidRDefault="00BD2F48">
      <w:pPr>
        <w:spacing w:after="80"/>
        <w:ind w:left="425" w:hanging="425"/>
        <w:rPr>
          <w:i/>
          <w:iCs/>
          <w:sz w:val="24"/>
          <w:szCs w:val="24"/>
        </w:rPr>
      </w:pPr>
      <w:r w:rsidRPr="00B205E4">
        <w:rPr>
          <w:i/>
          <w:iCs/>
          <w:sz w:val="24"/>
          <w:szCs w:val="24"/>
        </w:rPr>
        <w:lastRenderedPageBreak/>
        <w:t>Pal, T., Ganguly, K. and Chaudhuri, A. (2024) ‘Digitalisation in food supply chains to build resilience from disruptive events: a combined dynamic capabilities and knowledge-based view’, Supply Chain Management, 29(6), pp. 1042–1062. doi:10.1108/SCM-02-2024-0108.</w:t>
      </w:r>
    </w:p>
    <w:p w14:paraId="73B492AC" w14:textId="77777777" w:rsidR="009E0D87" w:rsidRPr="00B205E4" w:rsidRDefault="00BD2F48">
      <w:pPr>
        <w:spacing w:after="80"/>
        <w:ind w:left="425" w:hanging="425"/>
        <w:rPr>
          <w:i/>
          <w:iCs/>
          <w:sz w:val="24"/>
          <w:szCs w:val="24"/>
        </w:rPr>
      </w:pPr>
      <w:r w:rsidRPr="00B205E4">
        <w:rPr>
          <w:i/>
          <w:iCs/>
          <w:sz w:val="24"/>
          <w:szCs w:val="24"/>
        </w:rPr>
        <w:t>Panigrahi, R.R., Singh, N. and Muduli, K. (2025) ‘Digital technologies and food supply chain: a scoping view from 2010 to 2024’, International Journal of Industrial Engineering and Operations Management, 7(2), pp. 150–174. doi:10.1108/IJIEOM-05-2024-0030.</w:t>
      </w:r>
    </w:p>
    <w:p w14:paraId="716BC24C" w14:textId="77777777" w:rsidR="009E0D87" w:rsidRPr="00B205E4" w:rsidRDefault="00BD2F48">
      <w:pPr>
        <w:spacing w:after="80"/>
        <w:ind w:left="425" w:hanging="425"/>
        <w:rPr>
          <w:i/>
          <w:iCs/>
          <w:sz w:val="24"/>
          <w:szCs w:val="24"/>
        </w:rPr>
      </w:pPr>
      <w:r w:rsidRPr="00B205E4">
        <w:rPr>
          <w:i/>
          <w:iCs/>
          <w:sz w:val="24"/>
          <w:szCs w:val="24"/>
        </w:rPr>
        <w:t>Petronijevic, J., Etienne, A., Bassetto, S. and Siadat, A. (2023) ‘The missing link between project and product risk management: From the review to the call to action’, Journal of Engineering and Technology Management, 69, 101770. doi:10.1016/j.jengtecman.2023.101770.</w:t>
      </w:r>
    </w:p>
    <w:p w14:paraId="4E09DA84" w14:textId="77777777" w:rsidR="009E0D87" w:rsidRPr="00B205E4" w:rsidRDefault="00BD2F48">
      <w:pPr>
        <w:spacing w:after="80"/>
        <w:ind w:left="425" w:hanging="425"/>
        <w:rPr>
          <w:i/>
          <w:iCs/>
          <w:sz w:val="24"/>
          <w:szCs w:val="24"/>
        </w:rPr>
      </w:pPr>
      <w:r w:rsidRPr="00B205E4">
        <w:rPr>
          <w:i/>
          <w:iCs/>
          <w:sz w:val="24"/>
          <w:szCs w:val="24"/>
        </w:rPr>
        <w:t>Yang, X., Wang, L., Zhu, F. and Müller, R. (2022) ‘Prior and governed stakeholder relationships: The key to resilience of inter-organizational projects’, International Journal of Project Management, 40(1), pp. 64–75. doi:10.1016/j.ijproman.2021.10.001.</w:t>
      </w:r>
    </w:p>
    <w:p w14:paraId="6B10CBFF" w14:textId="77777777" w:rsidR="009E0D87" w:rsidRPr="00B205E4" w:rsidRDefault="00BD2F48">
      <w:pPr>
        <w:spacing w:after="80"/>
        <w:ind w:left="425" w:hanging="425"/>
        <w:rPr>
          <w:i/>
          <w:iCs/>
          <w:sz w:val="24"/>
          <w:szCs w:val="24"/>
        </w:rPr>
      </w:pPr>
      <w:r w:rsidRPr="00B205E4">
        <w:rPr>
          <w:i/>
          <w:iCs/>
          <w:sz w:val="24"/>
          <w:szCs w:val="24"/>
        </w:rPr>
        <w:t>Zhao, N., Fan, D. and Chen, Y. (2021) ‘Understanding the impact of transformational leadership on project success: A meta-analysis perspective’, Computational Intelligence and Neuroscience, 2021, 7517791. doi:10.1155/2021/7517791.</w:t>
      </w:r>
    </w:p>
    <w:p w14:paraId="7E6EF1DD" w14:textId="4737ABE5" w:rsidR="009E0D87" w:rsidRPr="00B205E4" w:rsidRDefault="009E0D87">
      <w:pPr>
        <w:jc w:val="right"/>
        <w:rPr>
          <w:i/>
          <w:iCs/>
          <w:sz w:val="24"/>
          <w:szCs w:val="24"/>
        </w:rPr>
      </w:pPr>
    </w:p>
    <w:sectPr w:rsidR="009E0D87" w:rsidRPr="00B205E4" w:rsidSect="00034616">
      <w:headerReference w:type="default" r:id="rId11"/>
      <w:footerReference w:type="default" r:id="rId12"/>
      <w:pgSz w:w="12240" w:h="15840"/>
      <w:pgMar w:top="1247" w:right="1417" w:bottom="124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5E397" w14:textId="77777777" w:rsidR="006F71DD" w:rsidRPr="00647AB7" w:rsidRDefault="006F71DD">
      <w:pPr>
        <w:spacing w:after="0" w:line="240" w:lineRule="auto"/>
      </w:pPr>
      <w:r w:rsidRPr="00647AB7">
        <w:separator/>
      </w:r>
    </w:p>
  </w:endnote>
  <w:endnote w:type="continuationSeparator" w:id="0">
    <w:p w14:paraId="224848AE" w14:textId="77777777" w:rsidR="006F71DD" w:rsidRPr="00647AB7" w:rsidRDefault="006F71DD">
      <w:pPr>
        <w:spacing w:after="0" w:line="240" w:lineRule="auto"/>
      </w:pPr>
      <w:r w:rsidRPr="00647AB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34C015" w14:textId="6FFF68BD" w:rsidR="009E0D87" w:rsidRPr="00647AB7" w:rsidRDefault="00BD2F48">
    <w:pPr>
      <w:pStyle w:val="Footer"/>
      <w:jc w:val="center"/>
    </w:pPr>
    <w:r w:rsidRPr="00647AB7">
      <w:fldChar w:fldCharType="begin"/>
    </w:r>
    <w:r w:rsidRPr="00647AB7">
      <w:instrText xml:space="preserve"> PAGE </w:instrText>
    </w:r>
    <w:r w:rsidRPr="00647AB7">
      <w:fldChar w:fldCharType="separate"/>
    </w:r>
    <w:r w:rsidR="00B91CF0" w:rsidRPr="00647AB7">
      <w:t>1</w:t>
    </w:r>
    <w:r w:rsidRPr="00647AB7">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8AE4E" w14:textId="77777777" w:rsidR="006F71DD" w:rsidRPr="00647AB7" w:rsidRDefault="006F71DD">
      <w:pPr>
        <w:spacing w:after="0" w:line="240" w:lineRule="auto"/>
      </w:pPr>
      <w:r w:rsidRPr="00647AB7">
        <w:separator/>
      </w:r>
    </w:p>
  </w:footnote>
  <w:footnote w:type="continuationSeparator" w:id="0">
    <w:p w14:paraId="06E87968" w14:textId="77777777" w:rsidR="006F71DD" w:rsidRPr="00647AB7" w:rsidRDefault="006F71DD">
      <w:pPr>
        <w:spacing w:after="0" w:line="240" w:lineRule="auto"/>
      </w:pPr>
      <w:r w:rsidRPr="00647AB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C8383D" w14:textId="14C21632" w:rsidR="009E0D87" w:rsidRPr="00647AB7" w:rsidRDefault="009E0D87">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5A80885"/>
    <w:multiLevelType w:val="multilevel"/>
    <w:tmpl w:val="1F40588E"/>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45EA587B"/>
    <w:multiLevelType w:val="multilevel"/>
    <w:tmpl w:val="BB46029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813598107">
    <w:abstractNumId w:val="8"/>
  </w:num>
  <w:num w:numId="2" w16cid:durableId="1445810227">
    <w:abstractNumId w:val="6"/>
  </w:num>
  <w:num w:numId="3" w16cid:durableId="489953396">
    <w:abstractNumId w:val="5"/>
  </w:num>
  <w:num w:numId="4" w16cid:durableId="38750901">
    <w:abstractNumId w:val="4"/>
  </w:num>
  <w:num w:numId="5" w16cid:durableId="1143043953">
    <w:abstractNumId w:val="7"/>
  </w:num>
  <w:num w:numId="6" w16cid:durableId="944268558">
    <w:abstractNumId w:val="3"/>
  </w:num>
  <w:num w:numId="7" w16cid:durableId="2111973400">
    <w:abstractNumId w:val="2"/>
  </w:num>
  <w:num w:numId="8" w16cid:durableId="746809075">
    <w:abstractNumId w:val="1"/>
  </w:num>
  <w:num w:numId="9" w16cid:durableId="1146243459">
    <w:abstractNumId w:val="0"/>
  </w:num>
  <w:num w:numId="10" w16cid:durableId="1062606111">
    <w:abstractNumId w:val="10"/>
  </w:num>
  <w:num w:numId="11" w16cid:durableId="13436291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5FE6"/>
    <w:rsid w:val="0015074B"/>
    <w:rsid w:val="00223C53"/>
    <w:rsid w:val="00252808"/>
    <w:rsid w:val="0026625E"/>
    <w:rsid w:val="0029639D"/>
    <w:rsid w:val="00326F90"/>
    <w:rsid w:val="003349A5"/>
    <w:rsid w:val="003F6928"/>
    <w:rsid w:val="00521EC1"/>
    <w:rsid w:val="00556679"/>
    <w:rsid w:val="005608D1"/>
    <w:rsid w:val="006453A1"/>
    <w:rsid w:val="00647AB7"/>
    <w:rsid w:val="00691C49"/>
    <w:rsid w:val="006F71DD"/>
    <w:rsid w:val="00763831"/>
    <w:rsid w:val="00925B49"/>
    <w:rsid w:val="009E0D87"/>
    <w:rsid w:val="00AA1D8D"/>
    <w:rsid w:val="00AD0DBE"/>
    <w:rsid w:val="00B205E4"/>
    <w:rsid w:val="00B47730"/>
    <w:rsid w:val="00B91CF0"/>
    <w:rsid w:val="00BC23F6"/>
    <w:rsid w:val="00BD2F48"/>
    <w:rsid w:val="00BD760F"/>
    <w:rsid w:val="00BF7921"/>
    <w:rsid w:val="00C243E4"/>
    <w:rsid w:val="00C43444"/>
    <w:rsid w:val="00C77700"/>
    <w:rsid w:val="00CB0664"/>
    <w:rsid w:val="00CD7364"/>
    <w:rsid w:val="00D4187B"/>
    <w:rsid w:val="00DB6106"/>
    <w:rsid w:val="00E32D1A"/>
    <w:rsid w:val="00E7130B"/>
    <w:rsid w:val="00EC2C91"/>
    <w:rsid w:val="00ED7BD1"/>
    <w:rsid w:val="00EF0C31"/>
    <w:rsid w:val="00EF34E4"/>
    <w:rsid w:val="00F8489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30"/>
  <w15:docId w15:val="{A83C2BFF-C183-4926-9EF7-9F0C2F821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sz w:val="21"/>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after="160"/>
    </w:pPr>
    <w:rPr>
      <w:rFonts w:ascii="Arial" w:hAnsi="Arial"/>
      <w:i/>
      <w:sz w:val="18"/>
    </w:rPr>
  </w:style>
  <w:style w:type="paragraph" w:styleId="TOC1">
    <w:name w:val="toc 1"/>
    <w:basedOn w:val="Normal"/>
    <w:next w:val="Normal"/>
    <w:autoRedefine/>
    <w:uiPriority w:val="39"/>
    <w:unhideWhenUsed/>
    <w:rsid w:val="00CD7364"/>
    <w:pPr>
      <w:spacing w:after="100"/>
    </w:pPr>
  </w:style>
  <w:style w:type="paragraph" w:styleId="TOC2">
    <w:name w:val="toc 2"/>
    <w:basedOn w:val="Normal"/>
    <w:next w:val="Normal"/>
    <w:autoRedefine/>
    <w:uiPriority w:val="39"/>
    <w:unhideWhenUsed/>
    <w:rsid w:val="00CD7364"/>
    <w:pPr>
      <w:spacing w:after="100"/>
      <w:ind w:left="210"/>
    </w:pPr>
  </w:style>
  <w:style w:type="character" w:styleId="Hyperlink">
    <w:name w:val="Hyperlink"/>
    <w:basedOn w:val="DefaultParagraphFont"/>
    <w:uiPriority w:val="99"/>
    <w:unhideWhenUsed/>
    <w:rsid w:val="00CD73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15</Pages>
  <Words>4821</Words>
  <Characters>27484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32241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Armin polyak</cp:lastModifiedBy>
  <cp:revision>26</cp:revision>
  <dcterms:created xsi:type="dcterms:W3CDTF">2013-12-23T23:15:00Z</dcterms:created>
  <dcterms:modified xsi:type="dcterms:W3CDTF">2026-10-09T22:37:00Z</dcterms:modified>
  <cp:category/>
</cp:coreProperties>
</file>