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9134F5" w14:textId="77777777" w:rsidR="00C535DA" w:rsidRPr="004C51EC" w:rsidRDefault="00C535DA" w:rsidP="00C535DA">
      <w:pPr>
        <w:pStyle w:val="NoSpacing"/>
        <w:ind w:left="1134"/>
        <w:rPr>
          <w:rFonts w:ascii="Arial" w:hAnsi="Arial" w:cs="Arial"/>
          <w:b/>
          <w:sz w:val="24"/>
          <w:szCs w:val="24"/>
        </w:rPr>
      </w:pPr>
      <w:r w:rsidRPr="004C51EC">
        <w:rPr>
          <w:rFonts w:ascii="Arial" w:hAnsi="Arial" w:cs="Arial"/>
          <w:sz w:val="24"/>
          <w:szCs w:val="24"/>
        </w:rPr>
        <w:t>IFRS 15 Revenue from Contracts with Customers states that an entity is a principal where the entity controls the promised good before transfer to the customer.</w:t>
      </w:r>
    </w:p>
    <w:p w14:paraId="28A9651C" w14:textId="77777777" w:rsidR="00C535DA" w:rsidRDefault="00C535DA" w:rsidP="00C535DA">
      <w:pPr>
        <w:pStyle w:val="NoSpacing"/>
        <w:ind w:left="1134"/>
        <w:rPr>
          <w:rFonts w:ascii="Arial" w:hAnsi="Arial" w:cs="Arial"/>
          <w:sz w:val="24"/>
          <w:szCs w:val="24"/>
        </w:rPr>
      </w:pPr>
    </w:p>
    <w:p w14:paraId="0598AF4E" w14:textId="77777777" w:rsidR="00C535DA" w:rsidRPr="004C51EC" w:rsidRDefault="00C535DA" w:rsidP="00C535DA">
      <w:pPr>
        <w:pStyle w:val="NoSpacing"/>
        <w:ind w:left="1134"/>
        <w:rPr>
          <w:rFonts w:ascii="Arial" w:hAnsi="Arial" w:cs="Arial"/>
          <w:b/>
          <w:sz w:val="24"/>
          <w:szCs w:val="24"/>
        </w:rPr>
      </w:pPr>
      <w:r w:rsidRPr="004C51EC">
        <w:rPr>
          <w:rFonts w:ascii="Arial" w:hAnsi="Arial" w:cs="Arial"/>
          <w:sz w:val="24"/>
          <w:szCs w:val="24"/>
        </w:rPr>
        <w:t>The entity is an agent where the performance obligation is to arrange provision</w:t>
      </w:r>
      <w:r>
        <w:rPr>
          <w:rFonts w:ascii="Arial" w:hAnsi="Arial" w:cs="Arial"/>
          <w:sz w:val="24"/>
          <w:szCs w:val="24"/>
        </w:rPr>
        <w:t xml:space="preserve"> of the goods by another party.</w:t>
      </w:r>
    </w:p>
    <w:p w14:paraId="4D89E56E" w14:textId="77777777" w:rsidR="00C535DA" w:rsidRPr="00FB01B6" w:rsidRDefault="00C535DA" w:rsidP="00C535DA">
      <w:pPr>
        <w:pStyle w:val="NoSpacing"/>
        <w:ind w:left="1134"/>
        <w:rPr>
          <w:rFonts w:ascii="Arial" w:hAnsi="Arial" w:cs="Arial"/>
          <w:sz w:val="24"/>
          <w:szCs w:val="24"/>
        </w:rPr>
      </w:pPr>
    </w:p>
    <w:p w14:paraId="3E33793D" w14:textId="77777777" w:rsidR="00C535DA" w:rsidRPr="00FB01B6" w:rsidRDefault="00C535DA" w:rsidP="00C535DA">
      <w:pPr>
        <w:pStyle w:val="NoSpacing"/>
        <w:ind w:left="1134"/>
        <w:rPr>
          <w:rFonts w:ascii="Arial" w:hAnsi="Arial" w:cs="Arial"/>
          <w:b/>
          <w:sz w:val="24"/>
          <w:szCs w:val="24"/>
        </w:rPr>
      </w:pPr>
      <w:r w:rsidRPr="00FB01B6">
        <w:rPr>
          <w:rFonts w:ascii="Arial" w:hAnsi="Arial" w:cs="Arial"/>
          <w:sz w:val="24"/>
          <w:szCs w:val="24"/>
        </w:rPr>
        <w:t>Minerva controls the machines before they are transferred to the customer and is therefore the principal in this tra</w:t>
      </w:r>
      <w:r>
        <w:rPr>
          <w:rFonts w:ascii="Arial" w:hAnsi="Arial" w:cs="Arial"/>
          <w:sz w:val="24"/>
          <w:szCs w:val="24"/>
        </w:rPr>
        <w:t>nsaction.</w:t>
      </w:r>
    </w:p>
    <w:p w14:paraId="57BEEF8D" w14:textId="77777777" w:rsidR="00C535DA" w:rsidRPr="00FB01B6" w:rsidRDefault="00C535DA" w:rsidP="00C535DA">
      <w:pPr>
        <w:pStyle w:val="NoSpacing"/>
        <w:ind w:left="1134"/>
        <w:rPr>
          <w:rFonts w:ascii="Arial" w:hAnsi="Arial" w:cs="Arial"/>
          <w:i/>
          <w:sz w:val="24"/>
          <w:szCs w:val="24"/>
        </w:rPr>
      </w:pPr>
    </w:p>
    <w:p w14:paraId="52F8DE9F" w14:textId="77777777" w:rsidR="00C535DA" w:rsidRPr="00FB01B6" w:rsidRDefault="00C535DA" w:rsidP="00C535DA">
      <w:pPr>
        <w:pStyle w:val="NoSpacing"/>
        <w:ind w:left="1134"/>
        <w:rPr>
          <w:rFonts w:ascii="Arial" w:hAnsi="Arial" w:cs="Arial"/>
          <w:sz w:val="24"/>
          <w:szCs w:val="24"/>
        </w:rPr>
      </w:pPr>
      <w:r w:rsidRPr="00FB01B6">
        <w:rPr>
          <w:rFonts w:ascii="Arial" w:hAnsi="Arial" w:cs="Arial"/>
          <w:sz w:val="24"/>
          <w:szCs w:val="24"/>
        </w:rPr>
        <w:t>This is evidenced by the following:</w:t>
      </w:r>
    </w:p>
    <w:p w14:paraId="308150E8" w14:textId="77777777" w:rsidR="00C535DA" w:rsidRPr="00FB01B6" w:rsidRDefault="00C535DA" w:rsidP="00C535DA">
      <w:pPr>
        <w:pStyle w:val="BodyTextBullet"/>
        <w:numPr>
          <w:ilvl w:val="0"/>
          <w:numId w:val="3"/>
        </w:numPr>
        <w:tabs>
          <w:tab w:val="clear" w:pos="1134"/>
          <w:tab w:val="clear" w:pos="1972"/>
          <w:tab w:val="num" w:pos="1701"/>
        </w:tabs>
        <w:spacing w:before="0" w:after="0"/>
        <w:ind w:left="1701"/>
        <w:rPr>
          <w:rFonts w:ascii="Arial" w:hAnsi="Arial" w:cs="Arial"/>
          <w:sz w:val="24"/>
          <w:szCs w:val="24"/>
        </w:rPr>
      </w:pPr>
      <w:r w:rsidRPr="00FB01B6">
        <w:rPr>
          <w:rFonts w:ascii="Arial" w:hAnsi="Arial" w:cs="Arial"/>
          <w:sz w:val="24"/>
          <w:szCs w:val="24"/>
        </w:rPr>
        <w:t>The supplier cannot decide to use the machines for another purpose as they must be delivered to the customer to fulfil the promise in the contract.</w:t>
      </w:r>
    </w:p>
    <w:p w14:paraId="6C099145" w14:textId="77777777" w:rsidR="00C535DA" w:rsidRPr="00FB01B6" w:rsidRDefault="00C535DA" w:rsidP="00C535DA">
      <w:pPr>
        <w:pStyle w:val="BodyTextBullet"/>
        <w:numPr>
          <w:ilvl w:val="0"/>
          <w:numId w:val="3"/>
        </w:numPr>
        <w:tabs>
          <w:tab w:val="clear" w:pos="1134"/>
          <w:tab w:val="clear" w:pos="1972"/>
          <w:tab w:val="num" w:pos="1701"/>
        </w:tabs>
        <w:spacing w:before="0" w:after="0"/>
        <w:ind w:left="1701"/>
        <w:rPr>
          <w:rFonts w:ascii="Arial" w:hAnsi="Arial" w:cs="Arial"/>
          <w:sz w:val="24"/>
          <w:szCs w:val="24"/>
        </w:rPr>
      </w:pPr>
      <w:r w:rsidRPr="00FB01B6">
        <w:rPr>
          <w:rFonts w:ascii="Arial" w:hAnsi="Arial" w:cs="Arial"/>
          <w:sz w:val="24"/>
          <w:szCs w:val="24"/>
        </w:rPr>
        <w:t>Minerva has the responsibility for fulfilling and managing the contract</w:t>
      </w:r>
    </w:p>
    <w:p w14:paraId="4616FEB9" w14:textId="77777777" w:rsidR="00C535DA" w:rsidRPr="00FB01B6" w:rsidRDefault="00C535DA" w:rsidP="00C535DA">
      <w:pPr>
        <w:pStyle w:val="BodyTextBullet"/>
        <w:numPr>
          <w:ilvl w:val="0"/>
          <w:numId w:val="3"/>
        </w:numPr>
        <w:tabs>
          <w:tab w:val="clear" w:pos="1134"/>
          <w:tab w:val="clear" w:pos="1972"/>
          <w:tab w:val="num" w:pos="1701"/>
        </w:tabs>
        <w:spacing w:before="0" w:after="0"/>
        <w:ind w:left="1701"/>
        <w:rPr>
          <w:rFonts w:ascii="Arial" w:hAnsi="Arial" w:cs="Arial"/>
          <w:sz w:val="24"/>
          <w:szCs w:val="24"/>
        </w:rPr>
      </w:pPr>
      <w:r w:rsidRPr="00FB01B6">
        <w:rPr>
          <w:rFonts w:ascii="Arial" w:hAnsi="Arial" w:cs="Arial"/>
          <w:sz w:val="24"/>
          <w:szCs w:val="24"/>
        </w:rPr>
        <w:t xml:space="preserve">Minerva sets the contract price and receives this in full (rather than a commission), so </w:t>
      </w:r>
      <w:proofErr w:type="gramStart"/>
      <w:r w:rsidRPr="00FB01B6">
        <w:rPr>
          <w:rFonts w:ascii="Arial" w:hAnsi="Arial" w:cs="Arial"/>
          <w:sz w:val="24"/>
          <w:szCs w:val="24"/>
        </w:rPr>
        <w:t>has the ability to</w:t>
      </w:r>
      <w:proofErr w:type="gramEnd"/>
      <w:r w:rsidRPr="00FB01B6">
        <w:rPr>
          <w:rFonts w:ascii="Arial" w:hAnsi="Arial" w:cs="Arial"/>
          <w:sz w:val="24"/>
          <w:szCs w:val="24"/>
        </w:rPr>
        <w:t xml:space="preserve"> receive substantially all of the benefits from the machines prior to transfer</w:t>
      </w:r>
    </w:p>
    <w:p w14:paraId="7B36E661" w14:textId="77777777" w:rsidR="00C535DA" w:rsidRPr="00FB01B6" w:rsidRDefault="00C535DA" w:rsidP="00C535DA">
      <w:pPr>
        <w:pStyle w:val="BodyTextBullet"/>
        <w:numPr>
          <w:ilvl w:val="0"/>
          <w:numId w:val="3"/>
        </w:numPr>
        <w:tabs>
          <w:tab w:val="clear" w:pos="1134"/>
          <w:tab w:val="clear" w:pos="1972"/>
          <w:tab w:val="num" w:pos="1701"/>
        </w:tabs>
        <w:spacing w:before="0" w:after="0"/>
        <w:ind w:left="1701"/>
        <w:rPr>
          <w:rFonts w:ascii="Arial" w:hAnsi="Arial" w:cs="Arial"/>
          <w:sz w:val="24"/>
          <w:szCs w:val="24"/>
        </w:rPr>
      </w:pPr>
      <w:r w:rsidRPr="00FB01B6">
        <w:rPr>
          <w:rFonts w:ascii="Arial" w:hAnsi="Arial" w:cs="Arial"/>
          <w:sz w:val="24"/>
          <w:szCs w:val="24"/>
        </w:rPr>
        <w:t>Minerva is responsible for any defects, and so has responsibility for the acceptability of the finished product</w:t>
      </w:r>
    </w:p>
    <w:p w14:paraId="04311C04" w14:textId="77777777" w:rsidR="00C535DA" w:rsidRPr="00FB01B6" w:rsidRDefault="00C535DA" w:rsidP="00C535DA">
      <w:pPr>
        <w:pStyle w:val="BodyTextBullet"/>
        <w:numPr>
          <w:ilvl w:val="0"/>
          <w:numId w:val="3"/>
        </w:numPr>
        <w:tabs>
          <w:tab w:val="clear" w:pos="1134"/>
          <w:tab w:val="clear" w:pos="1972"/>
          <w:tab w:val="num" w:pos="1701"/>
        </w:tabs>
        <w:spacing w:before="0" w:after="0"/>
        <w:ind w:left="1701"/>
        <w:rPr>
          <w:rFonts w:ascii="Arial" w:hAnsi="Arial" w:cs="Arial"/>
          <w:sz w:val="24"/>
          <w:szCs w:val="24"/>
        </w:rPr>
      </w:pPr>
      <w:r w:rsidRPr="00FB01B6">
        <w:rPr>
          <w:rFonts w:ascii="Arial" w:hAnsi="Arial" w:cs="Arial"/>
          <w:sz w:val="24"/>
          <w:szCs w:val="24"/>
        </w:rPr>
        <w:t>Minerva invoices the customer directly and pays the supplier directly</w:t>
      </w:r>
    </w:p>
    <w:p w14:paraId="2993BCBC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CC4567"/>
    <w:multiLevelType w:val="hybridMultilevel"/>
    <w:tmpl w:val="8FBEECC6"/>
    <w:lvl w:ilvl="0" w:tplc="A34AF6D8">
      <w:start w:val="1"/>
      <w:numFmt w:val="bullet"/>
      <w:pStyle w:val="BodyTextBullet"/>
      <w:lvlText w:val=""/>
      <w:lvlJc w:val="left"/>
      <w:pPr>
        <w:tabs>
          <w:tab w:val="num" w:pos="1972"/>
        </w:tabs>
        <w:ind w:left="1972" w:hanging="567"/>
      </w:pPr>
      <w:rPr>
        <w:rFonts w:ascii="Symbol" w:hAnsi="Symbol" w:hint="default"/>
      </w:rPr>
    </w:lvl>
    <w:lvl w:ilvl="1" w:tplc="A34AF6D8">
      <w:start w:val="1"/>
      <w:numFmt w:val="bullet"/>
      <w:lvlText w:val=""/>
      <w:lvlJc w:val="left"/>
      <w:pPr>
        <w:tabs>
          <w:tab w:val="num" w:pos="-765"/>
        </w:tabs>
        <w:ind w:left="-765" w:hanging="567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tabs>
          <w:tab w:val="num" w:pos="-252"/>
        </w:tabs>
        <w:ind w:left="-252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468"/>
        </w:tabs>
        <w:ind w:left="468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1188"/>
        </w:tabs>
        <w:ind w:left="1188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1908"/>
        </w:tabs>
        <w:ind w:left="19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2628"/>
        </w:tabs>
        <w:ind w:left="26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3348"/>
        </w:tabs>
        <w:ind w:left="33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4068"/>
        </w:tabs>
        <w:ind w:left="4068" w:hanging="360"/>
      </w:pPr>
      <w:rPr>
        <w:rFonts w:ascii="Wingdings" w:hAnsi="Wingdings" w:hint="default"/>
      </w:rPr>
    </w:lvl>
  </w:abstractNum>
  <w:abstractNum w:abstractNumId="1" w15:restartNumberingAfterBreak="0">
    <w:nsid w:val="50DA7687"/>
    <w:multiLevelType w:val="hybridMultilevel"/>
    <w:tmpl w:val="BC1E76E6"/>
    <w:lvl w:ilvl="0" w:tplc="7206BADE">
      <w:start w:val="1"/>
      <w:numFmt w:val="bullet"/>
      <w:lvlText w:val=""/>
      <w:lvlJc w:val="left"/>
      <w:pPr>
        <w:tabs>
          <w:tab w:val="num" w:pos="1972"/>
        </w:tabs>
        <w:ind w:left="1972" w:hanging="567"/>
      </w:pPr>
      <w:rPr>
        <w:rFonts w:ascii="Symbol" w:hAnsi="Symbol" w:hint="default"/>
      </w:rPr>
    </w:lvl>
    <w:lvl w:ilvl="1" w:tplc="A34AF6D8">
      <w:start w:val="1"/>
      <w:numFmt w:val="bullet"/>
      <w:lvlText w:val=""/>
      <w:lvlJc w:val="left"/>
      <w:pPr>
        <w:tabs>
          <w:tab w:val="num" w:pos="-765"/>
        </w:tabs>
        <w:ind w:left="-765" w:hanging="567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tabs>
          <w:tab w:val="num" w:pos="-252"/>
        </w:tabs>
        <w:ind w:left="-252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468"/>
        </w:tabs>
        <w:ind w:left="468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1188"/>
        </w:tabs>
        <w:ind w:left="1188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1908"/>
        </w:tabs>
        <w:ind w:left="19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2628"/>
        </w:tabs>
        <w:ind w:left="26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3348"/>
        </w:tabs>
        <w:ind w:left="33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4068"/>
        </w:tabs>
        <w:ind w:left="4068" w:hanging="360"/>
      </w:pPr>
      <w:rPr>
        <w:rFonts w:ascii="Wingdings" w:hAnsi="Wingdings" w:hint="default"/>
      </w:rPr>
    </w:lvl>
  </w:abstractNum>
  <w:abstractNum w:abstractNumId="2" w15:restartNumberingAfterBreak="0">
    <w:nsid w:val="5BDB2785"/>
    <w:multiLevelType w:val="hybridMultilevel"/>
    <w:tmpl w:val="6F822E06"/>
    <w:lvl w:ilvl="0" w:tplc="045E0164">
      <w:start w:val="1"/>
      <w:numFmt w:val="lowerRoman"/>
      <w:lvlText w:val="%1)"/>
      <w:lvlJc w:val="left"/>
      <w:pPr>
        <w:ind w:left="1080" w:hanging="72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35DA"/>
    <w:rsid w:val="009A6A88"/>
    <w:rsid w:val="00C535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C866B"/>
  <w15:chartTrackingRefBased/>
  <w15:docId w15:val="{8F2C6B92-A97B-41C8-BE40-A77B906FBF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535DA"/>
    <w:pPr>
      <w:spacing w:after="0" w:line="240" w:lineRule="auto"/>
    </w:pPr>
  </w:style>
  <w:style w:type="paragraph" w:customStyle="1" w:styleId="BodyTextBullet">
    <w:name w:val="Body Text Bullet"/>
    <w:basedOn w:val="Normal"/>
    <w:qFormat/>
    <w:rsid w:val="00C535DA"/>
    <w:pPr>
      <w:numPr>
        <w:numId w:val="1"/>
      </w:numPr>
      <w:tabs>
        <w:tab w:val="left" w:pos="1134"/>
        <w:tab w:val="right" w:pos="8789"/>
      </w:tabs>
      <w:spacing w:before="20" w:after="20" w:line="240" w:lineRule="auto"/>
    </w:pPr>
    <w:rPr>
      <w:rFonts w:ascii="Calibri" w:eastAsia="SimSun" w:hAnsi="Calibri" w:cs="Times New Roman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152</Words>
  <Characters>873</Characters>
  <Application>Microsoft Office Word</Application>
  <DocSecurity>0</DocSecurity>
  <Lines>7</Lines>
  <Paragraphs>2</Paragraphs>
  <ScaleCrop>false</ScaleCrop>
  <Company/>
  <LinksUpToDate>false</LinksUpToDate>
  <CharactersWithSpaces>1023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2021-03-10T12:55:00Z</dcterms:created>
  <dcterms:modified xsi:type="dcterms:W3CDTF">2021-03-10T12:55:00Z</dcterms:modified>
</cp:coreProperties>
</file>