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F1FCC" w14:textId="77777777" w:rsidR="00F533C9" w:rsidRPr="00F93146" w:rsidRDefault="00F533C9" w:rsidP="00F533C9">
      <w:pPr>
        <w:jc w:val="center"/>
        <w:rPr>
          <w:b/>
          <w:bCs/>
          <w:sz w:val="28"/>
          <w:szCs w:val="28"/>
          <w:u w:val="single"/>
        </w:rPr>
      </w:pPr>
      <w:r w:rsidRPr="00F93146">
        <w:rPr>
          <w:b/>
          <w:bCs/>
          <w:sz w:val="28"/>
          <w:szCs w:val="28"/>
          <w:u w:val="single"/>
        </w:rPr>
        <w:t>Academic Assignment</w:t>
      </w:r>
    </w:p>
    <w:p w14:paraId="3DB39E51" w14:textId="77777777" w:rsidR="00F533C9" w:rsidRPr="00F93146" w:rsidRDefault="00F533C9" w:rsidP="00F533C9">
      <w:pPr>
        <w:jc w:val="center"/>
        <w:rPr>
          <w:b/>
          <w:bCs/>
          <w:sz w:val="24"/>
          <w:szCs w:val="24"/>
          <w:u w:val="single"/>
        </w:rPr>
      </w:pPr>
      <w:r w:rsidRPr="00F93146">
        <w:rPr>
          <w:b/>
          <w:bCs/>
          <w:sz w:val="24"/>
          <w:szCs w:val="24"/>
          <w:u w:val="single"/>
        </w:rPr>
        <w:t>Tyler Wilkins</w:t>
      </w:r>
    </w:p>
    <w:p w14:paraId="2ECD4EA9" w14:textId="77777777" w:rsidR="00F533C9" w:rsidRPr="00F93146" w:rsidRDefault="00F533C9" w:rsidP="00F533C9">
      <w:pPr>
        <w:jc w:val="center"/>
        <w:rPr>
          <w:u w:val="single"/>
        </w:rPr>
      </w:pPr>
      <w:r w:rsidRPr="00F93146">
        <w:rPr>
          <w:u w:val="single"/>
        </w:rPr>
        <w:t>Student Number: 2245888</w:t>
      </w:r>
    </w:p>
    <w:p w14:paraId="154F7CF1" w14:textId="77777777" w:rsidR="00F533C9" w:rsidRDefault="00F533C9" w:rsidP="00F533C9">
      <w:pPr>
        <w:jc w:val="center"/>
      </w:pPr>
    </w:p>
    <w:p w14:paraId="2578F156" w14:textId="77777777" w:rsidR="00F533C9" w:rsidRPr="00F93146" w:rsidRDefault="00F533C9" w:rsidP="00F533C9">
      <w:pPr>
        <w:ind w:left="567" w:right="531"/>
        <w:jc w:val="both"/>
        <w:rPr>
          <w:rFonts w:ascii="Arial" w:eastAsia="Calibri" w:hAnsi="Arial" w:cs="Arial"/>
          <w:b/>
          <w:bCs/>
        </w:rPr>
      </w:pPr>
      <w:r w:rsidRPr="00F93146">
        <w:rPr>
          <w:rFonts w:ascii="Arial" w:eastAsia="Calibri" w:hAnsi="Arial" w:cs="Arial"/>
          <w:b/>
          <w:bCs/>
        </w:rPr>
        <w:t>Essay one:</w:t>
      </w:r>
    </w:p>
    <w:p w14:paraId="2BCF242B" w14:textId="77777777" w:rsidR="00F533C9" w:rsidRPr="00F93146" w:rsidRDefault="00F533C9" w:rsidP="00F533C9">
      <w:pPr>
        <w:spacing w:line="257" w:lineRule="auto"/>
        <w:ind w:left="567" w:right="531"/>
        <w:rPr>
          <w:rFonts w:ascii="Arial" w:eastAsia="Calibri" w:hAnsi="Arial" w:cs="Arial"/>
        </w:rPr>
      </w:pPr>
      <w:r w:rsidRPr="00F93146">
        <w:rPr>
          <w:rFonts w:ascii="Arial" w:eastAsia="Calibri" w:hAnsi="Arial" w:cs="Arial"/>
        </w:rPr>
        <w:t>How effectively has the police service adapted to accommodate diversity within the UK? Consider the police force itself and/or the way police engage with diverse communities.</w:t>
      </w:r>
      <w:r>
        <w:rPr>
          <w:rFonts w:ascii="Arial" w:eastAsia="Calibri" w:hAnsi="Arial" w:cs="Arial"/>
        </w:rPr>
        <w:t xml:space="preserve"> </w:t>
      </w:r>
    </w:p>
    <w:p w14:paraId="44AB5ABD" w14:textId="77777777" w:rsidR="00F533C9" w:rsidRDefault="00F533C9" w:rsidP="00F533C9">
      <w:pPr>
        <w:spacing w:line="257" w:lineRule="auto"/>
        <w:ind w:left="567" w:right="531"/>
        <w:rPr>
          <w:rFonts w:ascii="Arial" w:eastAsia="Calibri" w:hAnsi="Arial" w:cs="Arial"/>
        </w:rPr>
      </w:pPr>
      <w:r w:rsidRPr="00F93146">
        <w:rPr>
          <w:rFonts w:ascii="Arial" w:eastAsia="Calibri" w:hAnsi="Arial" w:cs="Arial"/>
        </w:rPr>
        <w:t>Your answer must be based on academic research.</w:t>
      </w:r>
    </w:p>
    <w:p w14:paraId="4D10D4A3" w14:textId="77777777" w:rsidR="00B03B81" w:rsidRPr="004960F0" w:rsidRDefault="00B03B81" w:rsidP="00F533C9">
      <w:pPr>
        <w:spacing w:line="257" w:lineRule="auto"/>
        <w:ind w:left="567" w:right="531"/>
        <w:rPr>
          <w:rFonts w:ascii="Arial" w:eastAsia="Calibri" w:hAnsi="Arial" w:cs="Arial"/>
        </w:rPr>
      </w:pPr>
    </w:p>
    <w:p w14:paraId="0C3974F2" w14:textId="73B6C39A" w:rsidR="009A2B9A" w:rsidRPr="001726E2" w:rsidRDefault="001B4638" w:rsidP="009A2B9A">
      <w:pPr>
        <w:rPr>
          <w:u w:val="single"/>
        </w:rPr>
      </w:pPr>
      <w:r w:rsidRPr="001726E2">
        <w:rPr>
          <w:u w:val="single"/>
        </w:rPr>
        <w:t>Introduction</w:t>
      </w:r>
    </w:p>
    <w:p w14:paraId="114B675A" w14:textId="0C9A3E6B" w:rsidR="00976EB3" w:rsidRDefault="009A2B9A" w:rsidP="009A2B9A">
      <w:pPr>
        <w:ind w:firstLine="720"/>
      </w:pPr>
      <w:r>
        <w:t xml:space="preserve">To effectively outline the efforts made in accommodating diversity, I feel that is particularly important to look at diversity itself in the UK. The UK known for its diversity, particularly in large cities and high populated areas of the UK. Statistics from the UK government website show that </w:t>
      </w:r>
      <w:r w:rsidRPr="00F90FEE">
        <w:t xml:space="preserve">82% of people in England and Wales are white, and 18% belong to a black, Asian, </w:t>
      </w:r>
      <w:r w:rsidR="00315C48" w:rsidRPr="00F90FEE">
        <w:t>mixed,</w:t>
      </w:r>
      <w:r w:rsidRPr="00F90FEE">
        <w:t xml:space="preserve"> or other ethnic group </w:t>
      </w:r>
      <w:r>
        <w:t xml:space="preserve">according to the 2021 census (GOV, 2021). </w:t>
      </w:r>
      <w:r w:rsidR="00F6397C">
        <w:t xml:space="preserve">This essay will submit </w:t>
      </w:r>
      <w:r w:rsidR="00C47F78">
        <w:t xml:space="preserve">that, although the police force </w:t>
      </w:r>
      <w:r w:rsidR="00176CB5">
        <w:t xml:space="preserve">has adapted to accommodate diversity to an extent, </w:t>
      </w:r>
      <w:r w:rsidR="00E13EB6">
        <w:t xml:space="preserve">there is still room for improvement. </w:t>
      </w:r>
    </w:p>
    <w:p w14:paraId="6BE83152" w14:textId="7860193C" w:rsidR="006A0A7A" w:rsidRDefault="00C968AE" w:rsidP="006A0A7A">
      <w:r>
        <w:tab/>
        <w:t xml:space="preserve"> </w:t>
      </w:r>
      <w:r w:rsidR="008336A1">
        <w:t>Historically</w:t>
      </w:r>
      <w:r>
        <w:t xml:space="preserve">, the police have failed to accommodate </w:t>
      </w:r>
      <w:r w:rsidR="008336A1">
        <w:t xml:space="preserve">diversity, </w:t>
      </w:r>
      <w:r w:rsidR="000622D6">
        <w:t xml:space="preserve">predominantly highlighted in the </w:t>
      </w:r>
      <w:r w:rsidR="00DE1AA9">
        <w:t xml:space="preserve">Macpherson </w:t>
      </w:r>
      <w:r w:rsidR="00B62F1E">
        <w:t>report following the</w:t>
      </w:r>
      <w:r w:rsidR="000622D6">
        <w:t xml:space="preserve"> </w:t>
      </w:r>
      <w:r w:rsidR="00B62F1E">
        <w:t>Stephen Lawrence</w:t>
      </w:r>
      <w:r w:rsidR="00E6598A">
        <w:t xml:space="preserve"> case</w:t>
      </w:r>
      <w:r w:rsidR="00B62F1E">
        <w:t xml:space="preserve"> </w:t>
      </w:r>
      <w:r w:rsidR="008156F0" w:rsidRPr="008156F0">
        <w:t>(Macpherson, 1999)</w:t>
      </w:r>
      <w:r w:rsidR="008156F0">
        <w:t>.</w:t>
      </w:r>
      <w:r w:rsidR="006913C4">
        <w:t xml:space="preserve"> </w:t>
      </w:r>
      <w:r w:rsidR="004E134E">
        <w:t xml:space="preserve">Particularly after the Stephen Lawrence case, </w:t>
      </w:r>
      <w:r w:rsidR="00E6598A">
        <w:t xml:space="preserve">Police forces </w:t>
      </w:r>
      <w:r w:rsidR="000C5E27">
        <w:t xml:space="preserve">have </w:t>
      </w:r>
      <w:r w:rsidR="00E62EFC">
        <w:t xml:space="preserve">identified that changes must be made </w:t>
      </w:r>
      <w:r w:rsidR="00451A04">
        <w:t xml:space="preserve">in efforts the effectively accommodate diversity and </w:t>
      </w:r>
      <w:r w:rsidR="000E63FC">
        <w:t>increase public confidence</w:t>
      </w:r>
      <w:r w:rsidR="00F365CB">
        <w:t xml:space="preserve"> in the Police, particularly within </w:t>
      </w:r>
      <w:r w:rsidR="00A2233D">
        <w:t>minority</w:t>
      </w:r>
      <w:r w:rsidR="00F365CB">
        <w:t xml:space="preserve"> </w:t>
      </w:r>
      <w:r w:rsidR="00A2233D">
        <w:t>ethnic groups within the community.</w:t>
      </w:r>
      <w:r w:rsidR="006A0A7A">
        <w:t xml:space="preserve"> An article</w:t>
      </w:r>
      <w:r w:rsidR="00BE63A0">
        <w:t xml:space="preserve"> based on </w:t>
      </w:r>
      <w:r w:rsidR="00EA7EB0">
        <w:t>the impact of the Stephen Lawrence enquiry</w:t>
      </w:r>
      <w:r w:rsidR="00EC1F90">
        <w:t xml:space="preserve"> highlights that </w:t>
      </w:r>
      <w:r w:rsidR="000E1DDA">
        <w:t xml:space="preserve">in large </w:t>
      </w:r>
      <w:r w:rsidR="00EC1F90">
        <w:t xml:space="preserve">minority </w:t>
      </w:r>
      <w:r w:rsidR="000E1DDA">
        <w:t xml:space="preserve">ethnic population </w:t>
      </w:r>
      <w:r w:rsidR="00EC1F90">
        <w:t>areas</w:t>
      </w:r>
      <w:r w:rsidR="0037571A">
        <w:t>, staff stated,</w:t>
      </w:r>
      <w:r w:rsidR="00A2233D">
        <w:t xml:space="preserve"> </w:t>
      </w:r>
      <w:r w:rsidR="006A0A7A">
        <w:t>“a striking and inescapable need to demonstrate fairness, not just by Police Services, but across the criminal justice system as a whole, in order to generate trust and confidence within minority ethnic communities”</w:t>
      </w:r>
      <w:r w:rsidR="006A0A7A" w:rsidRPr="0059063B">
        <w:t xml:space="preserve"> (Foster, Newburn and </w:t>
      </w:r>
      <w:proofErr w:type="spellStart"/>
      <w:r w:rsidR="006A0A7A" w:rsidRPr="0059063B">
        <w:t>Souhami</w:t>
      </w:r>
      <w:proofErr w:type="spellEnd"/>
      <w:r w:rsidR="006A0A7A" w:rsidRPr="0059063B">
        <w:t xml:space="preserve">, </w:t>
      </w:r>
      <w:r w:rsidR="0037571A">
        <w:t xml:space="preserve">P.52, </w:t>
      </w:r>
      <w:r w:rsidR="006A0A7A" w:rsidRPr="0059063B">
        <w:t>2005)</w:t>
      </w:r>
      <w:r w:rsidR="00B31338">
        <w:t xml:space="preserve">. The authors also highlight </w:t>
      </w:r>
      <w:r w:rsidR="001533A2">
        <w:t xml:space="preserve">that </w:t>
      </w:r>
      <w:r w:rsidR="00082C6A">
        <w:t xml:space="preserve">maintaining contact with familiar officers was essential to </w:t>
      </w:r>
      <w:r w:rsidR="00DD2DE1">
        <w:t>building</w:t>
      </w:r>
      <w:r w:rsidR="00082C6A">
        <w:t xml:space="preserve"> trust</w:t>
      </w:r>
      <w:r w:rsidR="00DD2DE1">
        <w:t>worthy relationships with the police</w:t>
      </w:r>
      <w:r w:rsidR="00826FDB">
        <w:t xml:space="preserve">, </w:t>
      </w:r>
      <w:r w:rsidR="00FB0C64">
        <w:t xml:space="preserve">suggesting that connections made by </w:t>
      </w:r>
      <w:r w:rsidR="00C73C96">
        <w:t>liaison</w:t>
      </w:r>
      <w:r w:rsidR="00FB0C64">
        <w:t xml:space="preserve"> officers may contribute to general </w:t>
      </w:r>
      <w:r w:rsidR="00C73C96">
        <w:t>increase in minority groups’ trust in the police</w:t>
      </w:r>
      <w:r w:rsidR="00B1754D">
        <w:t xml:space="preserve"> </w:t>
      </w:r>
      <w:r w:rsidR="00DD2DE1" w:rsidRPr="0059063B">
        <w:t xml:space="preserve">(Foster, Newburn and </w:t>
      </w:r>
      <w:proofErr w:type="spellStart"/>
      <w:r w:rsidR="00DD2DE1" w:rsidRPr="0059063B">
        <w:t>Souhami</w:t>
      </w:r>
      <w:proofErr w:type="spellEnd"/>
      <w:r w:rsidR="00DD2DE1" w:rsidRPr="0059063B">
        <w:t>,</w:t>
      </w:r>
      <w:r w:rsidR="00DD2DE1">
        <w:t xml:space="preserve"> </w:t>
      </w:r>
      <w:r w:rsidR="00DD2DE1" w:rsidRPr="0059063B">
        <w:t>2005)</w:t>
      </w:r>
      <w:r w:rsidR="00DD2DE1">
        <w:t>.</w:t>
      </w:r>
    </w:p>
    <w:p w14:paraId="2C4CE5F3" w14:textId="77777777" w:rsidR="00CF0A5F" w:rsidRDefault="00CF0A5F" w:rsidP="006A0A7A"/>
    <w:p w14:paraId="2C285107" w14:textId="77777777" w:rsidR="00AC6EBA" w:rsidRPr="00D366F4" w:rsidRDefault="004702EC" w:rsidP="006A0A7A">
      <w:pPr>
        <w:rPr>
          <w:u w:val="single"/>
        </w:rPr>
      </w:pPr>
      <w:r w:rsidRPr="00D366F4">
        <w:rPr>
          <w:u w:val="single"/>
        </w:rPr>
        <w:t xml:space="preserve">Police engagement with minority ethnic </w:t>
      </w:r>
      <w:r w:rsidR="00AC6EBA" w:rsidRPr="00D366F4">
        <w:rPr>
          <w:u w:val="single"/>
        </w:rPr>
        <w:t>communities</w:t>
      </w:r>
    </w:p>
    <w:p w14:paraId="7B3AF36F" w14:textId="5A910790" w:rsidR="009F2AE7" w:rsidRDefault="00124886" w:rsidP="00D366F4">
      <w:pPr>
        <w:ind w:firstLine="720"/>
      </w:pPr>
      <w:r w:rsidRPr="009170AB">
        <w:t xml:space="preserve">Effective communication </w:t>
      </w:r>
      <w:r w:rsidR="001C30FF" w:rsidRPr="009170AB">
        <w:t xml:space="preserve">and building relationships between police and diverse </w:t>
      </w:r>
      <w:r w:rsidR="009170AB" w:rsidRPr="009170AB">
        <w:t>communities, can</w:t>
      </w:r>
      <w:r w:rsidR="00246DCA" w:rsidRPr="009170AB">
        <w:t xml:space="preserve"> be said to be a significant </w:t>
      </w:r>
      <w:r w:rsidR="00C17F0C" w:rsidRPr="009170AB">
        <w:t>adaption the police service has implemented to accommodate diversity</w:t>
      </w:r>
      <w:r w:rsidR="009170AB" w:rsidRPr="009170AB">
        <w:t xml:space="preserve">. </w:t>
      </w:r>
      <w:r w:rsidR="00737550">
        <w:t xml:space="preserve">Findings from a study conducted in North of England highlighted that, </w:t>
      </w:r>
      <w:r w:rsidR="00EE6995">
        <w:t>support</w:t>
      </w:r>
      <w:r w:rsidR="008E741D">
        <w:t xml:space="preserve"> in community events, the Black Police Association’s outreach efforts, and police-led programs like ‘Away Days</w:t>
      </w:r>
      <w:r w:rsidR="006217DE">
        <w:t xml:space="preserve">’ for youth and examples of good practice communication </w:t>
      </w:r>
      <w:r w:rsidR="00AE0AE3" w:rsidRPr="00AE0AE3">
        <w:t xml:space="preserve">(Barrett, </w:t>
      </w:r>
      <w:proofErr w:type="gramStart"/>
      <w:r w:rsidR="00AE0AE3" w:rsidRPr="00AE0AE3">
        <w:t>Fletcher</w:t>
      </w:r>
      <w:proofErr w:type="gramEnd"/>
      <w:r w:rsidR="00AE0AE3" w:rsidRPr="00AE0AE3">
        <w:t xml:space="preserve"> and Patel, 2013)</w:t>
      </w:r>
      <w:r w:rsidR="00AE0AE3">
        <w:t xml:space="preserve">. These </w:t>
      </w:r>
      <w:r w:rsidR="005025EF">
        <w:t xml:space="preserve">events involving the community are all examples of how </w:t>
      </w:r>
      <w:r w:rsidR="008A33CD">
        <w:t xml:space="preserve">police are making efforts to effectively adapt as an organisation to accommodate diversity within the UK. The efforts being made </w:t>
      </w:r>
      <w:r w:rsidR="00162615">
        <w:t xml:space="preserve">involve good communication with the communities </w:t>
      </w:r>
      <w:proofErr w:type="gramStart"/>
      <w:r w:rsidR="00162615">
        <w:t>in order to</w:t>
      </w:r>
      <w:proofErr w:type="gramEnd"/>
      <w:r w:rsidR="00162615">
        <w:t xml:space="preserve"> establish trust in the police </w:t>
      </w:r>
      <w:r w:rsidR="004C7682">
        <w:t>and break down any barriers. Th</w:t>
      </w:r>
      <w:r w:rsidR="00820578">
        <w:t xml:space="preserve">ese changes could also be related to the role of </w:t>
      </w:r>
      <w:r w:rsidR="00B30FB0">
        <w:t>Neighbourhood</w:t>
      </w:r>
      <w:r w:rsidR="00820578">
        <w:t xml:space="preserve"> Policing Teams (NPT’s) who’s primary role</w:t>
      </w:r>
      <w:r w:rsidR="00B30FB0">
        <w:t xml:space="preserve"> in policing</w:t>
      </w:r>
      <w:r w:rsidR="00820578">
        <w:t xml:space="preserve"> </w:t>
      </w:r>
      <w:r w:rsidR="00B30FB0">
        <w:t xml:space="preserve">is to engage with communities. </w:t>
      </w:r>
    </w:p>
    <w:p w14:paraId="7A132D63" w14:textId="77777777" w:rsidR="00D366F4" w:rsidRPr="00D366F4" w:rsidRDefault="00D366F4" w:rsidP="00D366F4">
      <w:pPr>
        <w:ind w:firstLine="720"/>
      </w:pPr>
    </w:p>
    <w:p w14:paraId="43DE472E" w14:textId="77777777" w:rsidR="000B45ED" w:rsidRDefault="00534541" w:rsidP="004C7682">
      <w:r w:rsidRPr="00681DCD">
        <w:rPr>
          <w:u w:val="single"/>
        </w:rPr>
        <w:t xml:space="preserve">A more representative </w:t>
      </w:r>
      <w:r w:rsidR="00681DCD" w:rsidRPr="009B6157">
        <w:rPr>
          <w:u w:val="single"/>
        </w:rPr>
        <w:t>work</w:t>
      </w:r>
      <w:r w:rsidRPr="009B6157">
        <w:rPr>
          <w:u w:val="single"/>
        </w:rPr>
        <w:t xml:space="preserve"> fo</w:t>
      </w:r>
      <w:r w:rsidR="009B6157" w:rsidRPr="009B6157">
        <w:rPr>
          <w:u w:val="single"/>
        </w:rPr>
        <w:t>rce</w:t>
      </w:r>
      <w:r w:rsidR="000B45ED" w:rsidRPr="000B45ED">
        <w:t xml:space="preserve"> </w:t>
      </w:r>
    </w:p>
    <w:p w14:paraId="0D6A1040" w14:textId="3E1717D5" w:rsidR="008814D2" w:rsidRDefault="008814D2" w:rsidP="00D366F4">
      <w:pPr>
        <w:ind w:firstLine="720"/>
      </w:pPr>
      <w:r w:rsidRPr="00C91CFC">
        <w:t xml:space="preserve">In 2019 </w:t>
      </w:r>
      <w:r>
        <w:t>the UK government announced the Police uplift programme in an aim to employ 20,000 new police officers by 2023. The Police uplift programme is a government initiative to have a more representative workforce in Policing by 2025, giving people from a variety</w:t>
      </w:r>
      <w:r w:rsidRPr="006136B2">
        <w:t xml:space="preserve"> of backgrounds and communities</w:t>
      </w:r>
      <w:r>
        <w:t xml:space="preserve"> to bring their unique skills into policing. (NPCC, 2024)</w:t>
      </w:r>
    </w:p>
    <w:p w14:paraId="501C6C9F" w14:textId="7425DDE4" w:rsidR="00833564" w:rsidRDefault="000B45ED" w:rsidP="00D366F4">
      <w:pPr>
        <w:ind w:firstLine="720"/>
      </w:pPr>
      <w:r>
        <w:t xml:space="preserve">There are many other changes made in efforts to gain trust and confidence in Police from minority ethnic communities. Bowling and Phillips suggest that the hiring of police officers from minority ethnic backgrounds has drastically altered the face of the British police force. There is less overt racism, and police culture has changed </w:t>
      </w:r>
      <w:r w:rsidRPr="001C4511">
        <w:t>(Bowling and Phillips, 2010)</w:t>
      </w:r>
      <w:r w:rsidR="00B21EED">
        <w:t xml:space="preserve">. </w:t>
      </w:r>
      <w:r w:rsidR="0028126F">
        <w:t>In support of th</w:t>
      </w:r>
      <w:r w:rsidR="00660DE8">
        <w:t>ese changes being made</w:t>
      </w:r>
      <w:r w:rsidR="00C77B73">
        <w:t xml:space="preserve">, Fielding suggests that, </w:t>
      </w:r>
      <w:r w:rsidR="006713B4">
        <w:t xml:space="preserve">given the moral argument of </w:t>
      </w:r>
      <w:r w:rsidR="0019710F">
        <w:t xml:space="preserve">its importance, increasing the number of minority police will probably </w:t>
      </w:r>
      <w:r w:rsidR="00944E9B">
        <w:t>continue to be a top policy objective, even though there will</w:t>
      </w:r>
      <w:r w:rsidR="002F378A">
        <w:t xml:space="preserve"> be no evidence of an effect on arrest rates of public satisfaction </w:t>
      </w:r>
      <w:r w:rsidR="002F378A" w:rsidRPr="001729A1">
        <w:t>(Fielding, 2024)</w:t>
      </w:r>
      <w:r w:rsidR="002F378A">
        <w:t xml:space="preserve">. Fielding’s stance on this </w:t>
      </w:r>
      <w:r w:rsidR="00E813B2">
        <w:t>suggests</w:t>
      </w:r>
      <w:r w:rsidR="002F378A">
        <w:t xml:space="preserve"> that </w:t>
      </w:r>
      <w:r w:rsidR="00710414">
        <w:t xml:space="preserve">the recruitment of minority officers from diverse </w:t>
      </w:r>
      <w:r w:rsidR="00723A62">
        <w:t>backgrounds</w:t>
      </w:r>
      <w:r w:rsidR="00710414">
        <w:t xml:space="preserve"> will remain a </w:t>
      </w:r>
      <w:r w:rsidR="00076745">
        <w:t>priority,</w:t>
      </w:r>
      <w:r w:rsidR="00723A62">
        <w:t xml:space="preserve"> even if there </w:t>
      </w:r>
      <w:r w:rsidR="00A62D68">
        <w:t xml:space="preserve">is no data to suggest that this has an effect of rates of arrests or public satisfaction. </w:t>
      </w:r>
      <w:r w:rsidR="00076745">
        <w:t xml:space="preserve">Furthermore, </w:t>
      </w:r>
      <w:r w:rsidR="00605A36">
        <w:t>relating to increased diversity within the police force</w:t>
      </w:r>
      <w:r w:rsidR="00BE4502">
        <w:t xml:space="preserve"> itself</w:t>
      </w:r>
      <w:r w:rsidR="00605A36">
        <w:t xml:space="preserve">, </w:t>
      </w:r>
      <w:r w:rsidR="008706F2">
        <w:t xml:space="preserve">Stauffer, Song and </w:t>
      </w:r>
      <w:proofErr w:type="spellStart"/>
      <w:r w:rsidR="008706F2">
        <w:t>Shoub</w:t>
      </w:r>
      <w:proofErr w:type="spellEnd"/>
      <w:r w:rsidR="008706F2">
        <w:t xml:space="preserve"> indicate that, </w:t>
      </w:r>
      <w:r w:rsidR="006D24AD">
        <w:t>the results show diversity is by no means a complete answer, even though it may occasionally contribute to a rise in popular support for the police</w:t>
      </w:r>
      <w:r w:rsidR="008A2978">
        <w:t>. Increasing diversity, however, might have an indirect impact on opinion by influencing performance outcomes</w:t>
      </w:r>
      <w:r w:rsidR="00E813B2">
        <w:t xml:space="preserve"> (Stauffer, Song and </w:t>
      </w:r>
      <w:proofErr w:type="spellStart"/>
      <w:r w:rsidR="00E813B2">
        <w:t>Shoub</w:t>
      </w:r>
      <w:proofErr w:type="spellEnd"/>
      <w:r w:rsidR="00E813B2">
        <w:t>, 2022)</w:t>
      </w:r>
      <w:r w:rsidR="00BE4502">
        <w:t xml:space="preserve">. </w:t>
      </w:r>
      <w:r w:rsidR="007C4EA2">
        <w:t xml:space="preserve">This stance on diversity within the police force highlights that </w:t>
      </w:r>
      <w:r w:rsidR="00DD3706">
        <w:t>although it might build trust and confidence from min</w:t>
      </w:r>
      <w:r w:rsidR="00E520EF">
        <w:t xml:space="preserve">ority </w:t>
      </w:r>
      <w:r w:rsidR="00392618">
        <w:t>ethnic</w:t>
      </w:r>
      <w:r w:rsidR="00E520EF">
        <w:t xml:space="preserve"> communities, it could </w:t>
      </w:r>
      <w:r w:rsidR="00392618">
        <w:t>potentially</w:t>
      </w:r>
      <w:r w:rsidR="00E520EF">
        <w:t xml:space="preserve"> have a</w:t>
      </w:r>
      <w:r w:rsidR="00392618">
        <w:t>n</w:t>
      </w:r>
      <w:r w:rsidR="00E520EF">
        <w:t xml:space="preserve"> </w:t>
      </w:r>
      <w:r w:rsidR="00A86461">
        <w:t xml:space="preserve">indirect </w:t>
      </w:r>
      <w:r w:rsidR="00392618">
        <w:t>effect</w:t>
      </w:r>
      <w:r w:rsidR="00A86461">
        <w:t xml:space="preserve"> on</w:t>
      </w:r>
      <w:r w:rsidR="008B0BD1">
        <w:t xml:space="preserve"> opinions </w:t>
      </w:r>
      <w:r w:rsidR="00392618">
        <w:t>of</w:t>
      </w:r>
      <w:r w:rsidR="00A86461">
        <w:t xml:space="preserve"> police performance and outcomes</w:t>
      </w:r>
      <w:r w:rsidR="00392618">
        <w:t xml:space="preserve">. </w:t>
      </w:r>
      <w:r w:rsidR="00A55B64">
        <w:t xml:space="preserve">On the other hand, </w:t>
      </w:r>
      <w:r w:rsidR="00B8621F">
        <w:t xml:space="preserve">relating to a more representative workforce, if operational </w:t>
      </w:r>
      <w:r w:rsidR="00943894">
        <w:t>procedures and governance structures are not changed, a more representative police force</w:t>
      </w:r>
      <w:r w:rsidR="008814D2">
        <w:t xml:space="preserve"> by itself will not result in much improvement (Rowe and Ross, 2015)</w:t>
      </w:r>
      <w:r w:rsidR="00F64EE2">
        <w:t>.</w:t>
      </w:r>
    </w:p>
    <w:p w14:paraId="04004E09" w14:textId="77777777" w:rsidR="00F64EE2" w:rsidRDefault="00F64EE2" w:rsidP="008814D2">
      <w:pPr>
        <w:ind w:firstLine="720"/>
      </w:pPr>
    </w:p>
    <w:p w14:paraId="36956B81" w14:textId="77777777" w:rsidR="00D366F4" w:rsidRDefault="005D58DB">
      <w:pPr>
        <w:rPr>
          <w:u w:val="single"/>
        </w:rPr>
      </w:pPr>
      <w:r w:rsidRPr="00D366F4">
        <w:rPr>
          <w:u w:val="single"/>
        </w:rPr>
        <w:t>Changes in police policies</w:t>
      </w:r>
    </w:p>
    <w:p w14:paraId="5AB8BF62" w14:textId="3537BE89" w:rsidR="002D64D7" w:rsidRPr="00D366F4" w:rsidRDefault="003B5D08" w:rsidP="00D366F4">
      <w:pPr>
        <w:ind w:firstLine="720"/>
        <w:rPr>
          <w:u w:val="single"/>
        </w:rPr>
      </w:pPr>
      <w:r>
        <w:t>There has been an official concern</w:t>
      </w:r>
      <w:r w:rsidR="00093E28">
        <w:t xml:space="preserve"> around diversity</w:t>
      </w:r>
      <w:r w:rsidR="008E0AA2">
        <w:t xml:space="preserve"> which has grown in importance</w:t>
      </w:r>
      <w:r w:rsidR="00093E28">
        <w:t xml:space="preserve"> </w:t>
      </w:r>
      <w:r w:rsidR="00D13032">
        <w:t xml:space="preserve">with regards to police </w:t>
      </w:r>
      <w:r w:rsidR="00EA38B9">
        <w:t>organisations</w:t>
      </w:r>
      <w:r w:rsidR="00DD26BD">
        <w:t xml:space="preserve">. </w:t>
      </w:r>
      <w:r w:rsidR="00EE49DE">
        <w:t>The numerous equality policies and initiatives aimed at improving</w:t>
      </w:r>
      <w:r w:rsidR="006D5594">
        <w:t xml:space="preserve"> officers’ perspectives on and interactions with the increasingly diverse social environment </w:t>
      </w:r>
      <w:r w:rsidR="00C908B8">
        <w:t>they are part of, serve as examples of this change</w:t>
      </w:r>
      <w:r w:rsidR="001D3394">
        <w:t xml:space="preserve"> </w:t>
      </w:r>
      <w:r w:rsidR="0080129C" w:rsidRPr="0080129C">
        <w:t>(Loftus, 2008)</w:t>
      </w:r>
      <w:r w:rsidR="0080129C">
        <w:t xml:space="preserve">. </w:t>
      </w:r>
      <w:r w:rsidR="002078A0">
        <w:t xml:space="preserve">Some policies introduced include </w:t>
      </w:r>
      <w:r w:rsidR="000D06DF">
        <w:t>anti-discrimination</w:t>
      </w:r>
      <w:r w:rsidR="002078A0">
        <w:t xml:space="preserve"> policies</w:t>
      </w:r>
      <w:r w:rsidR="000D06DF">
        <w:t xml:space="preserve"> and measures. </w:t>
      </w:r>
      <w:r w:rsidR="00486C01">
        <w:t xml:space="preserve">To </w:t>
      </w:r>
      <w:r w:rsidR="00EF1DEA">
        <w:t>guarantee</w:t>
      </w:r>
      <w:r w:rsidR="00486C01">
        <w:t xml:space="preserve"> open</w:t>
      </w:r>
      <w:r w:rsidR="00C418BA">
        <w:t>ness in policing, independent oversight organisations have been introduced</w:t>
      </w:r>
      <w:r w:rsidR="00307BB4">
        <w:t>, such as the Independent Office for Police Conduct (IOPC)</w:t>
      </w:r>
      <w:r w:rsidR="00DE27BC">
        <w:t>, independently investigating complaints against police officers.</w:t>
      </w:r>
      <w:r w:rsidR="00224CF4">
        <w:t xml:space="preserve"> It is believed that maintaining public trust requires accountability in the police complaints and dis</w:t>
      </w:r>
      <w:r w:rsidR="00BD149C">
        <w:t>ciplinary systems</w:t>
      </w:r>
      <w:r w:rsidR="00991F31">
        <w:t xml:space="preserve"> </w:t>
      </w:r>
      <w:r w:rsidR="00991F31" w:rsidRPr="00991F31">
        <w:t>(</w:t>
      </w:r>
      <w:proofErr w:type="spellStart"/>
      <w:r w:rsidR="00991F31" w:rsidRPr="00991F31">
        <w:t>Torrible</w:t>
      </w:r>
      <w:proofErr w:type="spellEnd"/>
      <w:r w:rsidR="00991F31" w:rsidRPr="00991F31">
        <w:t>, 2020)</w:t>
      </w:r>
      <w:r w:rsidR="002009CB">
        <w:t xml:space="preserve"> </w:t>
      </w:r>
    </w:p>
    <w:p w14:paraId="008D781B" w14:textId="2EAC4FD0" w:rsidR="00111FEA" w:rsidRDefault="00FB4ED7" w:rsidP="00B03B81">
      <w:pPr>
        <w:ind w:firstLine="720"/>
      </w:pPr>
      <w:r>
        <w:t xml:space="preserve">In conclusion, </w:t>
      </w:r>
      <w:r w:rsidR="001D27FF">
        <w:t xml:space="preserve">it is evident that changes have been made in UK policing </w:t>
      </w:r>
      <w:r w:rsidR="00C15165">
        <w:t>to accommodate diversity, particularly following the significance of the Macpherson report</w:t>
      </w:r>
      <w:r w:rsidR="003506E3">
        <w:t xml:space="preserve">. </w:t>
      </w:r>
      <w:r w:rsidR="00B03B81">
        <w:t>Several</w:t>
      </w:r>
      <w:r w:rsidR="003506E3">
        <w:t xml:space="preserve"> changes have been made, through police engagement initiatives </w:t>
      </w:r>
      <w:r w:rsidR="003F01D1">
        <w:t xml:space="preserve">in working towards building better relationships with the diverse communities they serve. Other </w:t>
      </w:r>
      <w:r w:rsidR="00CD60E4">
        <w:t xml:space="preserve">changes have been made though creating a more representative workforce, also </w:t>
      </w:r>
      <w:r w:rsidR="00D87C70">
        <w:t xml:space="preserve">to assist with accommodating for a </w:t>
      </w:r>
      <w:r w:rsidR="00111FEA">
        <w:t xml:space="preserve">more diverse service in UK policing. </w:t>
      </w:r>
      <w:r w:rsidR="00D16169">
        <w:t xml:space="preserve">Other efforts are being made for more accountability, through the introduction of </w:t>
      </w:r>
      <w:r w:rsidR="008562D8">
        <w:t xml:space="preserve">an independent body in the dealings of complaints against police officers. </w:t>
      </w:r>
    </w:p>
    <w:p w14:paraId="78821329" w14:textId="396AF427" w:rsidR="00544897" w:rsidRDefault="00544897">
      <w:r>
        <w:lastRenderedPageBreak/>
        <w:t xml:space="preserve">It could also be concluded that </w:t>
      </w:r>
      <w:r w:rsidR="00E04DA9">
        <w:t xml:space="preserve">although that there has been </w:t>
      </w:r>
      <w:proofErr w:type="gramStart"/>
      <w:r w:rsidR="00E04DA9">
        <w:t>a number of</w:t>
      </w:r>
      <w:proofErr w:type="gramEnd"/>
      <w:r w:rsidR="00E04DA9">
        <w:t xml:space="preserve"> changes made</w:t>
      </w:r>
      <w:r w:rsidR="00B86D7A">
        <w:t xml:space="preserve"> looking at the police </w:t>
      </w:r>
      <w:r w:rsidR="003035FB">
        <w:t>force</w:t>
      </w:r>
      <w:r w:rsidR="00B86D7A">
        <w:t xml:space="preserve"> itself</w:t>
      </w:r>
      <w:r w:rsidR="007D4330">
        <w:t>,</w:t>
      </w:r>
      <w:r w:rsidR="00644F19">
        <w:t xml:space="preserve"> it could be argued that </w:t>
      </w:r>
      <w:r w:rsidR="003035FB">
        <w:t xml:space="preserve">changing the face of the organisation is still not enough, and there must be continued efforts through </w:t>
      </w:r>
      <w:r w:rsidR="00355735">
        <w:t xml:space="preserve">communication and building relationships with minority and ethnic communities to </w:t>
      </w:r>
      <w:r w:rsidR="005A49C8">
        <w:t xml:space="preserve">effectively </w:t>
      </w:r>
      <w:r w:rsidR="00355735">
        <w:t xml:space="preserve">accommodate </w:t>
      </w:r>
      <w:r w:rsidR="005A49C8">
        <w:t xml:space="preserve">for diversity in UK policing. </w:t>
      </w:r>
    </w:p>
    <w:p w14:paraId="044F07DD" w14:textId="77777777" w:rsidR="000D7E97" w:rsidRDefault="000D7E97"/>
    <w:p w14:paraId="27C8F7B3" w14:textId="77777777" w:rsidR="00F533C9" w:rsidRPr="001D1693" w:rsidRDefault="00F533C9"/>
    <w:p w14:paraId="05BED30B" w14:textId="6A7FEA71" w:rsidR="00F533C9" w:rsidRPr="001D1693" w:rsidRDefault="00F533C9" w:rsidP="00444208">
      <w:pPr>
        <w:jc w:val="center"/>
        <w:rPr>
          <w:rFonts w:cstheme="minorHAnsi"/>
          <w:b/>
          <w:bCs/>
          <w:u w:val="single"/>
        </w:rPr>
      </w:pPr>
      <w:r w:rsidRPr="001D1693">
        <w:rPr>
          <w:rFonts w:cstheme="minorHAnsi"/>
          <w:b/>
          <w:bCs/>
          <w:u w:val="single"/>
        </w:rPr>
        <w:t>Bibliography</w:t>
      </w:r>
    </w:p>
    <w:p w14:paraId="5A63C153" w14:textId="77777777" w:rsidR="00544C59" w:rsidRPr="001D1693" w:rsidRDefault="00544C59" w:rsidP="00A33F50">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Barrett, G.A., Fletcher, S.M. and Patel, T.G. (2013). Black minority ethnic communities and levels of satisfaction with policing: Findings from a study in the north of England. </w:t>
      </w:r>
      <w:r w:rsidRPr="001D1693">
        <w:rPr>
          <w:rFonts w:asciiTheme="minorHAnsi" w:hAnsiTheme="minorHAnsi" w:cstheme="minorHAnsi"/>
          <w:i/>
          <w:iCs/>
          <w:sz w:val="22"/>
          <w:szCs w:val="22"/>
        </w:rPr>
        <w:t>Criminology &amp; Criminal Justice</w:t>
      </w:r>
      <w:r w:rsidRPr="001D1693">
        <w:rPr>
          <w:rFonts w:asciiTheme="minorHAnsi" w:hAnsiTheme="minorHAnsi" w:cstheme="minorHAnsi"/>
          <w:sz w:val="22"/>
          <w:szCs w:val="22"/>
        </w:rPr>
        <w:t xml:space="preserve">, 14(2), pp.196–215.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://doi.org/10.1177/1748895813483760</w:t>
      </w:r>
      <w:proofErr w:type="gramEnd"/>
      <w:r w:rsidRPr="001D1693">
        <w:rPr>
          <w:rFonts w:asciiTheme="minorHAnsi" w:hAnsiTheme="minorHAnsi" w:cstheme="minorHAnsi"/>
          <w:sz w:val="22"/>
          <w:szCs w:val="22"/>
        </w:rPr>
        <w:t>. (Accessed: 03/02.2025)</w:t>
      </w:r>
    </w:p>
    <w:p w14:paraId="3FFC6651" w14:textId="77777777" w:rsidR="00544C59" w:rsidRPr="001D1693" w:rsidRDefault="00544C59" w:rsidP="005E5C1B">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Bowling, B. and Phillips, C. (2010). </w:t>
      </w:r>
      <w:r w:rsidRPr="001D1693">
        <w:rPr>
          <w:rFonts w:asciiTheme="minorHAnsi" w:hAnsiTheme="minorHAnsi" w:cstheme="minorHAnsi"/>
          <w:i/>
          <w:iCs/>
          <w:sz w:val="22"/>
          <w:szCs w:val="22"/>
        </w:rPr>
        <w:t>Policing ethnic minority communities Book section Policing ethnic minority communities</w:t>
      </w:r>
      <w:r w:rsidRPr="001D1693">
        <w:rPr>
          <w:rFonts w:asciiTheme="minorHAnsi" w:hAnsiTheme="minorHAnsi" w:cstheme="minorHAnsi"/>
          <w:sz w:val="22"/>
          <w:szCs w:val="22"/>
        </w:rPr>
        <w:t>. [online] Available at: https://eprints.lse.ac.uk/9576/1/Policing_ethnic_minority_communities_(LSERO).pdf. (Accessed: 03/02.2025)</w:t>
      </w:r>
    </w:p>
    <w:p w14:paraId="50EE111C" w14:textId="77777777" w:rsidR="00544C59" w:rsidRPr="001D1693" w:rsidRDefault="00544C59" w:rsidP="001B3399">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Fielding, N.G. (2024). Understanding minority recruitment to the police: beyond systematic review. </w:t>
      </w:r>
      <w:r w:rsidRPr="001D1693">
        <w:rPr>
          <w:rFonts w:asciiTheme="minorHAnsi" w:hAnsiTheme="minorHAnsi" w:cstheme="minorHAnsi"/>
          <w:i/>
          <w:iCs/>
          <w:sz w:val="22"/>
          <w:szCs w:val="22"/>
        </w:rPr>
        <w:t>Policing &amp; society</w:t>
      </w:r>
      <w:r w:rsidRPr="001D1693">
        <w:rPr>
          <w:rFonts w:asciiTheme="minorHAnsi" w:hAnsiTheme="minorHAnsi" w:cstheme="minorHAnsi"/>
          <w:sz w:val="22"/>
          <w:szCs w:val="22"/>
        </w:rPr>
        <w:t xml:space="preserve">, pp.1–18.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://doi.org/10.1080/10439463.2024.2342451</w:t>
      </w:r>
      <w:proofErr w:type="gramEnd"/>
      <w:r w:rsidRPr="001D1693">
        <w:rPr>
          <w:rFonts w:asciiTheme="minorHAnsi" w:hAnsiTheme="minorHAnsi" w:cstheme="minorHAnsi"/>
          <w:sz w:val="22"/>
          <w:szCs w:val="22"/>
        </w:rPr>
        <w:t>. (Accessed: 03/02.2025)</w:t>
      </w:r>
    </w:p>
    <w:p w14:paraId="58133749" w14:textId="77777777" w:rsidR="00544C59" w:rsidRPr="001D1693" w:rsidRDefault="00544C59" w:rsidP="00A661C4">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Foster, J., Newburn, T. and </w:t>
      </w:r>
      <w:proofErr w:type="spellStart"/>
      <w:r w:rsidRPr="001D1693">
        <w:rPr>
          <w:rFonts w:asciiTheme="minorHAnsi" w:hAnsiTheme="minorHAnsi" w:cstheme="minorHAnsi"/>
          <w:sz w:val="22"/>
          <w:szCs w:val="22"/>
        </w:rPr>
        <w:t>Souhami</w:t>
      </w:r>
      <w:proofErr w:type="spellEnd"/>
      <w:r w:rsidRPr="001D1693">
        <w:rPr>
          <w:rFonts w:asciiTheme="minorHAnsi" w:hAnsiTheme="minorHAnsi" w:cstheme="minorHAnsi"/>
          <w:sz w:val="22"/>
          <w:szCs w:val="22"/>
        </w:rPr>
        <w:t xml:space="preserve">, A. (2005). </w:t>
      </w:r>
      <w:r w:rsidRPr="001D1693">
        <w:rPr>
          <w:rFonts w:asciiTheme="minorHAnsi" w:hAnsiTheme="minorHAnsi" w:cstheme="minorHAnsi"/>
          <w:i/>
          <w:iCs/>
          <w:sz w:val="22"/>
          <w:szCs w:val="22"/>
        </w:rPr>
        <w:t>Assessing the impact of the Stephen Lawrence Inquiry</w:t>
      </w:r>
      <w:r w:rsidRPr="001D1693">
        <w:rPr>
          <w:rFonts w:asciiTheme="minorHAnsi" w:hAnsiTheme="minorHAnsi" w:cstheme="minorHAnsi"/>
          <w:sz w:val="22"/>
          <w:szCs w:val="22"/>
        </w:rPr>
        <w:t xml:space="preserve">. [online] Available at: </w:t>
      </w:r>
      <w:hyperlink r:id="rId6" w:history="1">
        <w:r w:rsidRPr="001D1693">
          <w:rPr>
            <w:rStyle w:val="Hyperlink"/>
            <w:rFonts w:asciiTheme="minorHAnsi" w:hAnsiTheme="minorHAnsi" w:cstheme="minorHAnsi"/>
            <w:sz w:val="22"/>
            <w:szCs w:val="22"/>
          </w:rPr>
          <w:t>https://citeseerx.ist.psu.edu/document?repid=rep1&amp;type=pdf&amp;doi=1d33b18f47baeb3ef37a884112fdd8ad446174f6</w:t>
        </w:r>
      </w:hyperlink>
      <w:r w:rsidRPr="001D1693">
        <w:rPr>
          <w:rFonts w:asciiTheme="minorHAnsi" w:hAnsiTheme="minorHAnsi" w:cstheme="minorHAnsi"/>
          <w:sz w:val="22"/>
          <w:szCs w:val="22"/>
        </w:rPr>
        <w:t>. (Accessed: 03/02.2025)</w:t>
      </w:r>
    </w:p>
    <w:p w14:paraId="743CDCBC" w14:textId="77777777" w:rsidR="00544C59" w:rsidRPr="001D1693" w:rsidRDefault="00544C59" w:rsidP="00F533C9">
      <w:pPr>
        <w:rPr>
          <w:rFonts w:cstheme="minorHAnsi"/>
        </w:rPr>
      </w:pPr>
      <w:r w:rsidRPr="001D1693">
        <w:rPr>
          <w:rFonts w:cstheme="minorHAnsi"/>
        </w:rPr>
        <w:t xml:space="preserve">GOV.UK (2021) </w:t>
      </w:r>
      <w:r w:rsidRPr="001D1693">
        <w:rPr>
          <w:rFonts w:cstheme="minorHAnsi"/>
          <w:i/>
          <w:iCs/>
        </w:rPr>
        <w:t>Ethnicity facts and figures</w:t>
      </w:r>
      <w:r w:rsidRPr="001D1693">
        <w:rPr>
          <w:rFonts w:cstheme="minorHAnsi"/>
        </w:rPr>
        <w:t xml:space="preserve">. Available at: </w:t>
      </w:r>
      <w:hyperlink r:id="rId7" w:anchor=":~:text=Government%20data%20about%20the%20UK%27s%20different%20ethnic%20groups.,of%20people%20from%20a%20variety%20of%20ethnic%20backgrounds." w:history="1">
        <w:r w:rsidRPr="001D1693">
          <w:rPr>
            <w:rStyle w:val="Hyperlink"/>
            <w:rFonts w:cstheme="minorHAnsi"/>
          </w:rPr>
          <w:t>Ethnicity facts and figures – GOV.UK</w:t>
        </w:r>
      </w:hyperlink>
      <w:r w:rsidRPr="001D1693">
        <w:rPr>
          <w:rFonts w:cstheme="minorHAnsi"/>
        </w:rPr>
        <w:t xml:space="preserve"> (Accessed: 02/02/2025).</w:t>
      </w:r>
    </w:p>
    <w:p w14:paraId="5DED03BE" w14:textId="77777777" w:rsidR="00544C59" w:rsidRPr="001D1693" w:rsidRDefault="00544C59" w:rsidP="00474F00">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Loftus, B. (2008). Dominant Culture Interrupted: Recognition, </w:t>
      </w:r>
      <w:proofErr w:type="gramStart"/>
      <w:r w:rsidRPr="001D1693">
        <w:rPr>
          <w:rFonts w:asciiTheme="minorHAnsi" w:hAnsiTheme="minorHAnsi" w:cstheme="minorHAnsi"/>
          <w:sz w:val="22"/>
          <w:szCs w:val="22"/>
        </w:rPr>
        <w:t>Resentment</w:t>
      </w:r>
      <w:proofErr w:type="gramEnd"/>
      <w:r w:rsidRPr="001D1693">
        <w:rPr>
          <w:rFonts w:asciiTheme="minorHAnsi" w:hAnsiTheme="minorHAnsi" w:cstheme="minorHAnsi"/>
          <w:sz w:val="22"/>
          <w:szCs w:val="22"/>
        </w:rPr>
        <w:t xml:space="preserve"> and the Politics of Change in an English Police Force. </w:t>
      </w:r>
      <w:r w:rsidRPr="001D1693">
        <w:rPr>
          <w:rFonts w:asciiTheme="minorHAnsi" w:hAnsiTheme="minorHAnsi" w:cstheme="minorHAnsi"/>
          <w:i/>
          <w:iCs/>
          <w:sz w:val="22"/>
          <w:szCs w:val="22"/>
        </w:rPr>
        <w:t>British Journal of Criminology</w:t>
      </w:r>
      <w:r w:rsidRPr="001D1693">
        <w:rPr>
          <w:rFonts w:asciiTheme="minorHAnsi" w:hAnsiTheme="minorHAnsi" w:cstheme="minorHAnsi"/>
          <w:sz w:val="22"/>
          <w:szCs w:val="22"/>
        </w:rPr>
        <w:t xml:space="preserve">, 48(6), pp.756–777.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://doi.org/10.1093/</w:t>
      </w:r>
      <w:proofErr w:type="spellStart"/>
      <w:r w:rsidRPr="001D1693">
        <w:rPr>
          <w:rFonts w:asciiTheme="minorHAnsi" w:hAnsiTheme="minorHAnsi" w:cstheme="minorHAnsi"/>
          <w:sz w:val="22"/>
          <w:szCs w:val="22"/>
        </w:rPr>
        <w:t>bjc</w:t>
      </w:r>
      <w:proofErr w:type="spellEnd"/>
      <w:r w:rsidRPr="001D1693">
        <w:rPr>
          <w:rFonts w:asciiTheme="minorHAnsi" w:hAnsiTheme="minorHAnsi" w:cstheme="minorHAnsi"/>
          <w:sz w:val="22"/>
          <w:szCs w:val="22"/>
        </w:rPr>
        <w:t>/azn065</w:t>
      </w:r>
      <w:proofErr w:type="gramEnd"/>
      <w:r w:rsidRPr="001D1693">
        <w:rPr>
          <w:rFonts w:asciiTheme="minorHAnsi" w:hAnsiTheme="minorHAnsi" w:cstheme="minorHAnsi"/>
          <w:sz w:val="22"/>
          <w:szCs w:val="22"/>
        </w:rPr>
        <w:t>. (Accessed: 03/02.2025)</w:t>
      </w:r>
    </w:p>
    <w:p w14:paraId="68B57C25" w14:textId="77777777" w:rsidR="00544C59" w:rsidRPr="001D1693" w:rsidRDefault="00544C59" w:rsidP="00444208">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Macpherson, W. (1999). </w:t>
      </w:r>
      <w:r w:rsidRPr="001D1693">
        <w:rPr>
          <w:rFonts w:asciiTheme="minorHAnsi" w:hAnsiTheme="minorHAnsi" w:cstheme="minorHAnsi"/>
          <w:i/>
          <w:iCs/>
          <w:sz w:val="22"/>
          <w:szCs w:val="22"/>
        </w:rPr>
        <w:t>The Stephen Lawrence Inquiry</w:t>
      </w:r>
      <w:r w:rsidRPr="001D1693">
        <w:rPr>
          <w:rFonts w:asciiTheme="minorHAnsi" w:hAnsiTheme="minorHAnsi" w:cstheme="minorHAnsi"/>
          <w:sz w:val="22"/>
          <w:szCs w:val="22"/>
        </w:rPr>
        <w:t xml:space="preserve">. [online] </w:t>
      </w:r>
      <w:r w:rsidRPr="001D1693">
        <w:rPr>
          <w:rFonts w:asciiTheme="minorHAnsi" w:hAnsiTheme="minorHAnsi" w:cstheme="minorHAnsi"/>
          <w:i/>
          <w:iCs/>
          <w:sz w:val="22"/>
          <w:szCs w:val="22"/>
        </w:rPr>
        <w:t>GOV.UK</w:t>
      </w:r>
      <w:r w:rsidRPr="001D1693">
        <w:rPr>
          <w:rFonts w:asciiTheme="minorHAnsi" w:hAnsiTheme="minorHAnsi" w:cstheme="minorHAnsi"/>
          <w:sz w:val="22"/>
          <w:szCs w:val="22"/>
        </w:rPr>
        <w:t>. Available at: https://assets.publishing.service.gov.uk/media/5a7c2af540f0b645ba3c7202/4262.pdf. (Accessed: 03/02.2025)</w:t>
      </w:r>
    </w:p>
    <w:p w14:paraId="15687568" w14:textId="77777777" w:rsidR="00544C59" w:rsidRPr="001D1693" w:rsidRDefault="00544C59" w:rsidP="0098485B">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lastRenderedPageBreak/>
        <w:t xml:space="preserve">Morant, N. and Edwards, E. (2010). Police responses to diversity: A social representational study of rural British policing in a changing representational context. </w:t>
      </w:r>
      <w:r w:rsidRPr="001D1693">
        <w:rPr>
          <w:rFonts w:asciiTheme="minorHAnsi" w:hAnsiTheme="minorHAnsi" w:cstheme="minorHAnsi"/>
          <w:i/>
          <w:iCs/>
          <w:sz w:val="22"/>
          <w:szCs w:val="22"/>
        </w:rPr>
        <w:t>Journal of Community &amp; Applied Social Psychology</w:t>
      </w:r>
      <w:r w:rsidRPr="001D1693">
        <w:rPr>
          <w:rFonts w:asciiTheme="minorHAnsi" w:hAnsiTheme="minorHAnsi" w:cstheme="minorHAnsi"/>
          <w:sz w:val="22"/>
          <w:szCs w:val="22"/>
        </w:rPr>
        <w:t xml:space="preserve">, 21(4), pp.281–296.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://doi.org/10.1002/casp.1074</w:t>
      </w:r>
      <w:proofErr w:type="gramEnd"/>
      <w:r w:rsidRPr="001D1693">
        <w:rPr>
          <w:rFonts w:asciiTheme="minorHAnsi" w:hAnsiTheme="minorHAnsi" w:cstheme="minorHAnsi"/>
          <w:sz w:val="22"/>
          <w:szCs w:val="22"/>
        </w:rPr>
        <w:t>. (Accessed: 03/02.2025)</w:t>
      </w:r>
    </w:p>
    <w:p w14:paraId="636CC1B7" w14:textId="77777777" w:rsidR="00544C59" w:rsidRPr="001D1693" w:rsidRDefault="00544C59" w:rsidP="00F533C9">
      <w:pPr>
        <w:rPr>
          <w:rFonts w:cstheme="minorHAnsi"/>
        </w:rPr>
      </w:pPr>
      <w:r w:rsidRPr="001D1693">
        <w:rPr>
          <w:rFonts w:cstheme="minorHAnsi"/>
        </w:rPr>
        <w:t xml:space="preserve">National Police Chief’s Council (2024) </w:t>
      </w:r>
      <w:r w:rsidRPr="001D1693">
        <w:rPr>
          <w:rFonts w:cstheme="minorHAnsi"/>
          <w:i/>
          <w:iCs/>
        </w:rPr>
        <w:t>Police uplift programme.</w:t>
      </w:r>
      <w:r w:rsidRPr="001D1693">
        <w:rPr>
          <w:rFonts w:cstheme="minorHAnsi"/>
        </w:rPr>
        <w:t xml:space="preserve"> Available at: </w:t>
      </w:r>
      <w:hyperlink r:id="rId8" w:history="1">
        <w:r w:rsidRPr="001D1693">
          <w:rPr>
            <w:rStyle w:val="Hyperlink"/>
            <w:rFonts w:cstheme="minorHAnsi"/>
          </w:rPr>
          <w:t>Police Uplift Programme</w:t>
        </w:r>
      </w:hyperlink>
      <w:r w:rsidRPr="001D1693">
        <w:rPr>
          <w:rFonts w:cstheme="minorHAnsi"/>
        </w:rPr>
        <w:t>- (Accessed: 02/02/2025).</w:t>
      </w:r>
    </w:p>
    <w:p w14:paraId="5E506664" w14:textId="77777777" w:rsidR="00544C59" w:rsidRPr="001D1693" w:rsidRDefault="00544C59" w:rsidP="00EE36CF">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Rowe, </w:t>
      </w:r>
      <w:proofErr w:type="gramStart"/>
      <w:r w:rsidRPr="001D1693">
        <w:rPr>
          <w:rFonts w:asciiTheme="minorHAnsi" w:hAnsiTheme="minorHAnsi" w:cstheme="minorHAnsi"/>
          <w:sz w:val="22"/>
          <w:szCs w:val="22"/>
        </w:rPr>
        <w:t>M.</w:t>
      </w:r>
      <w:proofErr w:type="gramEnd"/>
      <w:r w:rsidRPr="001D1693">
        <w:rPr>
          <w:rFonts w:asciiTheme="minorHAnsi" w:hAnsiTheme="minorHAnsi" w:cstheme="minorHAnsi"/>
          <w:sz w:val="22"/>
          <w:szCs w:val="22"/>
        </w:rPr>
        <w:t xml:space="preserve"> and Ross, J.I. (2015). Comparing the Recruitment of Ethnic and Racial Minorities in Police Departments in England and Wales with the USA. </w:t>
      </w:r>
      <w:r w:rsidRPr="001D1693">
        <w:rPr>
          <w:rFonts w:asciiTheme="minorHAnsi" w:hAnsiTheme="minorHAnsi" w:cstheme="minorHAnsi"/>
          <w:i/>
          <w:iCs/>
          <w:sz w:val="22"/>
          <w:szCs w:val="22"/>
        </w:rPr>
        <w:t>Policing</w:t>
      </w:r>
      <w:r w:rsidRPr="001D1693">
        <w:rPr>
          <w:rFonts w:asciiTheme="minorHAnsi" w:hAnsiTheme="minorHAnsi" w:cstheme="minorHAnsi"/>
          <w:sz w:val="22"/>
          <w:szCs w:val="22"/>
        </w:rPr>
        <w:t xml:space="preserve">, [online] 9(1), pp.26–35.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://doi.org/10.1093/police/pau060</w:t>
      </w:r>
      <w:proofErr w:type="gramEnd"/>
      <w:r w:rsidRPr="001D1693">
        <w:rPr>
          <w:rFonts w:asciiTheme="minorHAnsi" w:hAnsiTheme="minorHAnsi" w:cstheme="minorHAnsi"/>
          <w:sz w:val="22"/>
          <w:szCs w:val="22"/>
        </w:rPr>
        <w:t>. (Accessed: 03/02.2025)</w:t>
      </w:r>
    </w:p>
    <w:p w14:paraId="4D74ED28" w14:textId="77777777" w:rsidR="00544C59" w:rsidRPr="001D1693" w:rsidRDefault="00544C59" w:rsidP="001131B3">
      <w:pPr>
        <w:pStyle w:val="NormalWeb"/>
        <w:spacing w:before="0" w:beforeAutospacing="0" w:after="240" w:afterAutospacing="0" w:line="360" w:lineRule="auto"/>
        <w:rPr>
          <w:rFonts w:asciiTheme="minorHAnsi" w:hAnsiTheme="minorHAnsi" w:cstheme="minorHAnsi"/>
          <w:sz w:val="22"/>
          <w:szCs w:val="22"/>
        </w:rPr>
      </w:pPr>
      <w:r w:rsidRPr="001D1693">
        <w:rPr>
          <w:rFonts w:asciiTheme="minorHAnsi" w:hAnsiTheme="minorHAnsi" w:cstheme="minorHAnsi"/>
          <w:sz w:val="22"/>
          <w:szCs w:val="22"/>
        </w:rPr>
        <w:t xml:space="preserve">Stauffer, K.E., Song, M. and </w:t>
      </w:r>
      <w:proofErr w:type="spellStart"/>
      <w:r w:rsidRPr="001D1693">
        <w:rPr>
          <w:rFonts w:asciiTheme="minorHAnsi" w:hAnsiTheme="minorHAnsi" w:cstheme="minorHAnsi"/>
          <w:sz w:val="22"/>
          <w:szCs w:val="22"/>
        </w:rPr>
        <w:t>Shoub</w:t>
      </w:r>
      <w:proofErr w:type="spellEnd"/>
      <w:r w:rsidRPr="001D1693">
        <w:rPr>
          <w:rFonts w:asciiTheme="minorHAnsi" w:hAnsiTheme="minorHAnsi" w:cstheme="minorHAnsi"/>
          <w:sz w:val="22"/>
          <w:szCs w:val="22"/>
        </w:rPr>
        <w:t xml:space="preserve">, K. (2022). How police agency diversity, policies, and outcomes shape citizen trust and willingness to engage. </w:t>
      </w:r>
      <w:r w:rsidRPr="001D1693">
        <w:rPr>
          <w:rFonts w:asciiTheme="minorHAnsi" w:hAnsiTheme="minorHAnsi" w:cstheme="minorHAnsi"/>
          <w:i/>
          <w:iCs/>
          <w:sz w:val="22"/>
          <w:szCs w:val="22"/>
        </w:rPr>
        <w:t>Policy Studies Journal</w:t>
      </w:r>
      <w:r w:rsidRPr="001D1693">
        <w:rPr>
          <w:rFonts w:asciiTheme="minorHAnsi" w:hAnsiTheme="minorHAnsi" w:cstheme="minorHAnsi"/>
          <w:sz w:val="22"/>
          <w:szCs w:val="22"/>
        </w:rPr>
        <w:t xml:space="preserve">, 51(4).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://doi.org/10.1111/psj.12479</w:t>
      </w:r>
      <w:proofErr w:type="gramEnd"/>
      <w:r w:rsidRPr="001D1693">
        <w:rPr>
          <w:rFonts w:asciiTheme="minorHAnsi" w:hAnsiTheme="minorHAnsi" w:cstheme="minorHAnsi"/>
          <w:sz w:val="22"/>
          <w:szCs w:val="22"/>
        </w:rPr>
        <w:t>. (Accessed: 03/02.2025)</w:t>
      </w:r>
    </w:p>
    <w:p w14:paraId="19BB07C7" w14:textId="77777777" w:rsidR="00544C59" w:rsidRPr="001D1693" w:rsidRDefault="00544C59" w:rsidP="00225063">
      <w:pPr>
        <w:pStyle w:val="NormalWeb"/>
        <w:spacing w:before="0" w:beforeAutospacing="0" w:after="240" w:afterAutospacing="0" w:line="360" w:lineRule="auto"/>
        <w:rPr>
          <w:rFonts w:asciiTheme="minorHAnsi" w:hAnsiTheme="minorHAnsi" w:cstheme="minorHAnsi"/>
          <w:sz w:val="22"/>
          <w:szCs w:val="22"/>
        </w:rPr>
      </w:pPr>
      <w:proofErr w:type="spellStart"/>
      <w:r w:rsidRPr="001D1693">
        <w:rPr>
          <w:rFonts w:asciiTheme="minorHAnsi" w:hAnsiTheme="minorHAnsi" w:cstheme="minorHAnsi"/>
          <w:sz w:val="22"/>
          <w:szCs w:val="22"/>
        </w:rPr>
        <w:t>Torrible</w:t>
      </w:r>
      <w:proofErr w:type="spellEnd"/>
      <w:r w:rsidRPr="001D1693">
        <w:rPr>
          <w:rFonts w:asciiTheme="minorHAnsi" w:hAnsiTheme="minorHAnsi" w:cstheme="minorHAnsi"/>
          <w:sz w:val="22"/>
          <w:szCs w:val="22"/>
        </w:rPr>
        <w:t xml:space="preserve">, C. (2020). Police complaints and discipline: integrity, lesson learning, </w:t>
      </w:r>
      <w:proofErr w:type="gramStart"/>
      <w:r w:rsidRPr="001D1693">
        <w:rPr>
          <w:rFonts w:asciiTheme="minorHAnsi" w:hAnsiTheme="minorHAnsi" w:cstheme="minorHAnsi"/>
          <w:sz w:val="22"/>
          <w:szCs w:val="22"/>
        </w:rPr>
        <w:t>independence</w:t>
      </w:r>
      <w:proofErr w:type="gramEnd"/>
      <w:r w:rsidRPr="001D1693">
        <w:rPr>
          <w:rFonts w:asciiTheme="minorHAnsi" w:hAnsiTheme="minorHAnsi" w:cstheme="minorHAnsi"/>
          <w:sz w:val="22"/>
          <w:szCs w:val="22"/>
        </w:rPr>
        <w:t xml:space="preserve"> and accountability: some implications of the reforms under the Policing and Crime Act 2017. </w:t>
      </w:r>
      <w:r w:rsidRPr="001D1693">
        <w:rPr>
          <w:rFonts w:asciiTheme="minorHAnsi" w:hAnsiTheme="minorHAnsi" w:cstheme="minorHAnsi"/>
          <w:i/>
          <w:iCs/>
          <w:sz w:val="22"/>
          <w:szCs w:val="22"/>
        </w:rPr>
        <w:t>Policing and Society</w:t>
      </w:r>
      <w:r w:rsidRPr="001D1693">
        <w:rPr>
          <w:rFonts w:asciiTheme="minorHAnsi" w:hAnsiTheme="minorHAnsi" w:cstheme="minorHAnsi"/>
          <w:sz w:val="22"/>
          <w:szCs w:val="22"/>
        </w:rPr>
        <w:t xml:space="preserve">, 31(9), pp.1–16. </w:t>
      </w:r>
      <w:proofErr w:type="spellStart"/>
      <w:proofErr w:type="gramStart"/>
      <w:r w:rsidRPr="001D1693">
        <w:rPr>
          <w:rFonts w:asciiTheme="minorHAnsi" w:hAnsiTheme="minorHAnsi" w:cstheme="minorHAnsi"/>
          <w:sz w:val="22"/>
          <w:szCs w:val="22"/>
        </w:rPr>
        <w:t>doi:https</w:t>
      </w:r>
      <w:proofErr w:type="spellEnd"/>
      <w:r w:rsidRPr="001D1693">
        <w:rPr>
          <w:rFonts w:asciiTheme="minorHAnsi" w:hAnsiTheme="minorHAnsi" w:cstheme="minorHAnsi"/>
          <w:sz w:val="22"/>
          <w:szCs w:val="22"/>
        </w:rPr>
        <w:t>://doi.org/10.1080/10439463.2020.1838516</w:t>
      </w:r>
      <w:proofErr w:type="gramEnd"/>
      <w:r w:rsidRPr="001D1693">
        <w:rPr>
          <w:rFonts w:asciiTheme="minorHAnsi" w:hAnsiTheme="minorHAnsi" w:cstheme="minorHAnsi"/>
          <w:sz w:val="22"/>
          <w:szCs w:val="22"/>
        </w:rPr>
        <w:t>. (Accessed: 03/02.2025)</w:t>
      </w:r>
    </w:p>
    <w:p w14:paraId="11C43AAF" w14:textId="77777777" w:rsidR="00A33F50" w:rsidRDefault="00A33F50" w:rsidP="00225063">
      <w:pPr>
        <w:pStyle w:val="NormalWeb"/>
        <w:spacing w:before="0" w:beforeAutospacing="0" w:after="240" w:afterAutospacing="0" w:line="360" w:lineRule="auto"/>
        <w:rPr>
          <w:sz w:val="22"/>
          <w:szCs w:val="22"/>
        </w:rPr>
      </w:pPr>
    </w:p>
    <w:p w14:paraId="26944547" w14:textId="77777777" w:rsidR="00855A6F" w:rsidRDefault="00855A6F" w:rsidP="00225063">
      <w:pPr>
        <w:pStyle w:val="NormalWeb"/>
        <w:spacing w:before="0" w:beforeAutospacing="0" w:after="240" w:afterAutospacing="0" w:line="360" w:lineRule="auto"/>
        <w:rPr>
          <w:sz w:val="22"/>
          <w:szCs w:val="22"/>
        </w:rPr>
      </w:pPr>
    </w:p>
    <w:p w14:paraId="0CD3D3EB" w14:textId="77777777" w:rsidR="00855A6F" w:rsidRDefault="00855A6F" w:rsidP="00225063">
      <w:pPr>
        <w:pStyle w:val="NormalWeb"/>
        <w:spacing w:before="0" w:beforeAutospacing="0" w:after="240" w:afterAutospacing="0" w:line="360" w:lineRule="auto"/>
        <w:rPr>
          <w:sz w:val="22"/>
          <w:szCs w:val="22"/>
        </w:rPr>
      </w:pPr>
    </w:p>
    <w:p w14:paraId="7D4EA222" w14:textId="77777777" w:rsidR="00855A6F" w:rsidRDefault="00855A6F" w:rsidP="00225063">
      <w:pPr>
        <w:pStyle w:val="NormalWeb"/>
        <w:spacing w:before="0" w:beforeAutospacing="0" w:after="240" w:afterAutospacing="0" w:line="360" w:lineRule="auto"/>
        <w:rPr>
          <w:sz w:val="22"/>
          <w:szCs w:val="22"/>
        </w:rPr>
      </w:pPr>
    </w:p>
    <w:p w14:paraId="702E7139" w14:textId="77777777" w:rsidR="00855A6F" w:rsidRDefault="00855A6F" w:rsidP="00225063">
      <w:pPr>
        <w:pStyle w:val="NormalWeb"/>
        <w:spacing w:before="0" w:beforeAutospacing="0" w:after="240" w:afterAutospacing="0" w:line="360" w:lineRule="auto"/>
        <w:rPr>
          <w:sz w:val="22"/>
          <w:szCs w:val="22"/>
        </w:rPr>
      </w:pPr>
    </w:p>
    <w:p w14:paraId="52232ECD" w14:textId="77777777" w:rsidR="00855A6F" w:rsidRDefault="00855A6F" w:rsidP="00225063">
      <w:pPr>
        <w:pStyle w:val="NormalWeb"/>
        <w:spacing w:before="0" w:beforeAutospacing="0" w:after="240" w:afterAutospacing="0" w:line="360" w:lineRule="auto"/>
        <w:rPr>
          <w:sz w:val="22"/>
          <w:szCs w:val="22"/>
        </w:rPr>
      </w:pPr>
    </w:p>
    <w:p w14:paraId="3B110C85" w14:textId="77777777" w:rsidR="00855A6F" w:rsidRDefault="00855A6F" w:rsidP="00225063">
      <w:pPr>
        <w:pStyle w:val="NormalWeb"/>
        <w:spacing w:before="0" w:beforeAutospacing="0" w:after="240" w:afterAutospacing="0" w:line="360" w:lineRule="auto"/>
        <w:rPr>
          <w:sz w:val="22"/>
          <w:szCs w:val="22"/>
        </w:rPr>
      </w:pPr>
    </w:p>
    <w:p w14:paraId="3B0CE52F" w14:textId="77777777" w:rsidR="00855A6F" w:rsidRDefault="00855A6F" w:rsidP="00225063">
      <w:pPr>
        <w:pStyle w:val="NormalWeb"/>
        <w:spacing w:before="0" w:beforeAutospacing="0" w:after="240" w:afterAutospacing="0" w:line="360" w:lineRule="auto"/>
        <w:rPr>
          <w:sz w:val="22"/>
          <w:szCs w:val="22"/>
        </w:rPr>
      </w:pPr>
    </w:p>
    <w:p w14:paraId="1EE34CAE" w14:textId="77777777" w:rsidR="00855A6F" w:rsidRDefault="00855A6F" w:rsidP="00225063">
      <w:pPr>
        <w:pStyle w:val="NormalWeb"/>
        <w:spacing w:before="0" w:beforeAutospacing="0" w:after="240" w:afterAutospacing="0" w:line="360" w:lineRule="auto"/>
        <w:rPr>
          <w:sz w:val="22"/>
          <w:szCs w:val="22"/>
        </w:rPr>
      </w:pPr>
    </w:p>
    <w:p w14:paraId="7D7308C3" w14:textId="77777777" w:rsidR="00855A6F" w:rsidRPr="001D1693" w:rsidRDefault="00855A6F" w:rsidP="00225063">
      <w:pPr>
        <w:pStyle w:val="NormalWeb"/>
        <w:spacing w:before="0" w:beforeAutospacing="0" w:after="240" w:afterAutospacing="0" w:line="360" w:lineRule="auto"/>
        <w:rPr>
          <w:sz w:val="22"/>
          <w:szCs w:val="22"/>
        </w:rPr>
      </w:pPr>
    </w:p>
    <w:p w14:paraId="74E95A9F" w14:textId="77777777" w:rsidR="00474F00" w:rsidRPr="001D1693" w:rsidRDefault="00474F00" w:rsidP="001131B3">
      <w:pPr>
        <w:pStyle w:val="NormalWeb"/>
        <w:spacing w:before="0" w:beforeAutospacing="0" w:after="240" w:afterAutospacing="0" w:line="360" w:lineRule="auto"/>
        <w:rPr>
          <w:sz w:val="22"/>
          <w:szCs w:val="22"/>
        </w:rPr>
      </w:pPr>
    </w:p>
    <w:p w14:paraId="06779CB9" w14:textId="77777777" w:rsidR="003208AA" w:rsidRPr="004960F0" w:rsidRDefault="003208AA" w:rsidP="003208AA">
      <w:pPr>
        <w:spacing w:line="257" w:lineRule="auto"/>
        <w:ind w:right="531"/>
        <w:rPr>
          <w:rFonts w:ascii="Arial" w:hAnsi="Arial" w:cs="Arial"/>
          <w:b/>
          <w:bCs/>
        </w:rPr>
      </w:pPr>
      <w:r w:rsidRPr="004960F0">
        <w:rPr>
          <w:rFonts w:ascii="Arial" w:hAnsi="Arial" w:cs="Arial"/>
          <w:b/>
          <w:bCs/>
        </w:rPr>
        <w:lastRenderedPageBreak/>
        <w:t>Essay 2:</w:t>
      </w:r>
    </w:p>
    <w:p w14:paraId="35C41324" w14:textId="77777777" w:rsidR="003208AA" w:rsidRDefault="003208AA" w:rsidP="003208AA">
      <w:pPr>
        <w:pStyle w:val="ListParagraph"/>
        <w:numPr>
          <w:ilvl w:val="0"/>
          <w:numId w:val="3"/>
        </w:numPr>
        <w:spacing w:after="0" w:line="257" w:lineRule="auto"/>
        <w:ind w:right="531"/>
        <w:rPr>
          <w:rFonts w:ascii="Arial" w:eastAsia="Calibri" w:hAnsi="Arial" w:cs="Arial"/>
        </w:rPr>
      </w:pPr>
      <w:r w:rsidRPr="00F93146">
        <w:rPr>
          <w:rFonts w:ascii="Arial" w:eastAsia="Calibri" w:hAnsi="Arial" w:cs="Arial"/>
          <w:b/>
          <w:bCs/>
        </w:rPr>
        <w:t>Counter-terrorism policing</w:t>
      </w:r>
      <w:r w:rsidRPr="00F93146">
        <w:rPr>
          <w:rFonts w:ascii="Arial" w:eastAsia="Calibri" w:hAnsi="Arial" w:cs="Arial"/>
        </w:rPr>
        <w:t xml:space="preserve"> – How might terrorist groups’ involvement in other forms of criminality inform counter-terrorism policing? </w:t>
      </w:r>
    </w:p>
    <w:p w14:paraId="3E1F1850" w14:textId="77777777" w:rsidR="003208AA" w:rsidRPr="00E81C7D" w:rsidRDefault="003208AA" w:rsidP="003208AA">
      <w:pPr>
        <w:spacing w:line="257" w:lineRule="auto"/>
        <w:ind w:left="927" w:right="531"/>
        <w:rPr>
          <w:rFonts w:ascii="Arial" w:eastAsia="Calibri" w:hAnsi="Arial" w:cs="Arial"/>
        </w:rPr>
      </w:pPr>
    </w:p>
    <w:p w14:paraId="49F4938C" w14:textId="77777777" w:rsidR="003208AA" w:rsidRDefault="003208AA" w:rsidP="003208AA">
      <w:pPr>
        <w:pStyle w:val="p1"/>
        <w:spacing w:before="0" w:beforeAutospacing="0" w:after="0" w:afterAutospacing="0"/>
        <w:ind w:firstLine="720"/>
        <w:rPr>
          <w:color w:val="000000"/>
        </w:rPr>
      </w:pPr>
      <w:r>
        <w:rPr>
          <w:rStyle w:val="s1"/>
          <w:color w:val="000000"/>
        </w:rPr>
        <w:t xml:space="preserve">Terrorist groups are known to be involvement in other forms of criminality, particularly to fund their operations and extend the lifespan of the group. The two main crimes being money laundering and fraud- both to fund their activities and to mask their identities. Dr Michael Freedman explains that, over the course of three decades, the terrorist group PKK or </w:t>
      </w:r>
      <w:proofErr w:type="spellStart"/>
      <w:r>
        <w:rPr>
          <w:rStyle w:val="s1"/>
          <w:color w:val="000000"/>
        </w:rPr>
        <w:t>Kurdist</w:t>
      </w:r>
      <w:proofErr w:type="spellEnd"/>
      <w:r>
        <w:rPr>
          <w:rStyle w:val="s1"/>
          <w:color w:val="000000"/>
        </w:rPr>
        <w:t xml:space="preserve"> Workers Party, raised money through several means, such as state sponsorship, extortion schemes, kidnapping, drug trafficking, and human trafficking (Dr Michael Freeman, 2013). This essay will explore how intelligence derived from other forms of criminality forms a crucial part in informing counter-terrorism policing. This essay will submit that terrorist groups often use other forms of criminality as a stepping-stone for terrorism, ensuring they are unidentifiable </w:t>
      </w:r>
      <w:proofErr w:type="gramStart"/>
      <w:r>
        <w:rPr>
          <w:rStyle w:val="s1"/>
          <w:color w:val="000000"/>
        </w:rPr>
        <w:t>in order to</w:t>
      </w:r>
      <w:proofErr w:type="gramEnd"/>
      <w:r>
        <w:rPr>
          <w:rStyle w:val="s1"/>
          <w:color w:val="000000"/>
        </w:rPr>
        <w:t xml:space="preserve"> engage in terrorism. </w:t>
      </w:r>
    </w:p>
    <w:p w14:paraId="46CD3D92" w14:textId="77777777" w:rsidR="003208AA" w:rsidRDefault="003208AA" w:rsidP="003208AA">
      <w:pPr>
        <w:pStyle w:val="p1"/>
        <w:spacing w:before="0" w:beforeAutospacing="0" w:after="0" w:afterAutospacing="0"/>
        <w:rPr>
          <w:color w:val="000000"/>
        </w:rPr>
      </w:pPr>
      <w:r>
        <w:rPr>
          <w:rStyle w:val="s1"/>
          <w:color w:val="000000"/>
        </w:rPr>
        <w:t> </w:t>
      </w:r>
    </w:p>
    <w:p w14:paraId="4ABFF077" w14:textId="77777777" w:rsidR="003208AA" w:rsidRDefault="003208AA" w:rsidP="003208AA">
      <w:pPr>
        <w:pStyle w:val="p1"/>
        <w:spacing w:before="0" w:beforeAutospacing="0" w:after="0" w:afterAutospacing="0"/>
        <w:rPr>
          <w:color w:val="000000"/>
        </w:rPr>
      </w:pPr>
      <w:r>
        <w:rPr>
          <w:rStyle w:val="s2"/>
          <w:color w:val="000000"/>
          <w:u w:val="single"/>
        </w:rPr>
        <w:t>What is counter terrorism? </w:t>
      </w:r>
    </w:p>
    <w:p w14:paraId="4078EAAF" w14:textId="77777777" w:rsidR="003208AA" w:rsidRDefault="003208AA" w:rsidP="003208AA">
      <w:pPr>
        <w:pStyle w:val="p1"/>
        <w:spacing w:before="0" w:beforeAutospacing="0" w:after="0" w:afterAutospacing="0"/>
        <w:ind w:firstLine="720"/>
        <w:rPr>
          <w:rStyle w:val="s1"/>
          <w:color w:val="000000"/>
        </w:rPr>
      </w:pPr>
      <w:r>
        <w:rPr>
          <w:rStyle w:val="s1"/>
          <w:color w:val="000000"/>
        </w:rPr>
        <w:t>By preventing, discouraging, and looking into terrorist activity, UK police forces and the UK intelligence community collaborate to protect the public and our national security. This is known as counter-terrorism policing (Counter Terrorism Policing, 2024). Counterterrorism could be seen as a specialist department in policing, which relies on collaboration between police forces and the UK intelligence community to effectively focus on policing terrorism. It can be argued that there are many definitions or terrorism, and that terrorism is not easily defined. Richard English gives the opinion that, the challenge here is that the majority, if not all, of these characteristics of the terrorist repertoire are also present in other forms of action, such as criminal behaviour or even warfare (English, 2009, pp.1–26).</w:t>
      </w:r>
    </w:p>
    <w:p w14:paraId="79D0132A" w14:textId="77777777" w:rsidR="003208AA" w:rsidRDefault="003208AA" w:rsidP="003208AA">
      <w:pPr>
        <w:pStyle w:val="p1"/>
        <w:spacing w:before="0" w:beforeAutospacing="0" w:after="0" w:afterAutospacing="0"/>
        <w:rPr>
          <w:color w:val="000000"/>
        </w:rPr>
      </w:pPr>
    </w:p>
    <w:p w14:paraId="3E7C190F" w14:textId="77777777" w:rsidR="003208AA" w:rsidRDefault="003208AA" w:rsidP="003208AA">
      <w:pPr>
        <w:pStyle w:val="p1"/>
        <w:spacing w:before="0" w:beforeAutospacing="0" w:after="0" w:afterAutospacing="0"/>
        <w:rPr>
          <w:color w:val="000000"/>
        </w:rPr>
      </w:pPr>
      <w:r>
        <w:rPr>
          <w:rStyle w:val="s2"/>
          <w:color w:val="000000"/>
          <w:u w:val="single"/>
        </w:rPr>
        <w:t>Terrorists’ involvement in other crime</w:t>
      </w:r>
    </w:p>
    <w:p w14:paraId="39DA3662" w14:textId="77777777" w:rsidR="003208AA" w:rsidRDefault="003208AA" w:rsidP="003208AA">
      <w:pPr>
        <w:pStyle w:val="p1"/>
        <w:spacing w:before="0" w:beforeAutospacing="0" w:after="0" w:afterAutospacing="0"/>
        <w:ind w:firstLine="720"/>
        <w:rPr>
          <w:color w:val="000000"/>
        </w:rPr>
      </w:pPr>
      <w:r>
        <w:rPr>
          <w:rStyle w:val="s1"/>
          <w:color w:val="000000"/>
        </w:rPr>
        <w:t xml:space="preserve">Newman and Clarke suggest that terrorists are also criminals too. This stance holds great validity. To fund their terrorist operations, numerous terrorist organisations commit common crimes such as identity theft, drug trafficking, robbery, and money laundering (Newman and Clarke, 2010). The stance of Newman and Clarke highlights that terrorist’s behaviour are like the behaviours of conventional criminals, giving the opinion that terrorists are often involved in other common forms of criminality to support and fund their operations. For counter terrorism policing, these opinions hold validity when identifying how counterterrorism policing links to terrorist involvement in other forms of criminality. Terrorist groups’ involvement in other forms of criminality is particularly relevant to look at when looking at how this type of involvement in crime may assist counter terrorism policing. In support of this, </w:t>
      </w:r>
      <w:proofErr w:type="gramStart"/>
      <w:r>
        <w:rPr>
          <w:rStyle w:val="s1"/>
          <w:color w:val="000000"/>
        </w:rPr>
        <w:t>Piazza</w:t>
      </w:r>
      <w:proofErr w:type="gramEnd"/>
      <w:r>
        <w:rPr>
          <w:rStyle w:val="s1"/>
          <w:color w:val="000000"/>
        </w:rPr>
        <w:t xml:space="preserve"> and Piazza state, “Terrorist groups that engage in crime of any sort are found to live longer and to die less frequently during the time period examined than those that refrain from crime” (Piazza and Piazza, 2017). This quotation argues that terrorist groups who are involved in crime are more likely to survive, which could be relevant to avoiding being ended to by counter terrorism policing. It is relevant to look at the involvement in crime these terrorist groups engage in, to identify how counter terrorism policing can be informed. Therefore, it can be said that terrorist groups involvement in other crime is used as their stepping stone into terrorism.</w:t>
      </w:r>
    </w:p>
    <w:p w14:paraId="03651097" w14:textId="77777777" w:rsidR="003208AA" w:rsidRDefault="003208AA" w:rsidP="003208AA">
      <w:pPr>
        <w:pStyle w:val="p1"/>
        <w:spacing w:before="0" w:beforeAutospacing="0" w:after="0" w:afterAutospacing="0"/>
        <w:rPr>
          <w:color w:val="000000"/>
        </w:rPr>
      </w:pPr>
      <w:r>
        <w:rPr>
          <w:rStyle w:val="s1"/>
          <w:color w:val="000000"/>
        </w:rPr>
        <w:t> </w:t>
      </w:r>
    </w:p>
    <w:p w14:paraId="573A332A" w14:textId="77777777" w:rsidR="003208AA" w:rsidRDefault="003208AA" w:rsidP="003208AA">
      <w:pPr>
        <w:pStyle w:val="p1"/>
        <w:spacing w:before="0" w:beforeAutospacing="0" w:after="0" w:afterAutospacing="0"/>
        <w:rPr>
          <w:color w:val="000000"/>
        </w:rPr>
      </w:pPr>
      <w:r>
        <w:rPr>
          <w:rStyle w:val="s1"/>
          <w:color w:val="000000"/>
        </w:rPr>
        <w:t> </w:t>
      </w:r>
    </w:p>
    <w:p w14:paraId="6EC9C8F1" w14:textId="77777777" w:rsidR="003208AA" w:rsidRDefault="003208AA" w:rsidP="003208AA">
      <w:pPr>
        <w:pStyle w:val="p1"/>
        <w:spacing w:before="0" w:beforeAutospacing="0" w:after="0" w:afterAutospacing="0"/>
        <w:rPr>
          <w:color w:val="000000"/>
        </w:rPr>
      </w:pPr>
      <w:r>
        <w:rPr>
          <w:rStyle w:val="s2"/>
          <w:color w:val="000000"/>
          <w:u w:val="single"/>
        </w:rPr>
        <w:t>How intelligence is crucial </w:t>
      </w:r>
    </w:p>
    <w:p w14:paraId="4E2EBAF6" w14:textId="77777777" w:rsidR="003208AA" w:rsidRDefault="003208AA" w:rsidP="003208AA">
      <w:pPr>
        <w:pStyle w:val="p1"/>
        <w:spacing w:before="0" w:beforeAutospacing="0" w:after="0" w:afterAutospacing="0"/>
        <w:ind w:firstLine="720"/>
        <w:rPr>
          <w:rStyle w:val="s1"/>
          <w:color w:val="000000"/>
        </w:rPr>
      </w:pPr>
      <w:r>
        <w:rPr>
          <w:rStyle w:val="s1"/>
          <w:color w:val="000000"/>
        </w:rPr>
        <w:t xml:space="preserve">Having identified above that, counter terrorism policing is a collaboration from UK police forces and the UK intelligence community, in the response and prevention of terrorism, it can be suggested that everyone in the police force must take on board the issue of terrorism, and not only specialist counter terrorism teams. Albrecht argues that, to support and counsel the long-term </w:t>
      </w:r>
      <w:r>
        <w:rPr>
          <w:rStyle w:val="s1"/>
          <w:color w:val="000000"/>
        </w:rPr>
        <w:lastRenderedPageBreak/>
        <w:t>response and crime prevention specialists/generalists on the ground, the police experts in organised crime and counter terrorism must be present. Specialists in counterterrorism and organised crime are still needed, but everyone in the force, especially community beat officers and their local connections and partners, must take responsibility for the issue (Albrecht, 2024). Albrecht’s opinion suggests that counter terrorism policing is informed by everyone in the force, particularly officers and community beat officers who work in the community. This could also suggest when everyone in the force takes on the responsibility of the issue, intelligence comes from these officers out in the community, who’s roles are primarily based around other conventional criminality in local communities.</w:t>
      </w:r>
    </w:p>
    <w:p w14:paraId="71C7617B" w14:textId="77777777" w:rsidR="003208AA" w:rsidRDefault="003208AA" w:rsidP="003208AA">
      <w:pPr>
        <w:pStyle w:val="p1"/>
        <w:spacing w:before="0" w:beforeAutospacing="0" w:after="0" w:afterAutospacing="0"/>
        <w:ind w:firstLine="720"/>
        <w:rPr>
          <w:color w:val="000000"/>
        </w:rPr>
      </w:pPr>
    </w:p>
    <w:p w14:paraId="08F39E07" w14:textId="18B354A6" w:rsidR="003208AA" w:rsidRDefault="003208AA" w:rsidP="003208AA">
      <w:pPr>
        <w:pStyle w:val="p1"/>
        <w:spacing w:before="0" w:beforeAutospacing="0" w:after="0" w:afterAutospacing="0"/>
        <w:ind w:firstLine="720"/>
        <w:rPr>
          <w:rStyle w:val="s1"/>
          <w:color w:val="000000"/>
        </w:rPr>
      </w:pPr>
      <w:r>
        <w:rPr>
          <w:rStyle w:val="s1"/>
          <w:color w:val="000000"/>
        </w:rPr>
        <w:t>Particularly relevant to counter terrorism policing is the use of intelligence in recent years and the implementation of the National Intelligence Model (NIM) in UK policing. To give police departments a national framework for gathering and analysing intelligence date, the National Intelligence Model was introduced (National Criminal Intelligence Service, 2000). This model used, gathers, and connects information in all levels through intelligence. This is relevant to connecting all types of information to inform counter terrorism policing. This model could be essential in informing counter terrorism policing through terrorist groups involvement in other forms of criminality, as this model incorporates intelligence on 3 main levels, with the levels being local intelligence, regional intelligence, and national intelligence. This can help identify information on terrorist groups’ involvement in other forms of criminality. </w:t>
      </w:r>
    </w:p>
    <w:p w14:paraId="05022D37" w14:textId="77777777" w:rsidR="003208AA" w:rsidRDefault="003208AA" w:rsidP="003208AA">
      <w:pPr>
        <w:pStyle w:val="p1"/>
        <w:spacing w:before="0" w:beforeAutospacing="0" w:after="0" w:afterAutospacing="0"/>
        <w:ind w:firstLine="720"/>
        <w:rPr>
          <w:color w:val="000000"/>
        </w:rPr>
      </w:pPr>
    </w:p>
    <w:p w14:paraId="3F8D5313" w14:textId="77777777" w:rsidR="003208AA" w:rsidRDefault="003208AA" w:rsidP="003208AA">
      <w:pPr>
        <w:pStyle w:val="p1"/>
        <w:spacing w:before="0" w:beforeAutospacing="0" w:after="0" w:afterAutospacing="0"/>
        <w:ind w:firstLine="720"/>
        <w:rPr>
          <w:color w:val="000000"/>
        </w:rPr>
      </w:pPr>
      <w:r>
        <w:rPr>
          <w:rStyle w:val="s1"/>
          <w:color w:val="000000"/>
        </w:rPr>
        <w:t>Innes gives the opinion that, one important use of community intelligence to counterterrorism regulation was to help improve understanding of the makeup of different groups, especially the social networks to which individuals belong and the intracommunity friction that exists between them (Innes, 2006). Innes states, “Community intelligence applied to counterterrorism is precisely the type of data that might help police to circumvent the intelligence gaps and blind spots that seemingly inhere in their established methods” (Innes, 2006). In relation to terrorist groups involvement in other forms of criminality, this quotation argues that it is the community intelligence that comes from more open sources in the community, which could relate to other forms of criminality in the community, that is extremely important in how counter terrorism policing is informed. In support of Innes opinion that community intelligence being extremely advantageous, if not essential, in informing counter terrorism, Ratcliffe states that, the principles of intelligence-led policing were propelled into the word wide policing scene by the recognition that certain occurrences, including terrorist attacks, cannot be handled reactively and that proactive strategy to crime prevention and disruption is required (Ratcliffe, 2012). This stance given strength to the opinion that, counter terrorism is informed by strategic intelligence-led policing, such as terrorist groups involvement in other criminality, to effectively prevent and disrupt crime or terror attacks. </w:t>
      </w:r>
    </w:p>
    <w:p w14:paraId="2BB8CD4E" w14:textId="77777777" w:rsidR="003208AA" w:rsidRDefault="003208AA" w:rsidP="003208AA">
      <w:pPr>
        <w:pStyle w:val="p2"/>
        <w:spacing w:before="0" w:beforeAutospacing="0" w:after="0" w:afterAutospacing="0"/>
        <w:rPr>
          <w:color w:val="000000"/>
        </w:rPr>
      </w:pPr>
    </w:p>
    <w:p w14:paraId="6BA8F529" w14:textId="77777777" w:rsidR="003208AA" w:rsidRDefault="003208AA" w:rsidP="003208AA">
      <w:pPr>
        <w:pStyle w:val="p1"/>
        <w:spacing w:before="0" w:beforeAutospacing="0" w:after="0" w:afterAutospacing="0"/>
        <w:rPr>
          <w:color w:val="000000"/>
        </w:rPr>
      </w:pPr>
      <w:r>
        <w:rPr>
          <w:rStyle w:val="s1"/>
          <w:color w:val="000000"/>
        </w:rPr>
        <w:t>In conclusion, it appears that other forms of criminality, such as drug trafficking and money laundering, are often used as stepping stones into terrorism. These forms of criminality are used to fund their terrorism, and to mask is through identity theft and fraud. </w:t>
      </w:r>
    </w:p>
    <w:p w14:paraId="4BD21F34" w14:textId="77777777" w:rsidR="003208AA" w:rsidRDefault="003208AA" w:rsidP="003208AA">
      <w:pPr>
        <w:pStyle w:val="p2"/>
        <w:spacing w:before="0" w:beforeAutospacing="0" w:after="0" w:afterAutospacing="0"/>
        <w:rPr>
          <w:color w:val="000000"/>
        </w:rPr>
      </w:pPr>
    </w:p>
    <w:p w14:paraId="5D58625D" w14:textId="6FF8CE9E" w:rsidR="003208AA" w:rsidRDefault="003208AA" w:rsidP="003208AA">
      <w:pPr>
        <w:pStyle w:val="p1"/>
        <w:spacing w:before="0" w:beforeAutospacing="0" w:after="0" w:afterAutospacing="0"/>
        <w:rPr>
          <w:rStyle w:val="s1"/>
          <w:color w:val="000000"/>
        </w:rPr>
      </w:pPr>
      <w:proofErr w:type="gramStart"/>
      <w:r>
        <w:rPr>
          <w:rStyle w:val="s1"/>
          <w:color w:val="000000"/>
        </w:rPr>
        <w:t>Due to the fact that</w:t>
      </w:r>
      <w:proofErr w:type="gramEnd"/>
      <w:r>
        <w:rPr>
          <w:rStyle w:val="s1"/>
          <w:color w:val="000000"/>
        </w:rPr>
        <w:t xml:space="preserve"> they engage in other crime, it can also be concluded that intelligence is crucial within the police. The entire force, not just counter terrorism, must unite in terms of intelligence and knowledge </w:t>
      </w:r>
      <w:proofErr w:type="gramStart"/>
      <w:r>
        <w:rPr>
          <w:rStyle w:val="s1"/>
          <w:color w:val="000000"/>
        </w:rPr>
        <w:t>in order to</w:t>
      </w:r>
      <w:proofErr w:type="gramEnd"/>
      <w:r>
        <w:rPr>
          <w:rStyle w:val="s1"/>
          <w:color w:val="000000"/>
        </w:rPr>
        <w:t xml:space="preserve"> identify terrorism. If the forces unite, it can be argued that early identification of terrorist groups or individuals can act as a preventative for terrorism. </w:t>
      </w:r>
    </w:p>
    <w:p w14:paraId="015766A0" w14:textId="77777777" w:rsidR="00DA4A9C" w:rsidRDefault="00DA4A9C" w:rsidP="003208AA">
      <w:pPr>
        <w:pStyle w:val="p1"/>
        <w:spacing w:before="0" w:beforeAutospacing="0" w:after="0" w:afterAutospacing="0"/>
        <w:rPr>
          <w:rStyle w:val="s1"/>
          <w:color w:val="000000"/>
        </w:rPr>
      </w:pPr>
    </w:p>
    <w:p w14:paraId="176DD07C" w14:textId="77777777" w:rsidR="00DA4A9C" w:rsidRDefault="00DA4A9C" w:rsidP="003208AA">
      <w:pPr>
        <w:pStyle w:val="p1"/>
        <w:spacing w:before="0" w:beforeAutospacing="0" w:after="0" w:afterAutospacing="0"/>
        <w:rPr>
          <w:rStyle w:val="s1"/>
          <w:color w:val="000000"/>
        </w:rPr>
      </w:pPr>
    </w:p>
    <w:p w14:paraId="411A783F" w14:textId="77777777" w:rsidR="00DA4A9C" w:rsidRDefault="00DA4A9C" w:rsidP="003208AA">
      <w:pPr>
        <w:pStyle w:val="p1"/>
        <w:spacing w:before="0" w:beforeAutospacing="0" w:after="0" w:afterAutospacing="0"/>
        <w:rPr>
          <w:rStyle w:val="s1"/>
          <w:color w:val="000000"/>
        </w:rPr>
      </w:pPr>
    </w:p>
    <w:p w14:paraId="6FEE9EA3" w14:textId="77777777" w:rsidR="00DA4A9C" w:rsidRPr="003208AA" w:rsidRDefault="00DA4A9C" w:rsidP="003208AA">
      <w:pPr>
        <w:pStyle w:val="p1"/>
        <w:spacing w:before="0" w:beforeAutospacing="0" w:after="0" w:afterAutospacing="0"/>
        <w:rPr>
          <w:color w:val="000000"/>
        </w:rPr>
      </w:pPr>
    </w:p>
    <w:p w14:paraId="163B4563" w14:textId="77777777" w:rsidR="003208AA" w:rsidRPr="00F659DE" w:rsidRDefault="003208AA" w:rsidP="003208AA">
      <w:pPr>
        <w:rPr>
          <w:rFonts w:cstheme="minorHAnsi"/>
        </w:rPr>
      </w:pPr>
    </w:p>
    <w:p w14:paraId="7AE19FAF" w14:textId="77777777" w:rsidR="003208AA" w:rsidRPr="00F659DE" w:rsidRDefault="003208AA" w:rsidP="003208AA">
      <w:pPr>
        <w:jc w:val="center"/>
        <w:rPr>
          <w:rFonts w:cstheme="minorHAnsi"/>
          <w:b/>
          <w:bCs/>
        </w:rPr>
      </w:pPr>
      <w:r w:rsidRPr="00F659DE">
        <w:rPr>
          <w:rFonts w:cstheme="minorHAnsi"/>
          <w:b/>
          <w:bCs/>
        </w:rPr>
        <w:lastRenderedPageBreak/>
        <w:t>Bibliography:</w:t>
      </w:r>
    </w:p>
    <w:p w14:paraId="2DD7E1F1" w14:textId="77777777" w:rsidR="00544C59" w:rsidRPr="00F659DE" w:rsidRDefault="00544C59" w:rsidP="003208AA">
      <w:pPr>
        <w:rPr>
          <w:rFonts w:cstheme="minorHAnsi"/>
        </w:rPr>
      </w:pPr>
    </w:p>
    <w:p w14:paraId="4E03AB66" w14:textId="77777777" w:rsidR="00544C59" w:rsidRPr="001D1693" w:rsidRDefault="00544C59" w:rsidP="001B3399"/>
    <w:p w14:paraId="7DD34184"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Albrecht, J.F. (2024). </w:t>
      </w:r>
      <w:r w:rsidRPr="00F659DE">
        <w:rPr>
          <w:rFonts w:asciiTheme="minorHAnsi" w:hAnsiTheme="minorHAnsi" w:cstheme="minorHAnsi"/>
          <w:i/>
          <w:iCs/>
          <w:sz w:val="22"/>
          <w:szCs w:val="22"/>
        </w:rPr>
        <w:t>Special Topics in Policing</w:t>
      </w:r>
      <w:r w:rsidRPr="00F659DE">
        <w:rPr>
          <w:rFonts w:asciiTheme="minorHAnsi" w:hAnsiTheme="minorHAnsi" w:cstheme="minorHAnsi"/>
          <w:sz w:val="22"/>
          <w:szCs w:val="22"/>
        </w:rPr>
        <w:t>. Springer Nature.</w:t>
      </w:r>
    </w:p>
    <w:p w14:paraId="2C856083"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Counter Terrorism Policing (2024). </w:t>
      </w:r>
      <w:r w:rsidRPr="00F659DE">
        <w:rPr>
          <w:rFonts w:asciiTheme="minorHAnsi" w:hAnsiTheme="minorHAnsi" w:cstheme="minorHAnsi"/>
          <w:i/>
          <w:iCs/>
          <w:sz w:val="22"/>
          <w:szCs w:val="22"/>
        </w:rPr>
        <w:t>Counter Terrorism Policing</w:t>
      </w:r>
      <w:r w:rsidRPr="00F659DE">
        <w:rPr>
          <w:rFonts w:asciiTheme="minorHAnsi" w:hAnsiTheme="minorHAnsi" w:cstheme="minorHAnsi"/>
          <w:sz w:val="22"/>
          <w:szCs w:val="22"/>
        </w:rPr>
        <w:t xml:space="preserve">. [online] Counter Terrorism Policing. Available at: </w:t>
      </w:r>
      <w:hyperlink r:id="rId9" w:history="1">
        <w:r w:rsidRPr="00F659DE">
          <w:rPr>
            <w:rStyle w:val="Hyperlink"/>
            <w:rFonts w:asciiTheme="minorHAnsi" w:hAnsiTheme="minorHAnsi" w:cstheme="minorHAnsi"/>
            <w:sz w:val="22"/>
            <w:szCs w:val="22"/>
          </w:rPr>
          <w:t>https://www.counterterrorism.police.uk/. (Accessed</w:t>
        </w:r>
      </w:hyperlink>
      <w:r w:rsidRPr="00F659DE">
        <w:rPr>
          <w:rFonts w:asciiTheme="minorHAnsi" w:hAnsiTheme="minorHAnsi" w:cstheme="minorHAnsi"/>
          <w:sz w:val="22"/>
          <w:szCs w:val="22"/>
        </w:rPr>
        <w:t>: 30/01/2025)</w:t>
      </w:r>
    </w:p>
    <w:p w14:paraId="13D4494D"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Dr Michael Freeman (2013). </w:t>
      </w:r>
      <w:r w:rsidRPr="00F659DE">
        <w:rPr>
          <w:rFonts w:asciiTheme="minorHAnsi" w:hAnsiTheme="minorHAnsi" w:cstheme="minorHAnsi"/>
          <w:i/>
          <w:iCs/>
          <w:sz w:val="22"/>
          <w:szCs w:val="22"/>
        </w:rPr>
        <w:t>Financing Terrorism</w:t>
      </w:r>
      <w:r w:rsidRPr="00F659DE">
        <w:rPr>
          <w:rFonts w:asciiTheme="minorHAnsi" w:hAnsiTheme="minorHAnsi" w:cstheme="minorHAnsi"/>
          <w:sz w:val="22"/>
          <w:szCs w:val="22"/>
        </w:rPr>
        <w:t>. Ashgate Publishing, Ltd.</w:t>
      </w:r>
    </w:p>
    <w:p w14:paraId="520CBBEE"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English, R. (2009). </w:t>
      </w:r>
      <w:proofErr w:type="gramStart"/>
      <w:r w:rsidRPr="00F659DE">
        <w:rPr>
          <w:rFonts w:asciiTheme="minorHAnsi" w:hAnsiTheme="minorHAnsi" w:cstheme="minorHAnsi"/>
          <w:i/>
          <w:iCs/>
          <w:sz w:val="22"/>
          <w:szCs w:val="22"/>
        </w:rPr>
        <w:t>Terrorism :</w:t>
      </w:r>
      <w:proofErr w:type="gramEnd"/>
      <w:r w:rsidRPr="00F659DE">
        <w:rPr>
          <w:rFonts w:asciiTheme="minorHAnsi" w:hAnsiTheme="minorHAnsi" w:cstheme="minorHAnsi"/>
          <w:i/>
          <w:iCs/>
          <w:sz w:val="22"/>
          <w:szCs w:val="22"/>
        </w:rPr>
        <w:t xml:space="preserve"> how to respond</w:t>
      </w:r>
      <w:r w:rsidRPr="00F659DE">
        <w:rPr>
          <w:rFonts w:asciiTheme="minorHAnsi" w:hAnsiTheme="minorHAnsi" w:cstheme="minorHAnsi"/>
          <w:sz w:val="22"/>
          <w:szCs w:val="22"/>
        </w:rPr>
        <w:t>. Oxford: Oxford University Press, pp.1–26.</w:t>
      </w:r>
    </w:p>
    <w:p w14:paraId="4D9272B3"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Innes, M. (2000). ‘Professionalizing’ the role of the police informant: The British experience. </w:t>
      </w:r>
      <w:r w:rsidRPr="00F659DE">
        <w:rPr>
          <w:rFonts w:asciiTheme="minorHAnsi" w:hAnsiTheme="minorHAnsi" w:cstheme="minorHAnsi"/>
          <w:i/>
          <w:iCs/>
          <w:sz w:val="22"/>
          <w:szCs w:val="22"/>
        </w:rPr>
        <w:t>Policing and Society</w:t>
      </w:r>
      <w:r w:rsidRPr="00F659DE">
        <w:rPr>
          <w:rFonts w:asciiTheme="minorHAnsi" w:hAnsiTheme="minorHAnsi" w:cstheme="minorHAnsi"/>
          <w:sz w:val="22"/>
          <w:szCs w:val="22"/>
        </w:rPr>
        <w:t xml:space="preserve">, 9(4), pp.357–383. </w:t>
      </w:r>
      <w:proofErr w:type="spellStart"/>
      <w:proofErr w:type="gramStart"/>
      <w:r w:rsidRPr="00F659DE">
        <w:rPr>
          <w:rFonts w:asciiTheme="minorHAnsi" w:hAnsiTheme="minorHAnsi" w:cstheme="minorHAnsi"/>
          <w:sz w:val="22"/>
          <w:szCs w:val="22"/>
        </w:rPr>
        <w:t>doi:https</w:t>
      </w:r>
      <w:proofErr w:type="spellEnd"/>
      <w:r w:rsidRPr="00F659DE">
        <w:rPr>
          <w:rFonts w:asciiTheme="minorHAnsi" w:hAnsiTheme="minorHAnsi" w:cstheme="minorHAnsi"/>
          <w:sz w:val="22"/>
          <w:szCs w:val="22"/>
        </w:rPr>
        <w:t>://doi.org/10.1080/10439463.2000.9964823.(Accessed</w:t>
      </w:r>
      <w:proofErr w:type="gramEnd"/>
      <w:r w:rsidRPr="00F659DE">
        <w:rPr>
          <w:rFonts w:asciiTheme="minorHAnsi" w:hAnsiTheme="minorHAnsi" w:cstheme="minorHAnsi"/>
          <w:sz w:val="22"/>
          <w:szCs w:val="22"/>
        </w:rPr>
        <w:t xml:space="preserve"> 30/01/2025)</w:t>
      </w:r>
    </w:p>
    <w:p w14:paraId="064723AF"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Innes, M. (2006). Policing Uncertainty: Countering Terror through Community Intelligence and Democratic Policing. </w:t>
      </w:r>
      <w:r w:rsidRPr="00F659DE">
        <w:rPr>
          <w:rFonts w:asciiTheme="minorHAnsi" w:hAnsiTheme="minorHAnsi" w:cstheme="minorHAnsi"/>
          <w:i/>
          <w:iCs/>
          <w:sz w:val="22"/>
          <w:szCs w:val="22"/>
        </w:rPr>
        <w:t>The ANNALS of the American Academy of Political and Social Science</w:t>
      </w:r>
      <w:r w:rsidRPr="00F659DE">
        <w:rPr>
          <w:rFonts w:asciiTheme="minorHAnsi" w:hAnsiTheme="minorHAnsi" w:cstheme="minorHAnsi"/>
          <w:sz w:val="22"/>
          <w:szCs w:val="22"/>
        </w:rPr>
        <w:t xml:space="preserve">, 605(1), pp.222–241. </w:t>
      </w:r>
      <w:proofErr w:type="spellStart"/>
      <w:proofErr w:type="gramStart"/>
      <w:r w:rsidRPr="00F659DE">
        <w:rPr>
          <w:rFonts w:asciiTheme="minorHAnsi" w:hAnsiTheme="minorHAnsi" w:cstheme="minorHAnsi"/>
          <w:sz w:val="22"/>
          <w:szCs w:val="22"/>
        </w:rPr>
        <w:t>doi:https</w:t>
      </w:r>
      <w:proofErr w:type="spellEnd"/>
      <w:r w:rsidRPr="00F659DE">
        <w:rPr>
          <w:rFonts w:asciiTheme="minorHAnsi" w:hAnsiTheme="minorHAnsi" w:cstheme="minorHAnsi"/>
          <w:sz w:val="22"/>
          <w:szCs w:val="22"/>
        </w:rPr>
        <w:t>://doi.org/10.1177/0002716206287118</w:t>
      </w:r>
      <w:proofErr w:type="gramEnd"/>
      <w:r w:rsidRPr="00F659DE">
        <w:rPr>
          <w:rFonts w:asciiTheme="minorHAnsi" w:hAnsiTheme="minorHAnsi" w:cstheme="minorHAnsi"/>
          <w:sz w:val="22"/>
          <w:szCs w:val="22"/>
        </w:rPr>
        <w:t xml:space="preserve">. </w:t>
      </w:r>
      <w:proofErr w:type="gramStart"/>
      <w:r w:rsidRPr="00F659DE">
        <w:rPr>
          <w:rFonts w:asciiTheme="minorHAnsi" w:hAnsiTheme="minorHAnsi" w:cstheme="minorHAnsi"/>
          <w:sz w:val="22"/>
          <w:szCs w:val="22"/>
        </w:rPr>
        <w:t>.(</w:t>
      </w:r>
      <w:proofErr w:type="gramEnd"/>
      <w:r w:rsidRPr="00F659DE">
        <w:rPr>
          <w:rFonts w:asciiTheme="minorHAnsi" w:hAnsiTheme="minorHAnsi" w:cstheme="minorHAnsi"/>
          <w:sz w:val="22"/>
          <w:szCs w:val="22"/>
        </w:rPr>
        <w:t>Accessed 30/01/2025)</w:t>
      </w:r>
    </w:p>
    <w:p w14:paraId="72309E34"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National Criminal Intelligence Service (2000). The National Intelligence Model. London: National Criminal Intelligence Service</w:t>
      </w:r>
    </w:p>
    <w:p w14:paraId="4E32227B"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Newman, G.R. and Clarke, R.V. (2010). </w:t>
      </w:r>
      <w:r w:rsidRPr="00F659DE">
        <w:rPr>
          <w:rFonts w:asciiTheme="minorHAnsi" w:hAnsiTheme="minorHAnsi" w:cstheme="minorHAnsi"/>
          <w:i/>
          <w:iCs/>
          <w:sz w:val="22"/>
          <w:szCs w:val="22"/>
        </w:rPr>
        <w:t>Policing Terrorism: An Executive’s Guide.</w:t>
      </w:r>
      <w:r w:rsidRPr="00F659DE">
        <w:rPr>
          <w:rFonts w:asciiTheme="minorHAnsi" w:hAnsiTheme="minorHAnsi" w:cstheme="minorHAnsi"/>
          <w:sz w:val="22"/>
          <w:szCs w:val="22"/>
        </w:rPr>
        <w:t xml:space="preserve"> United States: Dianne Publishing.</w:t>
      </w:r>
    </w:p>
    <w:p w14:paraId="7461B09B" w14:textId="77777777" w:rsidR="00544C59" w:rsidRPr="00F659DE"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Piazza, J.A. and Piazza, S. (2017). Crime Pays: Terrorist Group Engagement in Crime and Survival. </w:t>
      </w:r>
      <w:r w:rsidRPr="00F659DE">
        <w:rPr>
          <w:rFonts w:asciiTheme="minorHAnsi" w:hAnsiTheme="minorHAnsi" w:cstheme="minorHAnsi"/>
          <w:i/>
          <w:iCs/>
          <w:sz w:val="22"/>
          <w:szCs w:val="22"/>
        </w:rPr>
        <w:t>Terrorism and Political Violence</w:t>
      </w:r>
      <w:r w:rsidRPr="00F659DE">
        <w:rPr>
          <w:rFonts w:asciiTheme="minorHAnsi" w:hAnsiTheme="minorHAnsi" w:cstheme="minorHAnsi"/>
          <w:sz w:val="22"/>
          <w:szCs w:val="22"/>
        </w:rPr>
        <w:t xml:space="preserve">, 32(4), pp.1–23. </w:t>
      </w:r>
      <w:proofErr w:type="spellStart"/>
      <w:proofErr w:type="gramStart"/>
      <w:r w:rsidRPr="00F659DE">
        <w:rPr>
          <w:rFonts w:asciiTheme="minorHAnsi" w:hAnsiTheme="minorHAnsi" w:cstheme="minorHAnsi"/>
          <w:sz w:val="22"/>
          <w:szCs w:val="22"/>
        </w:rPr>
        <w:t>doi:https</w:t>
      </w:r>
      <w:proofErr w:type="spellEnd"/>
      <w:r w:rsidRPr="00F659DE">
        <w:rPr>
          <w:rFonts w:asciiTheme="minorHAnsi" w:hAnsiTheme="minorHAnsi" w:cstheme="minorHAnsi"/>
          <w:sz w:val="22"/>
          <w:szCs w:val="22"/>
        </w:rPr>
        <w:t>://doi.org/10.1080/09546553.2017.1397515</w:t>
      </w:r>
      <w:proofErr w:type="gramEnd"/>
      <w:r w:rsidRPr="00F659DE">
        <w:rPr>
          <w:rFonts w:asciiTheme="minorHAnsi" w:hAnsiTheme="minorHAnsi" w:cstheme="minorHAnsi"/>
          <w:sz w:val="22"/>
          <w:szCs w:val="22"/>
        </w:rPr>
        <w:t xml:space="preserve">. </w:t>
      </w:r>
      <w:proofErr w:type="gramStart"/>
      <w:r w:rsidRPr="00F659DE">
        <w:rPr>
          <w:rFonts w:asciiTheme="minorHAnsi" w:hAnsiTheme="minorHAnsi" w:cstheme="minorHAnsi"/>
          <w:sz w:val="22"/>
          <w:szCs w:val="22"/>
        </w:rPr>
        <w:t>.(</w:t>
      </w:r>
      <w:proofErr w:type="gramEnd"/>
      <w:r w:rsidRPr="00F659DE">
        <w:rPr>
          <w:rFonts w:asciiTheme="minorHAnsi" w:hAnsiTheme="minorHAnsi" w:cstheme="minorHAnsi"/>
          <w:sz w:val="22"/>
          <w:szCs w:val="22"/>
        </w:rPr>
        <w:t>Accessed 30/01/2025)</w:t>
      </w:r>
    </w:p>
    <w:p w14:paraId="62C12809" w14:textId="77777777" w:rsidR="00544C59" w:rsidRDefault="00544C59" w:rsidP="003208AA">
      <w:pPr>
        <w:pStyle w:val="NormalWeb"/>
        <w:spacing w:before="0" w:beforeAutospacing="0" w:after="240" w:afterAutospacing="0" w:line="360" w:lineRule="auto"/>
        <w:rPr>
          <w:rFonts w:asciiTheme="minorHAnsi" w:hAnsiTheme="minorHAnsi" w:cstheme="minorHAnsi"/>
          <w:sz w:val="22"/>
          <w:szCs w:val="22"/>
        </w:rPr>
      </w:pPr>
      <w:r w:rsidRPr="00F659DE">
        <w:rPr>
          <w:rFonts w:asciiTheme="minorHAnsi" w:hAnsiTheme="minorHAnsi" w:cstheme="minorHAnsi"/>
          <w:sz w:val="22"/>
          <w:szCs w:val="22"/>
        </w:rPr>
        <w:t xml:space="preserve">Ratcliffe, J.H. (2012). </w:t>
      </w:r>
      <w:r w:rsidRPr="00F659DE">
        <w:rPr>
          <w:rFonts w:asciiTheme="minorHAnsi" w:hAnsiTheme="minorHAnsi" w:cstheme="minorHAnsi"/>
          <w:i/>
          <w:iCs/>
          <w:sz w:val="22"/>
          <w:szCs w:val="22"/>
        </w:rPr>
        <w:t>Intelligence-Led Policing</w:t>
      </w:r>
      <w:r w:rsidRPr="00F659DE">
        <w:rPr>
          <w:rFonts w:asciiTheme="minorHAnsi" w:hAnsiTheme="minorHAnsi" w:cstheme="minorHAnsi"/>
          <w:sz w:val="22"/>
          <w:szCs w:val="22"/>
        </w:rPr>
        <w:t>. Routledge.</w:t>
      </w:r>
    </w:p>
    <w:p w14:paraId="643FA30F" w14:textId="77777777" w:rsidR="00855A6F" w:rsidRDefault="00855A6F" w:rsidP="003208AA">
      <w:pPr>
        <w:pStyle w:val="NormalWeb"/>
        <w:spacing w:before="0" w:beforeAutospacing="0" w:after="240" w:afterAutospacing="0" w:line="360" w:lineRule="auto"/>
        <w:rPr>
          <w:rFonts w:asciiTheme="minorHAnsi" w:hAnsiTheme="minorHAnsi" w:cstheme="minorHAnsi"/>
          <w:sz w:val="22"/>
          <w:szCs w:val="22"/>
        </w:rPr>
      </w:pPr>
    </w:p>
    <w:p w14:paraId="7E5DF89C" w14:textId="77777777" w:rsidR="00855A6F" w:rsidRDefault="00855A6F" w:rsidP="003208AA">
      <w:pPr>
        <w:pStyle w:val="NormalWeb"/>
        <w:spacing w:before="0" w:beforeAutospacing="0" w:after="240" w:afterAutospacing="0" w:line="360" w:lineRule="auto"/>
        <w:rPr>
          <w:rFonts w:asciiTheme="minorHAnsi" w:hAnsiTheme="minorHAnsi" w:cstheme="minorHAnsi"/>
          <w:sz w:val="22"/>
          <w:szCs w:val="22"/>
        </w:rPr>
      </w:pPr>
    </w:p>
    <w:p w14:paraId="1B645CE7" w14:textId="77777777" w:rsidR="00855A6F" w:rsidRDefault="00855A6F" w:rsidP="003208AA">
      <w:pPr>
        <w:pStyle w:val="NormalWeb"/>
        <w:spacing w:before="0" w:beforeAutospacing="0" w:after="240" w:afterAutospacing="0" w:line="360" w:lineRule="auto"/>
        <w:rPr>
          <w:rFonts w:asciiTheme="minorHAnsi" w:hAnsiTheme="minorHAnsi" w:cstheme="minorHAnsi"/>
          <w:sz w:val="22"/>
          <w:szCs w:val="22"/>
        </w:rPr>
      </w:pPr>
    </w:p>
    <w:p w14:paraId="47EB8EA2" w14:textId="77777777" w:rsidR="00716E01" w:rsidRDefault="00716E01" w:rsidP="003208AA">
      <w:pPr>
        <w:pStyle w:val="NormalWeb"/>
        <w:spacing w:before="0" w:beforeAutospacing="0" w:after="240" w:afterAutospacing="0" w:line="360" w:lineRule="auto"/>
        <w:rPr>
          <w:rFonts w:asciiTheme="minorHAnsi" w:hAnsiTheme="minorHAnsi" w:cstheme="minorHAnsi"/>
          <w:sz w:val="22"/>
          <w:szCs w:val="22"/>
        </w:rPr>
      </w:pPr>
    </w:p>
    <w:p w14:paraId="4C8316CD" w14:textId="77777777" w:rsidR="00855A6F" w:rsidRPr="00F93146" w:rsidRDefault="00855A6F" w:rsidP="00855A6F">
      <w:pPr>
        <w:ind w:left="567" w:right="531"/>
        <w:jc w:val="both"/>
        <w:rPr>
          <w:rFonts w:ascii="Arial" w:hAnsi="Arial" w:cs="Arial"/>
          <w:b/>
          <w:bCs/>
        </w:rPr>
      </w:pPr>
      <w:r w:rsidRPr="00F93146">
        <w:rPr>
          <w:rFonts w:ascii="Arial" w:hAnsi="Arial" w:cs="Arial"/>
          <w:b/>
          <w:bCs/>
        </w:rPr>
        <w:lastRenderedPageBreak/>
        <w:t>Essay three:</w:t>
      </w:r>
    </w:p>
    <w:p w14:paraId="5C0E87D8" w14:textId="77777777" w:rsidR="00855A6F" w:rsidRPr="00F93146" w:rsidRDefault="00855A6F" w:rsidP="00855A6F">
      <w:pPr>
        <w:spacing w:line="257" w:lineRule="auto"/>
        <w:ind w:left="567" w:right="531"/>
        <w:rPr>
          <w:rFonts w:ascii="Arial" w:eastAsia="Calibri" w:hAnsi="Arial" w:cs="Arial"/>
        </w:rPr>
      </w:pPr>
      <w:r w:rsidRPr="00F93146">
        <w:rPr>
          <w:rFonts w:ascii="Arial" w:eastAsia="Calibri" w:hAnsi="Arial" w:cs="Arial"/>
        </w:rPr>
        <w:t xml:space="preserve">How might personal attitudes, </w:t>
      </w:r>
      <w:proofErr w:type="gramStart"/>
      <w:r w:rsidRPr="00F93146">
        <w:rPr>
          <w:rFonts w:ascii="Arial" w:eastAsia="Calibri" w:hAnsi="Arial" w:cs="Arial"/>
        </w:rPr>
        <w:t>values</w:t>
      </w:r>
      <w:proofErr w:type="gramEnd"/>
      <w:r w:rsidRPr="00F93146">
        <w:rPr>
          <w:rFonts w:ascii="Arial" w:eastAsia="Calibri" w:hAnsi="Arial" w:cs="Arial"/>
        </w:rPr>
        <w:t xml:space="preserve"> and bias impact upon the effective investigation of volume crime?</w:t>
      </w:r>
    </w:p>
    <w:p w14:paraId="347E4D59" w14:textId="77777777" w:rsidR="00855A6F" w:rsidRPr="001A3262" w:rsidRDefault="00855A6F" w:rsidP="00855A6F">
      <w:pPr>
        <w:spacing w:line="257" w:lineRule="auto"/>
        <w:ind w:left="567" w:right="531"/>
        <w:rPr>
          <w:rFonts w:ascii="Arial" w:hAnsi="Arial" w:cs="Arial"/>
        </w:rPr>
      </w:pPr>
      <w:r w:rsidRPr="00F93146">
        <w:rPr>
          <w:rFonts w:ascii="Arial" w:eastAsia="Calibri" w:hAnsi="Arial" w:cs="Arial"/>
        </w:rPr>
        <w:t>Your answer must be based on academic research, but you may refer to relevant, recent examples.</w:t>
      </w:r>
    </w:p>
    <w:p w14:paraId="6C6A2E0A" w14:textId="77777777" w:rsidR="00855A6F" w:rsidRPr="00BC4C40" w:rsidRDefault="00855A6F" w:rsidP="00855A6F">
      <w:pPr>
        <w:rPr>
          <w:u w:val="single"/>
        </w:rPr>
      </w:pPr>
    </w:p>
    <w:p w14:paraId="40752640" w14:textId="77777777" w:rsidR="00855A6F" w:rsidRPr="00BC4C40" w:rsidRDefault="00855A6F" w:rsidP="00855A6F">
      <w:pPr>
        <w:pStyle w:val="PlainText"/>
        <w:rPr>
          <w:u w:val="single"/>
        </w:rPr>
      </w:pPr>
      <w:r w:rsidRPr="00BC4C40">
        <w:rPr>
          <w:u w:val="single"/>
        </w:rPr>
        <w:t>Introduction</w:t>
      </w:r>
    </w:p>
    <w:p w14:paraId="69493F63" w14:textId="77777777" w:rsidR="00855A6F" w:rsidRDefault="00855A6F" w:rsidP="00855A6F">
      <w:pPr>
        <w:pStyle w:val="PlainText"/>
      </w:pPr>
    </w:p>
    <w:p w14:paraId="3A11A683" w14:textId="77777777" w:rsidR="00855A6F" w:rsidRDefault="00855A6F" w:rsidP="00855A6F">
      <w:pPr>
        <w:pStyle w:val="PlainText"/>
        <w:ind w:firstLine="720"/>
      </w:pPr>
      <w:r>
        <w:t xml:space="preserve">This essay will specifically focus on domestic violence, as domestic violence is arguably the most prominent volume crime that modern policing faces, and perhaps the most adverse affected by bias. This essay will submit that personal attitudes, values, and bias certainly have an impact on the effectiveness of investigating domestic violence, through already-formed opinions and gender bias. </w:t>
      </w:r>
    </w:p>
    <w:p w14:paraId="522DB87F" w14:textId="77777777" w:rsidR="00855A6F" w:rsidRDefault="00855A6F" w:rsidP="00855A6F">
      <w:pPr>
        <w:pStyle w:val="PlainText"/>
      </w:pPr>
    </w:p>
    <w:p w14:paraId="3F0BAFDC" w14:textId="77777777" w:rsidR="00855A6F" w:rsidRDefault="00855A6F" w:rsidP="00855A6F">
      <w:pPr>
        <w:pStyle w:val="PlainText"/>
        <w:ind w:firstLine="720"/>
      </w:pPr>
      <w:r>
        <w:t>This essay will also highlight the importance of professionalism and how impactful it is so remained unbiased. According to Barrow-Grint, every victim will have different needs, and every case is unique, However, you should not undervalue the effect that your reaction will have on the victim you are dealing with (Barrow-Grint et al., 2022).</w:t>
      </w:r>
    </w:p>
    <w:p w14:paraId="3E666EF4" w14:textId="77777777" w:rsidR="00855A6F" w:rsidRDefault="00855A6F" w:rsidP="00855A6F">
      <w:pPr>
        <w:pStyle w:val="PlainText"/>
      </w:pPr>
    </w:p>
    <w:p w14:paraId="7ABB4CEC" w14:textId="77777777" w:rsidR="00855A6F" w:rsidRDefault="00855A6F" w:rsidP="00855A6F">
      <w:pPr>
        <w:pStyle w:val="PlainText"/>
      </w:pPr>
    </w:p>
    <w:p w14:paraId="7E82E21B" w14:textId="77777777" w:rsidR="00855A6F" w:rsidRDefault="00855A6F" w:rsidP="00855A6F">
      <w:pPr>
        <w:pStyle w:val="PlainText"/>
        <w:ind w:firstLine="720"/>
      </w:pPr>
      <w:r>
        <w:t>Why professionalism should outweigh bias Policing must be ethical, and police officers must commit to specific principles which allow them to make and reflect upon the decisions they make, to do the right thing, in the right way, for the right reasons; these ethical values are set out in the Code of Ethics by College of Policing (College of Policing, 2024). Police officers are also bound by the National Decision-making model written by the college of policing, which is a model used for officers to make the correct decisions to reduce threat, risk, and be examined at the time and afterwards (College of Policing, 2013). However, although ethics and professionalism are outlined for police, it is not always the reality.</w:t>
      </w:r>
    </w:p>
    <w:p w14:paraId="7E29270E" w14:textId="77777777" w:rsidR="00855A6F" w:rsidRDefault="00855A6F" w:rsidP="00855A6F">
      <w:pPr>
        <w:pStyle w:val="PlainText"/>
      </w:pPr>
    </w:p>
    <w:p w14:paraId="0BCC5108" w14:textId="77777777" w:rsidR="00855A6F" w:rsidRPr="00BC4C40" w:rsidRDefault="00855A6F" w:rsidP="00855A6F">
      <w:pPr>
        <w:pStyle w:val="PlainText"/>
        <w:rPr>
          <w:u w:val="single"/>
        </w:rPr>
      </w:pPr>
      <w:r w:rsidRPr="00BC4C40">
        <w:rPr>
          <w:u w:val="single"/>
        </w:rPr>
        <w:t xml:space="preserve">Preconceived opinions and media influences </w:t>
      </w:r>
    </w:p>
    <w:p w14:paraId="384D46A5" w14:textId="77777777" w:rsidR="00855A6F" w:rsidRDefault="00855A6F" w:rsidP="00855A6F">
      <w:pPr>
        <w:pStyle w:val="PlainText"/>
      </w:pPr>
    </w:p>
    <w:p w14:paraId="079BFE43" w14:textId="77777777" w:rsidR="00855A6F" w:rsidRDefault="00855A6F" w:rsidP="00855A6F">
      <w:pPr>
        <w:pStyle w:val="PlainText"/>
        <w:ind w:firstLine="720"/>
      </w:pPr>
      <w:r>
        <w:t xml:space="preserve">It could be argued that, although police officers must act as professionals and commit to these specific principles, officers’ personal attitudes, values, and biases impact on an effective investigation in one way or another. For example, the ‘Rape myth’ (Gerd et al., 2009), highlights potential beliefs that blame the victim and clear the perpetrator. This is relevant in terms of domestic violence as it is just one example of how media influences gender bias. Gerd argues that the media spreads myths about rape painting the victim as the ‘problem’, which have an impact on the perpetrators and offenders’ actions, victims’ reporting, investigators and prosecutors’ decision-making, and juries’ determination of guilt or innocence (Gerd et al., 2009). This opinion would suggest that the media’s coverage of rape, directly affects the decision-making of an investigation and promotes gender bias. With officers being exposed to the media like everyone else, gender bias opinions become imbedded, with could affect decision making within the job. For example, preconceived bias could mean less effort goes into speaking to the victim or the depth of investigation. This is not acceptable, and professionalism must remain paramount to opinion or bias that one may have been exposed to by the media. </w:t>
      </w:r>
    </w:p>
    <w:p w14:paraId="06760D69" w14:textId="77777777" w:rsidR="00855A6F" w:rsidRDefault="00855A6F" w:rsidP="00855A6F">
      <w:pPr>
        <w:pStyle w:val="PlainText"/>
      </w:pPr>
      <w:r>
        <w:t>In support of this argument, Richard Wortley highlights that, not all studies have discovered distinctions between police and nonpolice personalities. Wortley argues that it seems to reason that if the average police officer exhibits ethnocentrism, authoritarianism, dogmatism, and other traits, they also exhibit a discriminatory, harsh, intolerable, and unfavourable approach to law enforcement (Wortley, 2003).</w:t>
      </w:r>
    </w:p>
    <w:p w14:paraId="79ED2A0A" w14:textId="77777777" w:rsidR="00855A6F" w:rsidRDefault="00855A6F" w:rsidP="00855A6F">
      <w:pPr>
        <w:pStyle w:val="PlainText"/>
        <w:ind w:firstLine="720"/>
      </w:pPr>
      <w:r>
        <w:lastRenderedPageBreak/>
        <w:t xml:space="preserve">In contrast to the above opinion, particularly relevant to decision-making and the arrest of an offender in a domestic violence incident, a study found that gender is related to officers’ beliefs, stereotypes and reactions to domestic violence or intimate partner violence. Lockwood and </w:t>
      </w:r>
      <w:proofErr w:type="spellStart"/>
      <w:r>
        <w:t>Prohaska</w:t>
      </w:r>
      <w:proofErr w:type="spellEnd"/>
      <w:r>
        <w:t xml:space="preserve"> suggest that studies found, both rookie male and female officers have similar views on domestic violence, with both considering the likelihood that the victim may sustain serious injuries if the spouse stayed at home and take the victims injuries into account when making arrest decisions, however, officers problematic beliefs included victim blaming, presumption of victim non-cooperation, and simplification of domestic violence. Positive opinions were voiced by a few officers, who acknowledge the complexity of domestic situations, the obstacles to leaving, and the seriousness of domestic abuse and the need for police action (Lockwood and </w:t>
      </w:r>
      <w:proofErr w:type="spellStart"/>
      <w:r>
        <w:t>Prohaska</w:t>
      </w:r>
      <w:proofErr w:type="spellEnd"/>
      <w:r>
        <w:t xml:space="preserve">, 2015). These finding highlight that there are some positive and some problematic beliefs which may affect officers’ decision-making and feelings around the arrest of an offender in domestic related crime and incidents. These finding suggest that officers’ presumptions and beliefs could affect affective action taken in domestic related incidents, which, dangerously, could also affect the investigation. </w:t>
      </w:r>
    </w:p>
    <w:p w14:paraId="1A72CAFB" w14:textId="77777777" w:rsidR="00855A6F" w:rsidRDefault="00855A6F" w:rsidP="00855A6F">
      <w:pPr>
        <w:pStyle w:val="PlainText"/>
      </w:pPr>
    </w:p>
    <w:p w14:paraId="40E1B0B6" w14:textId="77777777" w:rsidR="00855A6F" w:rsidRPr="00BC4C40" w:rsidRDefault="00855A6F" w:rsidP="00855A6F">
      <w:pPr>
        <w:pStyle w:val="PlainText"/>
        <w:rPr>
          <w:u w:val="single"/>
        </w:rPr>
      </w:pPr>
      <w:r w:rsidRPr="00BC4C40">
        <w:rPr>
          <w:u w:val="single"/>
        </w:rPr>
        <w:t>Confirmation Bias</w:t>
      </w:r>
    </w:p>
    <w:p w14:paraId="2D45126E" w14:textId="77777777" w:rsidR="00855A6F" w:rsidRDefault="00855A6F" w:rsidP="00855A6F">
      <w:pPr>
        <w:pStyle w:val="PlainText"/>
      </w:pPr>
    </w:p>
    <w:p w14:paraId="4DE0D768" w14:textId="77777777" w:rsidR="00855A6F" w:rsidRDefault="00855A6F" w:rsidP="00855A6F">
      <w:pPr>
        <w:pStyle w:val="PlainText"/>
        <w:ind w:firstLine="720"/>
      </w:pPr>
      <w:r>
        <w:t xml:space="preserve">Confirmation bias is defined by Nickerson as, “The seeking or interoperating of evidence in ways that are partial to existing beliefs, expectations, or hypothesis in hand” (Nickerson, 1998, p. 175). This quotation highlights how evidence could be interpreted by officers in a way which is influenced by their initial suspicions or biases. Due to confirmation bias, officers may ignore or minimise contradicting evidence in favour of evidence that confirms their initial impressions. For example, an officer’s own experiences with genders, and relationships, may affect how they deal with a domestic situation. Ignoring or minimising the ability to take conflicting evidence into account, potentially without realising, would ultimately impact on an effective investigation into the crime or outcome.  Liden supports this opinion, stating that finding counterarguments is less effective, and when conflicting information is considered, it is given little weight by the decision makers (LIDEN, 2023, P. 11). It may be suggested that officers must consider their own biases, </w:t>
      </w:r>
      <w:proofErr w:type="gramStart"/>
      <w:r>
        <w:t>in order to</w:t>
      </w:r>
      <w:proofErr w:type="gramEnd"/>
      <w:r>
        <w:t xml:space="preserve"> minimise impact on an effective investigation, particularly when investigating domestic violence. This is a crucial way of ensuring the investigations are dealt with fairly and properly. Owing to the repetitive nature of domestic violence, officers might possibly overlook certain aspects, due to their own personal assumptions and biases during the investigative process when dealing with volume crime of a domestic nature. </w:t>
      </w:r>
    </w:p>
    <w:p w14:paraId="45B49BA1" w14:textId="77777777" w:rsidR="00855A6F" w:rsidRDefault="00855A6F" w:rsidP="00855A6F">
      <w:pPr>
        <w:pStyle w:val="PlainText"/>
      </w:pPr>
    </w:p>
    <w:p w14:paraId="3CC34A14" w14:textId="77777777" w:rsidR="00855A6F" w:rsidRDefault="00855A6F" w:rsidP="00855A6F">
      <w:pPr>
        <w:pStyle w:val="PlainText"/>
        <w:ind w:firstLine="720"/>
      </w:pPr>
      <w:r>
        <w:t xml:space="preserve">To conclude, </w:t>
      </w:r>
      <w:proofErr w:type="gramStart"/>
      <w:r>
        <w:t>it is clear that personal</w:t>
      </w:r>
      <w:proofErr w:type="gramEnd"/>
      <w:r>
        <w:t xml:space="preserve"> attitudes, values and bias are likely to affect the effectiveness of an investigation. With media coverage depicting gender bias, and officer’s personal experiences undoubtedly having an impact, it is undeniable that officers’ decision making are bound to be based on preconceived ideas. However, professionalism and attention to the code of ethics must remain paramount, </w:t>
      </w:r>
      <w:proofErr w:type="gramStart"/>
      <w:r>
        <w:t>in order to</w:t>
      </w:r>
      <w:proofErr w:type="gramEnd"/>
      <w:r>
        <w:t xml:space="preserve"> police to the maximum positive effect.</w:t>
      </w:r>
    </w:p>
    <w:p w14:paraId="2AFDABE5" w14:textId="77777777" w:rsidR="00855A6F" w:rsidRDefault="00855A6F" w:rsidP="00855A6F"/>
    <w:p w14:paraId="60B846BB" w14:textId="77777777" w:rsidR="00855A6F" w:rsidRDefault="00855A6F" w:rsidP="00855A6F"/>
    <w:p w14:paraId="187E6C45" w14:textId="77777777" w:rsidR="00855A6F" w:rsidRDefault="00855A6F" w:rsidP="00855A6F"/>
    <w:p w14:paraId="450C61F7"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proofErr w:type="spellStart"/>
      <w:r w:rsidRPr="00E218AA">
        <w:rPr>
          <w:rFonts w:ascii="ff1" w:eastAsia="Times New Roman" w:hAnsi="ff1" w:cs="Times New Roman"/>
          <w:color w:val="231F20"/>
          <w:kern w:val="0"/>
          <w:sz w:val="120"/>
          <w:szCs w:val="120"/>
          <w:lang w:eastAsia="en-GB"/>
          <w14:ligatures w14:val="none"/>
        </w:rPr>
        <w:t>gnitive</w:t>
      </w:r>
      <w:proofErr w:type="spellEnd"/>
      <w:r w:rsidRPr="00E218AA">
        <w:rPr>
          <w:rFonts w:ascii="ff1" w:eastAsia="Times New Roman" w:hAnsi="ff1" w:cs="Times New Roman"/>
          <w:color w:val="231F20"/>
          <w:kern w:val="0"/>
          <w:sz w:val="120"/>
          <w:szCs w:val="120"/>
          <w:lang w:eastAsia="en-GB"/>
          <w14:ligatures w14:val="none"/>
        </w:rPr>
        <w:t xml:space="preserve">, </w:t>
      </w:r>
    </w:p>
    <w:p w14:paraId="071724D7"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affective and behavioural effects of </w:t>
      </w:r>
    </w:p>
    <w:p w14:paraId="1DECF2FF"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beliefs that blame the victim and </w:t>
      </w:r>
    </w:p>
    <w:p w14:paraId="2632DE88"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exonerate the </w:t>
      </w:r>
      <w:proofErr w:type="gramStart"/>
      <w:r w:rsidRPr="00E218AA">
        <w:rPr>
          <w:rFonts w:ascii="ff1" w:eastAsia="Times New Roman" w:hAnsi="ff1" w:cs="Times New Roman"/>
          <w:color w:val="231F20"/>
          <w:kern w:val="0"/>
          <w:sz w:val="120"/>
          <w:szCs w:val="120"/>
          <w:lang w:eastAsia="en-GB"/>
          <w14:ligatures w14:val="none"/>
        </w:rPr>
        <w:t>perpetrator</w:t>
      </w:r>
      <w:proofErr w:type="gramEnd"/>
    </w:p>
    <w:p w14:paraId="088FBC3C"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cognitive, </w:t>
      </w:r>
    </w:p>
    <w:p w14:paraId="0D34FF73"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affective and behavioural effects of </w:t>
      </w:r>
    </w:p>
    <w:p w14:paraId="4538945A"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beliefs that blame the victim and </w:t>
      </w:r>
    </w:p>
    <w:p w14:paraId="26A015AA"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exonerate the </w:t>
      </w:r>
      <w:proofErr w:type="gramStart"/>
      <w:r w:rsidRPr="00E218AA">
        <w:rPr>
          <w:rFonts w:ascii="ff1" w:eastAsia="Times New Roman" w:hAnsi="ff1" w:cs="Times New Roman"/>
          <w:color w:val="231F20"/>
          <w:kern w:val="0"/>
          <w:sz w:val="120"/>
          <w:szCs w:val="120"/>
          <w:lang w:eastAsia="en-GB"/>
          <w14:ligatures w14:val="none"/>
        </w:rPr>
        <w:t>perpetrator</w:t>
      </w:r>
      <w:proofErr w:type="gramEnd"/>
    </w:p>
    <w:p w14:paraId="666BF3D8"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54"/>
          <w:szCs w:val="54"/>
          <w:lang w:eastAsia="en-GB"/>
          <w14:ligatures w14:val="none"/>
        </w:rPr>
      </w:pPr>
      <w:r w:rsidRPr="00E218AA">
        <w:rPr>
          <w:rFonts w:ascii="ff1" w:eastAsia="Times New Roman" w:hAnsi="ff1" w:cs="Times New Roman"/>
          <w:color w:val="231F20"/>
          <w:kern w:val="0"/>
          <w:sz w:val="54"/>
          <w:szCs w:val="54"/>
          <w:lang w:eastAsia="en-GB"/>
          <w14:ligatures w14:val="none"/>
        </w:rPr>
        <w:t>17</w:t>
      </w:r>
    </w:p>
    <w:p w14:paraId="5676A48C" w14:textId="77777777" w:rsidR="00855A6F" w:rsidRPr="00E218AA" w:rsidRDefault="00855A6F" w:rsidP="00855A6F">
      <w:pPr>
        <w:shd w:val="clear" w:color="auto" w:fill="FFFFFF"/>
        <w:spacing w:after="0" w:line="0" w:lineRule="auto"/>
        <w:rPr>
          <w:rFonts w:ascii="ff2" w:eastAsia="Times New Roman" w:hAnsi="ff2" w:cs="Times New Roman"/>
          <w:color w:val="231F20"/>
          <w:kern w:val="0"/>
          <w:sz w:val="84"/>
          <w:szCs w:val="84"/>
          <w:lang w:eastAsia="en-GB"/>
          <w14:ligatures w14:val="none"/>
        </w:rPr>
      </w:pPr>
      <w:r w:rsidRPr="00E218AA">
        <w:rPr>
          <w:rFonts w:ascii="ff2" w:eastAsia="Times New Roman" w:hAnsi="ff2" w:cs="Times New Roman"/>
          <w:color w:val="231F20"/>
          <w:kern w:val="0"/>
          <w:sz w:val="84"/>
          <w:szCs w:val="84"/>
          <w:lang w:eastAsia="en-GB"/>
          <w14:ligatures w14:val="none"/>
        </w:rPr>
        <w:t>Chapter</w:t>
      </w:r>
      <w:r w:rsidRPr="00E218AA">
        <w:rPr>
          <w:rFonts w:ascii="ff1" w:eastAsia="Times New Roman" w:hAnsi="ff1" w:cs="Times New Roman"/>
          <w:color w:val="231F20"/>
          <w:kern w:val="0"/>
          <w:sz w:val="84"/>
          <w:szCs w:val="84"/>
          <w:lang w:eastAsia="en-GB"/>
          <w14:ligatures w14:val="none"/>
        </w:rPr>
        <w:t xml:space="preserve"> </w:t>
      </w:r>
      <w:r w:rsidRPr="00E218AA">
        <w:rPr>
          <w:rFonts w:ascii="ff2" w:eastAsia="Times New Roman" w:hAnsi="ff2" w:cs="Times New Roman"/>
          <w:color w:val="231F20"/>
          <w:kern w:val="0"/>
          <w:sz w:val="84"/>
          <w:szCs w:val="84"/>
          <w:lang w:eastAsia="en-GB"/>
          <w14:ligatures w14:val="none"/>
        </w:rPr>
        <w:t>2</w:t>
      </w:r>
    </w:p>
    <w:p w14:paraId="20936B19"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Rape myth acceptance: cognitive, </w:t>
      </w:r>
    </w:p>
    <w:p w14:paraId="5280688F"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affective and behavioural effects of </w:t>
      </w:r>
    </w:p>
    <w:p w14:paraId="233824EC"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beliefs that blame the victim and </w:t>
      </w:r>
    </w:p>
    <w:p w14:paraId="3BED2596" w14:textId="77777777" w:rsidR="00855A6F" w:rsidRPr="00E218AA" w:rsidRDefault="00855A6F" w:rsidP="00855A6F">
      <w:pPr>
        <w:shd w:val="clear" w:color="auto" w:fill="FFFFFF"/>
        <w:spacing w:after="0" w:line="0" w:lineRule="auto"/>
        <w:rPr>
          <w:rFonts w:ascii="ff1" w:eastAsia="Times New Roman" w:hAnsi="ff1" w:cs="Times New Roman"/>
          <w:color w:val="231F20"/>
          <w:kern w:val="0"/>
          <w:sz w:val="120"/>
          <w:szCs w:val="120"/>
          <w:lang w:eastAsia="en-GB"/>
          <w14:ligatures w14:val="none"/>
        </w:rPr>
      </w:pPr>
      <w:r w:rsidRPr="00E218AA">
        <w:rPr>
          <w:rFonts w:ascii="ff1" w:eastAsia="Times New Roman" w:hAnsi="ff1" w:cs="Times New Roman"/>
          <w:color w:val="231F20"/>
          <w:kern w:val="0"/>
          <w:sz w:val="120"/>
          <w:szCs w:val="120"/>
          <w:lang w:eastAsia="en-GB"/>
          <w14:ligatures w14:val="none"/>
        </w:rPr>
        <w:t xml:space="preserve">exonerate the </w:t>
      </w:r>
      <w:proofErr w:type="gramStart"/>
      <w:r w:rsidRPr="00E218AA">
        <w:rPr>
          <w:rFonts w:ascii="ff1" w:eastAsia="Times New Roman" w:hAnsi="ff1" w:cs="Times New Roman"/>
          <w:color w:val="231F20"/>
          <w:kern w:val="0"/>
          <w:sz w:val="120"/>
          <w:szCs w:val="120"/>
          <w:lang w:eastAsia="en-GB"/>
          <w14:ligatures w14:val="none"/>
        </w:rPr>
        <w:t>perpetrator</w:t>
      </w:r>
      <w:proofErr w:type="gramEnd"/>
    </w:p>
    <w:p w14:paraId="13C7B9A5" w14:textId="77777777" w:rsidR="00855A6F" w:rsidRPr="00E2618A" w:rsidRDefault="00855A6F" w:rsidP="00855A6F">
      <w:pPr>
        <w:jc w:val="center"/>
        <w:rPr>
          <w:b/>
          <w:bCs/>
        </w:rPr>
      </w:pPr>
      <w:r w:rsidRPr="00E2618A">
        <w:rPr>
          <w:b/>
          <w:bCs/>
        </w:rPr>
        <w:t>Bibliography:</w:t>
      </w:r>
    </w:p>
    <w:p w14:paraId="7029B3B9" w14:textId="77777777" w:rsidR="00855A6F" w:rsidRPr="00BC4C40" w:rsidRDefault="00855A6F" w:rsidP="00855A6F">
      <w:pPr>
        <w:pStyle w:val="NormalWeb"/>
        <w:spacing w:before="0" w:beforeAutospacing="0" w:after="240" w:afterAutospacing="0" w:line="360" w:lineRule="auto"/>
        <w:rPr>
          <w:rFonts w:asciiTheme="minorHAnsi" w:hAnsiTheme="minorHAnsi" w:cstheme="minorHAnsi"/>
          <w:sz w:val="22"/>
          <w:szCs w:val="22"/>
        </w:rPr>
      </w:pPr>
      <w:r w:rsidRPr="00BC4C40">
        <w:rPr>
          <w:rFonts w:asciiTheme="minorHAnsi" w:hAnsiTheme="minorHAnsi" w:cstheme="minorHAnsi"/>
          <w:sz w:val="22"/>
          <w:szCs w:val="22"/>
        </w:rPr>
        <w:t xml:space="preserve">Barrow-Grint, K., </w:t>
      </w:r>
      <w:proofErr w:type="spellStart"/>
      <w:r w:rsidRPr="00BC4C40">
        <w:rPr>
          <w:rFonts w:asciiTheme="minorHAnsi" w:hAnsiTheme="minorHAnsi" w:cstheme="minorHAnsi"/>
          <w:sz w:val="22"/>
          <w:szCs w:val="22"/>
        </w:rPr>
        <w:t>Sebire</w:t>
      </w:r>
      <w:proofErr w:type="spellEnd"/>
      <w:r w:rsidRPr="00BC4C40">
        <w:rPr>
          <w:rFonts w:asciiTheme="minorHAnsi" w:hAnsiTheme="minorHAnsi" w:cstheme="minorHAnsi"/>
          <w:sz w:val="22"/>
          <w:szCs w:val="22"/>
        </w:rPr>
        <w:t xml:space="preserve">, J., Turton, J. and Weir, R. (2022). </w:t>
      </w:r>
      <w:r w:rsidRPr="00BC4C40">
        <w:rPr>
          <w:rFonts w:asciiTheme="minorHAnsi" w:hAnsiTheme="minorHAnsi" w:cstheme="minorHAnsi"/>
          <w:i/>
          <w:iCs/>
          <w:sz w:val="22"/>
          <w:szCs w:val="22"/>
        </w:rPr>
        <w:t>Policing Domestic Abuse</w:t>
      </w:r>
      <w:r w:rsidRPr="00BC4C40">
        <w:rPr>
          <w:rFonts w:asciiTheme="minorHAnsi" w:hAnsiTheme="minorHAnsi" w:cstheme="minorHAnsi"/>
          <w:sz w:val="22"/>
          <w:szCs w:val="22"/>
        </w:rPr>
        <w:t>. Taylor &amp; Francis.</w:t>
      </w:r>
    </w:p>
    <w:p w14:paraId="0AE0B6AC" w14:textId="77777777" w:rsidR="00855A6F" w:rsidRPr="00BC4C40" w:rsidRDefault="00855A6F" w:rsidP="00855A6F">
      <w:pPr>
        <w:rPr>
          <w:rFonts w:cstheme="minorHAnsi"/>
        </w:rPr>
      </w:pPr>
      <w:r w:rsidRPr="00BC4C40">
        <w:rPr>
          <w:rFonts w:cstheme="minorHAnsi"/>
        </w:rPr>
        <w:t xml:space="preserve">College of Policing (2013) </w:t>
      </w:r>
      <w:r w:rsidRPr="00BC4C40">
        <w:rPr>
          <w:rFonts w:cstheme="minorHAnsi"/>
          <w:i/>
          <w:iCs/>
        </w:rPr>
        <w:t>National Decision-Making Model</w:t>
      </w:r>
      <w:r w:rsidRPr="00BC4C40">
        <w:rPr>
          <w:rFonts w:cstheme="minorHAnsi"/>
        </w:rPr>
        <w:t xml:space="preserve">. Available: </w:t>
      </w:r>
      <w:hyperlink r:id="rId10" w:history="1">
        <w:r w:rsidRPr="00BC4C40">
          <w:rPr>
            <w:rStyle w:val="Hyperlink"/>
            <w:rFonts w:cstheme="minorHAnsi"/>
          </w:rPr>
          <w:t>National decision model | College of Policing</w:t>
        </w:r>
      </w:hyperlink>
      <w:r w:rsidRPr="00BC4C40">
        <w:rPr>
          <w:rFonts w:cstheme="minorHAnsi"/>
        </w:rPr>
        <w:t xml:space="preserve"> (Accessed:01/02/2025)</w:t>
      </w:r>
    </w:p>
    <w:p w14:paraId="69CC9EB4" w14:textId="77777777" w:rsidR="00855A6F" w:rsidRPr="00BC4C40" w:rsidRDefault="00855A6F" w:rsidP="00855A6F">
      <w:pPr>
        <w:rPr>
          <w:rFonts w:cstheme="minorHAnsi"/>
        </w:rPr>
      </w:pPr>
      <w:r w:rsidRPr="00BC4C40">
        <w:rPr>
          <w:rFonts w:cstheme="minorHAnsi"/>
        </w:rPr>
        <w:lastRenderedPageBreak/>
        <w:t xml:space="preserve">College of Policing (2024) </w:t>
      </w:r>
      <w:r w:rsidRPr="00BC4C40">
        <w:rPr>
          <w:rFonts w:cstheme="minorHAnsi"/>
          <w:i/>
          <w:iCs/>
        </w:rPr>
        <w:t>Code of Ethics</w:t>
      </w:r>
      <w:r w:rsidRPr="00BC4C40">
        <w:rPr>
          <w:rFonts w:cstheme="minorHAnsi"/>
        </w:rPr>
        <w:t xml:space="preserve">. Available: </w:t>
      </w:r>
      <w:hyperlink r:id="rId11" w:history="1">
        <w:r w:rsidRPr="00BC4C40">
          <w:rPr>
            <w:rStyle w:val="Hyperlink"/>
            <w:rFonts w:cstheme="minorHAnsi"/>
          </w:rPr>
          <w:t>Code of Ethics | College of Policing</w:t>
        </w:r>
      </w:hyperlink>
      <w:r w:rsidRPr="00BC4C40">
        <w:rPr>
          <w:rFonts w:cstheme="minorHAnsi"/>
        </w:rPr>
        <w:t xml:space="preserve"> (Accessed:01/02/2025)</w:t>
      </w:r>
    </w:p>
    <w:p w14:paraId="69F13E66" w14:textId="77777777" w:rsidR="00855A6F" w:rsidRPr="00BC4C40" w:rsidRDefault="00855A6F" w:rsidP="00855A6F">
      <w:pPr>
        <w:pStyle w:val="NormalWeb"/>
        <w:spacing w:before="0" w:beforeAutospacing="0" w:after="240" w:afterAutospacing="0" w:line="360" w:lineRule="auto"/>
        <w:rPr>
          <w:rFonts w:asciiTheme="minorHAnsi" w:hAnsiTheme="minorHAnsi" w:cstheme="minorHAnsi"/>
          <w:sz w:val="22"/>
          <w:szCs w:val="22"/>
        </w:rPr>
      </w:pPr>
      <w:r w:rsidRPr="00BC4C40">
        <w:rPr>
          <w:rFonts w:asciiTheme="minorHAnsi" w:hAnsiTheme="minorHAnsi" w:cstheme="minorHAnsi"/>
          <w:sz w:val="22"/>
          <w:szCs w:val="22"/>
        </w:rPr>
        <w:t xml:space="preserve">Gerd, B., </w:t>
      </w:r>
      <w:proofErr w:type="spellStart"/>
      <w:r w:rsidRPr="00BC4C40">
        <w:rPr>
          <w:rFonts w:asciiTheme="minorHAnsi" w:hAnsiTheme="minorHAnsi" w:cstheme="minorHAnsi"/>
          <w:sz w:val="22"/>
          <w:szCs w:val="22"/>
        </w:rPr>
        <w:t>Friederike</w:t>
      </w:r>
      <w:proofErr w:type="spellEnd"/>
      <w:r w:rsidRPr="00BC4C40">
        <w:rPr>
          <w:rFonts w:asciiTheme="minorHAnsi" w:hAnsiTheme="minorHAnsi" w:cstheme="minorHAnsi"/>
          <w:sz w:val="22"/>
          <w:szCs w:val="22"/>
        </w:rPr>
        <w:t xml:space="preserve">, E., Pina, A., </w:t>
      </w:r>
      <w:proofErr w:type="spellStart"/>
      <w:r w:rsidRPr="00BC4C40">
        <w:rPr>
          <w:rFonts w:asciiTheme="minorHAnsi" w:hAnsiTheme="minorHAnsi" w:cstheme="minorHAnsi"/>
          <w:sz w:val="22"/>
          <w:szCs w:val="22"/>
        </w:rPr>
        <w:t>Seibler</w:t>
      </w:r>
      <w:proofErr w:type="spellEnd"/>
      <w:r w:rsidRPr="00BC4C40">
        <w:rPr>
          <w:rFonts w:asciiTheme="minorHAnsi" w:hAnsiTheme="minorHAnsi" w:cstheme="minorHAnsi"/>
          <w:sz w:val="22"/>
          <w:szCs w:val="22"/>
        </w:rPr>
        <w:t xml:space="preserve">, F. and Viki, T. (2009). Rape: Challenging contemporary thinking. pp.(pp.17-45). </w:t>
      </w:r>
      <w:proofErr w:type="spellStart"/>
      <w:proofErr w:type="gramStart"/>
      <w:r w:rsidRPr="00BC4C40">
        <w:rPr>
          <w:rFonts w:asciiTheme="minorHAnsi" w:hAnsiTheme="minorHAnsi" w:cstheme="minorHAnsi"/>
          <w:sz w:val="22"/>
          <w:szCs w:val="22"/>
        </w:rPr>
        <w:t>doi:https</w:t>
      </w:r>
      <w:proofErr w:type="spellEnd"/>
      <w:r w:rsidRPr="00BC4C40">
        <w:rPr>
          <w:rFonts w:asciiTheme="minorHAnsi" w:hAnsiTheme="minorHAnsi" w:cstheme="minorHAnsi"/>
          <w:sz w:val="22"/>
          <w:szCs w:val="22"/>
        </w:rPr>
        <w:t>://doi.org/10.4324/9781843927129</w:t>
      </w:r>
      <w:proofErr w:type="gramEnd"/>
      <w:r w:rsidRPr="00BC4C40">
        <w:rPr>
          <w:rFonts w:asciiTheme="minorHAnsi" w:hAnsiTheme="minorHAnsi" w:cstheme="minorHAnsi"/>
          <w:sz w:val="22"/>
          <w:szCs w:val="22"/>
        </w:rPr>
        <w:t>. (Accessed:01/02/2025)</w:t>
      </w:r>
    </w:p>
    <w:p w14:paraId="66F3B52E" w14:textId="77777777" w:rsidR="00855A6F" w:rsidRPr="00BC4C40" w:rsidRDefault="00855A6F" w:rsidP="00855A6F">
      <w:pPr>
        <w:rPr>
          <w:rFonts w:cstheme="minorHAnsi"/>
        </w:rPr>
      </w:pPr>
      <w:r w:rsidRPr="00BC4C40">
        <w:rPr>
          <w:rFonts w:cstheme="minorHAnsi"/>
        </w:rPr>
        <w:t>LIDEN, M. (2023). Confirmation Bias in Criminal Cases. Oxford University Press.</w:t>
      </w:r>
    </w:p>
    <w:p w14:paraId="2E7A95A8" w14:textId="77777777" w:rsidR="00855A6F" w:rsidRPr="00BC4C40" w:rsidRDefault="00855A6F" w:rsidP="00855A6F">
      <w:pPr>
        <w:pStyle w:val="NormalWeb"/>
        <w:spacing w:before="0" w:beforeAutospacing="0" w:after="240" w:afterAutospacing="0" w:line="360" w:lineRule="auto"/>
        <w:rPr>
          <w:rFonts w:asciiTheme="minorHAnsi" w:hAnsiTheme="minorHAnsi" w:cstheme="minorHAnsi"/>
          <w:sz w:val="22"/>
          <w:szCs w:val="22"/>
        </w:rPr>
      </w:pPr>
      <w:r w:rsidRPr="00BC4C40">
        <w:rPr>
          <w:rFonts w:asciiTheme="minorHAnsi" w:hAnsiTheme="minorHAnsi" w:cstheme="minorHAnsi"/>
          <w:sz w:val="22"/>
          <w:szCs w:val="22"/>
        </w:rPr>
        <w:t xml:space="preserve">Lockwood, D. and </w:t>
      </w:r>
      <w:proofErr w:type="spellStart"/>
      <w:r w:rsidRPr="00BC4C40">
        <w:rPr>
          <w:rFonts w:asciiTheme="minorHAnsi" w:hAnsiTheme="minorHAnsi" w:cstheme="minorHAnsi"/>
          <w:sz w:val="22"/>
          <w:szCs w:val="22"/>
        </w:rPr>
        <w:t>Prohaska</w:t>
      </w:r>
      <w:proofErr w:type="spellEnd"/>
      <w:r w:rsidRPr="00BC4C40">
        <w:rPr>
          <w:rFonts w:asciiTheme="minorHAnsi" w:hAnsiTheme="minorHAnsi" w:cstheme="minorHAnsi"/>
          <w:sz w:val="22"/>
          <w:szCs w:val="22"/>
        </w:rPr>
        <w:t xml:space="preserve">, A. (2015). International Journal of Criminal Justice Sciences Vol 10 Issue 1 January – June </w:t>
      </w:r>
      <w:proofErr w:type="gramStart"/>
      <w:r w:rsidRPr="00BC4C40">
        <w:rPr>
          <w:rFonts w:asciiTheme="minorHAnsi" w:hAnsiTheme="minorHAnsi" w:cstheme="minorHAnsi"/>
          <w:sz w:val="22"/>
          <w:szCs w:val="22"/>
        </w:rPr>
        <w:t>2015 .</w:t>
      </w:r>
      <w:proofErr w:type="gramEnd"/>
      <w:r w:rsidRPr="00BC4C40">
        <w:rPr>
          <w:rFonts w:asciiTheme="minorHAnsi" w:hAnsiTheme="minorHAnsi" w:cstheme="minorHAnsi"/>
          <w:sz w:val="22"/>
          <w:szCs w:val="22"/>
        </w:rPr>
        <w:t xml:space="preserve"> [online] pp.77–90. Available at: https://ijcjs.com/menu-script/index.php/ijcjs/article/view/161/103 [Accessed Feb. 2AD]. (Accessed:01/02/2025)</w:t>
      </w:r>
    </w:p>
    <w:p w14:paraId="2FCC0FBF" w14:textId="77777777" w:rsidR="00855A6F" w:rsidRPr="00BC4C40" w:rsidRDefault="00855A6F" w:rsidP="00855A6F">
      <w:pPr>
        <w:rPr>
          <w:rFonts w:cstheme="minorHAnsi"/>
        </w:rPr>
      </w:pPr>
      <w:r w:rsidRPr="00BC4C40">
        <w:rPr>
          <w:rFonts w:cstheme="minorHAnsi"/>
        </w:rPr>
        <w:t xml:space="preserve">Nickerson, R.S. (1998). Confirmation bias: A ubiquitous phenomenon in many guises. Review of General Psychology, 2(2), pp.175–220. </w:t>
      </w:r>
      <w:proofErr w:type="spellStart"/>
      <w:proofErr w:type="gramStart"/>
      <w:r w:rsidRPr="00BC4C40">
        <w:rPr>
          <w:rFonts w:cstheme="minorHAnsi"/>
        </w:rPr>
        <w:t>doi:https</w:t>
      </w:r>
      <w:proofErr w:type="spellEnd"/>
      <w:r w:rsidRPr="00BC4C40">
        <w:rPr>
          <w:rFonts w:cstheme="minorHAnsi"/>
        </w:rPr>
        <w:t>://doi.org/10.1037/1089-2680.2.2.175</w:t>
      </w:r>
      <w:proofErr w:type="gramEnd"/>
      <w:r w:rsidRPr="00BC4C40">
        <w:rPr>
          <w:rFonts w:cstheme="minorHAnsi"/>
        </w:rPr>
        <w:t>. (Accessed:01/02/2025)</w:t>
      </w:r>
    </w:p>
    <w:p w14:paraId="4284D154" w14:textId="77777777" w:rsidR="00855A6F" w:rsidRPr="00BC4C40" w:rsidRDefault="00855A6F" w:rsidP="00855A6F">
      <w:pPr>
        <w:pStyle w:val="NormalWeb"/>
        <w:spacing w:before="0" w:beforeAutospacing="0" w:after="240" w:afterAutospacing="0" w:line="360" w:lineRule="auto"/>
        <w:rPr>
          <w:rFonts w:asciiTheme="minorHAnsi" w:hAnsiTheme="minorHAnsi" w:cstheme="minorHAnsi"/>
          <w:sz w:val="22"/>
          <w:szCs w:val="22"/>
        </w:rPr>
      </w:pPr>
      <w:r w:rsidRPr="00BC4C40">
        <w:rPr>
          <w:rFonts w:asciiTheme="minorHAnsi" w:hAnsiTheme="minorHAnsi" w:cstheme="minorHAnsi"/>
          <w:sz w:val="22"/>
          <w:szCs w:val="22"/>
        </w:rPr>
        <w:t xml:space="preserve">Smith, D.A., </w:t>
      </w:r>
      <w:proofErr w:type="spellStart"/>
      <w:r w:rsidRPr="00BC4C40">
        <w:rPr>
          <w:rFonts w:asciiTheme="minorHAnsi" w:hAnsiTheme="minorHAnsi" w:cstheme="minorHAnsi"/>
          <w:sz w:val="22"/>
          <w:szCs w:val="22"/>
        </w:rPr>
        <w:t>Visher</w:t>
      </w:r>
      <w:proofErr w:type="spellEnd"/>
      <w:r w:rsidRPr="00BC4C40">
        <w:rPr>
          <w:rFonts w:asciiTheme="minorHAnsi" w:hAnsiTheme="minorHAnsi" w:cstheme="minorHAnsi"/>
          <w:sz w:val="22"/>
          <w:szCs w:val="22"/>
        </w:rPr>
        <w:t xml:space="preserve">, C.A. and Davidson, L.A. (1984). Equity and Discretionary Justice: The Influence of Race on Police Arrest Decisions. </w:t>
      </w:r>
      <w:r w:rsidRPr="00BC4C40">
        <w:rPr>
          <w:rFonts w:asciiTheme="minorHAnsi" w:hAnsiTheme="minorHAnsi" w:cstheme="minorHAnsi"/>
          <w:i/>
          <w:iCs/>
          <w:sz w:val="22"/>
          <w:szCs w:val="22"/>
        </w:rPr>
        <w:t>Journal of Criminal Law and Criminology</w:t>
      </w:r>
      <w:r w:rsidRPr="00BC4C40">
        <w:rPr>
          <w:rFonts w:asciiTheme="minorHAnsi" w:hAnsiTheme="minorHAnsi" w:cstheme="minorHAnsi"/>
          <w:sz w:val="22"/>
          <w:szCs w:val="22"/>
        </w:rPr>
        <w:t>, [online] 75, p.234. Available at: https://heinonline.org/HOL/LandingPage?handle=hein.journals/jclc75&amp;div=15&amp;id=&amp;page=.(Accessed:01/02/2025)</w:t>
      </w:r>
    </w:p>
    <w:p w14:paraId="7C5F4D2B" w14:textId="77777777" w:rsidR="00855A6F" w:rsidRPr="00BC4C40" w:rsidRDefault="00855A6F" w:rsidP="00855A6F">
      <w:pPr>
        <w:rPr>
          <w:rFonts w:cstheme="minorHAnsi"/>
        </w:rPr>
      </w:pPr>
      <w:r w:rsidRPr="00BC4C40">
        <w:rPr>
          <w:rFonts w:cstheme="minorHAnsi"/>
        </w:rPr>
        <w:t>Stainton, I., Ewin, R. (2022). Criminal Investigation. United Kingdom: Critical Publishing.</w:t>
      </w:r>
    </w:p>
    <w:p w14:paraId="6F2059AA" w14:textId="77777777" w:rsidR="00855A6F" w:rsidRDefault="00855A6F" w:rsidP="00855A6F">
      <w:pPr>
        <w:pStyle w:val="NormalWeb"/>
        <w:spacing w:before="0" w:beforeAutospacing="0" w:after="240" w:afterAutospacing="0" w:line="360" w:lineRule="auto"/>
        <w:rPr>
          <w:rFonts w:asciiTheme="minorHAnsi" w:hAnsiTheme="minorHAnsi" w:cstheme="minorHAnsi"/>
          <w:sz w:val="22"/>
          <w:szCs w:val="22"/>
        </w:rPr>
      </w:pPr>
      <w:r w:rsidRPr="00BC4C40">
        <w:rPr>
          <w:rFonts w:asciiTheme="minorHAnsi" w:hAnsiTheme="minorHAnsi" w:cstheme="minorHAnsi"/>
          <w:sz w:val="22"/>
          <w:szCs w:val="22"/>
        </w:rPr>
        <w:t xml:space="preserve">Wortley, R.K. (2003). Measuring Police Attitudes Toward Discretion. </w:t>
      </w:r>
      <w:r w:rsidRPr="00BC4C40">
        <w:rPr>
          <w:rFonts w:asciiTheme="minorHAnsi" w:hAnsiTheme="minorHAnsi" w:cstheme="minorHAnsi"/>
          <w:i/>
          <w:iCs/>
          <w:sz w:val="22"/>
          <w:szCs w:val="22"/>
        </w:rPr>
        <w:t xml:space="preserve">Criminal Justice and </w:t>
      </w:r>
      <w:proofErr w:type="spellStart"/>
      <w:r w:rsidRPr="00BC4C40">
        <w:rPr>
          <w:rFonts w:asciiTheme="minorHAnsi" w:hAnsiTheme="minorHAnsi" w:cstheme="minorHAnsi"/>
          <w:i/>
          <w:iCs/>
          <w:sz w:val="22"/>
          <w:szCs w:val="22"/>
        </w:rPr>
        <w:t>Behavior</w:t>
      </w:r>
      <w:proofErr w:type="spellEnd"/>
      <w:r w:rsidRPr="00BC4C40">
        <w:rPr>
          <w:rFonts w:asciiTheme="minorHAnsi" w:hAnsiTheme="minorHAnsi" w:cstheme="minorHAnsi"/>
          <w:sz w:val="22"/>
          <w:szCs w:val="22"/>
        </w:rPr>
        <w:t xml:space="preserve">, 30(5), pp.538–558. </w:t>
      </w:r>
      <w:proofErr w:type="spellStart"/>
      <w:proofErr w:type="gramStart"/>
      <w:r w:rsidRPr="00BC4C40">
        <w:rPr>
          <w:rFonts w:asciiTheme="minorHAnsi" w:hAnsiTheme="minorHAnsi" w:cstheme="minorHAnsi"/>
          <w:sz w:val="22"/>
          <w:szCs w:val="22"/>
        </w:rPr>
        <w:t>doi:https</w:t>
      </w:r>
      <w:proofErr w:type="spellEnd"/>
      <w:r w:rsidRPr="00BC4C40">
        <w:rPr>
          <w:rFonts w:asciiTheme="minorHAnsi" w:hAnsiTheme="minorHAnsi" w:cstheme="minorHAnsi"/>
          <w:sz w:val="22"/>
          <w:szCs w:val="22"/>
        </w:rPr>
        <w:t>://doi.org/10.1177/0093854803254805</w:t>
      </w:r>
      <w:proofErr w:type="gramEnd"/>
      <w:r w:rsidRPr="00BC4C40">
        <w:rPr>
          <w:rFonts w:asciiTheme="minorHAnsi" w:hAnsiTheme="minorHAnsi" w:cstheme="minorHAnsi"/>
          <w:sz w:val="22"/>
          <w:szCs w:val="22"/>
        </w:rPr>
        <w:t>. (Accessed:01/02/2025)</w:t>
      </w:r>
    </w:p>
    <w:p w14:paraId="4CCD6EBB"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1376A06A"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71CAC3FE"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18332546"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43D89490"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27C324A7"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3CA8F401"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431B0D46" w14:textId="77777777" w:rsidR="00716E01"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4460839A" w14:textId="77777777" w:rsidR="00716E01" w:rsidRPr="00BC4C40" w:rsidRDefault="00716E01" w:rsidP="00855A6F">
      <w:pPr>
        <w:pStyle w:val="NormalWeb"/>
        <w:spacing w:before="0" w:beforeAutospacing="0" w:after="240" w:afterAutospacing="0" w:line="360" w:lineRule="auto"/>
        <w:rPr>
          <w:rFonts w:asciiTheme="minorHAnsi" w:hAnsiTheme="minorHAnsi" w:cstheme="minorHAnsi"/>
          <w:sz w:val="22"/>
          <w:szCs w:val="22"/>
        </w:rPr>
      </w:pPr>
    </w:p>
    <w:p w14:paraId="476B579B" w14:textId="77777777" w:rsidR="002752AB" w:rsidRPr="00F93146" w:rsidRDefault="002752AB" w:rsidP="002752AB">
      <w:pPr>
        <w:spacing w:line="257" w:lineRule="auto"/>
        <w:ind w:left="567" w:right="531"/>
        <w:rPr>
          <w:rFonts w:ascii="Arial" w:hAnsi="Arial" w:cs="Arial"/>
          <w:b/>
          <w:bCs/>
        </w:rPr>
      </w:pPr>
      <w:r w:rsidRPr="00F93146">
        <w:rPr>
          <w:rFonts w:ascii="Arial" w:hAnsi="Arial" w:cs="Arial"/>
          <w:b/>
          <w:bCs/>
        </w:rPr>
        <w:lastRenderedPageBreak/>
        <w:t xml:space="preserve">Essay four: </w:t>
      </w:r>
    </w:p>
    <w:p w14:paraId="7C0CBB22" w14:textId="77777777" w:rsidR="002752AB" w:rsidRPr="00F93146" w:rsidRDefault="002752AB" w:rsidP="002752AB">
      <w:pPr>
        <w:spacing w:line="257" w:lineRule="auto"/>
        <w:ind w:left="567" w:right="531"/>
        <w:rPr>
          <w:rFonts w:ascii="Arial" w:eastAsia="Calibri" w:hAnsi="Arial" w:cs="Arial"/>
        </w:rPr>
      </w:pPr>
      <w:r w:rsidRPr="00F93146">
        <w:rPr>
          <w:rFonts w:ascii="Arial" w:eastAsia="Calibri" w:hAnsi="Arial" w:cs="Arial"/>
        </w:rPr>
        <w:t>Outline potential links between serious and organised crime and public protection issues. What characteristics make some people more vulnerable to exploitation by serious and organised crime gangs?</w:t>
      </w:r>
    </w:p>
    <w:p w14:paraId="0F7401CA" w14:textId="77777777" w:rsidR="002752AB" w:rsidRPr="00F93146" w:rsidRDefault="002752AB" w:rsidP="002752AB">
      <w:pPr>
        <w:spacing w:line="257" w:lineRule="auto"/>
        <w:ind w:left="567" w:right="531"/>
        <w:rPr>
          <w:rFonts w:ascii="Arial" w:eastAsia="Calibri" w:hAnsi="Arial" w:cs="Arial"/>
        </w:rPr>
      </w:pPr>
      <w:r w:rsidRPr="00F93146">
        <w:rPr>
          <w:rFonts w:ascii="Arial" w:eastAsia="Calibri" w:hAnsi="Arial" w:cs="Arial"/>
        </w:rPr>
        <w:t>Your answer must be based on academic research.</w:t>
      </w:r>
    </w:p>
    <w:p w14:paraId="70754E5D" w14:textId="77777777" w:rsidR="002752AB" w:rsidRDefault="002752AB" w:rsidP="002752AB">
      <w:pPr>
        <w:spacing w:line="257" w:lineRule="auto"/>
        <w:ind w:left="567" w:right="531"/>
        <w:rPr>
          <w:rFonts w:ascii="Arial" w:eastAsia="Calibri" w:hAnsi="Arial" w:cs="Arial"/>
          <w:highlight w:val="yellow"/>
        </w:rPr>
      </w:pPr>
    </w:p>
    <w:p w14:paraId="5F4C3786" w14:textId="408B8C3C" w:rsidR="002752AB" w:rsidRPr="00716E01" w:rsidRDefault="00716E01" w:rsidP="00716E01">
      <w:pPr>
        <w:spacing w:line="257" w:lineRule="auto"/>
        <w:ind w:right="531"/>
        <w:rPr>
          <w:rFonts w:eastAsia="Calibri" w:cstheme="minorHAnsi"/>
          <w:u w:val="single"/>
        </w:rPr>
      </w:pPr>
      <w:r w:rsidRPr="00716E01">
        <w:rPr>
          <w:rFonts w:eastAsia="Calibri" w:cstheme="minorHAnsi"/>
          <w:u w:val="single"/>
        </w:rPr>
        <w:t>Introduction</w:t>
      </w:r>
    </w:p>
    <w:p w14:paraId="09FB05B2" w14:textId="77777777" w:rsidR="002752AB" w:rsidRDefault="002752AB" w:rsidP="002752AB">
      <w:pPr>
        <w:spacing w:line="257" w:lineRule="auto"/>
        <w:ind w:right="531" w:firstLine="567"/>
        <w:rPr>
          <w:rFonts w:eastAsia="Calibri" w:cstheme="minorHAnsi"/>
        </w:rPr>
      </w:pPr>
      <w:r w:rsidRPr="00D313DC">
        <w:rPr>
          <w:rFonts w:eastAsia="Calibri" w:cstheme="minorHAnsi"/>
        </w:rPr>
        <w:t>Since serious and organised crime frequently preys on weaker members of society and undermines safety and security, it is strongly related to a range of public protection concerns. Gang county lines operations are one of the more pertinent links to public protection issues. The National Crime Agency suggest that Illegal drugs are typically delivered over county lines, which are frequently crossed by police and local authority boundaries (though not always), by children or other vulnerable individuals who are forced to do so by gangs (National Crime Agency, 2025). There are a range of characteristics which make individuals more vulnerable to being exploited by these organised crime gangs which link to concerns around public protection.</w:t>
      </w:r>
      <w:r>
        <w:rPr>
          <w:rFonts w:eastAsia="Calibri" w:cstheme="minorHAnsi"/>
        </w:rPr>
        <w:t xml:space="preserve"> This essay will highlight how children, and vulnerable adults can be exploited, but will also highlight how some crimes highlight one’s vulnerabilities that were not originally identifiable. </w:t>
      </w:r>
    </w:p>
    <w:p w14:paraId="7E16345C" w14:textId="77777777" w:rsidR="002752AB" w:rsidRDefault="002752AB" w:rsidP="002752AB">
      <w:pPr>
        <w:spacing w:line="257" w:lineRule="auto"/>
        <w:ind w:right="531" w:firstLine="567"/>
        <w:rPr>
          <w:rFonts w:eastAsia="Calibri" w:cstheme="minorHAnsi"/>
        </w:rPr>
      </w:pPr>
    </w:p>
    <w:p w14:paraId="34E39E31" w14:textId="77777777" w:rsidR="002752AB" w:rsidRPr="00AD1315" w:rsidRDefault="002752AB" w:rsidP="00716E01">
      <w:pPr>
        <w:spacing w:line="257" w:lineRule="auto"/>
        <w:ind w:right="531"/>
        <w:rPr>
          <w:rFonts w:eastAsia="Calibri" w:cstheme="minorHAnsi"/>
          <w:u w:val="single"/>
        </w:rPr>
      </w:pPr>
      <w:r w:rsidRPr="00AD1315">
        <w:rPr>
          <w:rFonts w:eastAsia="Calibri" w:cstheme="minorHAnsi"/>
          <w:u w:val="single"/>
        </w:rPr>
        <w:t>Vulnerable children</w:t>
      </w:r>
    </w:p>
    <w:p w14:paraId="1B387F84" w14:textId="77777777" w:rsidR="002752AB" w:rsidRDefault="002752AB" w:rsidP="002752AB">
      <w:pPr>
        <w:ind w:firstLine="567"/>
        <w:rPr>
          <w:rFonts w:cstheme="minorHAnsi"/>
        </w:rPr>
      </w:pPr>
      <w:r w:rsidRPr="00D313DC">
        <w:rPr>
          <w:rFonts w:cstheme="minorHAnsi"/>
        </w:rPr>
        <w:t>One link between organised crime groups and public protection issues is the exploitation of children</w:t>
      </w:r>
      <w:r>
        <w:rPr>
          <w:rFonts w:cstheme="minorHAnsi"/>
        </w:rPr>
        <w:t>.</w:t>
      </w:r>
      <w:r w:rsidRPr="00D313DC">
        <w:rPr>
          <w:rFonts w:cstheme="minorHAnsi"/>
        </w:rPr>
        <w:t xml:space="preserve"> Serious and organised crime gangs exploiting individuals is closely linked to issues with public protection, posing risks to public safety and protection. O'Hagan and Edmundson highlight one typical element of county lines gang operations is the exploitation of youth. Poverty, family dissolution, social care interventions, missing episodes, behavioural and developmental disorders, and exclusion from mainstream education are some of the factors that impact children’s susceptibility (O’Hagan and Edmundson, 2021). With these vulnerability factors being identified it is evident that that some children are more vulnerable to exploitation. An article written by Dando, Ormerod, and Atkinson-Sheppard, supports this by stating that, according to numerous reports, the kinds of children are recruited for county lines include foster children, children going through difficult times, children who had a bad upbringing, and children whose parents are mentally ill. Parents, carers, and other adults may be absent or unable to “gate keep”, as might be predicted when families and children do not fit these criteria of vulnerability, which is why these “more vulnerable” children are thought to be targeted (Dando, Ormerod and Atkinson-Sheppard, 2022). These vulnerabilities are closely linked to public protection issues around children being groomed and manipulated by organised crime gangs to potentially transport drugs in county lines operations.</w:t>
      </w:r>
    </w:p>
    <w:p w14:paraId="6180A9E4" w14:textId="77777777" w:rsidR="002752AB" w:rsidRDefault="002752AB" w:rsidP="002752AB">
      <w:pPr>
        <w:ind w:firstLine="567"/>
        <w:rPr>
          <w:rFonts w:cstheme="minorHAnsi"/>
        </w:rPr>
      </w:pPr>
    </w:p>
    <w:p w14:paraId="20027FD9" w14:textId="77777777" w:rsidR="002752AB" w:rsidRPr="00637207" w:rsidRDefault="002752AB" w:rsidP="00716E01">
      <w:pPr>
        <w:rPr>
          <w:rFonts w:cstheme="minorHAnsi"/>
          <w:u w:val="single"/>
        </w:rPr>
      </w:pPr>
      <w:r w:rsidRPr="00637207">
        <w:rPr>
          <w:rFonts w:cstheme="minorHAnsi"/>
          <w:u w:val="single"/>
        </w:rPr>
        <w:t>Vulnerable adults</w:t>
      </w:r>
    </w:p>
    <w:p w14:paraId="1AEF7084" w14:textId="77777777" w:rsidR="002752AB" w:rsidRDefault="002752AB" w:rsidP="002752AB">
      <w:pPr>
        <w:rPr>
          <w:rFonts w:cstheme="minorHAnsi"/>
        </w:rPr>
      </w:pPr>
      <w:r w:rsidRPr="00D313DC">
        <w:rPr>
          <w:rFonts w:cstheme="minorHAnsi"/>
        </w:rPr>
        <w:tab/>
        <w:t xml:space="preserve">Although age has been identified as a characteristic which makes individuals more vulnerable to exploitation than others, there are other characteristics in individuals which organised crime gangs potentially target. Williams argues that one could consider many members of society as vulnerable. People with mental illness, those with cognitive or social impairments, young people, the elderly, or </w:t>
      </w:r>
      <w:r w:rsidRPr="00D313DC">
        <w:rPr>
          <w:rFonts w:cstheme="minorHAnsi"/>
        </w:rPr>
        <w:lastRenderedPageBreak/>
        <w:t xml:space="preserve">anyone in a certain place under specific conditions might all be considered as vulnerable, whether temporarily or permanently (Williams, 2023). The National health service (NHS) supports this opinion by defining a vulnerable adult as, “Any adult (person over the age of 18) unable to take care of themselves or protect themselves from exploitation” (GOV.UK, 2022). According to this definition, early experiences of vulnerability can have detrimental effects on adults later in life, especially if there are fewer protective elements in place, including a steady household income or a supportive family (GOV.UK, 2022). There are similarities between what makes children and adult more vulnerable to being exploited by serious and organised crime gangs, and it could be argued that adults can be more vulnerable to exploitation that children due to their situation or circumstance. The link between public protection issues and organised crime gangs around adult vulnerabilities could be through cuckooing or mate crime, which allows organised crime gangs to exploit adults through their vulnerabilities. Burch and Wilkin suggest that mate crime frequently happen because many disabled individuals are situationally vulnerable because of inadequate adult services and lack of social connectivity. This makes it easier for criminals to make friends with disabled individuals, but these relationships can quickly devolve into violence, abuse, and exploitation (Burch and Wilkin, 2024). Furthermore, this opinion suggests that adults can also be, if not more susceptible to exploitation by organised crime gangs due to their vulnerabilities. </w:t>
      </w:r>
    </w:p>
    <w:p w14:paraId="6EBC32C5" w14:textId="77777777" w:rsidR="002752AB" w:rsidRPr="00AE0B6C" w:rsidRDefault="002752AB" w:rsidP="002752AB">
      <w:pPr>
        <w:rPr>
          <w:rFonts w:cstheme="minorHAnsi"/>
          <w:u w:val="single"/>
        </w:rPr>
      </w:pPr>
    </w:p>
    <w:p w14:paraId="44F49FF5" w14:textId="77777777" w:rsidR="002752AB" w:rsidRPr="00AE0B6C" w:rsidRDefault="002752AB" w:rsidP="002752AB">
      <w:pPr>
        <w:rPr>
          <w:rFonts w:cstheme="minorHAnsi"/>
          <w:u w:val="single"/>
        </w:rPr>
      </w:pPr>
      <w:r w:rsidRPr="00AE0B6C">
        <w:rPr>
          <w:rFonts w:cstheme="minorHAnsi"/>
          <w:u w:val="single"/>
        </w:rPr>
        <w:t>Turning ‘normal’ into vulnerable</w:t>
      </w:r>
    </w:p>
    <w:p w14:paraId="77A96586" w14:textId="77777777" w:rsidR="002752AB" w:rsidRPr="00993087" w:rsidRDefault="002752AB" w:rsidP="002752AB">
      <w:pPr>
        <w:rPr>
          <w:rFonts w:eastAsia="Times New Roman" w:cstheme="minorHAnsi"/>
          <w:kern w:val="0"/>
          <w:lang w:eastAsia="en-GB"/>
          <w14:ligatures w14:val="none"/>
        </w:rPr>
      </w:pPr>
      <w:r w:rsidRPr="00D313DC">
        <w:rPr>
          <w:rFonts w:cstheme="minorHAnsi"/>
        </w:rPr>
        <w:tab/>
        <w:t xml:space="preserve">On the other hand, as previously mentioned, the UK’s County lines approach today strategically uses exploited and vulnerable youth and others. </w:t>
      </w:r>
      <w:r w:rsidRPr="00160951">
        <w:rPr>
          <w:rFonts w:eastAsia="Times New Roman" w:cstheme="minorHAnsi"/>
          <w:kern w:val="0"/>
          <w:lang w:eastAsia="en-GB"/>
          <w14:ligatures w14:val="none"/>
        </w:rPr>
        <w:t xml:space="preserve">Ayres and </w:t>
      </w:r>
      <w:proofErr w:type="spellStart"/>
      <w:r w:rsidRPr="00160951">
        <w:rPr>
          <w:rFonts w:eastAsia="Times New Roman" w:cstheme="minorHAnsi"/>
          <w:kern w:val="0"/>
          <w:lang w:eastAsia="en-GB"/>
          <w14:ligatures w14:val="none"/>
        </w:rPr>
        <w:t>Ancrum</w:t>
      </w:r>
      <w:proofErr w:type="spellEnd"/>
      <w:r w:rsidRPr="00D313DC">
        <w:rPr>
          <w:rFonts w:eastAsia="Times New Roman" w:cstheme="minorHAnsi"/>
          <w:kern w:val="0"/>
          <w:lang w:eastAsia="en-GB"/>
          <w14:ligatures w14:val="none"/>
        </w:rPr>
        <w:t xml:space="preserve"> argue that it is important to understand that this is neither a needed nor obligatory component of the model. Adults’ characteristics of the model before county borders might be used to operationalise the same concept, or it could rely more directly on local user dealers operated by organised crime gangs (Ayres and </w:t>
      </w:r>
      <w:proofErr w:type="spellStart"/>
      <w:r w:rsidRPr="00D313DC">
        <w:rPr>
          <w:rFonts w:eastAsia="Times New Roman" w:cstheme="minorHAnsi"/>
          <w:kern w:val="0"/>
          <w:lang w:eastAsia="en-GB"/>
          <w14:ligatures w14:val="none"/>
        </w:rPr>
        <w:t>Ancrum</w:t>
      </w:r>
      <w:proofErr w:type="spellEnd"/>
      <w:r w:rsidRPr="00D313DC">
        <w:rPr>
          <w:rFonts w:eastAsia="Times New Roman" w:cstheme="minorHAnsi"/>
          <w:kern w:val="0"/>
          <w:lang w:eastAsia="en-GB"/>
          <w14:ligatures w14:val="none"/>
        </w:rPr>
        <w:t xml:space="preserve">, 2023). This opinion argues that although organised crime gangs exploit individuals who have vulnerabilities, it is not a necessary factor in county lines drug operations, however, it does not argue that the characteristics of vulnerable individuals make them more vulnerable to exploitation by organised crime gangs. In support of this, an article which highlights gendered exploitation of women and young girls in county lines, Havard argues that young women’s relative anonymity makes them more susceptible to coercive control and more appealing to gangs who smuggle firearms and drugs across county lines. Havard also outlines that it may be more difficult to address the unique needs and risks of criminal exploitation of women if traditional police responses to gangs and county lines, which aim to seize assets and criminalise drug dealing activities, criminalise vulnerable young women and conceal the coercive control they endure </w:t>
      </w:r>
      <w:r w:rsidRPr="00993087">
        <w:rPr>
          <w:rFonts w:eastAsia="Times New Roman" w:cstheme="minorHAnsi"/>
          <w:kern w:val="0"/>
          <w:lang w:eastAsia="en-GB"/>
          <w14:ligatures w14:val="none"/>
        </w:rPr>
        <w:t>(Havard et al., 2021b)</w:t>
      </w:r>
      <w:r w:rsidRPr="00D313DC">
        <w:rPr>
          <w:rFonts w:eastAsia="Times New Roman" w:cstheme="minorHAnsi"/>
          <w:kern w:val="0"/>
          <w:lang w:eastAsia="en-GB"/>
          <w14:ligatures w14:val="none"/>
        </w:rPr>
        <w:t xml:space="preserve">. The two arguments highlight how county lines operations and serious and organised crime gangs do not necessarily rely on exploiting individuals who are considered the most vulnerable, such as characteristics mentioned previously in this essay. Havard’s opinion holds a great deal of validity, as she highlights that young women and girls can also be exploited by serious and organised crime gangs due to the factor of gender. Havard’s stance on gendered exploitation, which includes young women being forces and controlled by organised crime gangs, also highlights the connection to public safety concerns about criminalising young women and girls due to their participation in county lines operations and the potential for their vulnerabilities to be overlooked. </w:t>
      </w:r>
    </w:p>
    <w:p w14:paraId="38A8B89F" w14:textId="77777777" w:rsidR="002752AB" w:rsidRPr="00160951" w:rsidRDefault="002752AB" w:rsidP="002752AB">
      <w:pPr>
        <w:spacing w:after="0" w:line="240" w:lineRule="auto"/>
        <w:rPr>
          <w:rFonts w:ascii="Times New Roman" w:eastAsia="Times New Roman" w:hAnsi="Times New Roman" w:cs="Times New Roman"/>
          <w:kern w:val="0"/>
          <w:lang w:eastAsia="en-GB"/>
          <w14:ligatures w14:val="none"/>
        </w:rPr>
      </w:pPr>
    </w:p>
    <w:p w14:paraId="3BBF77D1" w14:textId="77777777" w:rsidR="002752AB" w:rsidRDefault="002752AB" w:rsidP="002752AB">
      <w:pPr>
        <w:ind w:firstLine="720"/>
      </w:pPr>
      <w:r w:rsidRPr="00D313DC">
        <w:t xml:space="preserve">To conclude, it is evident that serious and organised crime groups and public protection issues are interlinked. Serious and organised crime groups involve Child sexual exploitation within their operations for power and financial gain. Children are particularly vulnerable due to their age </w:t>
      </w:r>
      <w:r w:rsidRPr="00D313DC">
        <w:lastRenderedPageBreak/>
        <w:t xml:space="preserve">and naivety, making them easy targets for serious and organised criminal groups. This is also the case with county lines operations using children, targeting them because they are immediately vulnerable due to age. </w:t>
      </w:r>
      <w:r>
        <w:t>Some of the characteristics identified in children make them more susceptible to being recruited by organised crime gangs. This essay argues that some characteristics make some individuals more vulnerable to exploitation than others, as well as highlighting the extent to which the organised crime gangs utilise vulnerable individuals in their illegal operations, presenting a range of issues with public protection. The characteristics that make some people more vulnerable to exploitation have been identified, however, it depends on the extent to which these characteristics are utilised by the serious and organised crime gangs in exploiting these individuals.</w:t>
      </w:r>
    </w:p>
    <w:p w14:paraId="3B644E6A" w14:textId="77777777" w:rsidR="002752AB" w:rsidRDefault="002752AB" w:rsidP="002752AB"/>
    <w:p w14:paraId="122108E9" w14:textId="77777777" w:rsidR="002752AB" w:rsidRDefault="002752AB" w:rsidP="002752AB"/>
    <w:p w14:paraId="185F824D" w14:textId="77777777" w:rsidR="002752AB" w:rsidRDefault="002752AB" w:rsidP="002752AB"/>
    <w:p w14:paraId="23168B88" w14:textId="77777777" w:rsidR="002752AB" w:rsidRPr="002752AB" w:rsidRDefault="002752AB" w:rsidP="002752AB">
      <w:pPr>
        <w:jc w:val="center"/>
        <w:rPr>
          <w:b/>
          <w:bCs/>
        </w:rPr>
      </w:pPr>
      <w:r w:rsidRPr="002752AB">
        <w:rPr>
          <w:b/>
          <w:bCs/>
        </w:rPr>
        <w:t>Bibliography:</w:t>
      </w:r>
    </w:p>
    <w:p w14:paraId="67EF52BD"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Ayres, T.C. and </w:t>
      </w:r>
      <w:proofErr w:type="spellStart"/>
      <w:r w:rsidRPr="002752AB">
        <w:rPr>
          <w:rFonts w:asciiTheme="minorHAnsi" w:hAnsiTheme="minorHAnsi" w:cstheme="minorHAnsi"/>
          <w:sz w:val="22"/>
          <w:szCs w:val="22"/>
        </w:rPr>
        <w:t>Ancrum</w:t>
      </w:r>
      <w:proofErr w:type="spellEnd"/>
      <w:r w:rsidRPr="002752AB">
        <w:rPr>
          <w:rFonts w:asciiTheme="minorHAnsi" w:hAnsiTheme="minorHAnsi" w:cstheme="minorHAnsi"/>
          <w:sz w:val="22"/>
          <w:szCs w:val="22"/>
        </w:rPr>
        <w:t xml:space="preserve">, C. (2023). </w:t>
      </w:r>
      <w:r w:rsidRPr="002752AB">
        <w:rPr>
          <w:rFonts w:asciiTheme="minorHAnsi" w:hAnsiTheme="minorHAnsi" w:cstheme="minorHAnsi"/>
          <w:i/>
          <w:iCs/>
          <w:sz w:val="22"/>
          <w:szCs w:val="22"/>
        </w:rPr>
        <w:t>Understanding Drug Dealing and Illicit Drug Markets</w:t>
      </w:r>
      <w:r w:rsidRPr="002752AB">
        <w:rPr>
          <w:rFonts w:asciiTheme="minorHAnsi" w:hAnsiTheme="minorHAnsi" w:cstheme="minorHAnsi"/>
          <w:sz w:val="22"/>
          <w:szCs w:val="22"/>
        </w:rPr>
        <w:t>. Taylor &amp; Francis.</w:t>
      </w:r>
    </w:p>
    <w:p w14:paraId="63461298"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Burch, L. and Wilkin, D. (2024). </w:t>
      </w:r>
      <w:r w:rsidRPr="002752AB">
        <w:rPr>
          <w:rFonts w:asciiTheme="minorHAnsi" w:hAnsiTheme="minorHAnsi" w:cstheme="minorHAnsi"/>
          <w:i/>
          <w:iCs/>
          <w:sz w:val="22"/>
          <w:szCs w:val="22"/>
        </w:rPr>
        <w:t>Disability Hate Crime</w:t>
      </w:r>
      <w:r w:rsidRPr="002752AB">
        <w:rPr>
          <w:rFonts w:asciiTheme="minorHAnsi" w:hAnsiTheme="minorHAnsi" w:cstheme="minorHAnsi"/>
          <w:sz w:val="22"/>
          <w:szCs w:val="22"/>
        </w:rPr>
        <w:t>. Taylor &amp; Francis.</w:t>
      </w:r>
    </w:p>
    <w:p w14:paraId="12444DAE"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Dando, C.J., Ormerod, T.C. and Atkinson-Sheppard, S. (2022). Parental experiences of the impact of grooming and criminal exploitation of children for county lines drug trafficking. </w:t>
      </w:r>
      <w:r w:rsidRPr="002752AB">
        <w:rPr>
          <w:rFonts w:asciiTheme="minorHAnsi" w:hAnsiTheme="minorHAnsi" w:cstheme="minorHAnsi"/>
          <w:i/>
          <w:iCs/>
          <w:sz w:val="22"/>
          <w:szCs w:val="22"/>
        </w:rPr>
        <w:t>Journal of Public Health</w:t>
      </w:r>
      <w:r w:rsidRPr="002752AB">
        <w:rPr>
          <w:rFonts w:asciiTheme="minorHAnsi" w:hAnsiTheme="minorHAnsi" w:cstheme="minorHAnsi"/>
          <w:sz w:val="22"/>
          <w:szCs w:val="22"/>
        </w:rPr>
        <w:t xml:space="preserve">, [online] 45(2). </w:t>
      </w:r>
      <w:proofErr w:type="spellStart"/>
      <w:proofErr w:type="gramStart"/>
      <w:r w:rsidRPr="002752AB">
        <w:rPr>
          <w:rFonts w:asciiTheme="minorHAnsi" w:hAnsiTheme="minorHAnsi" w:cstheme="minorHAnsi"/>
          <w:sz w:val="22"/>
          <w:szCs w:val="22"/>
        </w:rPr>
        <w:t>doi:https</w:t>
      </w:r>
      <w:proofErr w:type="spellEnd"/>
      <w:r w:rsidRPr="002752AB">
        <w:rPr>
          <w:rFonts w:asciiTheme="minorHAnsi" w:hAnsiTheme="minorHAnsi" w:cstheme="minorHAnsi"/>
          <w:sz w:val="22"/>
          <w:szCs w:val="22"/>
        </w:rPr>
        <w:t>://doi.org/10.1093/</w:t>
      </w:r>
      <w:proofErr w:type="spellStart"/>
      <w:r w:rsidRPr="002752AB">
        <w:rPr>
          <w:rFonts w:asciiTheme="minorHAnsi" w:hAnsiTheme="minorHAnsi" w:cstheme="minorHAnsi"/>
          <w:sz w:val="22"/>
          <w:szCs w:val="22"/>
        </w:rPr>
        <w:t>pubmed</w:t>
      </w:r>
      <w:proofErr w:type="spellEnd"/>
      <w:r w:rsidRPr="002752AB">
        <w:rPr>
          <w:rFonts w:asciiTheme="minorHAnsi" w:hAnsiTheme="minorHAnsi" w:cstheme="minorHAnsi"/>
          <w:sz w:val="22"/>
          <w:szCs w:val="22"/>
        </w:rPr>
        <w:t>/fdac112</w:t>
      </w:r>
      <w:proofErr w:type="gramEnd"/>
      <w:r w:rsidRPr="002752AB">
        <w:rPr>
          <w:rFonts w:asciiTheme="minorHAnsi" w:hAnsiTheme="minorHAnsi" w:cstheme="minorHAnsi"/>
          <w:sz w:val="22"/>
          <w:szCs w:val="22"/>
        </w:rPr>
        <w:t>. (Accessed 29/01/2025)</w:t>
      </w:r>
    </w:p>
    <w:p w14:paraId="6164B45F" w14:textId="77777777" w:rsidR="002752AB" w:rsidRPr="002752AB" w:rsidRDefault="002752AB" w:rsidP="002752AB">
      <w:pPr>
        <w:rPr>
          <w:rFonts w:cstheme="minorHAnsi"/>
        </w:rPr>
      </w:pPr>
      <w:r w:rsidRPr="002752AB">
        <w:rPr>
          <w:rFonts w:cstheme="minorHAnsi"/>
        </w:rPr>
        <w:t xml:space="preserve">GOV.UK (2022) Vulnerabilities: applying All Our Health Available at: </w:t>
      </w:r>
      <w:hyperlink r:id="rId12" w:history="1">
        <w:r w:rsidRPr="002752AB">
          <w:rPr>
            <w:rStyle w:val="Hyperlink"/>
            <w:rFonts w:cstheme="minorHAnsi"/>
          </w:rPr>
          <w:t>Vulnerabilities: applying All Our Health - GOV.UK</w:t>
        </w:r>
      </w:hyperlink>
      <w:r w:rsidRPr="002752AB">
        <w:rPr>
          <w:rFonts w:cstheme="minorHAnsi"/>
        </w:rPr>
        <w:t xml:space="preserve"> (Accessed: 29/02/2025).</w:t>
      </w:r>
    </w:p>
    <w:p w14:paraId="6F688823"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Havard, T.E., </w:t>
      </w:r>
      <w:proofErr w:type="spellStart"/>
      <w:r w:rsidRPr="002752AB">
        <w:rPr>
          <w:rFonts w:asciiTheme="minorHAnsi" w:hAnsiTheme="minorHAnsi" w:cstheme="minorHAnsi"/>
          <w:sz w:val="22"/>
          <w:szCs w:val="22"/>
        </w:rPr>
        <w:t>Densley</w:t>
      </w:r>
      <w:proofErr w:type="spellEnd"/>
      <w:r w:rsidRPr="002752AB">
        <w:rPr>
          <w:rFonts w:asciiTheme="minorHAnsi" w:hAnsiTheme="minorHAnsi" w:cstheme="minorHAnsi"/>
          <w:sz w:val="22"/>
          <w:szCs w:val="22"/>
        </w:rPr>
        <w:t xml:space="preserve">, J.A., Whittaker, A. and Wills, J. (2021). Street Gangs and Coercive control: the Gendered Exploitation of Young Women and Girls in County Lines. </w:t>
      </w:r>
      <w:r w:rsidRPr="002752AB">
        <w:rPr>
          <w:rFonts w:asciiTheme="minorHAnsi" w:hAnsiTheme="minorHAnsi" w:cstheme="minorHAnsi"/>
          <w:i/>
          <w:iCs/>
          <w:sz w:val="22"/>
          <w:szCs w:val="22"/>
        </w:rPr>
        <w:t>Criminology &amp; Criminal Justice</w:t>
      </w:r>
      <w:r w:rsidRPr="002752AB">
        <w:rPr>
          <w:rFonts w:asciiTheme="minorHAnsi" w:hAnsiTheme="minorHAnsi" w:cstheme="minorHAnsi"/>
          <w:sz w:val="22"/>
          <w:szCs w:val="22"/>
        </w:rPr>
        <w:t xml:space="preserve">, [online] 23(3), pp.1–17. </w:t>
      </w:r>
      <w:proofErr w:type="spellStart"/>
      <w:proofErr w:type="gramStart"/>
      <w:r w:rsidRPr="002752AB">
        <w:rPr>
          <w:rFonts w:asciiTheme="minorHAnsi" w:hAnsiTheme="minorHAnsi" w:cstheme="minorHAnsi"/>
          <w:sz w:val="22"/>
          <w:szCs w:val="22"/>
        </w:rPr>
        <w:t>doi:https</w:t>
      </w:r>
      <w:proofErr w:type="spellEnd"/>
      <w:r w:rsidRPr="002752AB">
        <w:rPr>
          <w:rFonts w:asciiTheme="minorHAnsi" w:hAnsiTheme="minorHAnsi" w:cstheme="minorHAnsi"/>
          <w:sz w:val="22"/>
          <w:szCs w:val="22"/>
        </w:rPr>
        <w:t>://doi.org/10.1177/17488958211051513</w:t>
      </w:r>
      <w:proofErr w:type="gramEnd"/>
      <w:r w:rsidRPr="002752AB">
        <w:rPr>
          <w:rFonts w:asciiTheme="minorHAnsi" w:hAnsiTheme="minorHAnsi" w:cstheme="minorHAnsi"/>
          <w:sz w:val="22"/>
          <w:szCs w:val="22"/>
        </w:rPr>
        <w:t>. (Accessed 29/01/2025)</w:t>
      </w:r>
    </w:p>
    <w:p w14:paraId="183B8893"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National Crime Agency (2025) County Lines. Available at: </w:t>
      </w:r>
      <w:hyperlink r:id="rId13" w:history="1">
        <w:r w:rsidRPr="002752AB">
          <w:rPr>
            <w:rStyle w:val="Hyperlink"/>
            <w:rFonts w:asciiTheme="minorHAnsi" w:hAnsiTheme="minorHAnsi" w:cstheme="minorHAnsi"/>
            <w:sz w:val="22"/>
            <w:szCs w:val="22"/>
          </w:rPr>
          <w:t>County Lines - National Crime Agency</w:t>
        </w:r>
      </w:hyperlink>
      <w:r w:rsidRPr="002752AB">
        <w:rPr>
          <w:rFonts w:asciiTheme="minorHAnsi" w:hAnsiTheme="minorHAnsi" w:cstheme="minorHAnsi"/>
          <w:sz w:val="22"/>
          <w:szCs w:val="22"/>
        </w:rPr>
        <w:t xml:space="preserve"> (Accessed 29/01/2025)</w:t>
      </w:r>
    </w:p>
    <w:p w14:paraId="3EF32B92"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O’Hagan, </w:t>
      </w:r>
      <w:proofErr w:type="gramStart"/>
      <w:r w:rsidRPr="002752AB">
        <w:rPr>
          <w:rFonts w:asciiTheme="minorHAnsi" w:hAnsiTheme="minorHAnsi" w:cstheme="minorHAnsi"/>
          <w:sz w:val="22"/>
          <w:szCs w:val="22"/>
        </w:rPr>
        <w:t>A.</w:t>
      </w:r>
      <w:proofErr w:type="gramEnd"/>
      <w:r w:rsidRPr="002752AB">
        <w:rPr>
          <w:rFonts w:asciiTheme="minorHAnsi" w:hAnsiTheme="minorHAnsi" w:cstheme="minorHAnsi"/>
          <w:sz w:val="22"/>
          <w:szCs w:val="22"/>
        </w:rPr>
        <w:t xml:space="preserve"> and Edmundson, C.J. (2021). County lines: the exploitation of vulnerable members of society. </w:t>
      </w:r>
      <w:r w:rsidRPr="002752AB">
        <w:rPr>
          <w:rFonts w:asciiTheme="minorHAnsi" w:hAnsiTheme="minorHAnsi" w:cstheme="minorHAnsi"/>
          <w:i/>
          <w:iCs/>
          <w:sz w:val="22"/>
          <w:szCs w:val="22"/>
        </w:rPr>
        <w:t>Forensic Research &amp; Criminology International Journal</w:t>
      </w:r>
      <w:r w:rsidRPr="002752AB">
        <w:rPr>
          <w:rFonts w:asciiTheme="minorHAnsi" w:hAnsiTheme="minorHAnsi" w:cstheme="minorHAnsi"/>
          <w:sz w:val="22"/>
          <w:szCs w:val="22"/>
        </w:rPr>
        <w:t>, [online] 9(2), pp.47–57. Available at: https://irep.ntu.ac.uk/id/eprint/44335. (Accessed 29/01/2025)</w:t>
      </w:r>
    </w:p>
    <w:p w14:paraId="11DB5469" w14:textId="77777777" w:rsidR="002752AB" w:rsidRPr="002752AB" w:rsidRDefault="002752AB" w:rsidP="002752AB">
      <w:pPr>
        <w:pStyle w:val="NormalWeb"/>
        <w:spacing w:before="0" w:beforeAutospacing="0" w:after="240" w:afterAutospacing="0" w:line="360" w:lineRule="auto"/>
        <w:rPr>
          <w:rFonts w:asciiTheme="minorHAnsi" w:hAnsiTheme="minorHAnsi" w:cstheme="minorHAnsi"/>
          <w:sz w:val="22"/>
          <w:szCs w:val="22"/>
        </w:rPr>
      </w:pPr>
      <w:r w:rsidRPr="002752AB">
        <w:rPr>
          <w:rFonts w:asciiTheme="minorHAnsi" w:hAnsiTheme="minorHAnsi" w:cstheme="minorHAnsi"/>
          <w:sz w:val="22"/>
          <w:szCs w:val="22"/>
        </w:rPr>
        <w:t xml:space="preserve">Williams, B. (2023). </w:t>
      </w:r>
      <w:r w:rsidRPr="002752AB">
        <w:rPr>
          <w:rFonts w:asciiTheme="minorHAnsi" w:hAnsiTheme="minorHAnsi" w:cstheme="minorHAnsi"/>
          <w:i/>
          <w:iCs/>
          <w:sz w:val="22"/>
          <w:szCs w:val="22"/>
        </w:rPr>
        <w:t>Policing Mental Health, Vulnerability and Risk</w:t>
      </w:r>
      <w:r w:rsidRPr="002752AB">
        <w:rPr>
          <w:rFonts w:asciiTheme="minorHAnsi" w:hAnsiTheme="minorHAnsi" w:cstheme="minorHAnsi"/>
          <w:sz w:val="22"/>
          <w:szCs w:val="22"/>
        </w:rPr>
        <w:t>. Critical Publishing.</w:t>
      </w:r>
    </w:p>
    <w:p w14:paraId="471CB017" w14:textId="77777777" w:rsidR="00855A6F" w:rsidRDefault="00855A6F" w:rsidP="00855A6F">
      <w:pPr>
        <w:pStyle w:val="NormalWeb"/>
        <w:spacing w:before="0" w:beforeAutospacing="0" w:after="240" w:afterAutospacing="0" w:line="360" w:lineRule="auto"/>
      </w:pPr>
    </w:p>
    <w:p w14:paraId="5F4A362A" w14:textId="77777777" w:rsidR="00855A6F" w:rsidRPr="00F659DE" w:rsidRDefault="00855A6F" w:rsidP="003208AA">
      <w:pPr>
        <w:pStyle w:val="NormalWeb"/>
        <w:spacing w:before="0" w:beforeAutospacing="0" w:after="240" w:afterAutospacing="0" w:line="360" w:lineRule="auto"/>
        <w:rPr>
          <w:rFonts w:asciiTheme="minorHAnsi" w:hAnsiTheme="minorHAnsi" w:cstheme="minorHAnsi"/>
          <w:sz w:val="22"/>
          <w:szCs w:val="22"/>
        </w:rPr>
      </w:pPr>
    </w:p>
    <w:sectPr w:rsidR="00855A6F" w:rsidRPr="00F65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F3B7122"/>
    <w:multiLevelType w:val="hybridMultilevel"/>
    <w:tmpl w:val="29CAB6FE"/>
    <w:lvl w:ilvl="0" w:tplc="7CC068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1F3E86"/>
    <w:multiLevelType w:val="hybridMultilevel"/>
    <w:tmpl w:val="4A18E1B0"/>
    <w:lvl w:ilvl="0" w:tplc="B65C66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02691">
    <w:abstractNumId w:val="1"/>
  </w:num>
  <w:num w:numId="2" w16cid:durableId="321667148">
    <w:abstractNumId w:val="2"/>
  </w:num>
  <w:num w:numId="3"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C9"/>
    <w:rsid w:val="00001BFD"/>
    <w:rsid w:val="00042E02"/>
    <w:rsid w:val="0004329F"/>
    <w:rsid w:val="00043ABB"/>
    <w:rsid w:val="000622D6"/>
    <w:rsid w:val="00076745"/>
    <w:rsid w:val="00082C6A"/>
    <w:rsid w:val="00093E28"/>
    <w:rsid w:val="000A05D1"/>
    <w:rsid w:val="000B45ED"/>
    <w:rsid w:val="000C5E27"/>
    <w:rsid w:val="000D06DF"/>
    <w:rsid w:val="000D7E97"/>
    <w:rsid w:val="000E176B"/>
    <w:rsid w:val="000E1DDA"/>
    <w:rsid w:val="000E63FC"/>
    <w:rsid w:val="001101EF"/>
    <w:rsid w:val="00111FEA"/>
    <w:rsid w:val="001131B3"/>
    <w:rsid w:val="00124886"/>
    <w:rsid w:val="00141D8D"/>
    <w:rsid w:val="001533A2"/>
    <w:rsid w:val="00162615"/>
    <w:rsid w:val="001726E2"/>
    <w:rsid w:val="001729A1"/>
    <w:rsid w:val="00176CB5"/>
    <w:rsid w:val="00180651"/>
    <w:rsid w:val="00186B54"/>
    <w:rsid w:val="0019710F"/>
    <w:rsid w:val="001B3399"/>
    <w:rsid w:val="001B4638"/>
    <w:rsid w:val="001C08B7"/>
    <w:rsid w:val="001C30FF"/>
    <w:rsid w:val="001C4511"/>
    <w:rsid w:val="001D0408"/>
    <w:rsid w:val="001D1693"/>
    <w:rsid w:val="001D27FF"/>
    <w:rsid w:val="001D3394"/>
    <w:rsid w:val="002009CB"/>
    <w:rsid w:val="002078A0"/>
    <w:rsid w:val="00224CF4"/>
    <w:rsid w:val="00225063"/>
    <w:rsid w:val="00246DCA"/>
    <w:rsid w:val="002752AB"/>
    <w:rsid w:val="0028126F"/>
    <w:rsid w:val="002C2AC7"/>
    <w:rsid w:val="002D3367"/>
    <w:rsid w:val="002D64D7"/>
    <w:rsid w:val="002E5118"/>
    <w:rsid w:val="002F3428"/>
    <w:rsid w:val="002F378A"/>
    <w:rsid w:val="003026FB"/>
    <w:rsid w:val="003035FB"/>
    <w:rsid w:val="00307BB4"/>
    <w:rsid w:val="00315C48"/>
    <w:rsid w:val="003208AA"/>
    <w:rsid w:val="003231F2"/>
    <w:rsid w:val="0034366A"/>
    <w:rsid w:val="003506E3"/>
    <w:rsid w:val="00355735"/>
    <w:rsid w:val="0037571A"/>
    <w:rsid w:val="003853FA"/>
    <w:rsid w:val="00392618"/>
    <w:rsid w:val="003A3EFE"/>
    <w:rsid w:val="003B5D08"/>
    <w:rsid w:val="003D43E2"/>
    <w:rsid w:val="003F01D1"/>
    <w:rsid w:val="00411E87"/>
    <w:rsid w:val="00444208"/>
    <w:rsid w:val="00451A04"/>
    <w:rsid w:val="004702EC"/>
    <w:rsid w:val="00474F00"/>
    <w:rsid w:val="00480971"/>
    <w:rsid w:val="00486339"/>
    <w:rsid w:val="00486C01"/>
    <w:rsid w:val="004C42E3"/>
    <w:rsid w:val="004C7682"/>
    <w:rsid w:val="004E134E"/>
    <w:rsid w:val="005025EF"/>
    <w:rsid w:val="00534541"/>
    <w:rsid w:val="00544897"/>
    <w:rsid w:val="00544C59"/>
    <w:rsid w:val="0059063B"/>
    <w:rsid w:val="005954C5"/>
    <w:rsid w:val="005A49C8"/>
    <w:rsid w:val="005D58DB"/>
    <w:rsid w:val="005E5C1B"/>
    <w:rsid w:val="005F0340"/>
    <w:rsid w:val="005F4B44"/>
    <w:rsid w:val="005F5EED"/>
    <w:rsid w:val="00605A36"/>
    <w:rsid w:val="006217DE"/>
    <w:rsid w:val="00644F19"/>
    <w:rsid w:val="006450F5"/>
    <w:rsid w:val="00660DE8"/>
    <w:rsid w:val="00660FA8"/>
    <w:rsid w:val="006713B4"/>
    <w:rsid w:val="00681DCD"/>
    <w:rsid w:val="006913C4"/>
    <w:rsid w:val="00694861"/>
    <w:rsid w:val="006A0A7A"/>
    <w:rsid w:val="006B1C67"/>
    <w:rsid w:val="006D24AD"/>
    <w:rsid w:val="006D5594"/>
    <w:rsid w:val="006E1BF6"/>
    <w:rsid w:val="00710414"/>
    <w:rsid w:val="00716E01"/>
    <w:rsid w:val="00723A62"/>
    <w:rsid w:val="007366EA"/>
    <w:rsid w:val="00737550"/>
    <w:rsid w:val="00745C45"/>
    <w:rsid w:val="00765AFA"/>
    <w:rsid w:val="00792EE5"/>
    <w:rsid w:val="00793EA9"/>
    <w:rsid w:val="007952EC"/>
    <w:rsid w:val="007960B9"/>
    <w:rsid w:val="007962F7"/>
    <w:rsid w:val="007B63C7"/>
    <w:rsid w:val="007C4EA2"/>
    <w:rsid w:val="007D4330"/>
    <w:rsid w:val="007F10EA"/>
    <w:rsid w:val="007F45CA"/>
    <w:rsid w:val="0080129C"/>
    <w:rsid w:val="008156F0"/>
    <w:rsid w:val="00820578"/>
    <w:rsid w:val="00826FDB"/>
    <w:rsid w:val="00833564"/>
    <w:rsid w:val="008336A1"/>
    <w:rsid w:val="00841D8A"/>
    <w:rsid w:val="00855A6F"/>
    <w:rsid w:val="008562D8"/>
    <w:rsid w:val="0086307E"/>
    <w:rsid w:val="008706F2"/>
    <w:rsid w:val="008814D2"/>
    <w:rsid w:val="008914CC"/>
    <w:rsid w:val="008A2978"/>
    <w:rsid w:val="008A33CD"/>
    <w:rsid w:val="008B0BD1"/>
    <w:rsid w:val="008C2706"/>
    <w:rsid w:val="008E0AA2"/>
    <w:rsid w:val="008E741D"/>
    <w:rsid w:val="008F330E"/>
    <w:rsid w:val="009170AB"/>
    <w:rsid w:val="00943894"/>
    <w:rsid w:val="00944E9B"/>
    <w:rsid w:val="009461AC"/>
    <w:rsid w:val="00976EB3"/>
    <w:rsid w:val="0098126D"/>
    <w:rsid w:val="0098485B"/>
    <w:rsid w:val="00991F31"/>
    <w:rsid w:val="009A2B9A"/>
    <w:rsid w:val="009A7FC8"/>
    <w:rsid w:val="009B6157"/>
    <w:rsid w:val="009F2AE7"/>
    <w:rsid w:val="00A17B7A"/>
    <w:rsid w:val="00A2233D"/>
    <w:rsid w:val="00A33F50"/>
    <w:rsid w:val="00A55B64"/>
    <w:rsid w:val="00A62D68"/>
    <w:rsid w:val="00A661C4"/>
    <w:rsid w:val="00A82078"/>
    <w:rsid w:val="00A86461"/>
    <w:rsid w:val="00AB7549"/>
    <w:rsid w:val="00AC6174"/>
    <w:rsid w:val="00AC6EBA"/>
    <w:rsid w:val="00AD5C31"/>
    <w:rsid w:val="00AE0AE3"/>
    <w:rsid w:val="00B03B81"/>
    <w:rsid w:val="00B1754D"/>
    <w:rsid w:val="00B21EED"/>
    <w:rsid w:val="00B23169"/>
    <w:rsid w:val="00B30FB0"/>
    <w:rsid w:val="00B31338"/>
    <w:rsid w:val="00B62F1E"/>
    <w:rsid w:val="00B8621F"/>
    <w:rsid w:val="00B86D7A"/>
    <w:rsid w:val="00B95B0F"/>
    <w:rsid w:val="00BD149C"/>
    <w:rsid w:val="00BE4502"/>
    <w:rsid w:val="00BE63A0"/>
    <w:rsid w:val="00C008AA"/>
    <w:rsid w:val="00C15165"/>
    <w:rsid w:val="00C17F0C"/>
    <w:rsid w:val="00C30593"/>
    <w:rsid w:val="00C418BA"/>
    <w:rsid w:val="00C47F78"/>
    <w:rsid w:val="00C738A3"/>
    <w:rsid w:val="00C73C96"/>
    <w:rsid w:val="00C772B6"/>
    <w:rsid w:val="00C77B73"/>
    <w:rsid w:val="00C908B8"/>
    <w:rsid w:val="00C968AE"/>
    <w:rsid w:val="00CB690E"/>
    <w:rsid w:val="00CD60E4"/>
    <w:rsid w:val="00CF0A5F"/>
    <w:rsid w:val="00D13032"/>
    <w:rsid w:val="00D16169"/>
    <w:rsid w:val="00D366F4"/>
    <w:rsid w:val="00D57981"/>
    <w:rsid w:val="00D65AE7"/>
    <w:rsid w:val="00D87C70"/>
    <w:rsid w:val="00DA4A9C"/>
    <w:rsid w:val="00DD26BD"/>
    <w:rsid w:val="00DD2DE1"/>
    <w:rsid w:val="00DD3706"/>
    <w:rsid w:val="00DE1AA9"/>
    <w:rsid w:val="00DE27BC"/>
    <w:rsid w:val="00E03FF5"/>
    <w:rsid w:val="00E04DA9"/>
    <w:rsid w:val="00E13EB6"/>
    <w:rsid w:val="00E2424A"/>
    <w:rsid w:val="00E520EF"/>
    <w:rsid w:val="00E62EFC"/>
    <w:rsid w:val="00E6598A"/>
    <w:rsid w:val="00E813B2"/>
    <w:rsid w:val="00EA38B9"/>
    <w:rsid w:val="00EA7EB0"/>
    <w:rsid w:val="00EC1F90"/>
    <w:rsid w:val="00EE36CF"/>
    <w:rsid w:val="00EE49DE"/>
    <w:rsid w:val="00EE6995"/>
    <w:rsid w:val="00EF1DEA"/>
    <w:rsid w:val="00EF29CC"/>
    <w:rsid w:val="00F365CB"/>
    <w:rsid w:val="00F533C9"/>
    <w:rsid w:val="00F6397C"/>
    <w:rsid w:val="00F64EE2"/>
    <w:rsid w:val="00FB0C64"/>
    <w:rsid w:val="00FB3000"/>
    <w:rsid w:val="00FB363F"/>
    <w:rsid w:val="00FB4ED7"/>
    <w:rsid w:val="00FC73DE"/>
    <w:rsid w:val="00FE24D4"/>
    <w:rsid w:val="00FE5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D10A"/>
  <w15:chartTrackingRefBased/>
  <w15:docId w15:val="{7EDF8A6D-59BE-4DC1-90AF-A5B8811F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3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3C9"/>
    <w:rPr>
      <w:color w:val="0000FF"/>
      <w:u w:val="single"/>
    </w:rPr>
  </w:style>
  <w:style w:type="paragraph" w:styleId="ListParagraph">
    <w:name w:val="List Paragraph"/>
    <w:basedOn w:val="Normal"/>
    <w:uiPriority w:val="34"/>
    <w:qFormat/>
    <w:rsid w:val="0098485B"/>
    <w:pPr>
      <w:ind w:left="720"/>
      <w:contextualSpacing/>
    </w:pPr>
  </w:style>
  <w:style w:type="paragraph" w:styleId="NormalWeb">
    <w:name w:val="Normal (Web)"/>
    <w:basedOn w:val="Normal"/>
    <w:uiPriority w:val="99"/>
    <w:unhideWhenUsed/>
    <w:rsid w:val="009848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5E5C1B"/>
    <w:rPr>
      <w:color w:val="605E5C"/>
      <w:shd w:val="clear" w:color="auto" w:fill="E1DFDD"/>
    </w:rPr>
  </w:style>
  <w:style w:type="paragraph" w:customStyle="1" w:styleId="p1">
    <w:name w:val="p1"/>
    <w:basedOn w:val="Normal"/>
    <w:rsid w:val="00FB4ED7"/>
    <w:pPr>
      <w:spacing w:before="100" w:beforeAutospacing="1" w:after="100" w:afterAutospacing="1" w:line="240" w:lineRule="auto"/>
    </w:pPr>
    <w:rPr>
      <w:rFonts w:ascii="Calibri" w:hAnsi="Calibri" w:cs="Calibri"/>
      <w:kern w:val="0"/>
      <w:lang w:eastAsia="en-GB"/>
      <w14:ligatures w14:val="none"/>
    </w:rPr>
  </w:style>
  <w:style w:type="paragraph" w:customStyle="1" w:styleId="p2">
    <w:name w:val="p2"/>
    <w:basedOn w:val="Normal"/>
    <w:rsid w:val="00FB4ED7"/>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FB4ED7"/>
  </w:style>
  <w:style w:type="character" w:customStyle="1" w:styleId="s2">
    <w:name w:val="s2"/>
    <w:basedOn w:val="DefaultParagraphFont"/>
    <w:rsid w:val="003208AA"/>
  </w:style>
  <w:style w:type="paragraph" w:styleId="PlainText">
    <w:name w:val="Plain Text"/>
    <w:basedOn w:val="Normal"/>
    <w:link w:val="PlainTextChar"/>
    <w:uiPriority w:val="99"/>
    <w:semiHidden/>
    <w:unhideWhenUsed/>
    <w:rsid w:val="00855A6F"/>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855A6F"/>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32242">
      <w:bodyDiv w:val="1"/>
      <w:marLeft w:val="0"/>
      <w:marRight w:val="0"/>
      <w:marTop w:val="0"/>
      <w:marBottom w:val="0"/>
      <w:divBdr>
        <w:top w:val="none" w:sz="0" w:space="0" w:color="auto"/>
        <w:left w:val="none" w:sz="0" w:space="0" w:color="auto"/>
        <w:bottom w:val="none" w:sz="0" w:space="0" w:color="auto"/>
        <w:right w:val="none" w:sz="0" w:space="0" w:color="auto"/>
      </w:divBdr>
      <w:divsChild>
        <w:div w:id="592516985">
          <w:marLeft w:val="0"/>
          <w:marRight w:val="0"/>
          <w:marTop w:val="0"/>
          <w:marBottom w:val="0"/>
          <w:divBdr>
            <w:top w:val="none" w:sz="0" w:space="0" w:color="auto"/>
            <w:left w:val="none" w:sz="0" w:space="0" w:color="auto"/>
            <w:bottom w:val="none" w:sz="0" w:space="0" w:color="auto"/>
            <w:right w:val="none" w:sz="0" w:space="0" w:color="auto"/>
          </w:divBdr>
        </w:div>
      </w:divsChild>
    </w:div>
    <w:div w:id="165486964">
      <w:bodyDiv w:val="1"/>
      <w:marLeft w:val="0"/>
      <w:marRight w:val="0"/>
      <w:marTop w:val="0"/>
      <w:marBottom w:val="0"/>
      <w:divBdr>
        <w:top w:val="none" w:sz="0" w:space="0" w:color="auto"/>
        <w:left w:val="none" w:sz="0" w:space="0" w:color="auto"/>
        <w:bottom w:val="none" w:sz="0" w:space="0" w:color="auto"/>
        <w:right w:val="none" w:sz="0" w:space="0" w:color="auto"/>
      </w:divBdr>
      <w:divsChild>
        <w:div w:id="997227215">
          <w:marLeft w:val="0"/>
          <w:marRight w:val="0"/>
          <w:marTop w:val="0"/>
          <w:marBottom w:val="0"/>
          <w:divBdr>
            <w:top w:val="none" w:sz="0" w:space="0" w:color="auto"/>
            <w:left w:val="none" w:sz="0" w:space="0" w:color="auto"/>
            <w:bottom w:val="none" w:sz="0" w:space="0" w:color="auto"/>
            <w:right w:val="none" w:sz="0" w:space="0" w:color="auto"/>
          </w:divBdr>
        </w:div>
      </w:divsChild>
    </w:div>
    <w:div w:id="321742373">
      <w:bodyDiv w:val="1"/>
      <w:marLeft w:val="0"/>
      <w:marRight w:val="0"/>
      <w:marTop w:val="0"/>
      <w:marBottom w:val="0"/>
      <w:divBdr>
        <w:top w:val="none" w:sz="0" w:space="0" w:color="auto"/>
        <w:left w:val="none" w:sz="0" w:space="0" w:color="auto"/>
        <w:bottom w:val="none" w:sz="0" w:space="0" w:color="auto"/>
        <w:right w:val="none" w:sz="0" w:space="0" w:color="auto"/>
      </w:divBdr>
    </w:div>
    <w:div w:id="359169465">
      <w:bodyDiv w:val="1"/>
      <w:marLeft w:val="0"/>
      <w:marRight w:val="0"/>
      <w:marTop w:val="0"/>
      <w:marBottom w:val="0"/>
      <w:divBdr>
        <w:top w:val="none" w:sz="0" w:space="0" w:color="auto"/>
        <w:left w:val="none" w:sz="0" w:space="0" w:color="auto"/>
        <w:bottom w:val="none" w:sz="0" w:space="0" w:color="auto"/>
        <w:right w:val="none" w:sz="0" w:space="0" w:color="auto"/>
      </w:divBdr>
      <w:divsChild>
        <w:div w:id="455369445">
          <w:marLeft w:val="0"/>
          <w:marRight w:val="0"/>
          <w:marTop w:val="0"/>
          <w:marBottom w:val="0"/>
          <w:divBdr>
            <w:top w:val="none" w:sz="0" w:space="0" w:color="auto"/>
            <w:left w:val="none" w:sz="0" w:space="0" w:color="auto"/>
            <w:bottom w:val="none" w:sz="0" w:space="0" w:color="auto"/>
            <w:right w:val="none" w:sz="0" w:space="0" w:color="auto"/>
          </w:divBdr>
        </w:div>
      </w:divsChild>
    </w:div>
    <w:div w:id="607204524">
      <w:bodyDiv w:val="1"/>
      <w:marLeft w:val="0"/>
      <w:marRight w:val="0"/>
      <w:marTop w:val="0"/>
      <w:marBottom w:val="0"/>
      <w:divBdr>
        <w:top w:val="none" w:sz="0" w:space="0" w:color="auto"/>
        <w:left w:val="none" w:sz="0" w:space="0" w:color="auto"/>
        <w:bottom w:val="none" w:sz="0" w:space="0" w:color="auto"/>
        <w:right w:val="none" w:sz="0" w:space="0" w:color="auto"/>
      </w:divBdr>
    </w:div>
    <w:div w:id="669796176">
      <w:bodyDiv w:val="1"/>
      <w:marLeft w:val="0"/>
      <w:marRight w:val="0"/>
      <w:marTop w:val="0"/>
      <w:marBottom w:val="0"/>
      <w:divBdr>
        <w:top w:val="none" w:sz="0" w:space="0" w:color="auto"/>
        <w:left w:val="none" w:sz="0" w:space="0" w:color="auto"/>
        <w:bottom w:val="none" w:sz="0" w:space="0" w:color="auto"/>
        <w:right w:val="none" w:sz="0" w:space="0" w:color="auto"/>
      </w:divBdr>
      <w:divsChild>
        <w:div w:id="652106653">
          <w:marLeft w:val="0"/>
          <w:marRight w:val="0"/>
          <w:marTop w:val="0"/>
          <w:marBottom w:val="0"/>
          <w:divBdr>
            <w:top w:val="none" w:sz="0" w:space="0" w:color="auto"/>
            <w:left w:val="none" w:sz="0" w:space="0" w:color="auto"/>
            <w:bottom w:val="none" w:sz="0" w:space="0" w:color="auto"/>
            <w:right w:val="none" w:sz="0" w:space="0" w:color="auto"/>
          </w:divBdr>
        </w:div>
      </w:divsChild>
    </w:div>
    <w:div w:id="684139784">
      <w:bodyDiv w:val="1"/>
      <w:marLeft w:val="0"/>
      <w:marRight w:val="0"/>
      <w:marTop w:val="0"/>
      <w:marBottom w:val="0"/>
      <w:divBdr>
        <w:top w:val="none" w:sz="0" w:space="0" w:color="auto"/>
        <w:left w:val="none" w:sz="0" w:space="0" w:color="auto"/>
        <w:bottom w:val="none" w:sz="0" w:space="0" w:color="auto"/>
        <w:right w:val="none" w:sz="0" w:space="0" w:color="auto"/>
      </w:divBdr>
    </w:div>
    <w:div w:id="699816772">
      <w:bodyDiv w:val="1"/>
      <w:marLeft w:val="0"/>
      <w:marRight w:val="0"/>
      <w:marTop w:val="0"/>
      <w:marBottom w:val="0"/>
      <w:divBdr>
        <w:top w:val="none" w:sz="0" w:space="0" w:color="auto"/>
        <w:left w:val="none" w:sz="0" w:space="0" w:color="auto"/>
        <w:bottom w:val="none" w:sz="0" w:space="0" w:color="auto"/>
        <w:right w:val="none" w:sz="0" w:space="0" w:color="auto"/>
      </w:divBdr>
    </w:div>
    <w:div w:id="749350808">
      <w:bodyDiv w:val="1"/>
      <w:marLeft w:val="0"/>
      <w:marRight w:val="0"/>
      <w:marTop w:val="0"/>
      <w:marBottom w:val="0"/>
      <w:divBdr>
        <w:top w:val="none" w:sz="0" w:space="0" w:color="auto"/>
        <w:left w:val="none" w:sz="0" w:space="0" w:color="auto"/>
        <w:bottom w:val="none" w:sz="0" w:space="0" w:color="auto"/>
        <w:right w:val="none" w:sz="0" w:space="0" w:color="auto"/>
      </w:divBdr>
    </w:div>
    <w:div w:id="856193693">
      <w:bodyDiv w:val="1"/>
      <w:marLeft w:val="0"/>
      <w:marRight w:val="0"/>
      <w:marTop w:val="0"/>
      <w:marBottom w:val="0"/>
      <w:divBdr>
        <w:top w:val="none" w:sz="0" w:space="0" w:color="auto"/>
        <w:left w:val="none" w:sz="0" w:space="0" w:color="auto"/>
        <w:bottom w:val="none" w:sz="0" w:space="0" w:color="auto"/>
        <w:right w:val="none" w:sz="0" w:space="0" w:color="auto"/>
      </w:divBdr>
    </w:div>
    <w:div w:id="925963969">
      <w:bodyDiv w:val="1"/>
      <w:marLeft w:val="0"/>
      <w:marRight w:val="0"/>
      <w:marTop w:val="0"/>
      <w:marBottom w:val="0"/>
      <w:divBdr>
        <w:top w:val="none" w:sz="0" w:space="0" w:color="auto"/>
        <w:left w:val="none" w:sz="0" w:space="0" w:color="auto"/>
        <w:bottom w:val="none" w:sz="0" w:space="0" w:color="auto"/>
        <w:right w:val="none" w:sz="0" w:space="0" w:color="auto"/>
      </w:divBdr>
      <w:divsChild>
        <w:div w:id="458954978">
          <w:marLeft w:val="0"/>
          <w:marRight w:val="0"/>
          <w:marTop w:val="0"/>
          <w:marBottom w:val="0"/>
          <w:divBdr>
            <w:top w:val="none" w:sz="0" w:space="0" w:color="auto"/>
            <w:left w:val="none" w:sz="0" w:space="0" w:color="auto"/>
            <w:bottom w:val="none" w:sz="0" w:space="0" w:color="auto"/>
            <w:right w:val="none" w:sz="0" w:space="0" w:color="auto"/>
          </w:divBdr>
        </w:div>
      </w:divsChild>
    </w:div>
    <w:div w:id="1044787939">
      <w:bodyDiv w:val="1"/>
      <w:marLeft w:val="0"/>
      <w:marRight w:val="0"/>
      <w:marTop w:val="0"/>
      <w:marBottom w:val="0"/>
      <w:divBdr>
        <w:top w:val="none" w:sz="0" w:space="0" w:color="auto"/>
        <w:left w:val="none" w:sz="0" w:space="0" w:color="auto"/>
        <w:bottom w:val="none" w:sz="0" w:space="0" w:color="auto"/>
        <w:right w:val="none" w:sz="0" w:space="0" w:color="auto"/>
      </w:divBdr>
      <w:divsChild>
        <w:div w:id="1318611954">
          <w:marLeft w:val="0"/>
          <w:marRight w:val="0"/>
          <w:marTop w:val="0"/>
          <w:marBottom w:val="0"/>
          <w:divBdr>
            <w:top w:val="none" w:sz="0" w:space="0" w:color="auto"/>
            <w:left w:val="none" w:sz="0" w:space="0" w:color="auto"/>
            <w:bottom w:val="none" w:sz="0" w:space="0" w:color="auto"/>
            <w:right w:val="none" w:sz="0" w:space="0" w:color="auto"/>
          </w:divBdr>
        </w:div>
      </w:divsChild>
    </w:div>
    <w:div w:id="1126387324">
      <w:bodyDiv w:val="1"/>
      <w:marLeft w:val="0"/>
      <w:marRight w:val="0"/>
      <w:marTop w:val="0"/>
      <w:marBottom w:val="0"/>
      <w:divBdr>
        <w:top w:val="none" w:sz="0" w:space="0" w:color="auto"/>
        <w:left w:val="none" w:sz="0" w:space="0" w:color="auto"/>
        <w:bottom w:val="none" w:sz="0" w:space="0" w:color="auto"/>
        <w:right w:val="none" w:sz="0" w:space="0" w:color="auto"/>
      </w:divBdr>
    </w:div>
    <w:div w:id="1188449395">
      <w:bodyDiv w:val="1"/>
      <w:marLeft w:val="0"/>
      <w:marRight w:val="0"/>
      <w:marTop w:val="0"/>
      <w:marBottom w:val="0"/>
      <w:divBdr>
        <w:top w:val="none" w:sz="0" w:space="0" w:color="auto"/>
        <w:left w:val="none" w:sz="0" w:space="0" w:color="auto"/>
        <w:bottom w:val="none" w:sz="0" w:space="0" w:color="auto"/>
        <w:right w:val="none" w:sz="0" w:space="0" w:color="auto"/>
      </w:divBdr>
      <w:divsChild>
        <w:div w:id="1463814850">
          <w:marLeft w:val="0"/>
          <w:marRight w:val="0"/>
          <w:marTop w:val="0"/>
          <w:marBottom w:val="0"/>
          <w:divBdr>
            <w:top w:val="none" w:sz="0" w:space="0" w:color="auto"/>
            <w:left w:val="none" w:sz="0" w:space="0" w:color="auto"/>
            <w:bottom w:val="none" w:sz="0" w:space="0" w:color="auto"/>
            <w:right w:val="none" w:sz="0" w:space="0" w:color="auto"/>
          </w:divBdr>
        </w:div>
      </w:divsChild>
    </w:div>
    <w:div w:id="1289093417">
      <w:bodyDiv w:val="1"/>
      <w:marLeft w:val="0"/>
      <w:marRight w:val="0"/>
      <w:marTop w:val="0"/>
      <w:marBottom w:val="0"/>
      <w:divBdr>
        <w:top w:val="none" w:sz="0" w:space="0" w:color="auto"/>
        <w:left w:val="none" w:sz="0" w:space="0" w:color="auto"/>
        <w:bottom w:val="none" w:sz="0" w:space="0" w:color="auto"/>
        <w:right w:val="none" w:sz="0" w:space="0" w:color="auto"/>
      </w:divBdr>
      <w:divsChild>
        <w:div w:id="364906799">
          <w:marLeft w:val="0"/>
          <w:marRight w:val="0"/>
          <w:marTop w:val="0"/>
          <w:marBottom w:val="0"/>
          <w:divBdr>
            <w:top w:val="none" w:sz="0" w:space="0" w:color="auto"/>
            <w:left w:val="none" w:sz="0" w:space="0" w:color="auto"/>
            <w:bottom w:val="none" w:sz="0" w:space="0" w:color="auto"/>
            <w:right w:val="none" w:sz="0" w:space="0" w:color="auto"/>
          </w:divBdr>
        </w:div>
      </w:divsChild>
    </w:div>
    <w:div w:id="1301302238">
      <w:bodyDiv w:val="1"/>
      <w:marLeft w:val="0"/>
      <w:marRight w:val="0"/>
      <w:marTop w:val="0"/>
      <w:marBottom w:val="0"/>
      <w:divBdr>
        <w:top w:val="none" w:sz="0" w:space="0" w:color="auto"/>
        <w:left w:val="none" w:sz="0" w:space="0" w:color="auto"/>
        <w:bottom w:val="none" w:sz="0" w:space="0" w:color="auto"/>
        <w:right w:val="none" w:sz="0" w:space="0" w:color="auto"/>
      </w:divBdr>
      <w:divsChild>
        <w:div w:id="357119285">
          <w:marLeft w:val="0"/>
          <w:marRight w:val="0"/>
          <w:marTop w:val="0"/>
          <w:marBottom w:val="0"/>
          <w:divBdr>
            <w:top w:val="none" w:sz="0" w:space="0" w:color="auto"/>
            <w:left w:val="none" w:sz="0" w:space="0" w:color="auto"/>
            <w:bottom w:val="none" w:sz="0" w:space="0" w:color="auto"/>
            <w:right w:val="none" w:sz="0" w:space="0" w:color="auto"/>
          </w:divBdr>
        </w:div>
      </w:divsChild>
    </w:div>
    <w:div w:id="1428423951">
      <w:bodyDiv w:val="1"/>
      <w:marLeft w:val="0"/>
      <w:marRight w:val="0"/>
      <w:marTop w:val="0"/>
      <w:marBottom w:val="0"/>
      <w:divBdr>
        <w:top w:val="none" w:sz="0" w:space="0" w:color="auto"/>
        <w:left w:val="none" w:sz="0" w:space="0" w:color="auto"/>
        <w:bottom w:val="none" w:sz="0" w:space="0" w:color="auto"/>
        <w:right w:val="none" w:sz="0" w:space="0" w:color="auto"/>
      </w:divBdr>
    </w:div>
    <w:div w:id="1592859074">
      <w:bodyDiv w:val="1"/>
      <w:marLeft w:val="0"/>
      <w:marRight w:val="0"/>
      <w:marTop w:val="0"/>
      <w:marBottom w:val="0"/>
      <w:divBdr>
        <w:top w:val="none" w:sz="0" w:space="0" w:color="auto"/>
        <w:left w:val="none" w:sz="0" w:space="0" w:color="auto"/>
        <w:bottom w:val="none" w:sz="0" w:space="0" w:color="auto"/>
        <w:right w:val="none" w:sz="0" w:space="0" w:color="auto"/>
      </w:divBdr>
    </w:div>
    <w:div w:id="1701861315">
      <w:bodyDiv w:val="1"/>
      <w:marLeft w:val="0"/>
      <w:marRight w:val="0"/>
      <w:marTop w:val="0"/>
      <w:marBottom w:val="0"/>
      <w:divBdr>
        <w:top w:val="none" w:sz="0" w:space="0" w:color="auto"/>
        <w:left w:val="none" w:sz="0" w:space="0" w:color="auto"/>
        <w:bottom w:val="none" w:sz="0" w:space="0" w:color="auto"/>
        <w:right w:val="none" w:sz="0" w:space="0" w:color="auto"/>
      </w:divBdr>
    </w:div>
    <w:div w:id="1887109237">
      <w:bodyDiv w:val="1"/>
      <w:marLeft w:val="0"/>
      <w:marRight w:val="0"/>
      <w:marTop w:val="0"/>
      <w:marBottom w:val="0"/>
      <w:divBdr>
        <w:top w:val="none" w:sz="0" w:space="0" w:color="auto"/>
        <w:left w:val="none" w:sz="0" w:space="0" w:color="auto"/>
        <w:bottom w:val="none" w:sz="0" w:space="0" w:color="auto"/>
        <w:right w:val="none" w:sz="0" w:space="0" w:color="auto"/>
      </w:divBdr>
      <w:divsChild>
        <w:div w:id="801652920">
          <w:marLeft w:val="0"/>
          <w:marRight w:val="0"/>
          <w:marTop w:val="0"/>
          <w:marBottom w:val="0"/>
          <w:divBdr>
            <w:top w:val="none" w:sz="0" w:space="0" w:color="auto"/>
            <w:left w:val="none" w:sz="0" w:space="0" w:color="auto"/>
            <w:bottom w:val="none" w:sz="0" w:space="0" w:color="auto"/>
            <w:right w:val="none" w:sz="0" w:space="0" w:color="auto"/>
          </w:divBdr>
        </w:div>
      </w:divsChild>
    </w:div>
    <w:div w:id="207828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cc.police.uk/our-work/police-uplift-programme/" TargetMode="External"/><Relationship Id="rId13" Type="http://schemas.openxmlformats.org/officeDocument/2006/relationships/hyperlink" Target="https://www.nationalcrimeagency.gov.uk/what-we-do/crime-threats/drug-trafficking/county-lines" TargetMode="External"/><Relationship Id="rId3" Type="http://schemas.openxmlformats.org/officeDocument/2006/relationships/styles" Target="styles.xml"/><Relationship Id="rId7" Type="http://schemas.openxmlformats.org/officeDocument/2006/relationships/hyperlink" Target="https://www.ethnicity-facts-figures.service.gov.uk/" TargetMode="External"/><Relationship Id="rId12" Type="http://schemas.openxmlformats.org/officeDocument/2006/relationships/hyperlink" Target="https://www.gov.uk/government/publications/vulnerabilities-applying-all-our-health/vulnerabilities-applying-all-our-healt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iteseerx.ist.psu.edu/document?repid=rep1&amp;type=pdf&amp;doi=1d33b18f47baeb3ef37a884112fdd8ad446174f6" TargetMode="External"/><Relationship Id="rId11" Type="http://schemas.openxmlformats.org/officeDocument/2006/relationships/hyperlink" Target="https://www.college.police.uk/ethics/code-of-eth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lege.police.uk/app/national-decision-model/national-decision-model" TargetMode="External"/><Relationship Id="rId4" Type="http://schemas.openxmlformats.org/officeDocument/2006/relationships/settings" Target="settings.xml"/><Relationship Id="rId9" Type="http://schemas.openxmlformats.org/officeDocument/2006/relationships/hyperlink" Target="https://www.counterterrorism.police.uk/.%20(Acces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C1307-10F0-4F42-A463-2F7CDB57B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5752</Words>
  <Characters>32789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Wilkins, Tyler</dc:creator>
  <cp:keywords/>
  <dc:description/>
  <cp:lastModifiedBy>Wilkins, Tyler</cp:lastModifiedBy>
  <cp:revision>3</cp:revision>
  <dcterms:created xsi:type="dcterms:W3CDTF">2025-02-03T23:45:00Z</dcterms:created>
  <dcterms:modified xsi:type="dcterms:W3CDTF">2025-02-03T23:46:00Z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2025-02-03T01:59:30Z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49abb599-b791-42d4-a3bb-506171c5bc12</vt:lpwstr>
  </property>
  <property fmtid="{D5CDD505-2E9C-101B-9397-08002B2CF9AE}" pid="8" name="MSIP_Label_f2acd28b-79a3-4a0f-b0ff-4b75658b1549_ContentBits">
    <vt:lpwstr>0</vt:lpwstr>
  </property>
</Properties>
</file>