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0BFF9" w14:textId="77777777" w:rsidR="0090580D" w:rsidRDefault="00000000">
      <w:pPr>
        <w:jc w:val="center"/>
      </w:pPr>
      <w:r>
        <w:t>LCHS4003 – INTRODUCTION TO HEALTH AND SOCIAL CARE</w:t>
      </w:r>
    </w:p>
    <w:p w14:paraId="4961661C" w14:textId="77777777" w:rsidR="0090580D" w:rsidRDefault="00000000">
      <w:pPr>
        <w:jc w:val="center"/>
      </w:pPr>
      <w:r>
        <w:rPr>
          <w:b/>
        </w:rPr>
        <w:t>Component 1 Portfolio</w:t>
      </w:r>
    </w:p>
    <w:p w14:paraId="389711EB" w14:textId="77777777" w:rsidR="0090580D" w:rsidRDefault="00000000">
      <w:r>
        <w:br/>
      </w:r>
      <w:r>
        <w:br/>
        <w:t>Assignment Title:</w:t>
      </w:r>
    </w:p>
    <w:p w14:paraId="169744BB" w14:textId="77777777" w:rsidR="0090580D" w:rsidRDefault="00000000">
      <w:r>
        <w:t>Residential Care Homes (Poster) &amp; Community Antenatal Midwifery Services (Essay)</w:t>
      </w:r>
    </w:p>
    <w:p w14:paraId="4434840A" w14:textId="77777777" w:rsidR="0090580D" w:rsidRDefault="00000000">
      <w:r>
        <w:br/>
        <w:t>Student Name: OKEKE IRENE NJIDEKA</w:t>
      </w:r>
    </w:p>
    <w:p w14:paraId="2DBA3FC3" w14:textId="77777777" w:rsidR="0090580D" w:rsidRDefault="00000000">
      <w:r>
        <w:t>Student Number: 2513507@student.uwtsd.ac.uk</w:t>
      </w:r>
    </w:p>
    <w:p w14:paraId="5D2CE44B" w14:textId="77777777" w:rsidR="0090580D" w:rsidRDefault="00000000">
      <w:r>
        <w:t>Module Code: LCHS4003</w:t>
      </w:r>
    </w:p>
    <w:p w14:paraId="1E3F03E4" w14:textId="77777777" w:rsidR="0090580D" w:rsidRDefault="00000000">
      <w:r>
        <w:t>Module Title: INTRODUCTION TO HEALTH AND SOCIAL CARE</w:t>
      </w:r>
    </w:p>
    <w:p w14:paraId="7284F1DB" w14:textId="77777777" w:rsidR="0090580D" w:rsidRDefault="00000000">
      <w:r>
        <w:t>Lecturer: MUMTAZ GOOLAM</w:t>
      </w:r>
    </w:p>
    <w:p w14:paraId="713F48F4" w14:textId="77777777" w:rsidR="0090580D" w:rsidRDefault="00000000">
      <w:r>
        <w:br w:type="page"/>
      </w:r>
    </w:p>
    <w:p w14:paraId="23DEB626" w14:textId="77777777" w:rsidR="0090580D" w:rsidRDefault="00000000">
      <w:pPr>
        <w:pStyle w:val="Heading1"/>
      </w:pPr>
      <w:r>
        <w:lastRenderedPageBreak/>
        <w:t>RESIDENTIAL CARE HOMES</w:t>
      </w:r>
    </w:p>
    <w:p w14:paraId="31FE8CDF" w14:textId="77777777" w:rsidR="0090580D" w:rsidRDefault="00000000">
      <w:r>
        <w:br/>
        <w:t>Definition:</w:t>
      </w:r>
      <w:r>
        <w:br/>
        <w:t>Residential care homes provide accommodation and personal care for individuals who cannot live independently due to age, illness or disability (Care Quality Commission, 2023).</w:t>
      </w:r>
      <w:r>
        <w:br/>
      </w:r>
      <w:r>
        <w:br/>
        <w:t>Historical Development:</w:t>
      </w:r>
      <w:r>
        <w:br/>
        <w:t>• Poor Law Act 1601 – institutional poor relief</w:t>
      </w:r>
      <w:r>
        <w:br/>
        <w:t>• National Assistance Act 1948 – development of welfare state services</w:t>
      </w:r>
      <w:r>
        <w:br/>
        <w:t>• NHS and Community Care Act 1990 – formal regulation and community care shift</w:t>
      </w:r>
      <w:r>
        <w:br/>
      </w:r>
      <w:r>
        <w:br/>
        <w:t>Current Functioning:</w:t>
      </w:r>
      <w:r>
        <w:br/>
        <w:t>• Regulated by the Care Quality Commission (CQC)</w:t>
      </w:r>
      <w:r>
        <w:br/>
        <w:t>• Person-centred care approach</w:t>
      </w:r>
      <w:r>
        <w:br/>
        <w:t>• Safeguarding policies</w:t>
      </w:r>
      <w:r>
        <w:br/>
        <w:t>• Risk assessments and infection control measures</w:t>
      </w:r>
      <w:r>
        <w:br/>
        <w:t>• Multidisciplinary collaboration</w:t>
      </w:r>
      <w:r>
        <w:br/>
      </w:r>
      <w:r>
        <w:br/>
        <w:t>Challenges:</w:t>
      </w:r>
      <w:r>
        <w:br/>
        <w:t>1. Workforce shortages due to recruitment and retention difficulties (Skills for Care, 2023).</w:t>
      </w:r>
      <w:r>
        <w:br/>
        <w:t>2. Funding pressures linked to rising demand and ageing population (Bottery and Mallorie, 2023).</w:t>
      </w:r>
      <w:r>
        <w:br/>
      </w:r>
      <w:r>
        <w:br/>
        <w:t>Significance:</w:t>
      </w:r>
      <w:r>
        <w:br/>
        <w:t>Residential care homes enhance dignity, safety and quality of life for vulnerable adults.</w:t>
      </w:r>
      <w:r>
        <w:br/>
      </w:r>
    </w:p>
    <w:p w14:paraId="0D6F2247" w14:textId="77777777" w:rsidR="0090580D" w:rsidRDefault="00000000">
      <w:r>
        <w:br w:type="page"/>
      </w:r>
    </w:p>
    <w:p w14:paraId="7B82BA68" w14:textId="77777777" w:rsidR="0090580D" w:rsidRDefault="00000000">
      <w:pPr>
        <w:pStyle w:val="Heading1"/>
      </w:pPr>
      <w:r>
        <w:lastRenderedPageBreak/>
        <w:t>Community Antenatal Midwifery Services</w:t>
      </w:r>
    </w:p>
    <w:p w14:paraId="613625F5" w14:textId="77777777" w:rsidR="0090580D" w:rsidRDefault="00000000">
      <w:pPr>
        <w:spacing w:line="360" w:lineRule="auto"/>
      </w:pPr>
      <w:r>
        <w:rPr>
          <w:rFonts w:ascii="Arial" w:hAnsi="Arial"/>
        </w:rPr>
        <w:t>Introduction</w:t>
      </w:r>
    </w:p>
    <w:p w14:paraId="755B23B5" w14:textId="77777777" w:rsidR="0090580D" w:rsidRDefault="00000000">
      <w:pPr>
        <w:spacing w:line="360" w:lineRule="auto"/>
      </w:pPr>
      <w:r>
        <w:rPr>
          <w:rFonts w:ascii="Arial" w:hAnsi="Arial"/>
        </w:rPr>
        <w:t>Community antenatal midwifery services provide preventive and supportive care to women during pregnancy within community settings. These services aim to monitor maternal and fetal wellbeing, provide health education, and identify risks early (NHS England, 2023). Effective antenatal care significantly reduces maternal and neonatal morbidity and mortality (World Health Organization, 2022).</w:t>
      </w:r>
    </w:p>
    <w:p w14:paraId="4475D2AF" w14:textId="77777777" w:rsidR="0090580D" w:rsidRDefault="00000000">
      <w:pPr>
        <w:spacing w:line="360" w:lineRule="auto"/>
      </w:pPr>
      <w:r>
        <w:rPr>
          <w:rFonts w:ascii="Arial" w:hAnsi="Arial"/>
        </w:rPr>
        <w:t>Historical Development</w:t>
      </w:r>
    </w:p>
    <w:p w14:paraId="77206E32" w14:textId="77777777" w:rsidR="0090580D" w:rsidRDefault="00000000">
      <w:pPr>
        <w:spacing w:line="360" w:lineRule="auto"/>
      </w:pPr>
      <w:r>
        <w:rPr>
          <w:rFonts w:ascii="Arial" w:hAnsi="Arial"/>
        </w:rPr>
        <w:t>Professional midwifery regulation began with the Midwives Act 1902, establishing standards of training and accountability. The establishment of the NHS in 1948 ensured universal access to maternity services (Timmins, 2017). Subsequent reforms such as the Changing Childbirth Report (1993) promoted continuity of care and woman-centred practice (Leap and Hunter, 2016).</w:t>
      </w:r>
    </w:p>
    <w:p w14:paraId="32306036" w14:textId="77777777" w:rsidR="0090580D" w:rsidRDefault="00000000">
      <w:pPr>
        <w:spacing w:line="360" w:lineRule="auto"/>
      </w:pPr>
      <w:r>
        <w:rPr>
          <w:rFonts w:ascii="Arial" w:hAnsi="Arial"/>
        </w:rPr>
        <w:t>Contemporary Functioning</w:t>
      </w:r>
    </w:p>
    <w:p w14:paraId="04E7CEC3" w14:textId="77777777" w:rsidR="0090580D" w:rsidRDefault="00000000">
      <w:pPr>
        <w:spacing w:line="360" w:lineRule="auto"/>
      </w:pPr>
      <w:r>
        <w:rPr>
          <w:rFonts w:ascii="Arial" w:hAnsi="Arial"/>
        </w:rPr>
        <w:t>Modern community antenatal services operate within integrated maternity pathways. Midwives conduct routine examinations, provide screening referrals, support safeguarding procedures, and deliver public health education. Digital health records and multidisciplinary collaboration enhance continuity of care. However, workforce shortages and service inequalities remain concerns (Royal College of Midwives, 2023).</w:t>
      </w:r>
    </w:p>
    <w:p w14:paraId="4BF3CBD5" w14:textId="77777777" w:rsidR="0090580D" w:rsidRDefault="00000000">
      <w:pPr>
        <w:spacing w:line="360" w:lineRule="auto"/>
      </w:pPr>
      <w:r>
        <w:rPr>
          <w:rFonts w:ascii="Arial" w:hAnsi="Arial"/>
        </w:rPr>
        <w:t>Critical Evaluation</w:t>
      </w:r>
    </w:p>
    <w:p w14:paraId="62DF7EAC" w14:textId="77777777" w:rsidR="0090580D" w:rsidRDefault="00000000">
      <w:pPr>
        <w:spacing w:line="360" w:lineRule="auto"/>
      </w:pPr>
      <w:r>
        <w:rPr>
          <w:rFonts w:ascii="Arial" w:hAnsi="Arial"/>
        </w:rPr>
        <w:t>Community antenatal services demonstrate strong preventive value. Early detection of complications reduces long-term healthcare costs and improves outcomes. Nevertheless, disparities persist among ethnic minority groups and socially deprived populations. Staffing pressures may also compromise continuity of care. Addressing structural inequalities and workforce planning is essential to sustain quality service provision.</w:t>
      </w:r>
    </w:p>
    <w:p w14:paraId="330B7396" w14:textId="77777777" w:rsidR="0090580D" w:rsidRDefault="00000000">
      <w:pPr>
        <w:spacing w:line="360" w:lineRule="auto"/>
      </w:pPr>
      <w:r>
        <w:rPr>
          <w:rFonts w:ascii="Arial" w:hAnsi="Arial"/>
        </w:rPr>
        <w:t>Significance</w:t>
      </w:r>
    </w:p>
    <w:p w14:paraId="595E18EF" w14:textId="77777777" w:rsidR="0090580D" w:rsidRDefault="00000000">
      <w:pPr>
        <w:spacing w:line="360" w:lineRule="auto"/>
      </w:pPr>
      <w:r>
        <w:rPr>
          <w:rFonts w:ascii="Arial" w:hAnsi="Arial"/>
        </w:rPr>
        <w:t xml:space="preserve">These services improve maternal mental health, increase birth preparedness, and promote healthy behaviours during pregnancy. By supporting early intervention, </w:t>
      </w:r>
      <w:r>
        <w:rPr>
          <w:rFonts w:ascii="Arial" w:hAnsi="Arial"/>
        </w:rPr>
        <w:lastRenderedPageBreak/>
        <w:t>antenatal midwifery contributes significantly to improved family wellbeing and long-term child development (World Health Organization, 2022).</w:t>
      </w:r>
    </w:p>
    <w:p w14:paraId="09EF61B1" w14:textId="77777777" w:rsidR="0090580D" w:rsidRDefault="00000000">
      <w:pPr>
        <w:spacing w:line="360" w:lineRule="auto"/>
      </w:pPr>
      <w:r>
        <w:rPr>
          <w:rFonts w:ascii="Arial" w:hAnsi="Arial"/>
        </w:rPr>
        <w:t>Conclusion</w:t>
      </w:r>
    </w:p>
    <w:p w14:paraId="3F83871C" w14:textId="77777777" w:rsidR="0090580D" w:rsidRDefault="00000000">
      <w:pPr>
        <w:spacing w:line="360" w:lineRule="auto"/>
      </w:pPr>
      <w:r>
        <w:rPr>
          <w:rFonts w:ascii="Arial" w:hAnsi="Arial"/>
        </w:rPr>
        <w:t>Community antenatal midwifery services have evolved into evidence-based, regulated services central to public health. Continued investment, workforce development and policy reform are required to maintain equitable, high-quality care.</w:t>
      </w:r>
    </w:p>
    <w:p w14:paraId="33E325C6" w14:textId="77777777" w:rsidR="0090580D" w:rsidRDefault="00000000">
      <w:r>
        <w:br w:type="page"/>
      </w:r>
    </w:p>
    <w:p w14:paraId="2C2CE649" w14:textId="77777777" w:rsidR="0090580D" w:rsidRDefault="00000000">
      <w:pPr>
        <w:pStyle w:val="Heading1"/>
      </w:pPr>
      <w:r>
        <w:lastRenderedPageBreak/>
        <w:t>Reference List</w:t>
      </w:r>
    </w:p>
    <w:p w14:paraId="518B51B0" w14:textId="77777777" w:rsidR="0090580D" w:rsidRDefault="00000000">
      <w:r>
        <w:br/>
        <w:t>Bottery, S. and Mallorie, S. (2023) Adult social care funding pressures. London: The King’s Fund.</w:t>
      </w:r>
      <w:r>
        <w:br/>
      </w:r>
      <w:r>
        <w:br/>
        <w:t>Care Quality Commission (2023) Residential adult social care services. Available at: https://www.cqc.org.uk (Accessed: 16 February 2026).</w:t>
      </w:r>
      <w:r>
        <w:br/>
      </w:r>
      <w:r>
        <w:br/>
        <w:t>Leap, N. and Hunter, B. (2016) The midwife’s tale. London: Routledge.</w:t>
      </w:r>
      <w:r>
        <w:br/>
      </w:r>
      <w:r>
        <w:br/>
        <w:t>NHS England (2023) Antenatal care pathway. Available at: https://www.england.nhs.uk (Accessed: 16 February 2026).</w:t>
      </w:r>
      <w:r>
        <w:br/>
      </w:r>
      <w:r>
        <w:br/>
        <w:t>Royal College of Midwives (2023) State of maternity services report. London: RCM.</w:t>
      </w:r>
      <w:r>
        <w:br/>
      </w:r>
      <w:r>
        <w:br/>
        <w:t>Skills for Care (2023) The state of the adult social care sector. Leeds: Skills for Care.</w:t>
      </w:r>
      <w:r>
        <w:br/>
      </w:r>
      <w:r>
        <w:br/>
        <w:t>Timmins, N. (2017) The five giants: A biography of the welfare state. London: HarperCollins.</w:t>
      </w:r>
      <w:r>
        <w:br/>
      </w:r>
      <w:r>
        <w:br/>
        <w:t>World Health Organization (2022) WHO recommendations on antenatal care. Geneva: WHO.</w:t>
      </w:r>
      <w:r>
        <w:br/>
      </w:r>
    </w:p>
    <w:sectPr w:rsidR="0090580D"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59709" w14:textId="77777777" w:rsidR="002424B7" w:rsidRDefault="002424B7">
      <w:pPr>
        <w:spacing w:after="0" w:line="240" w:lineRule="auto"/>
      </w:pPr>
      <w:r>
        <w:separator/>
      </w:r>
    </w:p>
  </w:endnote>
  <w:endnote w:type="continuationSeparator" w:id="0">
    <w:p w14:paraId="60FFDDE9" w14:textId="77777777" w:rsidR="002424B7" w:rsidRDefault="00242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FEB07" w14:textId="77777777" w:rsidR="0090580D" w:rsidRDefault="00000000">
    <w:pPr>
      <w:pStyle w:val="Footer"/>
      <w:jc w:val="center"/>
    </w:pPr>
    <w:r>
      <w:fldChar w:fldCharType="begin"/>
    </w:r>
    <w:r>
      <w:instrText>PAGE</w:instrText>
    </w:r>
    <w:r w:rsidR="00543D2A">
      <w:fldChar w:fldCharType="separate"/>
    </w:r>
    <w:r w:rsidR="00543D2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CC2E1" w14:textId="77777777" w:rsidR="002424B7" w:rsidRDefault="002424B7">
      <w:pPr>
        <w:spacing w:after="0" w:line="240" w:lineRule="auto"/>
      </w:pPr>
      <w:r>
        <w:separator/>
      </w:r>
    </w:p>
  </w:footnote>
  <w:footnote w:type="continuationSeparator" w:id="0">
    <w:p w14:paraId="3F8CA645" w14:textId="77777777" w:rsidR="002424B7" w:rsidRDefault="00242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5247285">
    <w:abstractNumId w:val="8"/>
  </w:num>
  <w:num w:numId="2" w16cid:durableId="1301611135">
    <w:abstractNumId w:val="6"/>
  </w:num>
  <w:num w:numId="3" w16cid:durableId="1028336009">
    <w:abstractNumId w:val="5"/>
  </w:num>
  <w:num w:numId="4" w16cid:durableId="150147692">
    <w:abstractNumId w:val="4"/>
  </w:num>
  <w:num w:numId="5" w16cid:durableId="2118673924">
    <w:abstractNumId w:val="7"/>
  </w:num>
  <w:num w:numId="6" w16cid:durableId="2107729737">
    <w:abstractNumId w:val="3"/>
  </w:num>
  <w:num w:numId="7" w16cid:durableId="1628312321">
    <w:abstractNumId w:val="2"/>
  </w:num>
  <w:num w:numId="8" w16cid:durableId="1548057286">
    <w:abstractNumId w:val="1"/>
  </w:num>
  <w:num w:numId="9" w16cid:durableId="1679889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24B7"/>
    <w:rsid w:val="0029639D"/>
    <w:rsid w:val="00326F90"/>
    <w:rsid w:val="00543D2A"/>
    <w:rsid w:val="0090580D"/>
    <w:rsid w:val="00AA1D8D"/>
    <w:rsid w:val="00B376C1"/>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E3D569"/>
  <w14:defaultImageDpi w14:val="300"/>
  <w15:docId w15:val="{5C2C7A66-69BB-4F37-B953-34DFA8CFF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653</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Victor Oamen</cp:lastModifiedBy>
  <cp:revision>2</cp:revision>
  <dcterms:created xsi:type="dcterms:W3CDTF">2026-02-19T08:00:00Z</dcterms:created>
  <dcterms:modified xsi:type="dcterms:W3CDTF">2026-02-19T08:00:00Z</dcterms:modified>
  <cp:category/>
</cp:coreProperties>
</file>