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7A4DCF07">
      <w:pPr>
        <w:pStyle w:val="style0"/>
        <w:rPr/>
      </w:pPr>
      <w:r>
        <w:rPr>
          <w:noProof/>
        </w:rPr>
        <mc:AlternateContent>
          <mc:Choice Requires="wps">
            <w:drawing>
              <wp:anchor distT="0" distB="0" distL="0" distR="0" simplePos="false" relativeHeight="2" behindDoc="true" locked="false" layoutInCell="true" allowOverlap="true">
                <wp:simplePos x="0" y="0"/>
                <wp:positionH relativeFrom="column">
                  <wp:posOffset>584200</wp:posOffset>
                </wp:positionH>
                <wp:positionV relativeFrom="paragraph">
                  <wp:posOffset>869314</wp:posOffset>
                </wp:positionV>
                <wp:extent cx="4819650" cy="482600"/>
                <wp:effectExtent l="0" t="0" r="19050" b="12700"/>
                <wp:wrapNone/>
                <wp:docPr id="1026" name="Rectangle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4819650" cy="482600"/>
                        </a:xfrm>
                        <a:prstGeom prst="rect"/>
                        <a:gradFill flip="none" rotWithShape="true">
                          <a:gsLst>
                            <a:gs pos="0">
                              <a:srgbClr val="d1d1d1"/>
                            </a:gs>
                            <a:gs pos="50000">
                              <a:srgbClr val="c7c7c7"/>
                            </a:gs>
                            <a:gs pos="100000">
                              <a:srgbClr val="c0c0c0"/>
                            </a:gs>
                          </a:gsLst>
                          <a:lin ang="5400000" scaled="false"/>
                        </a:gradFill>
                        <a:ln cmpd="sng" cap="flat" w="6350">
                          <a:solidFill>
                            <a:srgbClr val="a5a5a5"/>
                          </a:solidFill>
                          <a:prstDash val="solid"/>
                          <a:miter/>
                          <a:headEnd/>
                          <a:tailEnd/>
                        </a:ln>
                      </wps:spPr>
                      <wps:bodyPr>
                        <a:prstTxWarp prst="textNoShape"/>
                      </wps:bodyPr>
                    </wps:wsp>
                  </a:graphicData>
                </a:graphic>
                <wp14:sizeRelH relativeFrom="margin">
                  <wp14:pctWidth>0</wp14:pctWidth>
                </wp14:sizeRelH>
                <wp14:sizeRelV relativeFrom="margin">
                  <wp14:pctHeight>0</wp14:pctHeight>
                </wp14:sizeRelV>
              </wp:anchor>
            </w:drawing>
          </mc:Choice>
          <mc:Fallback>
            <w:pict>
              <v:rect id="1026" stroked="t" style="position:absolute;margin-left:46.0pt;margin-top:68.45pt;width:379.5pt;height:38.0pt;z-index:-2147483645;mso-position-horizontal-relative:text;mso-position-vertical-relative:text;mso-width-percent:0;mso-height-percent:0;mso-width-relative:margin;mso-height-relative:margin;mso-wrap-distance-left:0.0pt;mso-wrap-distance-right:0.0pt;visibility:visible;">
                <v:stroke joinstyle="miter" color="#a5a5a5" weight="0.5pt"/>
                <v:fill color2="silver" rotate="true" method="any" color="#d1d1d1" focus="100%" type="gradient" colors="0f #d1d1d1;32768f #c7c7c7;1 silver;">
                  <o:fill v:ext="view" type="gradientUnscaled"/>
                </v:fill>
              </v:rect>
            </w:pict>
          </mc:Fallback>
        </mc:AlternateContent>
      </w:r>
      <w:r>
        <w:rPr>
          <w:noProof/>
        </w:rPr>
        <w:drawing>
          <wp:inline distL="0" distT="0" distB="0" distR="0">
            <wp:extent cx="1911526" cy="799465"/>
            <wp:effectExtent l="0" t="0" r="0" b="635"/>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1911526" cy="799465"/>
                    </a:xfrm>
                    <a:prstGeom prst="rect"/>
                  </pic:spPr>
                </pic:pic>
              </a:graphicData>
            </a:graphic>
          </wp:inline>
        </w:drawing>
      </w:r>
    </w:p>
    <w:p w14:paraId="29E91F13">
      <w:pPr>
        <w:pStyle w:val="style0"/>
        <w:ind w:left="1440"/>
        <w:rPr>
          <w:b/>
          <w:bCs/>
          <w:sz w:val="32"/>
          <w:szCs w:val="32"/>
        </w:rPr>
      </w:pPr>
      <w:r>
        <w:rPr>
          <w:b/>
          <w:bCs/>
          <w:sz w:val="32"/>
          <w:szCs w:val="32"/>
        </w:rPr>
        <w:t>LEVEL 7 ASSESSMENT SPECIFICATION</w:t>
      </w:r>
    </w:p>
    <w:tbl>
      <w:tblPr>
        <w:tblStyle w:val="style4102"/>
        <w:tblpPr w:leftFromText="180" w:rightFromText="180" w:topFromText="0" w:bottomFromText="0" w:vertAnchor="page" w:horzAnchor="margin" w:tblpXSpec="left" w:tblpY="4451"/>
        <w:tblW w:w="0" w:type="auto"/>
        <w:tblLook w:val="04A0" w:firstRow="1" w:lastRow="0" w:firstColumn="1" w:lastColumn="0" w:noHBand="0" w:noVBand="1"/>
      </w:tblPr>
      <w:tblGrid>
        <w:gridCol w:w="1860"/>
        <w:gridCol w:w="2648"/>
        <w:gridCol w:w="1780"/>
        <w:gridCol w:w="2728"/>
      </w:tblGrid>
      <w:tr w14:paraId="3F08C2A4">
        <w:trPr/>
        <w:tc>
          <w:tcPr>
            <w:tcW w:w="1860" w:type="dxa"/>
            <w:tcBorders/>
          </w:tcPr>
          <w:p w14:paraId="116F02D5">
            <w:pPr>
              <w:pStyle w:val="style0"/>
              <w:rPr>
                <w:b w:val="false"/>
                <w:bCs w:val="false"/>
                <w:sz w:val="22"/>
                <w:szCs w:val="20"/>
              </w:rPr>
            </w:pPr>
            <w:r>
              <w:rPr>
                <w:sz w:val="22"/>
                <w:szCs w:val="20"/>
              </w:rPr>
              <w:t>Student name:</w:t>
            </w:r>
          </w:p>
        </w:tc>
        <w:tc>
          <w:tcPr>
            <w:tcW w:w="2648" w:type="dxa"/>
            <w:tcBorders/>
          </w:tcPr>
          <w:p w14:paraId="6ACC540F">
            <w:pPr>
              <w:pStyle w:val="style0"/>
              <w:rPr>
                <w:b w:val="false"/>
                <w:bCs w:val="false"/>
                <w:sz w:val="22"/>
                <w:szCs w:val="20"/>
              </w:rPr>
            </w:pPr>
            <w:r>
              <w:rPr>
                <w:sz w:val="22"/>
                <w:szCs w:val="20"/>
              </w:rPr>
              <w:t>Shohag</w:t>
            </w:r>
            <w:r>
              <w:rPr>
                <w:sz w:val="22"/>
                <w:szCs w:val="20"/>
              </w:rPr>
              <w:t xml:space="preserve"> Hossain</w:t>
            </w:r>
          </w:p>
        </w:tc>
        <w:tc>
          <w:tcPr>
            <w:tcW w:w="1780" w:type="dxa"/>
            <w:tcBorders/>
          </w:tcPr>
          <w:p w14:paraId="3BC1A382">
            <w:pPr>
              <w:pStyle w:val="style0"/>
              <w:rPr>
                <w:b w:val="false"/>
                <w:bCs w:val="false"/>
                <w:sz w:val="22"/>
                <w:szCs w:val="20"/>
              </w:rPr>
            </w:pPr>
            <w:r>
              <w:rPr>
                <w:sz w:val="22"/>
                <w:szCs w:val="20"/>
              </w:rPr>
              <w:t>Student number:</w:t>
            </w:r>
          </w:p>
        </w:tc>
        <w:tc>
          <w:tcPr>
            <w:tcW w:w="2728" w:type="dxa"/>
            <w:tcBorders/>
          </w:tcPr>
          <w:p w14:paraId="0EAA86F9">
            <w:pPr>
              <w:pStyle w:val="style0"/>
              <w:rPr>
                <w:b w:val="false"/>
                <w:bCs w:val="false"/>
                <w:sz w:val="22"/>
                <w:szCs w:val="20"/>
              </w:rPr>
            </w:pPr>
            <w:r>
              <w:rPr>
                <w:sz w:val="22"/>
                <w:szCs w:val="20"/>
              </w:rPr>
              <w:t>2522419</w:t>
            </w:r>
          </w:p>
        </w:tc>
      </w:tr>
      <w:tr w14:paraId="17D24A7D">
        <w:tblPrEx/>
        <w:trPr/>
        <w:tc>
          <w:tcPr>
            <w:tcW w:w="1860" w:type="dxa"/>
            <w:tcBorders/>
          </w:tcPr>
          <w:p w14:paraId="4E1FF2A8">
            <w:pPr>
              <w:pStyle w:val="style0"/>
              <w:rPr>
                <w:b w:val="false"/>
                <w:bCs w:val="false"/>
                <w:sz w:val="22"/>
                <w:szCs w:val="20"/>
              </w:rPr>
            </w:pPr>
            <w:r>
              <w:rPr>
                <w:sz w:val="22"/>
                <w:szCs w:val="20"/>
              </w:rPr>
              <w:t>Programme:</w:t>
            </w:r>
          </w:p>
        </w:tc>
        <w:tc>
          <w:tcPr>
            <w:tcW w:w="7156" w:type="dxa"/>
            <w:gridSpan w:val="3"/>
            <w:tcBorders/>
          </w:tcPr>
          <w:p w14:paraId="3AACF225">
            <w:pPr>
              <w:pStyle w:val="style0"/>
              <w:rPr>
                <w:b/>
                <w:bCs/>
                <w:sz w:val="22"/>
                <w:szCs w:val="20"/>
              </w:rPr>
            </w:pPr>
            <w:r>
              <w:rPr>
                <w:b/>
                <w:bCs/>
                <w:sz w:val="22"/>
                <w:szCs w:val="20"/>
              </w:rPr>
              <w:t>Master of Business Administration</w:t>
            </w:r>
          </w:p>
        </w:tc>
      </w:tr>
      <w:tr w14:paraId="007CFB1C">
        <w:tblPrEx/>
        <w:trPr/>
        <w:tc>
          <w:tcPr>
            <w:tcW w:w="1860" w:type="dxa"/>
            <w:tcBorders/>
          </w:tcPr>
          <w:p w14:paraId="7980571A">
            <w:pPr>
              <w:pStyle w:val="style0"/>
              <w:rPr>
                <w:b w:val="false"/>
                <w:bCs w:val="false"/>
                <w:sz w:val="22"/>
                <w:szCs w:val="20"/>
              </w:rPr>
            </w:pPr>
            <w:r>
              <w:rPr>
                <w:sz w:val="22"/>
                <w:szCs w:val="20"/>
              </w:rPr>
              <w:t>Module:</w:t>
            </w:r>
          </w:p>
        </w:tc>
        <w:tc>
          <w:tcPr>
            <w:tcW w:w="7156" w:type="dxa"/>
            <w:gridSpan w:val="3"/>
            <w:tcBorders/>
          </w:tcPr>
          <w:p w14:paraId="4B9A7B67">
            <w:pPr>
              <w:pStyle w:val="style0"/>
              <w:rPr>
                <w:b/>
                <w:bCs/>
                <w:sz w:val="22"/>
                <w:szCs w:val="20"/>
              </w:rPr>
            </w:pPr>
            <w:r>
              <w:rPr>
                <w:b/>
                <w:bCs/>
                <w:sz w:val="22"/>
                <w:szCs w:val="20"/>
              </w:rPr>
              <w:t>International Business Concepts</w:t>
            </w:r>
          </w:p>
        </w:tc>
      </w:tr>
      <w:tr w14:paraId="3D7D79D3">
        <w:tblPrEx/>
        <w:trPr/>
        <w:tc>
          <w:tcPr>
            <w:tcW w:w="1860" w:type="dxa"/>
            <w:tcBorders/>
          </w:tcPr>
          <w:p w14:paraId="55BA08BC">
            <w:pPr>
              <w:pStyle w:val="style0"/>
              <w:rPr>
                <w:b w:val="false"/>
                <w:bCs w:val="false"/>
                <w:sz w:val="22"/>
                <w:szCs w:val="20"/>
              </w:rPr>
            </w:pPr>
            <w:r>
              <w:rPr>
                <w:sz w:val="22"/>
                <w:szCs w:val="20"/>
              </w:rPr>
              <w:t>Module code:</w:t>
            </w:r>
          </w:p>
        </w:tc>
        <w:tc>
          <w:tcPr>
            <w:tcW w:w="2648" w:type="dxa"/>
            <w:tcBorders/>
          </w:tcPr>
          <w:p w14:paraId="5CEDEA8A">
            <w:pPr>
              <w:pStyle w:val="style0"/>
              <w:rPr>
                <w:b/>
                <w:bCs/>
                <w:sz w:val="22"/>
                <w:szCs w:val="20"/>
              </w:rPr>
            </w:pPr>
            <w:r>
              <w:rPr>
                <w:b/>
                <w:bCs/>
                <w:sz w:val="22"/>
                <w:szCs w:val="20"/>
              </w:rPr>
              <w:t>LCMB7034</w:t>
            </w:r>
          </w:p>
        </w:tc>
        <w:tc>
          <w:tcPr>
            <w:tcW w:w="1780" w:type="dxa"/>
            <w:tcBorders/>
          </w:tcPr>
          <w:p w14:paraId="2E4B980F">
            <w:pPr>
              <w:pStyle w:val="style0"/>
              <w:rPr>
                <w:b/>
                <w:bCs/>
                <w:sz w:val="22"/>
                <w:szCs w:val="20"/>
              </w:rPr>
            </w:pPr>
          </w:p>
        </w:tc>
        <w:tc>
          <w:tcPr>
            <w:tcW w:w="2728" w:type="dxa"/>
            <w:tcBorders/>
          </w:tcPr>
          <w:p w14:paraId="25154ED1">
            <w:pPr>
              <w:pStyle w:val="style0"/>
              <w:rPr>
                <w:b/>
                <w:bCs/>
                <w:sz w:val="22"/>
                <w:szCs w:val="20"/>
              </w:rPr>
            </w:pPr>
          </w:p>
        </w:tc>
      </w:tr>
      <w:tr w14:paraId="422679FE">
        <w:tblPrEx/>
        <w:trPr/>
        <w:tc>
          <w:tcPr>
            <w:tcW w:w="1860" w:type="dxa"/>
            <w:tcBorders/>
          </w:tcPr>
          <w:p w14:paraId="11B75B96">
            <w:pPr>
              <w:pStyle w:val="style0"/>
              <w:rPr>
                <w:b w:val="false"/>
                <w:bCs w:val="false"/>
                <w:sz w:val="22"/>
                <w:szCs w:val="20"/>
              </w:rPr>
            </w:pPr>
            <w:r>
              <w:rPr>
                <w:sz w:val="22"/>
                <w:szCs w:val="20"/>
              </w:rPr>
              <w:t>Lecturer:</w:t>
            </w:r>
          </w:p>
        </w:tc>
        <w:tc>
          <w:tcPr>
            <w:tcW w:w="2648" w:type="dxa"/>
            <w:tcBorders/>
          </w:tcPr>
          <w:p w14:paraId="42414B5B">
            <w:pPr>
              <w:pStyle w:val="style0"/>
              <w:rPr>
                <w:b/>
                <w:bCs/>
                <w:sz w:val="22"/>
                <w:szCs w:val="20"/>
              </w:rPr>
            </w:pPr>
            <w:r>
              <w:rPr>
                <w:b/>
                <w:bCs/>
                <w:sz w:val="22"/>
                <w:szCs w:val="20"/>
              </w:rPr>
              <w:t xml:space="preserve">Gladius </w:t>
            </w:r>
            <w:r>
              <w:rPr>
                <w:b/>
                <w:bCs/>
                <w:sz w:val="22"/>
                <w:szCs w:val="20"/>
              </w:rPr>
              <w:t>Kulothungan</w:t>
            </w:r>
          </w:p>
        </w:tc>
        <w:tc>
          <w:tcPr>
            <w:tcW w:w="1780" w:type="dxa"/>
            <w:tcBorders/>
          </w:tcPr>
          <w:p w14:paraId="5DF4AEEF">
            <w:pPr>
              <w:pStyle w:val="style0"/>
              <w:rPr>
                <w:b/>
                <w:bCs/>
                <w:sz w:val="22"/>
                <w:szCs w:val="20"/>
              </w:rPr>
            </w:pPr>
            <w:r>
              <w:rPr>
                <w:b/>
                <w:bCs/>
                <w:sz w:val="22"/>
                <w:szCs w:val="20"/>
              </w:rPr>
              <w:t>Internal Verifier:</w:t>
            </w:r>
          </w:p>
        </w:tc>
        <w:tc>
          <w:tcPr>
            <w:tcW w:w="2728" w:type="dxa"/>
            <w:tcBorders/>
          </w:tcPr>
          <w:p w14:paraId="0EE7EE9A">
            <w:pPr>
              <w:pStyle w:val="style0"/>
              <w:rPr>
                <w:b/>
                <w:bCs/>
                <w:sz w:val="22"/>
                <w:szCs w:val="20"/>
              </w:rPr>
            </w:pPr>
            <w:r>
              <w:rPr>
                <w:b/>
                <w:bCs/>
                <w:sz w:val="22"/>
                <w:szCs w:val="20"/>
              </w:rPr>
              <w:t>V</w:t>
            </w:r>
            <w:r>
              <w:rPr>
                <w:b/>
                <w:bCs/>
                <w:sz w:val="22"/>
                <w:szCs w:val="20"/>
              </w:rPr>
              <w:t xml:space="preserve">asilios </w:t>
            </w:r>
          </w:p>
          <w:p w14:paraId="72B9535F">
            <w:pPr>
              <w:pStyle w:val="style0"/>
              <w:rPr>
                <w:b/>
                <w:bCs/>
                <w:sz w:val="22"/>
                <w:szCs w:val="20"/>
              </w:rPr>
            </w:pPr>
            <w:r>
              <w:rPr>
                <w:b/>
                <w:bCs/>
                <w:sz w:val="22"/>
                <w:szCs w:val="20"/>
              </w:rPr>
              <w:t>Tavlaridis</w:t>
            </w:r>
            <w:r>
              <w:rPr>
                <w:b/>
                <w:bCs/>
                <w:sz w:val="22"/>
                <w:szCs w:val="20"/>
              </w:rPr>
              <w:t xml:space="preserve"> </w:t>
            </w:r>
          </w:p>
          <w:p w14:paraId="4AC06403">
            <w:pPr>
              <w:pStyle w:val="style0"/>
              <w:rPr>
                <w:b/>
                <w:bCs/>
                <w:sz w:val="22"/>
                <w:szCs w:val="20"/>
              </w:rPr>
            </w:pPr>
            <w:r>
              <w:rPr>
                <w:b/>
                <w:bCs/>
                <w:sz w:val="22"/>
                <w:szCs w:val="20"/>
              </w:rPr>
              <w:t>Hoang Nguyen</w:t>
            </w:r>
          </w:p>
          <w:p w14:paraId="51C9B4B6">
            <w:pPr>
              <w:pStyle w:val="style0"/>
              <w:rPr>
                <w:b/>
                <w:bCs/>
                <w:sz w:val="22"/>
                <w:szCs w:val="20"/>
              </w:rPr>
            </w:pPr>
          </w:p>
        </w:tc>
      </w:tr>
      <w:tr w14:paraId="454E26A1">
        <w:tblPrEx/>
        <w:trPr/>
        <w:tc>
          <w:tcPr>
            <w:tcW w:w="1860" w:type="dxa"/>
            <w:tcBorders/>
          </w:tcPr>
          <w:p w14:paraId="5922D0E0">
            <w:pPr>
              <w:pStyle w:val="style0"/>
              <w:rPr>
                <w:b w:val="false"/>
                <w:bCs w:val="false"/>
                <w:sz w:val="22"/>
                <w:szCs w:val="20"/>
              </w:rPr>
            </w:pPr>
            <w:r>
              <w:rPr>
                <w:sz w:val="22"/>
                <w:szCs w:val="20"/>
              </w:rPr>
              <w:t>Assignment Title:</w:t>
            </w:r>
          </w:p>
        </w:tc>
        <w:tc>
          <w:tcPr>
            <w:tcW w:w="2648" w:type="dxa"/>
            <w:tcBorders/>
          </w:tcPr>
          <w:p w14:paraId="27B405C8">
            <w:pPr>
              <w:pStyle w:val="style0"/>
              <w:rPr>
                <w:b/>
                <w:bCs/>
                <w:sz w:val="22"/>
                <w:szCs w:val="20"/>
              </w:rPr>
            </w:pPr>
            <w:r>
              <w:rPr>
                <w:b/>
                <w:bCs/>
                <w:sz w:val="22"/>
                <w:szCs w:val="20"/>
              </w:rPr>
              <w:t>Report</w:t>
            </w:r>
          </w:p>
        </w:tc>
        <w:tc>
          <w:tcPr>
            <w:tcW w:w="1780" w:type="dxa"/>
            <w:tcBorders/>
          </w:tcPr>
          <w:p w14:paraId="404E8C6B">
            <w:pPr>
              <w:pStyle w:val="style0"/>
              <w:rPr>
                <w:b/>
                <w:bCs/>
                <w:sz w:val="22"/>
                <w:szCs w:val="20"/>
              </w:rPr>
            </w:pPr>
            <w:r>
              <w:rPr>
                <w:b/>
                <w:bCs/>
                <w:sz w:val="22"/>
                <w:szCs w:val="20"/>
              </w:rPr>
              <w:t xml:space="preserve">Word count (or </w:t>
            </w:r>
          </w:p>
          <w:p w14:paraId="206DB8A5">
            <w:pPr>
              <w:pStyle w:val="style0"/>
              <w:rPr>
                <w:b/>
                <w:bCs/>
                <w:sz w:val="22"/>
                <w:szCs w:val="20"/>
              </w:rPr>
            </w:pPr>
            <w:r>
              <w:rPr>
                <w:b/>
                <w:bCs/>
                <w:sz w:val="22"/>
                <w:szCs w:val="20"/>
              </w:rPr>
              <w:t>equivalent):</w:t>
            </w:r>
          </w:p>
        </w:tc>
        <w:tc>
          <w:tcPr>
            <w:tcW w:w="2728" w:type="dxa"/>
            <w:tcBorders/>
          </w:tcPr>
          <w:p w14:paraId="2C514844">
            <w:pPr>
              <w:pStyle w:val="style0"/>
              <w:spacing w:lineRule="auto" w:line="259"/>
              <w:jc w:val="left"/>
              <w:rPr>
                <w:b/>
                <w:bCs/>
                <w:sz w:val="22"/>
                <w:szCs w:val="20"/>
              </w:rPr>
            </w:pPr>
            <w:r>
              <w:rPr>
                <w:b/>
                <w:bCs/>
                <w:sz w:val="22"/>
                <w:szCs w:val="20"/>
              </w:rPr>
              <w:t>5000</w:t>
            </w:r>
          </w:p>
        </w:tc>
      </w:tr>
    </w:tbl>
    <w:p w14:paraId="0EA49326">
      <w:pPr>
        <w:pStyle w:val="style0"/>
        <w:rPr/>
      </w:pPr>
    </w:p>
    <w:p w14:paraId="59742CF7">
      <w:pPr>
        <w:pStyle w:val="style0"/>
        <w:rPr/>
      </w:pPr>
    </w:p>
    <w:p w14:paraId="6F21A88D">
      <w:pPr>
        <w:pStyle w:val="style0"/>
        <w:jc w:val="center"/>
        <w:rPr>
          <w:b/>
          <w:bCs/>
          <w:i/>
          <w:iCs/>
          <w:sz w:val="28"/>
          <w:szCs w:val="24"/>
        </w:rPr>
      </w:pPr>
    </w:p>
    <w:p w14:paraId="1F1498D4">
      <w:pPr>
        <w:pStyle w:val="style0"/>
        <w:jc w:val="center"/>
        <w:rPr>
          <w:b/>
          <w:bCs/>
          <w:i/>
          <w:iCs/>
        </w:rPr>
      </w:pPr>
      <w:r>
        <w:rPr>
          <w:b/>
          <w:bCs/>
          <w:i/>
          <w:iCs/>
          <w:sz w:val="28"/>
          <w:szCs w:val="24"/>
        </w:rPr>
        <w:t>“</w:t>
      </w:r>
      <w:r>
        <w:rPr>
          <w:b/>
          <w:bCs/>
          <w:i/>
          <w:iCs/>
          <w:sz w:val="28"/>
          <w:szCs w:val="24"/>
        </w:rPr>
        <w:t>Strategic Internationalization: A Critical Evaluation of Netflix, Inc.’s Market Entry in China</w:t>
      </w:r>
      <w:r>
        <w:rPr>
          <w:b/>
          <w:bCs/>
          <w:i/>
          <w:iCs/>
          <w:sz w:val="28"/>
          <w:szCs w:val="24"/>
        </w:rPr>
        <w:t>”</w:t>
      </w:r>
      <w:r>
        <w:rPr>
          <w:b/>
          <w:bCs/>
          <w:i/>
          <w:iCs/>
        </w:rPr>
        <w:br w:type="page"/>
      </w:r>
    </w:p>
    <w:p w14:paraId="69613D1E">
      <w:pPr>
        <w:pStyle w:val="style266"/>
        <w:rPr/>
      </w:pPr>
      <w:r>
        <w:t>Table of Contents</w:t>
      </w:r>
    </w:p>
    <w:p w14:paraId="3400D780">
      <w:pPr>
        <w:pStyle w:val="style19"/>
        <w:tabs>
          <w:tab w:val="right" w:leader="dot" w:pos="9016"/>
        </w:tabs>
        <w:rPr>
          <w:rFonts w:ascii="Calibri" w:eastAsia="宋体" w:hAnsi="Calibri"/>
          <w:noProof/>
          <w:sz w:val="22"/>
          <w:lang w:eastAsia="en-GB"/>
        </w:rPr>
      </w:pPr>
      <w:r>
        <w:rPr/>
        <w:fldChar w:fldCharType="begin"/>
      </w:r>
      <w:r>
        <w:instrText xml:space="preserve"> TOC \o "1-3" \h \z \u </w:instrText>
      </w:r>
      <w:r>
        <w:rPr/>
        <w:fldChar w:fldCharType="separate"/>
      </w:r>
      <w:r>
        <w:rPr/>
        <w:fldChar w:fldCharType="begin"/>
      </w:r>
      <w:r>
        <w:instrText xml:space="preserve"> HYPERLINK \l "_Toc237170546"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_Toc237170546 \h </w:instrText>
      </w:r>
      <w:r>
        <w:rPr>
          <w:noProof/>
          <w:webHidden/>
        </w:rPr>
        <w:fldChar w:fldCharType="separate"/>
      </w:r>
      <w:r>
        <w:rPr>
          <w:noProof/>
          <w:webHidden/>
        </w:rPr>
        <w:t>3</w:t>
      </w:r>
      <w:r>
        <w:rPr>
          <w:noProof/>
          <w:webHidden/>
        </w:rPr>
        <w:fldChar w:fldCharType="end"/>
      </w:r>
      <w:r>
        <w:rPr/>
        <w:fldChar w:fldCharType="end"/>
      </w:r>
    </w:p>
    <w:p w14:paraId="1F582238">
      <w:pPr>
        <w:pStyle w:val="style19"/>
        <w:tabs>
          <w:tab w:val="right" w:leader="dot" w:pos="9016"/>
        </w:tabs>
        <w:rPr>
          <w:rFonts w:ascii="Calibri" w:eastAsia="宋体" w:hAnsi="Calibri"/>
          <w:noProof/>
          <w:sz w:val="22"/>
          <w:lang w:eastAsia="en-GB"/>
        </w:rPr>
      </w:pPr>
      <w:r>
        <w:rPr/>
        <w:fldChar w:fldCharType="begin"/>
      </w:r>
      <w:r>
        <w:instrText xml:space="preserve"> HYPERLINK \l "_Toc237170547" </w:instrText>
      </w:r>
      <w:r>
        <w:rPr/>
        <w:fldChar w:fldCharType="separate"/>
      </w:r>
      <w:r>
        <w:rPr>
          <w:rStyle w:val="style85"/>
          <w:noProof/>
        </w:rPr>
        <w:t>Section 1: Global Strategy, Macro-Environmental Appraisal, and Entry Mode Analysis</w:t>
      </w:r>
      <w:r>
        <w:rPr>
          <w:noProof/>
          <w:webHidden/>
        </w:rPr>
        <w:tab/>
      </w:r>
      <w:r>
        <w:rPr>
          <w:noProof/>
          <w:webHidden/>
        </w:rPr>
        <w:fldChar w:fldCharType="begin"/>
      </w:r>
      <w:r>
        <w:rPr>
          <w:noProof/>
          <w:webHidden/>
        </w:rPr>
        <w:instrText xml:space="preserve"> PAGEREF _Toc237170547 \h </w:instrText>
      </w:r>
      <w:r>
        <w:rPr>
          <w:noProof/>
          <w:webHidden/>
        </w:rPr>
        <w:fldChar w:fldCharType="separate"/>
      </w:r>
      <w:r>
        <w:rPr>
          <w:noProof/>
          <w:webHidden/>
        </w:rPr>
        <w:t>4</w:t>
      </w:r>
      <w:r>
        <w:rPr>
          <w:noProof/>
          <w:webHidden/>
        </w:rPr>
        <w:fldChar w:fldCharType="end"/>
      </w:r>
      <w:r>
        <w:rPr/>
        <w:fldChar w:fldCharType="end"/>
      </w:r>
    </w:p>
    <w:p w14:paraId="13257438">
      <w:pPr>
        <w:pStyle w:val="style20"/>
        <w:tabs>
          <w:tab w:val="right" w:leader="dot" w:pos="9016"/>
        </w:tabs>
        <w:rPr>
          <w:rFonts w:ascii="Calibri" w:eastAsia="宋体" w:hAnsi="Calibri"/>
          <w:noProof/>
          <w:sz w:val="22"/>
          <w:lang w:eastAsia="en-GB"/>
        </w:rPr>
      </w:pPr>
      <w:r>
        <w:rPr/>
        <w:fldChar w:fldCharType="begin"/>
      </w:r>
      <w:r>
        <w:instrText xml:space="preserve"> HYPERLINK \l "_Toc237170548" </w:instrText>
      </w:r>
      <w:r>
        <w:rPr/>
        <w:fldChar w:fldCharType="separate"/>
      </w:r>
      <w:r>
        <w:rPr>
          <w:rStyle w:val="style85"/>
          <w:noProof/>
        </w:rPr>
        <w:t>1.1 Organizational Classification and Global Strategy</w:t>
      </w:r>
      <w:r>
        <w:rPr>
          <w:noProof/>
          <w:webHidden/>
        </w:rPr>
        <w:tab/>
      </w:r>
      <w:r>
        <w:rPr>
          <w:noProof/>
          <w:webHidden/>
        </w:rPr>
        <w:fldChar w:fldCharType="begin"/>
      </w:r>
      <w:r>
        <w:rPr>
          <w:noProof/>
          <w:webHidden/>
        </w:rPr>
        <w:instrText xml:space="preserve"> PAGEREF _Toc237170548 \h </w:instrText>
      </w:r>
      <w:r>
        <w:rPr>
          <w:noProof/>
          <w:webHidden/>
        </w:rPr>
        <w:fldChar w:fldCharType="separate"/>
      </w:r>
      <w:r>
        <w:rPr>
          <w:noProof/>
          <w:webHidden/>
        </w:rPr>
        <w:t>4</w:t>
      </w:r>
      <w:r>
        <w:rPr>
          <w:noProof/>
          <w:webHidden/>
        </w:rPr>
        <w:fldChar w:fldCharType="end"/>
      </w:r>
      <w:r>
        <w:rPr/>
        <w:fldChar w:fldCharType="end"/>
      </w:r>
    </w:p>
    <w:p w14:paraId="1EE852D3">
      <w:pPr>
        <w:pStyle w:val="style21"/>
        <w:tabs>
          <w:tab w:val="right" w:leader="dot" w:pos="9016"/>
        </w:tabs>
        <w:rPr>
          <w:rFonts w:ascii="Calibri" w:eastAsia="宋体" w:hAnsi="Calibri"/>
          <w:noProof/>
          <w:sz w:val="22"/>
          <w:lang w:eastAsia="en-GB"/>
        </w:rPr>
      </w:pPr>
      <w:r>
        <w:rPr/>
        <w:fldChar w:fldCharType="begin"/>
      </w:r>
      <w:r>
        <w:instrText xml:space="preserve"> HYPERLINK \l "_Toc237170549" </w:instrText>
      </w:r>
      <w:r>
        <w:rPr/>
        <w:fldChar w:fldCharType="separate"/>
      </w:r>
      <w:r>
        <w:rPr>
          <w:rStyle w:val="style85"/>
          <w:noProof/>
        </w:rPr>
        <w:t>Strategic Categorization via Bartlett and Ghoshal’s Framework</w:t>
      </w:r>
      <w:r>
        <w:rPr>
          <w:noProof/>
          <w:webHidden/>
        </w:rPr>
        <w:tab/>
      </w:r>
      <w:r>
        <w:rPr>
          <w:noProof/>
          <w:webHidden/>
        </w:rPr>
        <w:fldChar w:fldCharType="begin"/>
      </w:r>
      <w:r>
        <w:rPr>
          <w:noProof/>
          <w:webHidden/>
        </w:rPr>
        <w:instrText xml:space="preserve"> PAGEREF _Toc237170549 \h </w:instrText>
      </w:r>
      <w:r>
        <w:rPr>
          <w:noProof/>
          <w:webHidden/>
        </w:rPr>
        <w:fldChar w:fldCharType="separate"/>
      </w:r>
      <w:r>
        <w:rPr>
          <w:noProof/>
          <w:webHidden/>
        </w:rPr>
        <w:t>4</w:t>
      </w:r>
      <w:r>
        <w:rPr>
          <w:noProof/>
          <w:webHidden/>
        </w:rPr>
        <w:fldChar w:fldCharType="end"/>
      </w:r>
      <w:r>
        <w:rPr/>
        <w:fldChar w:fldCharType="end"/>
      </w:r>
    </w:p>
    <w:p w14:paraId="51BE3142">
      <w:pPr>
        <w:pStyle w:val="style21"/>
        <w:tabs>
          <w:tab w:val="right" w:leader="dot" w:pos="9016"/>
        </w:tabs>
        <w:rPr>
          <w:rFonts w:ascii="Calibri" w:eastAsia="宋体" w:hAnsi="Calibri"/>
          <w:noProof/>
          <w:sz w:val="22"/>
          <w:lang w:eastAsia="en-GB"/>
        </w:rPr>
      </w:pPr>
      <w:r>
        <w:rPr/>
        <w:fldChar w:fldCharType="begin"/>
      </w:r>
      <w:r>
        <w:instrText xml:space="preserve"> HYPERLINK \l "_Toc237170550" </w:instrText>
      </w:r>
      <w:r>
        <w:rPr/>
        <w:fldChar w:fldCharType="separate"/>
      </w:r>
      <w:r>
        <w:rPr>
          <w:rStyle w:val="style85"/>
          <w:noProof/>
        </w:rPr>
        <w:t>Global Configuration and Value Chain Footprint</w:t>
      </w:r>
      <w:r>
        <w:rPr>
          <w:noProof/>
          <w:webHidden/>
        </w:rPr>
        <w:tab/>
      </w:r>
      <w:r>
        <w:rPr>
          <w:noProof/>
          <w:webHidden/>
        </w:rPr>
        <w:fldChar w:fldCharType="begin"/>
      </w:r>
      <w:r>
        <w:rPr>
          <w:noProof/>
          <w:webHidden/>
        </w:rPr>
        <w:instrText xml:space="preserve"> PAGEREF _Toc237170550 \h </w:instrText>
      </w:r>
      <w:r>
        <w:rPr>
          <w:noProof/>
          <w:webHidden/>
        </w:rPr>
        <w:fldChar w:fldCharType="separate"/>
      </w:r>
      <w:r>
        <w:rPr>
          <w:noProof/>
          <w:webHidden/>
        </w:rPr>
        <w:t>6</w:t>
      </w:r>
      <w:r>
        <w:rPr>
          <w:noProof/>
          <w:webHidden/>
        </w:rPr>
        <w:fldChar w:fldCharType="end"/>
      </w:r>
      <w:r>
        <w:rPr/>
        <w:fldChar w:fldCharType="end"/>
      </w:r>
    </w:p>
    <w:p w14:paraId="08748B32">
      <w:pPr>
        <w:pStyle w:val="style20"/>
        <w:tabs>
          <w:tab w:val="right" w:leader="dot" w:pos="9016"/>
        </w:tabs>
        <w:rPr>
          <w:rFonts w:ascii="Calibri" w:eastAsia="宋体" w:hAnsi="Calibri"/>
          <w:noProof/>
          <w:sz w:val="22"/>
          <w:lang w:eastAsia="en-GB"/>
        </w:rPr>
      </w:pPr>
      <w:r>
        <w:rPr/>
        <w:fldChar w:fldCharType="begin"/>
      </w:r>
      <w:r>
        <w:instrText xml:space="preserve"> HYPERLINK \l "_Toc237170551" </w:instrText>
      </w:r>
      <w:r>
        <w:rPr/>
        <w:fldChar w:fldCharType="separate"/>
      </w:r>
      <w:r>
        <w:rPr>
          <w:rStyle w:val="style85"/>
          <w:noProof/>
        </w:rPr>
        <w:t>1.2 Macro-Environmental Appraisal and Market Attractiveness</w:t>
      </w:r>
      <w:r>
        <w:rPr>
          <w:noProof/>
          <w:webHidden/>
        </w:rPr>
        <w:tab/>
      </w:r>
      <w:r>
        <w:rPr>
          <w:noProof/>
          <w:webHidden/>
        </w:rPr>
        <w:fldChar w:fldCharType="begin"/>
      </w:r>
      <w:r>
        <w:rPr>
          <w:noProof/>
          <w:webHidden/>
        </w:rPr>
        <w:instrText xml:space="preserve"> PAGEREF _Toc237170551 \h </w:instrText>
      </w:r>
      <w:r>
        <w:rPr>
          <w:noProof/>
          <w:webHidden/>
        </w:rPr>
        <w:fldChar w:fldCharType="separate"/>
      </w:r>
      <w:r>
        <w:rPr>
          <w:noProof/>
          <w:webHidden/>
        </w:rPr>
        <w:t>8</w:t>
      </w:r>
      <w:r>
        <w:rPr>
          <w:noProof/>
          <w:webHidden/>
        </w:rPr>
        <w:fldChar w:fldCharType="end"/>
      </w:r>
      <w:r>
        <w:rPr/>
        <w:fldChar w:fldCharType="end"/>
      </w:r>
    </w:p>
    <w:p w14:paraId="7A0CA4F3">
      <w:pPr>
        <w:pStyle w:val="style21"/>
        <w:tabs>
          <w:tab w:val="right" w:leader="dot" w:pos="9016"/>
        </w:tabs>
        <w:rPr>
          <w:rFonts w:ascii="Calibri" w:eastAsia="宋体" w:hAnsi="Calibri"/>
          <w:noProof/>
          <w:sz w:val="22"/>
          <w:lang w:eastAsia="en-GB"/>
        </w:rPr>
      </w:pPr>
      <w:r>
        <w:rPr/>
        <w:fldChar w:fldCharType="begin"/>
      </w:r>
      <w:r>
        <w:instrText xml:space="preserve"> HYPERLINK \l "_Toc237170552" </w:instrText>
      </w:r>
      <w:r>
        <w:rPr/>
        <w:fldChar w:fldCharType="separate"/>
      </w:r>
      <w:r>
        <w:rPr>
          <w:rStyle w:val="style85"/>
          <w:noProof/>
        </w:rPr>
        <w:t>Host Country Analysis (China’s PEST Factors)</w:t>
      </w:r>
      <w:r>
        <w:rPr>
          <w:noProof/>
          <w:webHidden/>
        </w:rPr>
        <w:tab/>
      </w:r>
      <w:r>
        <w:rPr>
          <w:noProof/>
          <w:webHidden/>
        </w:rPr>
        <w:fldChar w:fldCharType="begin"/>
      </w:r>
      <w:r>
        <w:rPr>
          <w:noProof/>
          <w:webHidden/>
        </w:rPr>
        <w:instrText xml:space="preserve"> PAGEREF _Toc237170552 \h </w:instrText>
      </w:r>
      <w:r>
        <w:rPr>
          <w:noProof/>
          <w:webHidden/>
        </w:rPr>
        <w:fldChar w:fldCharType="separate"/>
      </w:r>
      <w:r>
        <w:rPr>
          <w:noProof/>
          <w:webHidden/>
        </w:rPr>
        <w:t>8</w:t>
      </w:r>
      <w:r>
        <w:rPr>
          <w:noProof/>
          <w:webHidden/>
        </w:rPr>
        <w:fldChar w:fldCharType="end"/>
      </w:r>
      <w:r>
        <w:rPr/>
        <w:fldChar w:fldCharType="end"/>
      </w:r>
    </w:p>
    <w:p w14:paraId="5220E96D">
      <w:pPr>
        <w:pStyle w:val="style21"/>
        <w:tabs>
          <w:tab w:val="right" w:leader="dot" w:pos="9016"/>
        </w:tabs>
        <w:rPr>
          <w:rFonts w:ascii="Calibri" w:eastAsia="宋体" w:hAnsi="Calibri"/>
          <w:noProof/>
          <w:sz w:val="22"/>
          <w:lang w:eastAsia="en-GB"/>
        </w:rPr>
      </w:pPr>
      <w:r>
        <w:rPr/>
        <w:fldChar w:fldCharType="begin"/>
      </w:r>
      <w:r>
        <w:instrText xml:space="preserve"> HYPERLINK \l "_Toc237170553" </w:instrText>
      </w:r>
      <w:r>
        <w:rPr/>
        <w:fldChar w:fldCharType="separate"/>
      </w:r>
      <w:r>
        <w:rPr>
          <w:rStyle w:val="style85"/>
          <w:noProof/>
        </w:rPr>
        <w:t>Synthesizing Market Attractiveness: Dunning's Eclectic Paradigm (OLI Framework)</w:t>
      </w:r>
      <w:r>
        <w:rPr>
          <w:noProof/>
          <w:webHidden/>
        </w:rPr>
        <w:tab/>
      </w:r>
      <w:r>
        <w:rPr>
          <w:noProof/>
          <w:webHidden/>
        </w:rPr>
        <w:fldChar w:fldCharType="begin"/>
      </w:r>
      <w:r>
        <w:rPr>
          <w:noProof/>
          <w:webHidden/>
        </w:rPr>
        <w:instrText xml:space="preserve"> PAGEREF _Toc237170553 \h </w:instrText>
      </w:r>
      <w:r>
        <w:rPr>
          <w:noProof/>
          <w:webHidden/>
        </w:rPr>
        <w:fldChar w:fldCharType="separate"/>
      </w:r>
      <w:r>
        <w:rPr>
          <w:noProof/>
          <w:webHidden/>
        </w:rPr>
        <w:t>14</w:t>
      </w:r>
      <w:r>
        <w:rPr>
          <w:noProof/>
          <w:webHidden/>
        </w:rPr>
        <w:fldChar w:fldCharType="end"/>
      </w:r>
      <w:r>
        <w:rPr/>
        <w:fldChar w:fldCharType="end"/>
      </w:r>
    </w:p>
    <w:p w14:paraId="53A7CAD8">
      <w:pPr>
        <w:pStyle w:val="style20"/>
        <w:tabs>
          <w:tab w:val="right" w:leader="dot" w:pos="9016"/>
        </w:tabs>
        <w:rPr>
          <w:rFonts w:ascii="Calibri" w:eastAsia="宋体" w:hAnsi="Calibri"/>
          <w:noProof/>
          <w:sz w:val="22"/>
          <w:lang w:eastAsia="en-GB"/>
        </w:rPr>
      </w:pPr>
      <w:r>
        <w:rPr/>
        <w:fldChar w:fldCharType="begin"/>
      </w:r>
      <w:r>
        <w:instrText xml:space="preserve"> HYPERLINK \l "_Toc237170554" </w:instrText>
      </w:r>
      <w:r>
        <w:rPr/>
        <w:fldChar w:fldCharType="separate"/>
      </w:r>
      <w:r>
        <w:rPr>
          <w:rStyle w:val="style85"/>
          <w:noProof/>
        </w:rPr>
        <w:t>1.3 Entry Mode Strategy and Strategic Synthesis</w:t>
      </w:r>
      <w:r>
        <w:rPr>
          <w:noProof/>
          <w:webHidden/>
        </w:rPr>
        <w:tab/>
      </w:r>
      <w:r>
        <w:rPr>
          <w:noProof/>
          <w:webHidden/>
        </w:rPr>
        <w:fldChar w:fldCharType="begin"/>
      </w:r>
      <w:r>
        <w:rPr>
          <w:noProof/>
          <w:webHidden/>
        </w:rPr>
        <w:instrText xml:space="preserve"> PAGEREF _Toc237170554 \h </w:instrText>
      </w:r>
      <w:r>
        <w:rPr>
          <w:noProof/>
          <w:webHidden/>
        </w:rPr>
        <w:fldChar w:fldCharType="separate"/>
      </w:r>
      <w:r>
        <w:rPr>
          <w:noProof/>
          <w:webHidden/>
        </w:rPr>
        <w:t>17</w:t>
      </w:r>
      <w:r>
        <w:rPr>
          <w:noProof/>
          <w:webHidden/>
        </w:rPr>
        <w:fldChar w:fldCharType="end"/>
      </w:r>
      <w:r>
        <w:rPr/>
        <w:fldChar w:fldCharType="end"/>
      </w:r>
    </w:p>
    <w:p w14:paraId="671DAEE9">
      <w:pPr>
        <w:pStyle w:val="style21"/>
        <w:tabs>
          <w:tab w:val="right" w:leader="dot" w:pos="9016"/>
        </w:tabs>
        <w:rPr>
          <w:rFonts w:ascii="Calibri" w:eastAsia="宋体" w:hAnsi="Calibri"/>
          <w:noProof/>
          <w:sz w:val="22"/>
          <w:lang w:eastAsia="en-GB"/>
        </w:rPr>
      </w:pPr>
      <w:r>
        <w:rPr/>
        <w:fldChar w:fldCharType="begin"/>
      </w:r>
      <w:r>
        <w:instrText xml:space="preserve"> HYPERLINK \l "_Toc237170555" </w:instrText>
      </w:r>
      <w:r>
        <w:rPr/>
        <w:fldChar w:fldCharType="separate"/>
      </w:r>
      <w:r>
        <w:rPr>
          <w:rStyle w:val="style85"/>
          <w:noProof/>
        </w:rPr>
        <w:t>Historical Pattern Recognition: Evolution of Global Expansion</w:t>
      </w:r>
      <w:r>
        <w:rPr>
          <w:noProof/>
          <w:webHidden/>
        </w:rPr>
        <w:tab/>
      </w:r>
      <w:r>
        <w:rPr>
          <w:noProof/>
          <w:webHidden/>
        </w:rPr>
        <w:fldChar w:fldCharType="begin"/>
      </w:r>
      <w:r>
        <w:rPr>
          <w:noProof/>
          <w:webHidden/>
        </w:rPr>
        <w:instrText xml:space="preserve"> PAGEREF _Toc237170555 \h </w:instrText>
      </w:r>
      <w:r>
        <w:rPr>
          <w:noProof/>
          <w:webHidden/>
        </w:rPr>
        <w:fldChar w:fldCharType="separate"/>
      </w:r>
      <w:r>
        <w:rPr>
          <w:noProof/>
          <w:webHidden/>
        </w:rPr>
        <w:t>17</w:t>
      </w:r>
      <w:r>
        <w:rPr>
          <w:noProof/>
          <w:webHidden/>
        </w:rPr>
        <w:fldChar w:fldCharType="end"/>
      </w:r>
      <w:r>
        <w:rPr/>
        <w:fldChar w:fldCharType="end"/>
      </w:r>
    </w:p>
    <w:p w14:paraId="78CC16CE">
      <w:pPr>
        <w:pStyle w:val="style21"/>
        <w:tabs>
          <w:tab w:val="right" w:leader="dot" w:pos="9016"/>
        </w:tabs>
        <w:rPr>
          <w:rFonts w:ascii="Calibri" w:eastAsia="宋体" w:hAnsi="Calibri"/>
          <w:noProof/>
          <w:sz w:val="22"/>
          <w:lang w:eastAsia="en-GB"/>
        </w:rPr>
      </w:pPr>
      <w:r>
        <w:rPr/>
        <w:fldChar w:fldCharType="begin"/>
      </w:r>
      <w:r>
        <w:instrText xml:space="preserve"> HYPERLINK \l "_Toc237170556" </w:instrText>
      </w:r>
      <w:r>
        <w:rPr/>
        <w:fldChar w:fldCharType="separate"/>
      </w:r>
      <w:r>
        <w:rPr>
          <w:rStyle w:val="style85"/>
          <w:noProof/>
        </w:rPr>
        <w:t>Strategic Fit and Critical Appraisal of Entry Options for China</w:t>
      </w:r>
      <w:r>
        <w:rPr>
          <w:noProof/>
          <w:webHidden/>
        </w:rPr>
        <w:tab/>
      </w:r>
      <w:r>
        <w:rPr>
          <w:noProof/>
          <w:webHidden/>
        </w:rPr>
        <w:fldChar w:fldCharType="begin"/>
      </w:r>
      <w:r>
        <w:rPr>
          <w:noProof/>
          <w:webHidden/>
        </w:rPr>
        <w:instrText xml:space="preserve"> PAGEREF _Toc237170556 \h </w:instrText>
      </w:r>
      <w:r>
        <w:rPr>
          <w:noProof/>
          <w:webHidden/>
        </w:rPr>
        <w:fldChar w:fldCharType="separate"/>
      </w:r>
      <w:r>
        <w:rPr>
          <w:noProof/>
          <w:webHidden/>
        </w:rPr>
        <w:t>18</w:t>
      </w:r>
      <w:r>
        <w:rPr>
          <w:noProof/>
          <w:webHidden/>
        </w:rPr>
        <w:fldChar w:fldCharType="end"/>
      </w:r>
      <w:r>
        <w:rPr/>
        <w:fldChar w:fldCharType="end"/>
      </w:r>
    </w:p>
    <w:p w14:paraId="4893C7D5">
      <w:pPr>
        <w:pStyle w:val="style21"/>
        <w:tabs>
          <w:tab w:val="right" w:leader="dot" w:pos="9016"/>
        </w:tabs>
        <w:rPr>
          <w:rFonts w:ascii="Calibri" w:eastAsia="宋体" w:hAnsi="Calibri"/>
          <w:noProof/>
          <w:sz w:val="22"/>
          <w:lang w:eastAsia="en-GB"/>
        </w:rPr>
      </w:pPr>
      <w:r>
        <w:rPr/>
        <w:fldChar w:fldCharType="begin"/>
      </w:r>
      <w:r>
        <w:instrText xml:space="preserve"> HYPERLINK \l "_Toc237170557" </w:instrText>
      </w:r>
      <w:r>
        <w:rPr/>
        <w:fldChar w:fldCharType="separate"/>
      </w:r>
      <w:r>
        <w:rPr>
          <w:rStyle w:val="style85"/>
          <w:noProof/>
        </w:rPr>
        <w:t>Strategic Recommendations and Decision Matrix</w:t>
      </w:r>
      <w:r>
        <w:rPr>
          <w:noProof/>
          <w:webHidden/>
        </w:rPr>
        <w:tab/>
      </w:r>
      <w:r>
        <w:rPr>
          <w:noProof/>
          <w:webHidden/>
        </w:rPr>
        <w:fldChar w:fldCharType="begin"/>
      </w:r>
      <w:r>
        <w:rPr>
          <w:noProof/>
          <w:webHidden/>
        </w:rPr>
        <w:instrText xml:space="preserve"> PAGEREF _Toc237170557 \h </w:instrText>
      </w:r>
      <w:r>
        <w:rPr>
          <w:noProof/>
          <w:webHidden/>
        </w:rPr>
        <w:fldChar w:fldCharType="separate"/>
      </w:r>
      <w:r>
        <w:rPr>
          <w:noProof/>
          <w:webHidden/>
        </w:rPr>
        <w:t>21</w:t>
      </w:r>
      <w:r>
        <w:rPr>
          <w:noProof/>
          <w:webHidden/>
        </w:rPr>
        <w:fldChar w:fldCharType="end"/>
      </w:r>
      <w:r>
        <w:rPr/>
        <w:fldChar w:fldCharType="end"/>
      </w:r>
    </w:p>
    <w:p w14:paraId="68661EE7">
      <w:pPr>
        <w:pStyle w:val="style21"/>
        <w:tabs>
          <w:tab w:val="right" w:leader="dot" w:pos="9016"/>
        </w:tabs>
        <w:rPr>
          <w:rFonts w:ascii="Calibri" w:eastAsia="宋体" w:hAnsi="Calibri"/>
          <w:noProof/>
          <w:sz w:val="22"/>
          <w:lang w:eastAsia="en-GB"/>
        </w:rPr>
      </w:pPr>
      <w:r>
        <w:rPr/>
        <w:fldChar w:fldCharType="begin"/>
      </w:r>
      <w:r>
        <w:instrText xml:space="preserve"> HYPERLINK \l "_Toc237170558"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_Toc237170558 \h </w:instrText>
      </w:r>
      <w:r>
        <w:rPr>
          <w:noProof/>
          <w:webHidden/>
        </w:rPr>
        <w:fldChar w:fldCharType="separate"/>
      </w:r>
      <w:r>
        <w:rPr>
          <w:noProof/>
          <w:webHidden/>
        </w:rPr>
        <w:t>21</w:t>
      </w:r>
      <w:r>
        <w:rPr>
          <w:noProof/>
          <w:webHidden/>
        </w:rPr>
        <w:fldChar w:fldCharType="end"/>
      </w:r>
      <w:r>
        <w:rPr/>
        <w:fldChar w:fldCharType="end"/>
      </w:r>
    </w:p>
    <w:p w14:paraId="30BC6CAB">
      <w:pPr>
        <w:pStyle w:val="style19"/>
        <w:tabs>
          <w:tab w:val="right" w:leader="dot" w:pos="9016"/>
        </w:tabs>
        <w:rPr>
          <w:rFonts w:ascii="Calibri" w:eastAsia="宋体" w:hAnsi="Calibri"/>
          <w:noProof/>
          <w:sz w:val="22"/>
          <w:lang w:eastAsia="en-GB"/>
        </w:rPr>
      </w:pPr>
      <w:r>
        <w:rPr/>
        <w:fldChar w:fldCharType="begin"/>
      </w:r>
      <w:r>
        <w:instrText xml:space="preserve"> HYPERLINK \l "_Toc237170559" </w:instrText>
      </w:r>
      <w:r>
        <w:rPr/>
        <w:fldChar w:fldCharType="separate"/>
      </w:r>
      <w:r>
        <w:rPr>
          <w:rStyle w:val="style85"/>
          <w:noProof/>
        </w:rPr>
        <w:t>Section 2: Reflective Account on the Research and Analytical Process</w:t>
      </w:r>
      <w:r>
        <w:rPr>
          <w:noProof/>
          <w:webHidden/>
        </w:rPr>
        <w:tab/>
      </w:r>
      <w:r>
        <w:rPr>
          <w:noProof/>
          <w:webHidden/>
        </w:rPr>
        <w:fldChar w:fldCharType="begin"/>
      </w:r>
      <w:r>
        <w:rPr>
          <w:noProof/>
          <w:webHidden/>
        </w:rPr>
        <w:instrText xml:space="preserve"> PAGEREF _Toc237170559 \h </w:instrText>
      </w:r>
      <w:r>
        <w:rPr>
          <w:noProof/>
          <w:webHidden/>
        </w:rPr>
        <w:fldChar w:fldCharType="separate"/>
      </w:r>
      <w:r>
        <w:rPr>
          <w:noProof/>
          <w:webHidden/>
        </w:rPr>
        <w:t>22</w:t>
      </w:r>
      <w:r>
        <w:rPr>
          <w:noProof/>
          <w:webHidden/>
        </w:rPr>
        <w:fldChar w:fldCharType="end"/>
      </w:r>
      <w:r>
        <w:rPr/>
        <w:fldChar w:fldCharType="end"/>
      </w:r>
    </w:p>
    <w:p w14:paraId="47A1B36A">
      <w:pPr>
        <w:pStyle w:val="style19"/>
        <w:tabs>
          <w:tab w:val="right" w:leader="dot" w:pos="9016"/>
        </w:tabs>
        <w:rPr>
          <w:rFonts w:ascii="Calibri" w:eastAsia="宋体" w:hAnsi="Calibri"/>
          <w:noProof/>
          <w:sz w:val="22"/>
          <w:lang w:eastAsia="en-GB"/>
        </w:rPr>
      </w:pPr>
      <w:r>
        <w:rPr/>
        <w:fldChar w:fldCharType="begin"/>
      </w:r>
      <w:r>
        <w:instrText xml:space="preserve"> HYPERLINK \l "_Toc237170560"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_Toc237170560 \h </w:instrText>
      </w:r>
      <w:r>
        <w:rPr>
          <w:noProof/>
          <w:webHidden/>
        </w:rPr>
        <w:fldChar w:fldCharType="separate"/>
      </w:r>
      <w:r>
        <w:rPr>
          <w:noProof/>
          <w:webHidden/>
        </w:rPr>
        <w:t>26</w:t>
      </w:r>
      <w:r>
        <w:rPr>
          <w:noProof/>
          <w:webHidden/>
        </w:rPr>
        <w:fldChar w:fldCharType="end"/>
      </w:r>
      <w:r>
        <w:rPr/>
        <w:fldChar w:fldCharType="end"/>
      </w:r>
    </w:p>
    <w:p w14:paraId="52729D4F">
      <w:pPr>
        <w:pStyle w:val="style0"/>
        <w:rPr/>
      </w:pPr>
      <w:r>
        <w:rPr>
          <w:b/>
          <w:bCs/>
          <w:noProof/>
        </w:rPr>
        <w:fldChar w:fldCharType="end"/>
      </w:r>
    </w:p>
    <w:p w14:paraId="663AA7CA">
      <w:pPr>
        <w:pStyle w:val="style0"/>
        <w:rPr/>
      </w:pPr>
      <w:r>
        <w:br w:type="page"/>
      </w:r>
    </w:p>
    <w:bookmarkStart w:id="0" w:name="_Toc237170546"/>
    <w:p w14:paraId="4609AAF4">
      <w:pPr>
        <w:pStyle w:val="style1"/>
        <w:rPr/>
      </w:pPr>
      <w:r>
        <w:t>Introduction</w:t>
      </w:r>
      <w:bookmarkEnd w:id="0"/>
    </w:p>
    <w:p w14:paraId="39ACB521">
      <w:pPr>
        <w:pStyle w:val="style0"/>
        <w:rPr/>
      </w:pPr>
      <w:r>
        <w:t>Digital platforms have revolutionised international commerce, allowing MNEs to grow services worldwide at new speeds. When entering international markets with strict regulatory monitoring, complicated cultural dynamics, and powerful domestic incumbents, direct platform deployment sometimes experiences considerable institutional friction</w:t>
      </w:r>
      <w:r>
        <w:t xml:space="preserve"> </w:t>
      </w:r>
      <w:r>
        <w:t>(</w:t>
      </w:r>
      <w:r>
        <w:t>Asseraf</w:t>
      </w:r>
      <w:r>
        <w:t xml:space="preserve"> and </w:t>
      </w:r>
      <w:r>
        <w:t>Gnizy</w:t>
      </w:r>
      <w:r>
        <w:t>, 2026)</w:t>
      </w:r>
      <w:r>
        <w:t>. Netflix, Inc. (Netflix)'s global corporate configuration and strategic feasibility of entering China, a major economy where the firm has no direct, wholly-owned operational streaming platform presence as of mid-2026, are examined in this research report.</w:t>
      </w:r>
    </w:p>
    <w:p w14:paraId="43CCAAEC">
      <w:pPr>
        <w:pStyle w:val="style0"/>
        <w:rPr/>
      </w:pPr>
      <w:r>
        <w:t xml:space="preserve">Section 1 evaluates international policy in three parts. Netflix's geographic footprint, value chain configuration, and regional financial performance across its primary operational nodes UCAN, EMEA, LATAM, and APAC are assessed using the Bartlett and Ghoshal (1989) typology to classify its strategic posture. Second, it evaluates China's political, economic, legal, and cultural environment using John Dunning's Eclectic Paradigm (OLI Framework) and current digital platform internationalisation theory. Third, it examines Netflix's expansion from platform export to deep local internalisation and critically reviews earlier market entrance attempts including the 2017 content licensing arrangement with </w:t>
      </w:r>
      <w:r>
        <w:t>iQIYI</w:t>
      </w:r>
      <w:r>
        <w:t xml:space="preserve">. </w:t>
      </w:r>
      <w:r>
        <w:t xml:space="preserve">Section 2 presents a reflective appraisal of the research, analytical, and </w:t>
      </w:r>
      <w:r>
        <w:t>synthesization</w:t>
      </w:r>
      <w:r>
        <w:t xml:space="preserve"> processes undertaken throughout this study.</w:t>
      </w:r>
    </w:p>
    <w:p w14:paraId="741C73A6">
      <w:pPr>
        <w:pStyle w:val="style0"/>
        <w:spacing w:lineRule="auto" w:line="259"/>
        <w:jc w:val="left"/>
        <w:rPr/>
      </w:pPr>
      <w:r>
        <w:br w:type="page"/>
      </w:r>
    </w:p>
    <w:bookmarkStart w:id="1" w:name="_Toc237170547"/>
    <w:p w14:paraId="3EE2E6E9">
      <w:pPr>
        <w:pStyle w:val="style1"/>
        <w:rPr/>
      </w:pPr>
      <w:r>
        <w:t>Section 1: Global Strategy, Macro-Environmental Appraisal, and Entry Mode Analysis</w:t>
      </w:r>
      <w:bookmarkEnd w:id="1"/>
    </w:p>
    <w:bookmarkStart w:id="2" w:name="_Toc237170548"/>
    <w:p w14:paraId="21C16152">
      <w:pPr>
        <w:pStyle w:val="style2"/>
        <w:rPr/>
      </w:pPr>
      <w:r>
        <w:t>1.1 Organizational Classification and Global Strategy</w:t>
      </w:r>
      <w:bookmarkEnd w:id="2"/>
    </w:p>
    <w:bookmarkStart w:id="3" w:name="_Toc237170549"/>
    <w:p w14:paraId="10572CDB">
      <w:pPr>
        <w:pStyle w:val="style3"/>
        <w:rPr/>
      </w:pPr>
      <w:r>
        <w:t>Strategic Categorization via Bartlett and Ghoshal’s Framework</w:t>
      </w:r>
      <w:bookmarkEnd w:id="3"/>
    </w:p>
    <w:p w14:paraId="32D1616E">
      <w:pPr>
        <w:pStyle w:val="style0"/>
        <w:rPr/>
      </w:pPr>
      <w:r>
        <w:t>The Bartlett and Ghoshal (1989) matrix, which examines multinational firms along two dimensions</w:t>
      </w:r>
      <w:r>
        <w:t xml:space="preserve"> </w:t>
      </w:r>
      <w:r>
        <w:t>pressure for global integration and demand for local responsiveness</w:t>
      </w:r>
      <w:r>
        <w:t xml:space="preserve"> </w:t>
      </w:r>
      <w:r>
        <w:t>is needed to understand Netflix's worldwide operational decisions</w:t>
      </w:r>
      <w:r>
        <w:t xml:space="preserve"> </w:t>
      </w:r>
      <w:r>
        <w:t xml:space="preserve">(Babu and </w:t>
      </w:r>
      <w:r>
        <w:t>Aithal</w:t>
      </w:r>
      <w:r>
        <w:t>, 2023)</w:t>
      </w:r>
      <w:r>
        <w:t>.</w:t>
      </w:r>
    </w:p>
    <w:tbl>
      <w:tblPr>
        <w:tblW w:w="5000" w:type="pct"/>
        <w:tblCellMar>
          <w:top w:w="15" w:type="dxa"/>
          <w:left w:w="15" w:type="dxa"/>
          <w:bottom w:w="15" w:type="dxa"/>
          <w:right w:w="15" w:type="dxa"/>
        </w:tblCellMar>
        <w:tblLook w:val="04A0" w:firstRow="1" w:lastRow="0" w:firstColumn="1" w:lastColumn="0" w:noHBand="0" w:noVBand="1"/>
      </w:tblPr>
      <w:tblGrid>
        <w:gridCol w:w="1717"/>
        <w:gridCol w:w="1480"/>
        <w:gridCol w:w="2001"/>
        <w:gridCol w:w="2025"/>
        <w:gridCol w:w="1786"/>
      </w:tblGrid>
      <w:tr w14:paraId="79D6CEAE">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4543AECD">
            <w:pPr>
              <w:pStyle w:val="style0"/>
              <w:spacing w:after="0" w:lineRule="auto" w:line="240"/>
              <w:jc w:val="left"/>
              <w:rPr>
                <w:rFonts w:cs="Arial" w:eastAsia="Times New Roman"/>
                <w:b/>
                <w:bCs/>
                <w:szCs w:val="24"/>
                <w:lang w:eastAsia="en-GB"/>
              </w:rPr>
            </w:pPr>
            <w:r>
              <w:rPr>
                <w:rFonts w:cs="Arial" w:eastAsia="Times New Roman"/>
                <w:b/>
                <w:bCs/>
                <w:szCs w:val="24"/>
                <w:lang w:eastAsia="en-GB"/>
              </w:rPr>
              <w:t>Strategy type</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5095BFEB">
            <w:pPr>
              <w:pStyle w:val="style0"/>
              <w:spacing w:after="0" w:lineRule="auto" w:line="240"/>
              <w:jc w:val="left"/>
              <w:rPr>
                <w:rFonts w:cs="Arial" w:eastAsia="Times New Roman"/>
                <w:b/>
                <w:bCs/>
                <w:szCs w:val="24"/>
                <w:lang w:eastAsia="en-GB"/>
              </w:rPr>
            </w:pPr>
            <w:r>
              <w:rPr>
                <w:rFonts w:cs="Arial" w:eastAsia="Times New Roman"/>
                <w:b/>
                <w:bCs/>
                <w:szCs w:val="24"/>
                <w:lang w:eastAsia="en-GB"/>
              </w:rPr>
              <w:t>Global integration</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1BF08539">
            <w:pPr>
              <w:pStyle w:val="style0"/>
              <w:spacing w:after="0" w:lineRule="auto" w:line="240"/>
              <w:jc w:val="left"/>
              <w:rPr>
                <w:rFonts w:cs="Arial" w:eastAsia="Times New Roman"/>
                <w:b/>
                <w:bCs/>
                <w:szCs w:val="24"/>
                <w:lang w:eastAsia="en-GB"/>
              </w:rPr>
            </w:pPr>
            <w:r>
              <w:rPr>
                <w:rFonts w:cs="Arial" w:eastAsia="Times New Roman"/>
                <w:b/>
                <w:bCs/>
                <w:szCs w:val="24"/>
                <w:lang w:eastAsia="en-GB"/>
              </w:rPr>
              <w:t>Local responsiveness</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75338FEE">
            <w:pPr>
              <w:pStyle w:val="style0"/>
              <w:spacing w:after="0" w:lineRule="auto" w:line="240"/>
              <w:jc w:val="left"/>
              <w:rPr>
                <w:rFonts w:cs="Arial" w:eastAsia="Times New Roman"/>
                <w:b/>
                <w:bCs/>
                <w:szCs w:val="24"/>
                <w:lang w:eastAsia="en-GB"/>
              </w:rPr>
            </w:pPr>
            <w:r>
              <w:rPr>
                <w:rFonts w:cs="Arial" w:eastAsia="Times New Roman"/>
                <w:b/>
                <w:bCs/>
                <w:szCs w:val="24"/>
                <w:lang w:eastAsia="en-GB"/>
              </w:rPr>
              <w:t>Structural alignment</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56258E74">
            <w:pPr>
              <w:pStyle w:val="style0"/>
              <w:spacing w:after="0" w:lineRule="auto" w:line="240"/>
              <w:jc w:val="left"/>
              <w:rPr>
                <w:rFonts w:cs="Arial" w:eastAsia="Times New Roman"/>
                <w:b/>
                <w:bCs/>
                <w:szCs w:val="24"/>
                <w:lang w:eastAsia="en-GB"/>
              </w:rPr>
            </w:pPr>
            <w:r>
              <w:rPr>
                <w:rFonts w:cs="Arial" w:eastAsia="Times New Roman"/>
                <w:b/>
                <w:bCs/>
                <w:szCs w:val="24"/>
                <w:lang w:eastAsia="en-GB"/>
              </w:rPr>
              <w:t>Relevance to Netflix</w:t>
            </w:r>
          </w:p>
        </w:tc>
      </w:tr>
      <w:tr w14:paraId="1D8121B4">
        <w:tblPrEx/>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0C3E18C">
            <w:pPr>
              <w:pStyle w:val="style0"/>
              <w:spacing w:after="0" w:lineRule="auto" w:line="240"/>
              <w:jc w:val="left"/>
              <w:rPr>
                <w:rFonts w:cs="Arial" w:eastAsia="Times New Roman"/>
                <w:szCs w:val="24"/>
                <w:lang w:eastAsia="en-GB"/>
              </w:rPr>
            </w:pPr>
            <w:r>
              <w:rPr>
                <w:rFonts w:cs="Arial" w:eastAsia="Times New Roman"/>
                <w:szCs w:val="24"/>
                <w:lang w:eastAsia="en-GB"/>
              </w:rPr>
              <w:t>Global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5B086E9">
            <w:pPr>
              <w:pStyle w:val="style0"/>
              <w:spacing w:after="0" w:lineRule="auto" w:line="240"/>
              <w:jc w:val="left"/>
              <w:rPr>
                <w:rFonts w:cs="Arial" w:eastAsia="Times New Roman"/>
                <w:szCs w:val="24"/>
                <w:lang w:eastAsia="en-GB"/>
              </w:rPr>
            </w:pPr>
            <w:r>
              <w:rPr>
                <w:rFonts w:cs="Arial" w:eastAsia="Times New Roman"/>
                <w:szCs w:val="24"/>
                <w:lang w:eastAsia="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0346452">
            <w:pPr>
              <w:pStyle w:val="style0"/>
              <w:spacing w:after="0" w:lineRule="auto" w:line="240"/>
              <w:jc w:val="left"/>
              <w:rPr>
                <w:rFonts w:cs="Arial" w:eastAsia="Times New Roman"/>
                <w:szCs w:val="24"/>
                <w:lang w:eastAsia="en-GB"/>
              </w:rPr>
            </w:pPr>
            <w:r>
              <w:rPr>
                <w:rFonts w:cs="Arial" w:eastAsia="Times New Roman"/>
                <w:szCs w:val="24"/>
                <w:lang w:eastAsia="en-GB"/>
              </w:rPr>
              <w:t>Low</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4F9892A">
            <w:pPr>
              <w:pStyle w:val="style0"/>
              <w:spacing w:after="0" w:lineRule="auto" w:line="240"/>
              <w:jc w:val="left"/>
              <w:rPr>
                <w:rFonts w:cs="Arial" w:eastAsia="Times New Roman"/>
                <w:szCs w:val="24"/>
                <w:lang w:eastAsia="en-GB"/>
              </w:rPr>
            </w:pPr>
            <w:r>
              <w:rPr>
                <w:rFonts w:cs="Arial" w:eastAsia="Times New Roman"/>
                <w:szCs w:val="24"/>
                <w:lang w:eastAsia="en-GB"/>
              </w:rPr>
              <w:t>Centralized assets and standardized services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40FCEE5">
            <w:pPr>
              <w:pStyle w:val="style0"/>
              <w:spacing w:after="0" w:lineRule="auto" w:line="240"/>
              <w:jc w:val="left"/>
              <w:rPr>
                <w:rFonts w:cs="Arial" w:eastAsia="Times New Roman"/>
                <w:szCs w:val="24"/>
                <w:lang w:eastAsia="en-GB"/>
              </w:rPr>
            </w:pPr>
            <w:r>
              <w:rPr>
                <w:rFonts w:cs="Arial" w:eastAsia="Times New Roman"/>
                <w:szCs w:val="24"/>
                <w:lang w:eastAsia="en-GB"/>
              </w:rPr>
              <w:t>Early expansion, 2010–2015</w:t>
            </w:r>
          </w:p>
        </w:tc>
      </w:tr>
      <w:tr w14:paraId="240A1272">
        <w:tblPrEx/>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DF6A943">
            <w:pPr>
              <w:pStyle w:val="style0"/>
              <w:spacing w:after="0" w:lineRule="auto" w:line="240"/>
              <w:jc w:val="left"/>
              <w:rPr>
                <w:rFonts w:cs="Arial" w:eastAsia="Times New Roman"/>
                <w:szCs w:val="24"/>
                <w:lang w:eastAsia="en-GB"/>
              </w:rPr>
            </w:pPr>
            <w:r>
              <w:rPr>
                <w:rFonts w:cs="Arial" w:eastAsia="Times New Roman"/>
                <w:szCs w:val="24"/>
                <w:lang w:eastAsia="en-GB"/>
              </w:rPr>
              <w:t>Multi-domestic</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AC87C5A">
            <w:pPr>
              <w:pStyle w:val="style0"/>
              <w:spacing w:after="0" w:lineRule="auto" w:line="240"/>
              <w:jc w:val="left"/>
              <w:rPr>
                <w:rFonts w:cs="Arial" w:eastAsia="Times New Roman"/>
                <w:szCs w:val="24"/>
                <w:lang w:eastAsia="en-GB"/>
              </w:rPr>
            </w:pPr>
            <w:r>
              <w:rPr>
                <w:rFonts w:cs="Arial" w:eastAsia="Times New Roman"/>
                <w:szCs w:val="24"/>
                <w:lang w:eastAsia="en-GB"/>
              </w:rPr>
              <w:t>Low</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8578333">
            <w:pPr>
              <w:pStyle w:val="style0"/>
              <w:spacing w:after="0" w:lineRule="auto" w:line="240"/>
              <w:jc w:val="left"/>
              <w:rPr>
                <w:rFonts w:cs="Arial" w:eastAsia="Times New Roman"/>
                <w:szCs w:val="24"/>
                <w:lang w:eastAsia="en-GB"/>
              </w:rPr>
            </w:pPr>
            <w:r>
              <w:rPr>
                <w:rFonts w:cs="Arial" w:eastAsia="Times New Roman"/>
                <w:szCs w:val="24"/>
                <w:lang w:eastAsia="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0513B21">
            <w:pPr>
              <w:pStyle w:val="style0"/>
              <w:spacing w:after="0" w:lineRule="auto" w:line="240"/>
              <w:jc w:val="left"/>
              <w:rPr>
                <w:rFonts w:cs="Arial" w:eastAsia="Times New Roman"/>
                <w:szCs w:val="24"/>
                <w:lang w:eastAsia="en-GB"/>
              </w:rPr>
            </w:pPr>
            <w:r>
              <w:rPr>
                <w:rFonts w:cs="Arial" w:eastAsia="Times New Roman"/>
                <w:szCs w:val="24"/>
                <w:lang w:eastAsia="en-GB"/>
              </w:rPr>
              <w:t>Decentralized subsidiaries and tailored offerings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75647B7">
            <w:pPr>
              <w:pStyle w:val="style0"/>
              <w:spacing w:after="0" w:lineRule="auto" w:line="240"/>
              <w:jc w:val="left"/>
              <w:rPr>
                <w:rFonts w:cs="Arial" w:eastAsia="Times New Roman"/>
                <w:szCs w:val="24"/>
                <w:lang w:eastAsia="en-GB"/>
              </w:rPr>
            </w:pPr>
            <w:r>
              <w:rPr>
                <w:rFonts w:cs="Arial" w:eastAsia="Times New Roman"/>
                <w:szCs w:val="24"/>
                <w:lang w:eastAsia="en-GB"/>
              </w:rPr>
              <w:t>Unaligned with Netflix’s platform scale</w:t>
            </w:r>
          </w:p>
        </w:tc>
      </w:tr>
      <w:tr w14:paraId="6CB29B92">
        <w:tblPrEx/>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1726686">
            <w:pPr>
              <w:pStyle w:val="style0"/>
              <w:spacing w:after="0" w:lineRule="auto" w:line="240"/>
              <w:jc w:val="left"/>
              <w:rPr>
                <w:rFonts w:cs="Arial" w:eastAsia="Times New Roman"/>
                <w:szCs w:val="24"/>
                <w:lang w:eastAsia="en-GB"/>
              </w:rPr>
            </w:pPr>
            <w:r>
              <w:rPr>
                <w:rFonts w:cs="Arial" w:eastAsia="Times New Roman"/>
                <w:szCs w:val="24"/>
                <w:lang w:eastAsia="en-GB"/>
              </w:rPr>
              <w:t>International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CD3E49F">
            <w:pPr>
              <w:pStyle w:val="style0"/>
              <w:spacing w:after="0" w:lineRule="auto" w:line="240"/>
              <w:jc w:val="left"/>
              <w:rPr>
                <w:rFonts w:cs="Arial" w:eastAsia="Times New Roman"/>
                <w:szCs w:val="24"/>
                <w:lang w:eastAsia="en-GB"/>
              </w:rPr>
            </w:pPr>
            <w:r>
              <w:rPr>
                <w:rFonts w:cs="Arial" w:eastAsia="Times New Roman"/>
                <w:szCs w:val="24"/>
                <w:lang w:eastAsia="en-GB"/>
              </w:rPr>
              <w:t>Low</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7F6553E">
            <w:pPr>
              <w:pStyle w:val="style0"/>
              <w:spacing w:after="0" w:lineRule="auto" w:line="240"/>
              <w:jc w:val="left"/>
              <w:rPr>
                <w:rFonts w:cs="Arial" w:eastAsia="Times New Roman"/>
                <w:szCs w:val="24"/>
                <w:lang w:eastAsia="en-GB"/>
              </w:rPr>
            </w:pPr>
            <w:r>
              <w:rPr>
                <w:rFonts w:cs="Arial" w:eastAsia="Times New Roman"/>
                <w:szCs w:val="24"/>
                <w:lang w:eastAsia="en-GB"/>
              </w:rPr>
              <w:t>Low</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0310F2F">
            <w:pPr>
              <w:pStyle w:val="style0"/>
              <w:spacing w:after="0" w:lineRule="auto" w:line="240"/>
              <w:jc w:val="left"/>
              <w:rPr>
                <w:rFonts w:cs="Arial" w:eastAsia="Times New Roman"/>
                <w:szCs w:val="24"/>
                <w:lang w:eastAsia="en-GB"/>
              </w:rPr>
            </w:pPr>
            <w:r>
              <w:rPr>
                <w:rFonts w:cs="Arial" w:eastAsia="Times New Roman"/>
                <w:szCs w:val="24"/>
                <w:lang w:eastAsia="en-GB"/>
              </w:rPr>
              <w:t>Transfer of parent-company capabilities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5202183">
            <w:pPr>
              <w:pStyle w:val="style0"/>
              <w:spacing w:after="0" w:lineRule="auto" w:line="240"/>
              <w:jc w:val="left"/>
              <w:rPr>
                <w:rFonts w:cs="Arial" w:eastAsia="Times New Roman"/>
                <w:szCs w:val="24"/>
                <w:lang w:eastAsia="en-GB"/>
              </w:rPr>
            </w:pPr>
            <w:r>
              <w:rPr>
                <w:rFonts w:cs="Arial" w:eastAsia="Times New Roman"/>
                <w:szCs w:val="24"/>
                <w:lang w:eastAsia="en-GB"/>
              </w:rPr>
              <w:t>Early DVD-to-streaming phase</w:t>
            </w:r>
          </w:p>
        </w:tc>
      </w:tr>
      <w:tr w14:paraId="31240C9E">
        <w:tblPrEx/>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B07175E">
            <w:pPr>
              <w:pStyle w:val="style0"/>
              <w:spacing w:after="0" w:lineRule="auto" w:line="240"/>
              <w:jc w:val="left"/>
              <w:rPr>
                <w:rFonts w:cs="Arial" w:eastAsia="Times New Roman"/>
                <w:szCs w:val="24"/>
                <w:lang w:eastAsia="en-GB"/>
              </w:rPr>
            </w:pPr>
            <w:r>
              <w:rPr>
                <w:rFonts w:cs="Arial" w:eastAsia="Times New Roman"/>
                <w:szCs w:val="24"/>
                <w:lang w:eastAsia="en-GB"/>
              </w:rPr>
              <w:t>Transnational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A183734">
            <w:pPr>
              <w:pStyle w:val="style0"/>
              <w:spacing w:after="0" w:lineRule="auto" w:line="240"/>
              <w:jc w:val="left"/>
              <w:rPr>
                <w:rFonts w:cs="Arial" w:eastAsia="Times New Roman"/>
                <w:szCs w:val="24"/>
                <w:lang w:eastAsia="en-GB"/>
              </w:rPr>
            </w:pPr>
            <w:r>
              <w:rPr>
                <w:rFonts w:cs="Arial" w:eastAsia="Times New Roman"/>
                <w:szCs w:val="24"/>
                <w:lang w:eastAsia="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E0ABFBA">
            <w:pPr>
              <w:pStyle w:val="style0"/>
              <w:spacing w:after="0" w:lineRule="auto" w:line="240"/>
              <w:jc w:val="left"/>
              <w:rPr>
                <w:rFonts w:cs="Arial" w:eastAsia="Times New Roman"/>
                <w:szCs w:val="24"/>
                <w:lang w:eastAsia="en-GB"/>
              </w:rPr>
            </w:pPr>
            <w:r>
              <w:rPr>
                <w:rFonts w:cs="Arial" w:eastAsia="Times New Roman"/>
                <w:szCs w:val="24"/>
                <w:lang w:eastAsia="en-GB"/>
              </w:rPr>
              <w:t>High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D6A0388">
            <w:pPr>
              <w:pStyle w:val="style0"/>
              <w:spacing w:after="0" w:lineRule="auto" w:line="240"/>
              <w:jc w:val="left"/>
              <w:rPr>
                <w:rFonts w:cs="Arial" w:eastAsia="Times New Roman"/>
                <w:szCs w:val="24"/>
                <w:lang w:eastAsia="en-GB"/>
              </w:rPr>
            </w:pPr>
            <w:r>
              <w:rPr>
                <w:rFonts w:cs="Arial" w:eastAsia="Times New Roman"/>
                <w:szCs w:val="24"/>
                <w:lang w:eastAsia="en-GB"/>
              </w:rPr>
              <w:t>Centralized technology with localized content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71664C0">
            <w:pPr>
              <w:pStyle w:val="style0"/>
              <w:spacing w:after="0" w:lineRule="auto" w:line="240"/>
              <w:jc w:val="left"/>
              <w:rPr>
                <w:rFonts w:cs="Arial" w:eastAsia="Times New Roman"/>
                <w:szCs w:val="24"/>
                <w:lang w:eastAsia="en-GB"/>
              </w:rPr>
            </w:pPr>
            <w:r>
              <w:rPr>
                <w:rFonts w:cs="Arial" w:eastAsia="Times New Roman"/>
                <w:szCs w:val="24"/>
                <w:lang w:eastAsia="en-GB"/>
              </w:rPr>
              <w:t>Current model: global platform, local content</w:t>
            </w:r>
          </w:p>
        </w:tc>
      </w:tr>
    </w:tbl>
    <w:p w14:paraId="3C4DC864">
      <w:pPr>
        <w:pStyle w:val="style0"/>
        <w:rPr/>
      </w:pPr>
    </w:p>
    <w:p w14:paraId="71EC92D2">
      <w:pPr>
        <w:pStyle w:val="style0"/>
        <w:rPr/>
      </w:pPr>
      <w:r>
        <w:t>In its first internationalization stage, starting in 2010 with Canada and growing to Latin America and Western Europe between 2011 and 2012 Netflix operated with a traditional Global Strategy</w:t>
      </w:r>
      <w:r>
        <w:t xml:space="preserve"> </w:t>
      </w:r>
      <w:r>
        <w:t>(Berndt et al., 2023)</w:t>
      </w:r>
      <w:r>
        <w:t>. The firm used a standard user interface, its own content library in the home market of the United States (US), and its own North American centralized infrastructure. This approach led to high costs and low subscriber penetration in culturally different markets because of low local relevance, but had the potential to benefit from scale economies and provide cost efficiencies</w:t>
      </w:r>
      <w:r>
        <w:t xml:space="preserve"> </w:t>
      </w:r>
      <w:r>
        <w:t>(Contractor et al., 2026)</w:t>
      </w:r>
      <w:r>
        <w:t>.</w:t>
      </w:r>
    </w:p>
    <w:p w14:paraId="1BC982CB">
      <w:pPr>
        <w:pStyle w:val="style0"/>
        <w:rPr/>
      </w:pPr>
    </w:p>
    <w:p w14:paraId="40D2414D">
      <w:pPr>
        <w:pStyle w:val="style0"/>
        <w:jc w:val="center"/>
        <w:rPr/>
      </w:pPr>
      <w:r>
        <w:rPr>
          <w:noProof/>
        </w:rPr>
        <w:drawing>
          <wp:inline distL="0" distT="0" distB="0" distR="0">
            <wp:extent cx="2812526" cy="2914183"/>
            <wp:effectExtent l="0" t="0" r="6985" b="635"/>
            <wp:docPr id="1028" name="Picture 3" descr="Solved Operations managers of international and | Chegg.com"/>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3" cstate="print"/>
                    <a:srcRect l="0" t="0" r="0" b="0"/>
                    <a:stretch/>
                  </pic:blipFill>
                  <pic:spPr>
                    <a:xfrm rot="0">
                      <a:off x="0" y="0"/>
                      <a:ext cx="2812526" cy="2914183"/>
                    </a:xfrm>
                    <a:prstGeom prst="rect"/>
                    <a:ln>
                      <a:noFill/>
                    </a:ln>
                  </pic:spPr>
                </pic:pic>
              </a:graphicData>
            </a:graphic>
          </wp:inline>
        </w:drawing>
      </w:r>
    </w:p>
    <w:p w14:paraId="4225C7C5">
      <w:pPr>
        <w:pStyle w:val="style0"/>
        <w:jc w:val="center"/>
        <w:rPr>
          <w:b/>
          <w:bCs/>
          <w:i/>
          <w:iCs/>
        </w:rPr>
      </w:pPr>
      <w:r>
        <w:rPr>
          <w:b/>
          <w:bCs/>
          <w:i/>
          <w:iCs/>
        </w:rPr>
        <w:t>Figure 1: Bartlett &amp; Ghoshal Framework (1989) (Ali, 2023)</w:t>
      </w:r>
    </w:p>
    <w:p w14:paraId="77818F3C">
      <w:pPr>
        <w:pStyle w:val="style0"/>
        <w:rPr/>
      </w:pPr>
      <w:r>
        <w:t>In order to acknowledge these constraints, Netflix has shifted its strategy to a Transnational Strategy of simultaneous high pressure for global integration and high pressure for local responsiveness</w:t>
      </w:r>
      <w:r>
        <w:t xml:space="preserve"> </w:t>
      </w:r>
      <w:r>
        <w:t>(</w:t>
      </w:r>
      <w:r>
        <w:t>Asmussen</w:t>
      </w:r>
      <w:r>
        <w:t xml:space="preserve"> et al., 2023)</w:t>
      </w:r>
      <w:r>
        <w:t>. The high pressure of global integration is due to the high fixed-costs involved in owning a technological stack, creating a cloud infrastructure, establishing a recommendation algorithm for artificial intelligence (AI) and spending multi-billion dollars annually on content</w:t>
      </w:r>
      <w:r>
        <w:t xml:space="preserve"> </w:t>
      </w:r>
      <w:r>
        <w:t>(Yu et al., 2023)</w:t>
      </w:r>
      <w:r>
        <w:t>. Scalability is achieved through central platform technology, platform design and global subscriber data analytics, with software innovations being immediately available to more than 300 million subscribers worldwide</w:t>
      </w:r>
      <w:r>
        <w:t xml:space="preserve"> </w:t>
      </w:r>
      <w:r>
        <w:t>(</w:t>
      </w:r>
      <w:r>
        <w:t>Khitab</w:t>
      </w:r>
      <w:r>
        <w:t xml:space="preserve"> et al., 2025)</w:t>
      </w:r>
      <w:r>
        <w:t>.</w:t>
      </w:r>
    </w:p>
    <w:p w14:paraId="5E774F84">
      <w:pPr>
        <w:pStyle w:val="style0"/>
        <w:rPr/>
      </w:pPr>
      <w:r>
        <w:t>At the same time the requirements for high local responsiveness are created by various consumer preferences, language barriers, regulatory content quotas and different national media consumption habits. Netflix meets these needs with its “Global Platform, Local Content” operating model. Netflix avoids a multi-domestic model in which the company's foreign subsidiaries would have full control over their operations they have a centralized strategy and financial control, but let regional production studios commission, co-produce and develop localized original productions</w:t>
      </w:r>
      <w:r>
        <w:t xml:space="preserve"> </w:t>
      </w:r>
      <w:r>
        <w:t>(Fuchs, 2022)</w:t>
      </w:r>
      <w:r>
        <w:t xml:space="preserve">. Examples of such transnational synergy are provided by titles like Squid Game (S. Korea), La Casa de </w:t>
      </w:r>
      <w:r>
        <w:t>Papel</w:t>
      </w:r>
      <w:r>
        <w:t xml:space="preserve"> (S. Spain) and Lupin (F). Content created to address local responsiveness needs then becomes a source of transnational network effects, </w:t>
      </w:r>
      <w:r>
        <w:t>engaging users on the global platform through transnational territories</w:t>
      </w:r>
      <w:r>
        <w:t xml:space="preserve"> </w:t>
      </w:r>
      <w:r>
        <w:t>(</w:t>
      </w:r>
      <w:r>
        <w:t>Botella</w:t>
      </w:r>
      <w:r>
        <w:t xml:space="preserve">-Andreu, </w:t>
      </w:r>
      <w:r>
        <w:t>Pla</w:t>
      </w:r>
      <w:r>
        <w:t xml:space="preserve">-Barber and </w:t>
      </w:r>
      <w:r>
        <w:t>Rocafull</w:t>
      </w:r>
      <w:r>
        <w:t>, 2025)</w:t>
      </w:r>
      <w:r>
        <w:t>.</w:t>
      </w:r>
    </w:p>
    <w:bookmarkStart w:id="4" w:name="_Toc237170550"/>
    <w:p w14:paraId="00EE75C8">
      <w:pPr>
        <w:pStyle w:val="style3"/>
        <w:rPr/>
      </w:pPr>
      <w:r>
        <w:t>Global Configuration and Value Chain Footprint</w:t>
      </w:r>
      <w:bookmarkEnd w:id="4"/>
    </w:p>
    <w:p w14:paraId="3D1EF84C">
      <w:pPr>
        <w:pStyle w:val="style0"/>
        <w:rPr/>
      </w:pPr>
      <w:r>
        <w:t>An ambidextrous value chain configuration is shown in the geographic reach of Netflix. Upstream value chain functions, such as platform software engineering, algorithm development, data security, strategic capital allocation and global ad-tech development, continue to be highly centralized at corporate headquarters in Los Gatos, California</w:t>
      </w:r>
      <w:r>
        <w:t xml:space="preserve"> </w:t>
      </w:r>
      <w:r>
        <w:t>(</w:t>
      </w:r>
      <w:r>
        <w:t>Chalaby</w:t>
      </w:r>
      <w:r>
        <w:t>, 2024)</w:t>
      </w:r>
      <w:r>
        <w:t>. On the other hand, the downstream operations are geographically distributed, with locations in key regional cities with creative talent sourcing functions such as Amsterdam (EMEA), London (UK), São Paulo (LATAM), Singapore (APAC), Tokyo (Japan), and Seoul (South Korea), where creative talent is sourced, regional media licensing, local marketing campaigns, public relations and regulatory compliance activities are performed</w:t>
      </w:r>
      <w:r>
        <w:t xml:space="preserve"> </w:t>
      </w:r>
      <w:r>
        <w:t>(Davis, 2021)</w:t>
      </w:r>
      <w:r>
        <w:t>.</w:t>
      </w:r>
    </w:p>
    <w:p w14:paraId="68285213">
      <w:pPr>
        <w:pStyle w:val="style0"/>
        <w:jc w:val="center"/>
        <w:rPr/>
      </w:pPr>
      <w:r>
        <w:rPr>
          <w:noProof/>
        </w:rPr>
        <w:drawing>
          <wp:inline distL="0" distT="0" distB="0" distR="0">
            <wp:extent cx="4356100" cy="3613150"/>
            <wp:effectExtent l="0" t="0" r="6350" b="6350"/>
            <wp:docPr id="1029"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5"/>
                    <pic:cNvPicPr/>
                  </pic:nvPicPr>
                  <pic:blipFill>
                    <a:blip r:embed="rId4" cstate="print"/>
                    <a:srcRect l="0" t="0" r="0" b="0"/>
                    <a:stretch/>
                  </pic:blipFill>
                  <pic:spPr>
                    <a:xfrm rot="0">
                      <a:off x="0" y="0"/>
                      <a:ext cx="4356100" cy="3613150"/>
                    </a:xfrm>
                    <a:prstGeom prst="rect"/>
                    <a:ln>
                      <a:noFill/>
                    </a:ln>
                  </pic:spPr>
                </pic:pic>
              </a:graphicData>
            </a:graphic>
          </wp:inline>
        </w:drawing>
      </w:r>
    </w:p>
    <w:p w14:paraId="4166C23E">
      <w:pPr>
        <w:pStyle w:val="style0"/>
        <w:jc w:val="center"/>
        <w:rPr>
          <w:b/>
          <w:bCs/>
          <w:i/>
          <w:iCs/>
        </w:rPr>
      </w:pPr>
      <w:r>
        <w:rPr>
          <w:b/>
          <w:bCs/>
          <w:i/>
          <w:iCs/>
        </w:rPr>
        <w:t>Figure 2: Netflix Subscribers Worldwide in 2026 (Wilson, 2026)</w:t>
      </w:r>
    </w:p>
    <w:p w14:paraId="5A0E2A50">
      <w:pPr>
        <w:pStyle w:val="style0"/>
        <w:rPr/>
      </w:pPr>
      <w:r>
        <w:t>Netflix continues to be the preeminent streaming service globally, boasting 325 million paying customers across 190 nations in 2026</w:t>
      </w:r>
      <w:r>
        <w:t xml:space="preserve"> </w:t>
      </w:r>
      <w:r>
        <w:t>(Wilson, 2026)</w:t>
      </w:r>
      <w:r>
        <w:t>.</w:t>
      </w:r>
      <w:r>
        <w:t xml:space="preserve"> </w:t>
      </w:r>
      <w:r>
        <w:t>The ad-supported tier currently has more than 250 million active visitors each month globally</w:t>
      </w:r>
      <w:r>
        <w:t xml:space="preserve"> </w:t>
      </w:r>
      <w:r>
        <w:t>(Zhou, 2026)</w:t>
      </w:r>
      <w:r>
        <w:t>.</w:t>
      </w:r>
      <w:r>
        <w:t xml:space="preserve"> It works by having the same basic service (streaming platform) in all regions with </w:t>
      </w:r>
      <w:r>
        <w:t xml:space="preserve">localized interfaces and region-specific content. North America and Europe, which have tens of millions of subscribers each, represent key markets, as do the fast-growing Asia Pacific and Latin America markets. Economies of scale are achieved worldwide by Netflix's worldwide network of production studios and data </w:t>
      </w:r>
      <w:r>
        <w:t>centers</w:t>
      </w:r>
      <w:r>
        <w:t>, for instance by spreading the fixed cost of content licensing/production over a vast number of subscribers</w:t>
      </w:r>
      <w:r>
        <w:t xml:space="preserve"> </w:t>
      </w:r>
      <w:r>
        <w:t>(</w:t>
      </w:r>
      <w:r>
        <w:t>Ameya</w:t>
      </w:r>
      <w:r>
        <w:t xml:space="preserve"> Anil Patil and Sangram </w:t>
      </w:r>
      <w:r>
        <w:t>Girigosavi</w:t>
      </w:r>
      <w:r>
        <w:t>, 2024)</w:t>
      </w:r>
      <w:r>
        <w:t>.</w:t>
      </w:r>
    </w:p>
    <w:p w14:paraId="533995F4">
      <w:pPr>
        <w:pStyle w:val="style0"/>
        <w:spacing w:lineRule="auto" w:line="259"/>
        <w:jc w:val="left"/>
        <w:rPr/>
      </w:pPr>
      <w:r>
        <w:br w:type="page"/>
      </w:r>
    </w:p>
    <w:bookmarkStart w:id="5" w:name="_Toc237170551"/>
    <w:p w14:paraId="63316604">
      <w:pPr>
        <w:pStyle w:val="style2"/>
        <w:rPr/>
      </w:pPr>
      <w:r>
        <w:t>1.2 Macro-Environmental Appraisal and Market Attractiveness</w:t>
      </w:r>
      <w:bookmarkEnd w:id="5"/>
    </w:p>
    <w:bookmarkStart w:id="6" w:name="_Toc237170552"/>
    <w:p w14:paraId="396C58CA">
      <w:pPr>
        <w:pStyle w:val="style3"/>
        <w:rPr/>
      </w:pPr>
      <w:r>
        <w:t>Host Country Analysis (China’s PEST Factors)</w:t>
      </w:r>
      <w:bookmarkEnd w:id="6"/>
    </w:p>
    <w:p w14:paraId="5B441876">
      <w:pPr>
        <w:pStyle w:val="style0"/>
        <w:rPr/>
      </w:pPr>
      <w:r>
        <w:t>China is one of the world's biggest digital streaming markets with over 1.08 billion internet users and digital video streaming penetration rate is more than 97%, but with very high non-market barriers, political governance and well-developed domestic platform ecosystems</w:t>
      </w:r>
      <w:r>
        <w:t xml:space="preserve"> </w:t>
      </w:r>
      <w:r>
        <w:t>(</w:t>
      </w:r>
      <w:r>
        <w:t>Stratrix</w:t>
      </w:r>
      <w:r>
        <w:t>, 2026)</w:t>
      </w:r>
      <w:r>
        <w:t xml:space="preserve">. China's macro environment was </w:t>
      </w:r>
      <w:r>
        <w:t>analyzed</w:t>
      </w:r>
      <w:r>
        <w:t xml:space="preserve"> from the perspectives of political, economic, legal, and cultural aspects, which explains the institutional conflict that foreign direct entry may face.</w:t>
      </w:r>
    </w:p>
    <w:p w14:paraId="401346BB">
      <w:pPr>
        <w:pStyle w:val="style0"/>
        <w:jc w:val="center"/>
        <w:rPr/>
      </w:pPr>
      <w:r>
        <w:rPr>
          <w:noProof/>
        </w:rPr>
        <w:drawing>
          <wp:inline distL="0" distT="0" distB="0" distR="0">
            <wp:extent cx="4518025" cy="3263951"/>
            <wp:effectExtent l="0" t="0" r="0" b="0"/>
            <wp:docPr id="1030" name="Picture 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6"/>
                    <pic:cNvPicPr/>
                  </pic:nvPicPr>
                  <pic:blipFill>
                    <a:blip r:embed="rId5" cstate="print"/>
                    <a:srcRect l="0" t="0" r="0" b="0"/>
                    <a:stretch/>
                  </pic:blipFill>
                  <pic:spPr>
                    <a:xfrm rot="0">
                      <a:off x="0" y="0"/>
                      <a:ext cx="4518025" cy="3263951"/>
                    </a:xfrm>
                    <a:prstGeom prst="rect"/>
                  </pic:spPr>
                </pic:pic>
              </a:graphicData>
            </a:graphic>
          </wp:inline>
        </w:drawing>
      </w:r>
    </w:p>
    <w:p w14:paraId="39EA5644">
      <w:pPr>
        <w:pStyle w:val="style0"/>
        <w:jc w:val="center"/>
        <w:rPr>
          <w:b/>
          <w:bCs/>
          <w:i/>
          <w:iCs/>
        </w:rPr>
      </w:pPr>
      <w:r>
        <w:rPr>
          <w:b/>
          <w:bCs/>
          <w:i/>
          <w:iCs/>
        </w:rPr>
        <w:t>Figure 3: PEST Analysis tool (</w:t>
      </w:r>
      <w:r>
        <w:rPr>
          <w:b/>
          <w:bCs/>
          <w:i/>
          <w:iCs/>
        </w:rPr>
        <w:t>Quattrociocchi</w:t>
      </w:r>
      <w:r>
        <w:rPr>
          <w:b/>
          <w:bCs/>
          <w:i/>
          <w:iCs/>
        </w:rPr>
        <w:t xml:space="preserve"> et al., 2017)</w:t>
      </w:r>
    </w:p>
    <w:p w14:paraId="40699481">
      <w:pPr>
        <w:pStyle w:val="style0"/>
        <w:rPr>
          <w:b/>
          <w:bCs/>
        </w:rPr>
      </w:pPr>
      <w:r>
        <w:rPr>
          <w:b/>
          <w:bCs/>
        </w:rPr>
        <w:t>Political Dynamics and Ideological Governance</w:t>
      </w:r>
    </w:p>
    <w:p w14:paraId="7CF845E1">
      <w:pPr>
        <w:pStyle w:val="style0"/>
        <w:rPr/>
      </w:pPr>
      <w:r>
        <w:t>In China, media and information platforms are subject to rigorous control, and cultural production has become a tool of the Chinese government's national sovereignty, public morality and political stability campaigns</w:t>
      </w:r>
      <w:r>
        <w:t xml:space="preserve"> </w:t>
      </w:r>
      <w:r>
        <w:t>(</w:t>
      </w:r>
      <w:r>
        <w:t>Brunk</w:t>
      </w:r>
      <w:r>
        <w:t>, 2020)</w:t>
      </w:r>
      <w:r>
        <w:t>. The main regulating body for media distribution is the National Radio and Television Administration (NRTA), under the supervision of Cyberspace Administration of China (CAC) and the Central Propaganda Department</w:t>
      </w:r>
      <w:r>
        <w:t xml:space="preserve"> </w:t>
      </w:r>
      <w:r>
        <w:t>(Cui, 2024)</w:t>
      </w:r>
      <w:r>
        <w:t>.</w:t>
      </w:r>
    </w:p>
    <w:p w14:paraId="5B9DB95B">
      <w:pPr>
        <w:pStyle w:val="style0"/>
        <w:rPr/>
      </w:pPr>
    </w:p>
    <w:p w14:paraId="49AD15B5">
      <w:pPr>
        <w:pStyle w:val="style0"/>
        <w:rPr/>
      </w:pPr>
      <w:r>
        <w:t>Foreign media outlets are subjected to serious political risks under the conditions and requirements of real-time filtering of content, strict ideology orientation, and censorship of sensitive topics in history, geopolitics, and society</w:t>
      </w:r>
      <w:r>
        <w:t xml:space="preserve"> </w:t>
      </w:r>
      <w:r>
        <w:t>(Ding and Chen, 2023)</w:t>
      </w:r>
      <w:r>
        <w:t>. In China, content governance is based on pre-approval of all individual titles released online, while in Western markets it is mostly based on post-hoc age-rating classification.</w:t>
      </w:r>
    </w:p>
    <w:p w14:paraId="7B3E7E89">
      <w:pPr>
        <w:pStyle w:val="style0"/>
        <w:rPr/>
      </w:pPr>
      <w:r>
        <w:t>In addition, political necessity requires that the domestic culture is protected from “Western cultural imperialism”. This means that with the foreign streaming platforms operating separately, they are seen as a threat to the domestic digital sphere and a basic political hurdle to entry</w:t>
      </w:r>
      <w:r>
        <w:t xml:space="preserve"> </w:t>
      </w:r>
      <w:r>
        <w:t>(</w:t>
      </w:r>
      <w:r>
        <w:t>Goncharenko</w:t>
      </w:r>
      <w:r>
        <w:t xml:space="preserve"> et al., 2023)</w:t>
      </w:r>
      <w:r>
        <w:t>.</w:t>
      </w:r>
    </w:p>
    <w:p w14:paraId="10D78016">
      <w:pPr>
        <w:pStyle w:val="style0"/>
        <w:rPr>
          <w:b/>
          <w:bCs/>
        </w:rPr>
      </w:pPr>
      <w:r>
        <w:rPr>
          <w:b/>
          <w:bCs/>
        </w:rPr>
        <w:t>Economic Landscape and Industry Rivalry</w:t>
      </w:r>
    </w:p>
    <w:p w14:paraId="0A3E9A90">
      <w:pPr>
        <w:pStyle w:val="style0"/>
        <w:rPr/>
      </w:pPr>
      <w:r>
        <w:t xml:space="preserve">The Chinese online video market is competitive, mature, and is dominated by established platforms, each behind a leading tech conglomerate, known as the BATs: </w:t>
      </w:r>
      <w:r>
        <w:t>iQIYI</w:t>
      </w:r>
      <w:r>
        <w:t xml:space="preserve">, backed by Baidu; Youku (Alibaba); Tencent Video (Tencent); and short-form platforms </w:t>
      </w:r>
      <w:r>
        <w:t>Douyin</w:t>
      </w:r>
      <w:r>
        <w:t xml:space="preserve"> (</w:t>
      </w:r>
      <w:r>
        <w:t>ByteDance</w:t>
      </w:r>
      <w:r>
        <w:t xml:space="preserve">) and </w:t>
      </w:r>
      <w:r>
        <w:t>Bilibili</w:t>
      </w:r>
      <w:r>
        <w:t xml:space="preserve"> </w:t>
      </w:r>
      <w:r>
        <w:t>(Shi and Zhou, 2021)</w:t>
      </w:r>
      <w:r>
        <w:t>.</w:t>
      </w:r>
    </w:p>
    <w:tbl>
      <w:tblPr>
        <w:tblStyle w:val="style4101"/>
        <w:tblW w:w="0" w:type="auto"/>
        <w:tblLook w:val="04A0" w:firstRow="1" w:lastRow="0" w:firstColumn="1" w:lastColumn="0" w:noHBand="0" w:noVBand="1"/>
      </w:tblPr>
      <w:tblGrid>
        <w:gridCol w:w="2254"/>
        <w:gridCol w:w="2254"/>
        <w:gridCol w:w="2254"/>
        <w:gridCol w:w="2254"/>
      </w:tblGrid>
      <w:tr w14:paraId="614ED29D">
        <w:trPr/>
        <w:tc>
          <w:tcPr>
            <w:tcW w:w="2254" w:type="dxa"/>
            <w:tcBorders/>
          </w:tcPr>
          <w:p w14:paraId="2C7687F2">
            <w:pPr>
              <w:pStyle w:val="style0"/>
              <w:rPr/>
            </w:pPr>
            <w:r>
              <w:t>Platform Name</w:t>
            </w:r>
          </w:p>
        </w:tc>
        <w:tc>
          <w:tcPr>
            <w:tcW w:w="2254" w:type="dxa"/>
            <w:tcBorders/>
          </w:tcPr>
          <w:p w14:paraId="5A4A29F3">
            <w:pPr>
              <w:pStyle w:val="style0"/>
              <w:rPr/>
            </w:pPr>
            <w:r>
              <w:t>Corporate Backing / Parent Entity</w:t>
            </w:r>
          </w:p>
        </w:tc>
        <w:tc>
          <w:tcPr>
            <w:tcW w:w="2254" w:type="dxa"/>
            <w:tcBorders/>
          </w:tcPr>
          <w:p w14:paraId="6A3843B7">
            <w:pPr>
              <w:pStyle w:val="style0"/>
              <w:rPr/>
            </w:pPr>
            <w:r>
              <w:t>Dominant Business Model</w:t>
            </w:r>
          </w:p>
        </w:tc>
        <w:tc>
          <w:tcPr>
            <w:tcW w:w="2254" w:type="dxa"/>
            <w:tcBorders/>
          </w:tcPr>
          <w:p w14:paraId="0B8AA7AA">
            <w:pPr>
              <w:pStyle w:val="style0"/>
              <w:rPr/>
            </w:pPr>
            <w:r>
              <w:t>Ecosystem Capabilities</w:t>
            </w:r>
          </w:p>
        </w:tc>
      </w:tr>
      <w:tr w14:paraId="58F89A91">
        <w:tblPrEx/>
        <w:trPr/>
        <w:tc>
          <w:tcPr>
            <w:tcW w:w="2254" w:type="dxa"/>
            <w:tcBorders/>
          </w:tcPr>
          <w:p w14:paraId="27F2B12C">
            <w:pPr>
              <w:pStyle w:val="style0"/>
              <w:rPr/>
            </w:pPr>
            <w:r>
              <w:t>Tencent Video</w:t>
            </w:r>
          </w:p>
        </w:tc>
        <w:tc>
          <w:tcPr>
            <w:tcW w:w="2254" w:type="dxa"/>
            <w:tcBorders/>
          </w:tcPr>
          <w:p w14:paraId="24839A2F">
            <w:pPr>
              <w:pStyle w:val="style0"/>
              <w:rPr/>
            </w:pPr>
            <w:r>
              <w:t>Tencent Group</w:t>
            </w:r>
          </w:p>
        </w:tc>
        <w:tc>
          <w:tcPr>
            <w:tcW w:w="2254" w:type="dxa"/>
            <w:tcBorders/>
          </w:tcPr>
          <w:p w14:paraId="67BED590">
            <w:pPr>
              <w:pStyle w:val="style0"/>
              <w:rPr/>
            </w:pPr>
            <w:r>
              <w:t>SVOD / AVOD Hybrid</w:t>
            </w:r>
          </w:p>
        </w:tc>
        <w:tc>
          <w:tcPr>
            <w:tcW w:w="2254" w:type="dxa"/>
            <w:tcBorders/>
          </w:tcPr>
          <w:p w14:paraId="1F13E303">
            <w:pPr>
              <w:pStyle w:val="style0"/>
              <w:rPr/>
            </w:pPr>
            <w:r>
              <w:t>Deep integration with WeChat social ecosystem, gaming IPs, and digital payments</w:t>
            </w:r>
            <w:r>
              <w:t>.</w:t>
            </w:r>
          </w:p>
        </w:tc>
      </w:tr>
      <w:tr w14:paraId="68CFDC0F">
        <w:tblPrEx/>
        <w:trPr/>
        <w:tc>
          <w:tcPr>
            <w:tcW w:w="2254" w:type="dxa"/>
            <w:tcBorders/>
          </w:tcPr>
          <w:p w14:paraId="544E9A85">
            <w:pPr>
              <w:pStyle w:val="style0"/>
              <w:rPr/>
            </w:pPr>
            <w:r>
              <w:t>iQIYI</w:t>
            </w:r>
          </w:p>
        </w:tc>
        <w:tc>
          <w:tcPr>
            <w:tcW w:w="2254" w:type="dxa"/>
            <w:tcBorders/>
          </w:tcPr>
          <w:p w14:paraId="668AC518">
            <w:pPr>
              <w:pStyle w:val="style0"/>
              <w:rPr/>
            </w:pPr>
            <w:r>
              <w:t>Baidu Group</w:t>
            </w:r>
          </w:p>
        </w:tc>
        <w:tc>
          <w:tcPr>
            <w:tcW w:w="2254" w:type="dxa"/>
            <w:tcBorders/>
          </w:tcPr>
          <w:p w14:paraId="74B80F52">
            <w:pPr>
              <w:pStyle w:val="style0"/>
              <w:rPr/>
            </w:pPr>
            <w:r>
              <w:t>SVOD / AVOD Hybrid</w:t>
            </w:r>
          </w:p>
        </w:tc>
        <w:tc>
          <w:tcPr>
            <w:tcW w:w="2254" w:type="dxa"/>
            <w:tcBorders/>
          </w:tcPr>
          <w:p w14:paraId="5430A251">
            <w:pPr>
              <w:pStyle w:val="style0"/>
              <w:rPr/>
            </w:pPr>
            <w:r>
              <w:t>Advanced AI recommendation algorithms and extensive domestic original drama production</w:t>
            </w:r>
            <w:r>
              <w:t>.</w:t>
            </w:r>
          </w:p>
        </w:tc>
      </w:tr>
      <w:tr w14:paraId="35A4E8F9">
        <w:tblPrEx/>
        <w:trPr/>
        <w:tc>
          <w:tcPr>
            <w:tcW w:w="2254" w:type="dxa"/>
            <w:tcBorders/>
          </w:tcPr>
          <w:p w14:paraId="093A151A">
            <w:pPr>
              <w:pStyle w:val="style0"/>
              <w:rPr/>
            </w:pPr>
            <w:r>
              <w:t>Youku</w:t>
            </w:r>
          </w:p>
        </w:tc>
        <w:tc>
          <w:tcPr>
            <w:tcW w:w="2254" w:type="dxa"/>
            <w:tcBorders/>
          </w:tcPr>
          <w:p w14:paraId="14483E45">
            <w:pPr>
              <w:pStyle w:val="style0"/>
              <w:rPr/>
            </w:pPr>
            <w:r>
              <w:t>Alibaba Group</w:t>
            </w:r>
          </w:p>
        </w:tc>
        <w:tc>
          <w:tcPr>
            <w:tcW w:w="2254" w:type="dxa"/>
            <w:tcBorders/>
          </w:tcPr>
          <w:p w14:paraId="32899CE8">
            <w:pPr>
              <w:pStyle w:val="style0"/>
              <w:rPr/>
            </w:pPr>
            <w:r>
              <w:t>SVOD / AVOD Hybrid</w:t>
            </w:r>
          </w:p>
        </w:tc>
        <w:tc>
          <w:tcPr>
            <w:tcW w:w="2254" w:type="dxa"/>
            <w:tcBorders/>
          </w:tcPr>
          <w:p w14:paraId="645540D4">
            <w:pPr>
              <w:pStyle w:val="style0"/>
              <w:rPr/>
            </w:pPr>
            <w:r>
              <w:t>Direct integration with Taobao/</w:t>
            </w:r>
            <w:r>
              <w:t>Tmall</w:t>
            </w:r>
            <w:r>
              <w:t xml:space="preserve"> e-commerce </w:t>
            </w:r>
            <w:r>
              <w:t>networks and live-streaming retail</w:t>
            </w:r>
          </w:p>
        </w:tc>
      </w:tr>
    </w:tbl>
    <w:p w14:paraId="716A253D">
      <w:pPr>
        <w:pStyle w:val="style0"/>
        <w:rPr/>
      </w:pPr>
    </w:p>
    <w:p w14:paraId="56952BDD">
      <w:pPr>
        <w:pStyle w:val="style0"/>
        <w:jc w:val="center"/>
        <w:rPr/>
      </w:pPr>
      <w:r>
        <w:rPr>
          <w:noProof/>
        </w:rPr>
        <w:drawing>
          <wp:inline distL="0" distT="0" distB="0" distR="0">
            <wp:extent cx="5140826" cy="3075611"/>
            <wp:effectExtent l="0" t="0" r="3175" b="0"/>
            <wp:docPr id="1031" name="Picture 7" descr="China Video Streaming Market Analysis, Size, and Forecast 2026-2030"/>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7"/>
                    <pic:cNvPicPr/>
                  </pic:nvPicPr>
                  <pic:blipFill>
                    <a:blip r:embed="rId6" cstate="print"/>
                    <a:srcRect l="0" t="15113" r="0" b="6424"/>
                    <a:stretch/>
                  </pic:blipFill>
                  <pic:spPr>
                    <a:xfrm rot="0">
                      <a:off x="0" y="0"/>
                      <a:ext cx="5140826" cy="3075611"/>
                    </a:xfrm>
                    <a:prstGeom prst="rect"/>
                    <a:ln>
                      <a:noFill/>
                    </a:ln>
                  </pic:spPr>
                </pic:pic>
              </a:graphicData>
            </a:graphic>
          </wp:inline>
        </w:drawing>
      </w:r>
    </w:p>
    <w:p w14:paraId="613626BA">
      <w:pPr>
        <w:pStyle w:val="style0"/>
        <w:jc w:val="center"/>
        <w:rPr>
          <w:b/>
          <w:bCs/>
          <w:i/>
          <w:iCs/>
        </w:rPr>
      </w:pPr>
      <w:r>
        <w:rPr>
          <w:b/>
          <w:bCs/>
          <w:i/>
          <w:iCs/>
        </w:rPr>
        <w:t>Figure 4: China Video Streaming Market Size 2026-2030 (Technavio, 2026)</w:t>
      </w:r>
    </w:p>
    <w:p w14:paraId="702B244D">
      <w:pPr>
        <w:pStyle w:val="style0"/>
        <w:rPr/>
      </w:pPr>
      <w:r>
        <w:t>The valuation of the Chinese video streaming industry is projected to rise by USD 220.4 billion, with a compound annual growth rate (CAGR) of 40.6% from 2025 to 2030</w:t>
      </w:r>
      <w:r>
        <w:t xml:space="preserve"> </w:t>
      </w:r>
      <w:r>
        <w:t>(Technavio, 2026)</w:t>
      </w:r>
      <w:r>
        <w:t>. Augmenting investment in premium and distinctive original content will propel the Chinese video streaming sector.</w:t>
      </w:r>
    </w:p>
    <w:p w14:paraId="78F4C39E">
      <w:pPr>
        <w:pStyle w:val="style0"/>
        <w:rPr/>
      </w:pPr>
      <w:r>
        <w:t>The video streaming industry in China is a multifaceted environment defined by a three-tiered framework of long-form, short-form, and live streaming offerings. This terrain is characterised by fierce rivalry among prominent over-the-top (OTT) service providers, the cultural supremacy of user-generated content (UGC) platform frameworks, and the rapid expansion of livestream e-commerce</w:t>
      </w:r>
      <w:r>
        <w:t xml:space="preserve"> </w:t>
      </w:r>
      <w:r>
        <w:t>(Tyagi, 2025)</w:t>
      </w:r>
      <w:r>
        <w:t>.</w:t>
      </w:r>
    </w:p>
    <w:p w14:paraId="3FFC249A">
      <w:pPr>
        <w:pStyle w:val="style0"/>
        <w:rPr/>
      </w:pPr>
      <w:r>
        <w:t>These domestic operators have a large number of economic advantages, such as integrated digital ecosystems including mobile payments (WeChat Pay/Alipay), social media cross-promotions, cloud hosting infrastructure and rich domestic IP library</w:t>
      </w:r>
      <w:r>
        <w:t xml:space="preserve"> </w:t>
      </w:r>
      <w:r>
        <w:t>(Wang and Weng, 2022)</w:t>
      </w:r>
      <w:r>
        <w:t>.</w:t>
      </w:r>
    </w:p>
    <w:p w14:paraId="0CA1A5CE">
      <w:pPr>
        <w:pStyle w:val="style0"/>
        <w:rPr/>
      </w:pPr>
      <w:r>
        <w:t xml:space="preserve">Monetization-wise, the willingness-to-pay for Subscription Video on Demand (SVOD) in China has historically had lower ARPU than in other Western markets. Hybrid </w:t>
      </w:r>
      <w:r>
        <w:t>business models, such as low-cost SVOD tiers, AVOD (ad-supported video on demand), tipping and e-commerce are all crucial to the success of domestic platforms</w:t>
      </w:r>
      <w:r>
        <w:t xml:space="preserve"> </w:t>
      </w:r>
      <w:r>
        <w:t>(Yuan, 2023)</w:t>
      </w:r>
      <w:r>
        <w:t>.</w:t>
      </w:r>
    </w:p>
    <w:p w14:paraId="369AEDC3">
      <w:pPr>
        <w:pStyle w:val="style0"/>
        <w:rPr/>
      </w:pPr>
      <w:r>
        <w:t>Netflix's financial model depends on significant content spending across the different tiers of its paid customers, and it would be very difficult for the company to compete on price with less-costly, local, incumbent services</w:t>
      </w:r>
      <w:r>
        <w:t xml:space="preserve"> </w:t>
      </w:r>
      <w:r>
        <w:t>(</w:t>
      </w:r>
      <w:r>
        <w:t>Zámborský</w:t>
      </w:r>
      <w:r>
        <w:t xml:space="preserve"> et al., 2023)</w:t>
      </w:r>
      <w:r>
        <w:t>.</w:t>
      </w:r>
    </w:p>
    <w:p w14:paraId="1BB24E4D">
      <w:pPr>
        <w:pStyle w:val="style0"/>
        <w:rPr>
          <w:b/>
          <w:bCs/>
        </w:rPr>
      </w:pPr>
      <w:r>
        <w:rPr>
          <w:b/>
          <w:bCs/>
        </w:rPr>
        <w:t>Legal, Regulatory, and Data Sovereignty Frameworks</w:t>
      </w:r>
    </w:p>
    <w:p w14:paraId="17861A2B">
      <w:pPr>
        <w:pStyle w:val="style0"/>
        <w:rPr/>
      </w:pPr>
      <w:r>
        <w:t>Legal environment is China's greatest obstacle for foreign direct entry. Foreign enterprises cannot directly invest in or operate any value-added telecommunications services related to internet audio-visual program services, news publishing, and online media distribution under the Special Administrative Measures (Negative List) for Foreign Investment Access</w:t>
      </w:r>
      <w:r>
        <w:t xml:space="preserve"> </w:t>
      </w:r>
      <w:r>
        <w:t>(Tang and Wei, 2023)</w:t>
      </w:r>
      <w:r>
        <w:t>.</w:t>
      </w:r>
    </w:p>
    <w:p w14:paraId="40B3B28D">
      <w:pPr>
        <w:pStyle w:val="style0"/>
        <w:rPr/>
      </w:pPr>
      <w:r>
        <w:t xml:space="preserve">Foreign media firms are not allowed to directly operate over-the-top (OTT) streaming services under the law. In addition, the NRTA imposes foreign content quotas, with no more than 30% of a domestic online streaming platform's </w:t>
      </w:r>
      <w:r>
        <w:t>catalog</w:t>
      </w:r>
      <w:r>
        <w:t xml:space="preserve"> volume allowed to be foreign-produced content</w:t>
      </w:r>
      <w:r>
        <w:t xml:space="preserve"> </w:t>
      </w:r>
      <w:r>
        <w:t>(Surana et al., 2024)</w:t>
      </w:r>
      <w:r>
        <w:t>. Foreign films and series also have to be subject to a long and complicated review process that can take six to twelve months to get through the necessary process, making “day-and-date” releases unfeasible from a legal point of view</w:t>
      </w:r>
      <w:r>
        <w:t xml:space="preserve"> </w:t>
      </w:r>
      <w:r>
        <w:t>(</w:t>
      </w:r>
      <w:r>
        <w:t>Morschett</w:t>
      </w:r>
      <w:r>
        <w:t xml:space="preserve"> et al., 2025)</w:t>
      </w:r>
      <w:r>
        <w:t>.</w:t>
      </w:r>
    </w:p>
    <w:tbl>
      <w:tblPr>
        <w:tblW w:w="5000" w:type="pct"/>
        <w:tblCellMar>
          <w:top w:w="15" w:type="dxa"/>
          <w:left w:w="15" w:type="dxa"/>
          <w:bottom w:w="15" w:type="dxa"/>
          <w:right w:w="15" w:type="dxa"/>
        </w:tblCellMar>
        <w:tblLook w:val="04A0" w:firstRow="1" w:lastRow="0" w:firstColumn="1" w:lastColumn="0" w:noHBand="0" w:noVBand="1"/>
      </w:tblPr>
      <w:tblGrid>
        <w:gridCol w:w="1671"/>
        <w:gridCol w:w="2246"/>
        <w:gridCol w:w="2914"/>
        <w:gridCol w:w="2177"/>
      </w:tblGrid>
      <w:tr w14:paraId="5DA8BEEB">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56D5DEA1">
            <w:pPr>
              <w:pStyle w:val="style0"/>
              <w:spacing w:after="0" w:lineRule="auto" w:line="240"/>
              <w:jc w:val="left"/>
              <w:rPr>
                <w:rFonts w:cs="Arial" w:eastAsia="Times New Roman"/>
                <w:b/>
                <w:bCs/>
                <w:szCs w:val="24"/>
                <w:lang w:eastAsia="en-GB"/>
              </w:rPr>
            </w:pPr>
            <w:r>
              <w:rPr>
                <w:rFonts w:cs="Arial" w:eastAsia="Times New Roman"/>
                <w:b/>
                <w:bCs/>
                <w:szCs w:val="24"/>
                <w:lang w:eastAsia="en-GB"/>
              </w:rPr>
              <w:t>Regulatory domain</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65CAB2AF">
            <w:pPr>
              <w:pStyle w:val="style0"/>
              <w:spacing w:after="0" w:lineRule="auto" w:line="240"/>
              <w:jc w:val="left"/>
              <w:rPr>
                <w:rFonts w:cs="Arial" w:eastAsia="Times New Roman"/>
                <w:b/>
                <w:bCs/>
                <w:szCs w:val="24"/>
                <w:lang w:eastAsia="en-GB"/>
              </w:rPr>
            </w:pPr>
            <w:r>
              <w:rPr>
                <w:rFonts w:cs="Arial" w:eastAsia="Times New Roman"/>
                <w:b/>
                <w:bCs/>
                <w:szCs w:val="24"/>
                <w:lang w:eastAsia="en-GB"/>
              </w:rPr>
              <w:t>Legal instrument / agency</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2C35C881">
            <w:pPr>
              <w:pStyle w:val="style0"/>
              <w:spacing w:after="0" w:lineRule="auto" w:line="240"/>
              <w:jc w:val="left"/>
              <w:rPr>
                <w:rFonts w:cs="Arial" w:eastAsia="Times New Roman"/>
                <w:b/>
                <w:bCs/>
                <w:szCs w:val="24"/>
                <w:lang w:eastAsia="en-GB"/>
              </w:rPr>
            </w:pPr>
            <w:r>
              <w:rPr>
                <w:rFonts w:cs="Arial" w:eastAsia="Times New Roman"/>
                <w:b/>
                <w:bCs/>
                <w:szCs w:val="24"/>
                <w:lang w:eastAsia="en-GB"/>
              </w:rPr>
              <w:t>Main requirement</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2659CA0B">
            <w:pPr>
              <w:pStyle w:val="style0"/>
              <w:spacing w:after="0" w:lineRule="auto" w:line="240"/>
              <w:jc w:val="left"/>
              <w:rPr>
                <w:rFonts w:cs="Arial" w:eastAsia="Times New Roman"/>
                <w:b/>
                <w:bCs/>
                <w:szCs w:val="24"/>
                <w:lang w:eastAsia="en-GB"/>
              </w:rPr>
            </w:pPr>
            <w:r>
              <w:rPr>
                <w:rFonts w:cs="Arial" w:eastAsia="Times New Roman"/>
                <w:b/>
                <w:bCs/>
                <w:szCs w:val="24"/>
                <w:lang w:eastAsia="en-GB"/>
              </w:rPr>
              <w:t>Strategic impact on foreign entrants</w:t>
            </w:r>
          </w:p>
        </w:tc>
      </w:tr>
      <w:tr w14:paraId="23E22577">
        <w:tblPrEx/>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DB11CAE">
            <w:pPr>
              <w:pStyle w:val="style0"/>
              <w:spacing w:after="0" w:lineRule="auto" w:line="240"/>
              <w:jc w:val="left"/>
              <w:rPr>
                <w:rFonts w:cs="Arial" w:eastAsia="Times New Roman"/>
                <w:szCs w:val="24"/>
                <w:lang w:eastAsia="en-GB"/>
              </w:rPr>
            </w:pPr>
            <w:r>
              <w:rPr>
                <w:rFonts w:cs="Arial" w:eastAsia="Times New Roman"/>
                <w:szCs w:val="24"/>
                <w:lang w:eastAsia="en-GB"/>
              </w:rPr>
              <w:t>Foreign direct investment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EA61AD8">
            <w:pPr>
              <w:pStyle w:val="style0"/>
              <w:spacing w:after="0" w:lineRule="auto" w:line="240"/>
              <w:jc w:val="left"/>
              <w:rPr>
                <w:rFonts w:cs="Arial" w:eastAsia="Times New Roman"/>
                <w:szCs w:val="24"/>
                <w:lang w:eastAsia="en-GB"/>
              </w:rPr>
            </w:pPr>
            <w:r>
              <w:rPr>
                <w:rFonts w:cs="Arial" w:eastAsia="Times New Roman"/>
                <w:szCs w:val="24"/>
                <w:lang w:eastAsia="en-GB"/>
              </w:rPr>
              <w:t>Foreign Investment Negative List / Ministry of Commerce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560D64A">
            <w:pPr>
              <w:pStyle w:val="style0"/>
              <w:spacing w:after="0" w:lineRule="auto" w:line="240"/>
              <w:jc w:val="left"/>
              <w:rPr>
                <w:rFonts w:cs="Arial" w:eastAsia="Times New Roman"/>
                <w:szCs w:val="24"/>
                <w:lang w:eastAsia="en-GB"/>
              </w:rPr>
            </w:pPr>
            <w:r>
              <w:rPr>
                <w:rFonts w:cs="Arial" w:eastAsia="Times New Roman"/>
                <w:szCs w:val="24"/>
                <w:lang w:eastAsia="en-GB"/>
              </w:rPr>
              <w:t>Restricts foreign ownership in telecommunications and online media</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F09BE9C">
            <w:pPr>
              <w:pStyle w:val="style0"/>
              <w:spacing w:after="0" w:lineRule="auto" w:line="240"/>
              <w:jc w:val="left"/>
              <w:rPr>
                <w:rFonts w:cs="Arial" w:eastAsia="Times New Roman"/>
                <w:szCs w:val="24"/>
                <w:lang w:eastAsia="en-GB"/>
              </w:rPr>
            </w:pPr>
            <w:r>
              <w:rPr>
                <w:rFonts w:cs="Arial" w:eastAsia="Times New Roman"/>
                <w:szCs w:val="24"/>
                <w:lang w:eastAsia="en-GB"/>
              </w:rPr>
              <w:t>Direct wholly owned OTT entry is not possible</w:t>
            </w:r>
          </w:p>
        </w:tc>
      </w:tr>
      <w:tr w14:paraId="41078935">
        <w:tblPrEx/>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5C401F3">
            <w:pPr>
              <w:pStyle w:val="style0"/>
              <w:spacing w:after="0" w:lineRule="auto" w:line="240"/>
              <w:jc w:val="left"/>
              <w:rPr>
                <w:rFonts w:cs="Arial" w:eastAsia="Times New Roman"/>
                <w:szCs w:val="24"/>
                <w:lang w:eastAsia="en-GB"/>
              </w:rPr>
            </w:pPr>
            <w:r>
              <w:rPr>
                <w:rFonts w:cs="Arial" w:eastAsia="Times New Roman"/>
                <w:szCs w:val="24"/>
                <w:lang w:eastAsia="en-GB"/>
              </w:rPr>
              <w:t>Content quotas and censorship</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B8B9833">
            <w:pPr>
              <w:pStyle w:val="style0"/>
              <w:spacing w:after="0" w:lineRule="auto" w:line="240"/>
              <w:jc w:val="left"/>
              <w:rPr>
                <w:rFonts w:cs="Arial" w:eastAsia="Times New Roman"/>
                <w:szCs w:val="24"/>
                <w:lang w:eastAsia="en-GB"/>
              </w:rPr>
            </w:pPr>
            <w:r>
              <w:rPr>
                <w:rFonts w:cs="Arial" w:eastAsia="Times New Roman"/>
                <w:szCs w:val="24"/>
                <w:lang w:eastAsia="en-GB"/>
              </w:rPr>
              <w:t>NRTA / Central Propaganda Department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55ABCF5">
            <w:pPr>
              <w:pStyle w:val="style0"/>
              <w:spacing w:after="0" w:lineRule="auto" w:line="240"/>
              <w:jc w:val="left"/>
              <w:rPr>
                <w:rFonts w:cs="Arial" w:eastAsia="Times New Roman"/>
                <w:szCs w:val="24"/>
                <w:lang w:eastAsia="en-GB"/>
              </w:rPr>
            </w:pPr>
            <w:r>
              <w:rPr>
                <w:rFonts w:cs="Arial" w:eastAsia="Times New Roman"/>
                <w:szCs w:val="24"/>
                <w:lang w:eastAsia="en-GB"/>
              </w:rPr>
              <w:t>Limits foreign content and requires prior approval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50FFA71">
            <w:pPr>
              <w:pStyle w:val="style0"/>
              <w:spacing w:after="0" w:lineRule="auto" w:line="240"/>
              <w:jc w:val="left"/>
              <w:rPr>
                <w:rFonts w:cs="Arial" w:eastAsia="Times New Roman"/>
                <w:szCs w:val="24"/>
                <w:lang w:eastAsia="en-GB"/>
              </w:rPr>
            </w:pPr>
            <w:r>
              <w:rPr>
                <w:rFonts w:cs="Arial" w:eastAsia="Times New Roman"/>
                <w:szCs w:val="24"/>
                <w:lang w:eastAsia="en-GB"/>
              </w:rPr>
              <w:t xml:space="preserve">Prevents simultaneous global releases and limits </w:t>
            </w:r>
            <w:r>
              <w:rPr>
                <w:rFonts w:cs="Arial" w:eastAsia="Times New Roman"/>
                <w:szCs w:val="24"/>
                <w:lang w:eastAsia="en-GB"/>
              </w:rPr>
              <w:t>catalog</w:t>
            </w:r>
            <w:r>
              <w:rPr>
                <w:rFonts w:cs="Arial" w:eastAsia="Times New Roman"/>
                <w:szCs w:val="24"/>
                <w:lang w:eastAsia="en-GB"/>
              </w:rPr>
              <w:t xml:space="preserve"> size</w:t>
            </w:r>
          </w:p>
        </w:tc>
      </w:tr>
      <w:tr w14:paraId="13D81C2A">
        <w:tblPrEx/>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9278D05">
            <w:pPr>
              <w:pStyle w:val="style0"/>
              <w:spacing w:after="0" w:lineRule="auto" w:line="240"/>
              <w:jc w:val="left"/>
              <w:rPr>
                <w:rFonts w:cs="Arial" w:eastAsia="Times New Roman"/>
                <w:szCs w:val="24"/>
                <w:lang w:eastAsia="en-GB"/>
              </w:rPr>
            </w:pPr>
            <w:r>
              <w:rPr>
                <w:rFonts w:cs="Arial" w:eastAsia="Times New Roman"/>
                <w:szCs w:val="24"/>
                <w:lang w:eastAsia="en-GB"/>
              </w:rPr>
              <w:t>Data sovereignty and privacy</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D59DFB1">
            <w:pPr>
              <w:pStyle w:val="style0"/>
              <w:spacing w:after="0" w:lineRule="auto" w:line="240"/>
              <w:jc w:val="left"/>
              <w:rPr>
                <w:rFonts w:cs="Arial" w:eastAsia="Times New Roman"/>
                <w:szCs w:val="24"/>
                <w:lang w:eastAsia="en-GB"/>
              </w:rPr>
            </w:pPr>
            <w:r>
              <w:rPr>
                <w:rFonts w:cs="Arial" w:eastAsia="Times New Roman"/>
                <w:szCs w:val="24"/>
                <w:lang w:eastAsia="en-GB"/>
              </w:rPr>
              <w:t>PIPL / Cyberspace Administration of China (CAC)</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BE77233">
            <w:pPr>
              <w:pStyle w:val="style0"/>
              <w:spacing w:after="0" w:lineRule="auto" w:line="240"/>
              <w:jc w:val="left"/>
              <w:rPr>
                <w:rFonts w:cs="Arial" w:eastAsia="Times New Roman"/>
                <w:szCs w:val="24"/>
                <w:lang w:eastAsia="en-GB"/>
              </w:rPr>
            </w:pPr>
            <w:r>
              <w:rPr>
                <w:rFonts w:cs="Arial" w:eastAsia="Times New Roman"/>
                <w:szCs w:val="24"/>
                <w:lang w:eastAsia="en-GB"/>
              </w:rPr>
              <w:t>Requires local data storage and controls cross-border transfers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914F3C1">
            <w:pPr>
              <w:pStyle w:val="style0"/>
              <w:spacing w:after="0" w:lineRule="auto" w:line="240"/>
              <w:jc w:val="left"/>
              <w:rPr>
                <w:rFonts w:cs="Arial" w:eastAsia="Times New Roman"/>
                <w:szCs w:val="24"/>
                <w:lang w:eastAsia="en-GB"/>
              </w:rPr>
            </w:pPr>
            <w:r>
              <w:rPr>
                <w:rFonts w:cs="Arial" w:eastAsia="Times New Roman"/>
                <w:szCs w:val="24"/>
                <w:lang w:eastAsia="en-GB"/>
              </w:rPr>
              <w:t>Separates Chinese user data from global algorithms</w:t>
            </w:r>
          </w:p>
        </w:tc>
      </w:tr>
    </w:tbl>
    <w:p w14:paraId="346D2C81">
      <w:pPr>
        <w:pStyle w:val="style0"/>
        <w:rPr/>
      </w:pPr>
    </w:p>
    <w:p w14:paraId="0CC7F995">
      <w:pPr>
        <w:pStyle w:val="style0"/>
        <w:rPr/>
      </w:pPr>
      <w:r>
        <w:t>At the same time, China has enacted a series of laws and regulations that impose strict requirement for data localization, namely, the Personal Information Protection Law (PIPL), the Data Security Law (DSL), and the Cybersecurity Law</w:t>
      </w:r>
      <w:r>
        <w:t xml:space="preserve"> </w:t>
      </w:r>
      <w:r>
        <w:t>(</w:t>
      </w:r>
      <w:r>
        <w:t>Quattrociocchi</w:t>
      </w:r>
      <w:r>
        <w:t xml:space="preserve"> et al., 2017)</w:t>
      </w:r>
      <w:r>
        <w:t>. All personal user information and viewing statistics created in China must be kept on the servers in China, managed by Chinese authorities, and data transfers across borders must undergo strict security checks by the CAC</w:t>
      </w:r>
      <w:r>
        <w:t xml:space="preserve"> </w:t>
      </w:r>
      <w:r>
        <w:t>(</w:t>
      </w:r>
      <w:r>
        <w:t>Mier</w:t>
      </w:r>
      <w:r>
        <w:t xml:space="preserve"> and Kohli, 2021)</w:t>
      </w:r>
      <w:r>
        <w:t>.</w:t>
      </w:r>
    </w:p>
    <w:p w14:paraId="4BE8D442">
      <w:pPr>
        <w:pStyle w:val="style0"/>
        <w:rPr/>
      </w:pPr>
      <w:r>
        <w:t>As Netflix has built a key competitive edge on centralizing data across servers worldwide, abiding by these localized data isolation rules would threaten its technology stack.</w:t>
      </w:r>
    </w:p>
    <w:p w14:paraId="2DFFE8F8">
      <w:pPr>
        <w:pStyle w:val="style0"/>
        <w:rPr>
          <w:b/>
          <w:bCs/>
        </w:rPr>
      </w:pPr>
      <w:r>
        <w:rPr>
          <w:b/>
          <w:bCs/>
        </w:rPr>
        <w:t>Cultural Dynamics and Consumer Preferences</w:t>
      </w:r>
    </w:p>
    <w:p w14:paraId="624E7A2A">
      <w:pPr>
        <w:pStyle w:val="style0"/>
        <w:rPr>
          <w:b/>
          <w:bCs/>
        </w:rPr>
      </w:pPr>
      <w:r>
        <w:rPr>
          <w:b/>
          <w:bCs/>
        </w:rPr>
        <w:t>Powered Distance</w:t>
      </w:r>
      <w:r>
        <w:rPr>
          <w:b/>
          <w:bCs/>
        </w:rPr>
        <w:t xml:space="preserve">: </w:t>
      </w:r>
      <w:r>
        <w:t>China gets 80, indicating great approval of hierarchy and power inequality. Top leaders are expected to make judgements because people respect authority, seniority, and official titles. The US scores 40, signifying power disparities are less recognised and employees anticipate more equality, openness, and direct communication with management</w:t>
      </w:r>
      <w:r>
        <w:t xml:space="preserve"> </w:t>
      </w:r>
      <w:r>
        <w:t>(</w:t>
      </w:r>
      <w:r>
        <w:t>Kosal</w:t>
      </w:r>
      <w:r>
        <w:t xml:space="preserve"> and Putney, 2022)</w:t>
      </w:r>
      <w:r>
        <w:t>. Companies' team leadership, feedback, and decision-making are affected.</w:t>
      </w:r>
    </w:p>
    <w:p w14:paraId="2DBE3EA6">
      <w:pPr>
        <w:pStyle w:val="style0"/>
        <w:rPr>
          <w:b/>
          <w:bCs/>
        </w:rPr>
      </w:pPr>
      <w:r>
        <w:rPr>
          <w:b/>
          <w:bCs/>
        </w:rPr>
        <w:t>Individualism</w:t>
      </w:r>
      <w:r>
        <w:rPr>
          <w:b/>
          <w:bCs/>
        </w:rPr>
        <w:t xml:space="preserve">: </w:t>
      </w:r>
      <w:r>
        <w:t>China scores 20, reflecting a collectivist society that values group cohesion, loyalty, and family or team interests. Relationships and goals may trump personal preferences. The US is one of the most individualistic nations, scoring 91. Americans cherish freedom, success, self-expression, and responsibility. Business frequently involves direct bargaining and personal accountability</w:t>
      </w:r>
      <w:r>
        <w:t xml:space="preserve"> </w:t>
      </w:r>
      <w:r>
        <w:t>(Kim, 2022)</w:t>
      </w:r>
      <w:r>
        <w:t>.</w:t>
      </w:r>
    </w:p>
    <w:p w14:paraId="0C304B71">
      <w:pPr>
        <w:pStyle w:val="style0"/>
        <w:rPr>
          <w:b/>
          <w:bCs/>
        </w:rPr>
      </w:pPr>
      <w:r>
        <w:rPr>
          <w:b/>
          <w:bCs/>
        </w:rPr>
        <w:t>Masculinity</w:t>
      </w:r>
      <w:r>
        <w:rPr>
          <w:b/>
          <w:bCs/>
        </w:rPr>
        <w:t xml:space="preserve">: </w:t>
      </w:r>
      <w:r>
        <w:t xml:space="preserve">China scores 66 and the US 62, indicating achievement-oriented and competitive civilisations. Both countries value success, prestige, performance, and </w:t>
      </w:r>
      <w:r>
        <w:t>money. China may emphasise patience and long-term achievement, whereas the U.S. emphasises ambition, winning, and apparent results</w:t>
      </w:r>
      <w:r>
        <w:t xml:space="preserve"> </w:t>
      </w:r>
      <w:r>
        <w:t>(Kim, 2022)</w:t>
      </w:r>
      <w:r>
        <w:t>.</w:t>
      </w:r>
    </w:p>
    <w:p w14:paraId="680658CD">
      <w:pPr>
        <w:pStyle w:val="style0"/>
        <w:rPr>
          <w:b/>
          <w:bCs/>
        </w:rPr>
      </w:pPr>
      <w:r>
        <w:rPr>
          <w:b/>
          <w:bCs/>
        </w:rPr>
        <w:t>Uncertainty Avoidance</w:t>
      </w:r>
      <w:r>
        <w:rPr>
          <w:b/>
          <w:bCs/>
        </w:rPr>
        <w:t xml:space="preserve">: </w:t>
      </w:r>
      <w:r>
        <w:t>China gets 30, showing tolerance for ambiguity and flexibility. Strengthening ties and context can help people adjust rapidly and withstand uncertainty. The US scores 46, moderate but prefers structure, planning, and regulations over China.</w:t>
      </w:r>
    </w:p>
    <w:p w14:paraId="12F13B7B">
      <w:pPr>
        <w:pStyle w:val="style0"/>
        <w:rPr>
          <w:b/>
          <w:bCs/>
        </w:rPr>
      </w:pPr>
      <w:r>
        <w:rPr>
          <w:b/>
          <w:bCs/>
        </w:rPr>
        <w:t>Long-Term Orientation</w:t>
      </w:r>
      <w:r>
        <w:rPr>
          <w:b/>
          <w:bCs/>
        </w:rPr>
        <w:t xml:space="preserve">: </w:t>
      </w:r>
      <w:r>
        <w:t>China gets 87, emphasising patience, persistence, and future benefits. U.S. scores 26 indicating a short- to medium-term concentration on performance and swift returns</w:t>
      </w:r>
      <w:r>
        <w:t xml:space="preserve"> </w:t>
      </w:r>
      <w:r>
        <w:t>(Dunning, 2001)</w:t>
      </w:r>
      <w:r>
        <w:t>.</w:t>
      </w:r>
    </w:p>
    <w:p w14:paraId="3C469756">
      <w:pPr>
        <w:pStyle w:val="style0"/>
        <w:rPr>
          <w:b/>
          <w:bCs/>
        </w:rPr>
      </w:pPr>
      <w:r>
        <w:rPr>
          <w:b/>
          <w:bCs/>
        </w:rPr>
        <w:t>Indulgence</w:t>
      </w:r>
      <w:r>
        <w:rPr>
          <w:b/>
          <w:bCs/>
        </w:rPr>
        <w:t xml:space="preserve">: </w:t>
      </w:r>
      <w:r>
        <w:t>China scores 24, indicating the prevalence of restraint and social impulse control. U.S. scores 68, indicating a more indulgent culture that values leisure and personal happiness</w:t>
      </w:r>
      <w:r>
        <w:t xml:space="preserve"> </w:t>
      </w:r>
      <w:r>
        <w:t xml:space="preserve">(Neves and </w:t>
      </w:r>
      <w:r>
        <w:t>Kogut</w:t>
      </w:r>
      <w:r>
        <w:t>, 2023)</w:t>
      </w:r>
      <w:r>
        <w:t>.</w:t>
      </w:r>
    </w:p>
    <w:p w14:paraId="4717B530">
      <w:pPr>
        <w:pStyle w:val="style0"/>
        <w:jc w:val="center"/>
        <w:rPr/>
      </w:pPr>
      <w:r>
        <w:rPr>
          <w:noProof/>
        </w:rPr>
        <w:drawing>
          <wp:inline distL="0" distT="0" distB="0" distR="0">
            <wp:extent cx="4103447" cy="3140075"/>
            <wp:effectExtent l="0" t="0" r="0" b="3175"/>
            <wp:docPr id="1032" name="Picture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8"/>
                    <pic:cNvPicPr/>
                  </pic:nvPicPr>
                  <pic:blipFill>
                    <a:blip r:embed="rId7" cstate="print"/>
                    <a:srcRect l="0" t="0" r="0" b="0"/>
                    <a:stretch/>
                  </pic:blipFill>
                  <pic:spPr>
                    <a:xfrm rot="0">
                      <a:off x="0" y="0"/>
                      <a:ext cx="4103447" cy="3140075"/>
                    </a:xfrm>
                    <a:prstGeom prst="rect"/>
                  </pic:spPr>
                </pic:pic>
              </a:graphicData>
            </a:graphic>
          </wp:inline>
        </w:drawing>
      </w:r>
    </w:p>
    <w:p w14:paraId="25F13CA9">
      <w:pPr>
        <w:pStyle w:val="style0"/>
        <w:jc w:val="center"/>
        <w:rPr>
          <w:b/>
          <w:bCs/>
          <w:i/>
          <w:iCs/>
        </w:rPr>
      </w:pPr>
      <w:r>
        <w:rPr>
          <w:b/>
          <w:bCs/>
          <w:i/>
          <w:iCs/>
        </w:rPr>
        <w:t>Figure 5: Hofstede's cultural dimensions for the China</w:t>
      </w:r>
      <w:r>
        <w:rPr>
          <w:b/>
          <w:bCs/>
          <w:i/>
          <w:iCs/>
        </w:rPr>
        <w:t xml:space="preserve"> and United States (</w:t>
      </w:r>
      <w:r>
        <w:rPr>
          <w:b/>
          <w:bCs/>
          <w:i/>
          <w:iCs/>
        </w:rPr>
        <w:t>Kosal</w:t>
      </w:r>
      <w:r>
        <w:rPr>
          <w:b/>
          <w:bCs/>
          <w:i/>
          <w:iCs/>
        </w:rPr>
        <w:t xml:space="preserve"> and Putney, 2022)</w:t>
      </w:r>
    </w:p>
    <w:p w14:paraId="4A33BAF6">
      <w:pPr>
        <w:pStyle w:val="style0"/>
        <w:rPr/>
      </w:pPr>
      <w:r>
        <w:t xml:space="preserve">Regarding media consumption, these cultural traits manifest as consumers' high demands for local storytelling that stems from local cultural history, social relationships, urban drama, and historical period narrative types like Wuxia and </w:t>
      </w:r>
      <w:r>
        <w:t>Xianxia</w:t>
      </w:r>
      <w:r>
        <w:t xml:space="preserve"> </w:t>
      </w:r>
      <w:r>
        <w:t>(</w:t>
      </w:r>
      <w:r>
        <w:t>Oldroyd</w:t>
      </w:r>
      <w:r>
        <w:t xml:space="preserve"> and Morris, 2023)</w:t>
      </w:r>
      <w:r>
        <w:t>.</w:t>
      </w:r>
      <w:r>
        <w:t xml:space="preserve"> </w:t>
      </w:r>
      <w:r>
        <w:t>Western content has niche appeal to urban, educated populations, but needs to "fit" in to mainstream society on the regional level.</w:t>
      </w:r>
    </w:p>
    <w:p w14:paraId="18F85735">
      <w:pPr>
        <w:pStyle w:val="style0"/>
        <w:rPr/>
      </w:pPr>
      <w:r>
        <w:t>In addition, the ease of accessing alternative digital distribution platforms and unlicensed pirated content networks in China makes consumers less willing to pay high subscription fees for content that runs late and is not as freely available.</w:t>
      </w:r>
    </w:p>
    <w:bookmarkStart w:id="7" w:name="_Toc237170553"/>
    <w:p w14:paraId="434DF87C">
      <w:pPr>
        <w:pStyle w:val="style3"/>
        <w:rPr/>
      </w:pPr>
      <w:r>
        <w:t>Synthesizing Market Attractiveness</w:t>
      </w:r>
      <w:r>
        <w:t>:</w:t>
      </w:r>
      <w:r>
        <w:t xml:space="preserve"> Dunning's Eclectic Paradigm (OLI Framework)</w:t>
      </w:r>
      <w:bookmarkEnd w:id="7"/>
    </w:p>
    <w:p w14:paraId="17FF9C36">
      <w:pPr>
        <w:pStyle w:val="style0"/>
        <w:rPr/>
      </w:pPr>
      <w:r>
        <w:t>Based on the Dunning's Eclectic Paradigm (OLI Framework) extended with current theory about the internationalization of modern digital platforms, a solid conceptual framework is provided to rigorously assess whether Netflix has the structural elements to enter and operate in China</w:t>
      </w:r>
      <w:r>
        <w:t xml:space="preserve"> </w:t>
      </w:r>
      <w:r>
        <w:t>(Pereira et al., 2022)</w:t>
      </w:r>
      <w:r>
        <w:t>. The Ownership (O), Location (L) and Internalization (I) advantages are assessed.</w:t>
      </w:r>
    </w:p>
    <w:p w14:paraId="53EDB4B2">
      <w:pPr>
        <w:pStyle w:val="style0"/>
        <w:jc w:val="center"/>
        <w:rPr/>
      </w:pPr>
      <w:r>
        <w:rPr>
          <w:noProof/>
        </w:rPr>
        <w:drawing>
          <wp:inline distL="0" distT="0" distB="0" distR="0">
            <wp:extent cx="4705350" cy="2055495"/>
            <wp:effectExtent l="0" t="0" r="0" b="1905"/>
            <wp:docPr id="1033" name="Picture 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9"/>
                    <pic:cNvPicPr/>
                  </pic:nvPicPr>
                  <pic:blipFill>
                    <a:blip r:embed="rId8" cstate="print"/>
                    <a:srcRect l="0" t="0" r="0" b="0"/>
                    <a:stretch/>
                  </pic:blipFill>
                  <pic:spPr>
                    <a:xfrm rot="0">
                      <a:off x="0" y="0"/>
                      <a:ext cx="4705350" cy="2055495"/>
                    </a:xfrm>
                    <a:prstGeom prst="rect"/>
                  </pic:spPr>
                </pic:pic>
              </a:graphicData>
            </a:graphic>
          </wp:inline>
        </w:drawing>
      </w:r>
    </w:p>
    <w:p w14:paraId="5B6EBE41">
      <w:pPr>
        <w:pStyle w:val="style0"/>
        <w:jc w:val="center"/>
        <w:rPr>
          <w:b/>
          <w:bCs/>
          <w:i/>
          <w:iCs/>
        </w:rPr>
      </w:pPr>
      <w:r>
        <w:rPr>
          <w:b/>
          <w:bCs/>
          <w:i/>
          <w:iCs/>
        </w:rPr>
        <w:t>Figure 6: Eclectic Paradigm (CFI, 2022)</w:t>
      </w:r>
    </w:p>
    <w:p w14:paraId="2FE6942A">
      <w:pPr>
        <w:pStyle w:val="style0"/>
        <w:rPr>
          <w:b/>
          <w:bCs/>
        </w:rPr>
      </w:pPr>
      <w:r>
        <w:rPr>
          <w:b/>
          <w:bCs/>
        </w:rPr>
        <w:t>Ownership (O) Advantages</w:t>
      </w:r>
    </w:p>
    <w:p w14:paraId="0ACE8166">
      <w:pPr>
        <w:pStyle w:val="style0"/>
        <w:rPr/>
      </w:pPr>
      <w:r>
        <w:t>Ownership advantages are specific competitive skills of the firm which compensate for the natural disadvantages of being a foreign firm operating overseas. Netflix has significant Ownership advantages not related to location:</w:t>
      </w:r>
    </w:p>
    <w:p w14:paraId="4A1A1ED7">
      <w:pPr>
        <w:pStyle w:val="style179"/>
        <w:numPr>
          <w:ilvl w:val="0"/>
          <w:numId w:val="1"/>
        </w:numPr>
        <w:rPr/>
      </w:pPr>
      <w:r>
        <w:rPr>
          <w:b/>
          <w:bCs/>
        </w:rPr>
        <w:t>Global Intellectual Property (IP) and Content Scale:</w:t>
      </w:r>
      <w:r>
        <w:t xml:space="preserve"> A huge $16+ billion content budget for an annual scale and a vast global library of proprietary original content</w:t>
      </w:r>
      <w:r>
        <w:t xml:space="preserve"> </w:t>
      </w:r>
      <w:r>
        <w:t>(</w:t>
      </w:r>
      <w:r>
        <w:t>Asseraf</w:t>
      </w:r>
      <w:r>
        <w:t xml:space="preserve"> and </w:t>
      </w:r>
      <w:r>
        <w:t>Gnizy</w:t>
      </w:r>
      <w:r>
        <w:t>, 2026)</w:t>
      </w:r>
      <w:r>
        <w:t>.</w:t>
      </w:r>
    </w:p>
    <w:p w14:paraId="03229793">
      <w:pPr>
        <w:pStyle w:val="style179"/>
        <w:numPr>
          <w:ilvl w:val="0"/>
          <w:numId w:val="1"/>
        </w:numPr>
        <w:rPr/>
      </w:pPr>
      <w:r>
        <w:rPr>
          <w:b/>
          <w:bCs/>
        </w:rPr>
        <w:t>Proprietary Technology and Algorithmic Architecture:</w:t>
      </w:r>
      <w:r>
        <w:t xml:space="preserve"> World-class recommendation algorithms, adaptive streaming technology and ad-tech infrastructure that drive user engagement and retention.</w:t>
      </w:r>
    </w:p>
    <w:p w14:paraId="45D53861">
      <w:pPr>
        <w:pStyle w:val="style179"/>
        <w:numPr>
          <w:ilvl w:val="0"/>
          <w:numId w:val="1"/>
        </w:numPr>
        <w:rPr/>
      </w:pPr>
      <w:r>
        <w:rPr>
          <w:b/>
          <w:bCs/>
        </w:rPr>
        <w:t>Global brand capital and marketing capabilities:</w:t>
      </w:r>
      <w:r>
        <w:t xml:space="preserve"> A high level of international brand equity and capabilities that are recognized around the world</w:t>
      </w:r>
      <w:r>
        <w:t xml:space="preserve"> </w:t>
      </w:r>
      <w:r>
        <w:t>(</w:t>
      </w:r>
      <w:r>
        <w:t>Jati</w:t>
      </w:r>
      <w:r>
        <w:t>, Serenade and Umar, 2024)</w:t>
      </w:r>
      <w:r>
        <w:t>.</w:t>
      </w:r>
    </w:p>
    <w:p w14:paraId="18DED577">
      <w:pPr>
        <w:pStyle w:val="style0"/>
        <w:rPr/>
      </w:pPr>
      <w:r>
        <w:t>But the Chinese context sees these Ownership advantages suffer from structural erosion. NRTA censorship is present for Global original IP and often omits or prevents key plot points of the story, including any supernatural, violent or politically sensitive elements</w:t>
      </w:r>
      <w:r>
        <w:t xml:space="preserve"> </w:t>
      </w:r>
      <w:r>
        <w:t>(Ali, 2023)</w:t>
      </w:r>
      <w:r>
        <w:t>. Moreover, algorithmic power decreases when it's disconnected from local domestic user data, as a result of data localization requirements.</w:t>
      </w:r>
    </w:p>
    <w:p w14:paraId="59E92564">
      <w:pPr>
        <w:pStyle w:val="style0"/>
        <w:rPr>
          <w:b/>
          <w:bCs/>
        </w:rPr>
      </w:pPr>
      <w:r>
        <w:rPr>
          <w:b/>
          <w:bCs/>
        </w:rPr>
        <w:t>Location (L) Advantages</w:t>
      </w:r>
    </w:p>
    <w:p w14:paraId="6CA8C7E1">
      <w:pPr>
        <w:pStyle w:val="style0"/>
        <w:rPr/>
      </w:pPr>
      <w:r>
        <w:t>The advantages that a country has in the host market that make direct investment more attractive is called location advantage:</w:t>
      </w:r>
    </w:p>
    <w:p w14:paraId="2DA7DECF">
      <w:pPr>
        <w:pStyle w:val="style0"/>
        <w:rPr/>
      </w:pPr>
      <w:r>
        <w:rPr>
          <w:b/>
          <w:bCs/>
        </w:rPr>
        <w:t>Market Scale and Digital Infrastructure:</w:t>
      </w:r>
      <w:r>
        <w:t xml:space="preserve"> China's subscriber addressable market is over 1 billion people of advanced 5G connectivity coupled with digital payment ecosystems</w:t>
      </w:r>
      <w:r>
        <w:t xml:space="preserve"> </w:t>
      </w:r>
      <w:r>
        <w:t>(</w:t>
      </w:r>
      <w:r>
        <w:t>Zámborský</w:t>
      </w:r>
      <w:r>
        <w:t xml:space="preserve"> et al., 2023)</w:t>
      </w:r>
      <w:r>
        <w:t>.</w:t>
      </w:r>
    </w:p>
    <w:p w14:paraId="0FE1562E">
      <w:pPr>
        <w:pStyle w:val="style0"/>
        <w:rPr/>
      </w:pPr>
      <w:r>
        <w:rPr>
          <w:b/>
          <w:bCs/>
        </w:rPr>
        <w:t>Rich Creative and Narrative Assets:</w:t>
      </w:r>
      <w:r>
        <w:t xml:space="preserve"> An extensive pool of talent, production history and literary IP that can create content for both domestic and international Mandarin speakers.</w:t>
      </w:r>
    </w:p>
    <w:p w14:paraId="19C8E5B7">
      <w:pPr>
        <w:pStyle w:val="style0"/>
        <w:rPr/>
      </w:pPr>
      <w:r>
        <w:t>Even with these market opportunities, direct host-market asset deployment is far less attractive due to the location disadvantages of statutory entry barriers, ideological oversight, foreign content quotas and aggressive domestic players</w:t>
      </w:r>
      <w:r>
        <w:t xml:space="preserve"> </w:t>
      </w:r>
      <w:r>
        <w:t xml:space="preserve">(Babu and </w:t>
      </w:r>
      <w:r>
        <w:t>Aithal</w:t>
      </w:r>
      <w:r>
        <w:t>, 2023)</w:t>
      </w:r>
      <w:r>
        <w:t>.</w:t>
      </w:r>
    </w:p>
    <w:p w14:paraId="5C13EBAB">
      <w:pPr>
        <w:pStyle w:val="style0"/>
        <w:rPr>
          <w:b/>
          <w:bCs/>
        </w:rPr>
      </w:pPr>
      <w:r>
        <w:rPr>
          <w:b/>
          <w:bCs/>
        </w:rPr>
        <w:t>Internalization (I) Advantages and Institutional Frictions</w:t>
      </w:r>
    </w:p>
    <w:p w14:paraId="2D638F1D">
      <w:pPr>
        <w:pStyle w:val="style0"/>
        <w:rPr/>
      </w:pPr>
      <w:r>
        <w:t>The advantage of internalization, or of doing things internally (hierarchy) rather than contracting it out (market transactions), is why a firm prefers to do this.</w:t>
      </w:r>
    </w:p>
    <w:p w14:paraId="52006B7F">
      <w:pPr>
        <w:pStyle w:val="style0"/>
        <w:rPr/>
      </w:pPr>
      <w:r>
        <w:t>In standard international markets, Netflix prioritizes high internalization. Netflix has complete control of the user data, safeguards proprietary recommendation algorithms, guarantees consistent service quality worldwide, and collects 100% of subscriber revenue from its streaming service</w:t>
      </w:r>
      <w:r>
        <w:t xml:space="preserve"> </w:t>
      </w:r>
      <w:r>
        <w:t>(</w:t>
      </w:r>
      <w:r>
        <w:t>Khitab</w:t>
      </w:r>
      <w:r>
        <w:t xml:space="preserve"> et al., 2025)</w:t>
      </w:r>
      <w:r>
        <w:t>.</w:t>
      </w:r>
    </w:p>
    <w:p w14:paraId="37188D26">
      <w:pPr>
        <w:pStyle w:val="style0"/>
        <w:rPr/>
      </w:pPr>
      <w:r>
        <w:t xml:space="preserve">But in China, there are too many Internalization Frictions poised by institutions. Chinese law does not allow foreign direct control of OTT distribution networks. As a </w:t>
      </w:r>
      <w:r>
        <w:t>result, Netflix is unable to officially incorporate in China. It has to "dis-internalize" and rely on domestic licensees or joint venture partners to handle distribution, compliance, and local user relationships, and give up strategic control, brand uniformity, and data access to achieve market access</w:t>
      </w:r>
      <w:r>
        <w:t xml:space="preserve"> </w:t>
      </w:r>
      <w:r>
        <w:t>(</w:t>
      </w:r>
      <w:r>
        <w:t>Asmussen</w:t>
      </w:r>
      <w:r>
        <w:t xml:space="preserve"> et al., 2023)</w:t>
      </w:r>
    </w:p>
    <w:p w14:paraId="7C89B162">
      <w:pPr>
        <w:pStyle w:val="style0"/>
        <w:rPr/>
      </w:pPr>
      <w:r>
        <w:t>The misalignment in operation is further highlighted through the evaluation of these dynamics through Luo's (2021) framework of Digital Platform OLI where Open Resource, Linkage and Integration capabilities are emphasized</w:t>
      </w:r>
      <w:r>
        <w:t xml:space="preserve"> </w:t>
      </w:r>
      <w:r>
        <w:t>(Berndt et al., 2023)</w:t>
      </w:r>
      <w:r>
        <w:t>. Digital platform companies internationalise by building open platforms and bringing together local third parties (content providers, mobile app developers) within an open global platform. A lack of platform connectivity, as a result of state enforced digital firewalls in China, is impacting the efficacy of Netflix's digital business model and its ability to integrate into the global market.</w:t>
      </w:r>
    </w:p>
    <w:p w14:paraId="136D5C7F">
      <w:pPr>
        <w:pStyle w:val="style0"/>
        <w:spacing w:lineRule="auto" w:line="259"/>
        <w:jc w:val="left"/>
        <w:rPr/>
      </w:pPr>
      <w:r>
        <w:br w:type="page"/>
      </w:r>
    </w:p>
    <w:bookmarkStart w:id="8" w:name="_Toc237170554"/>
    <w:p w14:paraId="39E4B971">
      <w:pPr>
        <w:pStyle w:val="style2"/>
        <w:rPr/>
      </w:pPr>
      <w:r>
        <w:t>1.3 Entry Mode Strategy and Strategic Synthesis</w:t>
      </w:r>
      <w:bookmarkEnd w:id="8"/>
    </w:p>
    <w:bookmarkStart w:id="9" w:name="_Toc237170555"/>
    <w:p w14:paraId="3936E15D">
      <w:pPr>
        <w:pStyle w:val="style3"/>
        <w:rPr/>
      </w:pPr>
      <w:r>
        <w:t>Historical Pattern Recognition: Evolution of Global Expansion</w:t>
      </w:r>
      <w:bookmarkEnd w:id="9"/>
    </w:p>
    <w:p w14:paraId="51135738">
      <w:pPr>
        <w:pStyle w:val="style0"/>
        <w:rPr/>
      </w:pPr>
      <w:r>
        <w:t>Netflix’s international expansion trajectory follows a phased evolution, transitioning from low-risk market entry to rapid global scaling and subsequent vertical internalization.</w:t>
      </w:r>
    </w:p>
    <w:p w14:paraId="29021D59">
      <w:pPr>
        <w:pStyle w:val="style0"/>
        <w:rPr>
          <w:b/>
          <w:bCs/>
        </w:rPr>
      </w:pPr>
      <w:r>
        <w:rPr>
          <w:b/>
          <w:bCs/>
        </w:rPr>
        <w:t>Phase 1: Sequential Geographic Expansion (2010-2015)</w:t>
      </w:r>
    </w:p>
    <w:p w14:paraId="3AA36BD9">
      <w:pPr>
        <w:pStyle w:val="style0"/>
        <w:rPr/>
      </w:pPr>
      <w:r>
        <w:t>Netflix first went into the market with low psychic distance markets and built broadband networks, following the classical Uppsala Internationalization Model</w:t>
      </w:r>
      <w:r>
        <w:t xml:space="preserve"> </w:t>
      </w:r>
      <w:r>
        <w:t>(Yu et al., 2023)</w:t>
      </w:r>
      <w:r>
        <w:t>. It introduced streaming service in Canada in 2010, in Latin America in 2011, and in Western Europe between 2012 and 2015. In this period, entry has been made through 100% direct OTT platform launches, which have featured content licensing deals with domestic studios in the United States</w:t>
      </w:r>
      <w:r>
        <w:t xml:space="preserve"> </w:t>
      </w:r>
      <w:r>
        <w:t>(Contractor et al., 2026)</w:t>
      </w:r>
      <w:r>
        <w:t>.</w:t>
      </w:r>
    </w:p>
    <w:p w14:paraId="3B9344C7">
      <w:pPr>
        <w:pStyle w:val="style0"/>
        <w:rPr>
          <w:b/>
          <w:bCs/>
        </w:rPr>
      </w:pPr>
      <w:r>
        <w:rPr>
          <w:b/>
          <w:bCs/>
        </w:rPr>
        <w:t>Phase 2: Simultaneous Global Platform Rollout (2016)</w:t>
      </w:r>
    </w:p>
    <w:p w14:paraId="0AE90A49">
      <w:pPr>
        <w:pStyle w:val="style0"/>
        <w:rPr/>
      </w:pPr>
      <w:r>
        <w:t>During January 2016, Netflix shifted from a sequential expansion to a high-velocity global strategy and released the streaming service at the same time in another 130 countries, with the global reach to more than 190 countries</w:t>
      </w:r>
      <w:r>
        <w:t xml:space="preserve"> </w:t>
      </w:r>
      <w:r>
        <w:t>(</w:t>
      </w:r>
      <w:r>
        <w:t>Botella</w:t>
      </w:r>
      <w:r>
        <w:t xml:space="preserve">-Andreu, </w:t>
      </w:r>
      <w:r>
        <w:t>Pla</w:t>
      </w:r>
      <w:r>
        <w:t xml:space="preserve">-Barber and </w:t>
      </w:r>
      <w:r>
        <w:t>Rocafull</w:t>
      </w:r>
      <w:r>
        <w:t>, 2025)</w:t>
      </w:r>
      <w:r>
        <w:t>. Netflix was able to overcome local market entry barriers by building strategic partnerships with regional telecom companies (telcos) and consumer electronics makers. Co-marketing and data bundling with local telcos led to reduction in customer acquisition costs, local operational risk reduction through integration and co-marketing with local billing operators</w:t>
      </w:r>
      <w:r>
        <w:t xml:space="preserve"> </w:t>
      </w:r>
      <w:r>
        <w:t>(</w:t>
      </w:r>
      <w:r>
        <w:t>Brunk</w:t>
      </w:r>
      <w:r>
        <w:t>, 2020)</w:t>
      </w:r>
      <w:r>
        <w:t>.</w:t>
      </w:r>
    </w:p>
    <w:p w14:paraId="09810BDD">
      <w:pPr>
        <w:pStyle w:val="style0"/>
        <w:rPr>
          <w:b/>
          <w:bCs/>
        </w:rPr>
      </w:pPr>
      <w:r>
        <w:rPr>
          <w:b/>
          <w:bCs/>
        </w:rPr>
        <w:t>Phase 3: Internalization of Local Content (2017- present)</w:t>
      </w:r>
    </w:p>
    <w:p w14:paraId="3A54578B">
      <w:pPr>
        <w:pStyle w:val="style0"/>
        <w:rPr/>
      </w:pPr>
      <w:r>
        <w:t>With the surge of foreign subscribers, Netflix went from foreign content distribution to wholly owned production facilities abroad. Through the production of foreign content in the United Kingdom, Spain, South Korea, Japan and Mexico, Netflix set up hubs to meet local regulatory content quotas, including the European Union's requirement for 30% of content to be locally produced, while simultaneously creating hit foreign shows, which were able to resonate with audiences the world over</w:t>
      </w:r>
      <w:r>
        <w:t xml:space="preserve"> </w:t>
      </w:r>
      <w:r>
        <w:t>(</w:t>
      </w:r>
      <w:r>
        <w:t>Chalaby</w:t>
      </w:r>
      <w:r>
        <w:t>, 2024)</w:t>
      </w:r>
      <w:r>
        <w:t>.</w:t>
      </w:r>
    </w:p>
    <w:p w14:paraId="42113611">
      <w:pPr>
        <w:pStyle w:val="style0"/>
        <w:rPr/>
      </w:pPr>
    </w:p>
    <w:p w14:paraId="1542351D">
      <w:pPr>
        <w:pStyle w:val="style0"/>
        <w:rPr/>
      </w:pPr>
    </w:p>
    <w:bookmarkStart w:id="10" w:name="_Toc237170556"/>
    <w:p w14:paraId="7C595460">
      <w:pPr>
        <w:pStyle w:val="style3"/>
        <w:rPr/>
      </w:pPr>
      <w:r>
        <w:t>Strategic Fit and Critical Appraisal of Entry Options for China</w:t>
      </w:r>
      <w:bookmarkEnd w:id="10"/>
    </w:p>
    <w:p w14:paraId="16932D36">
      <w:pPr>
        <w:pStyle w:val="style0"/>
        <w:rPr/>
      </w:pPr>
      <w:r>
        <w:t>Evaluating how Netflix’s historical entry modes align with China’s macro-environment reveals a fundamental strategic mismatch, requiring a critical appraisal of alternative entry options.</w:t>
      </w:r>
    </w:p>
    <w:p w14:paraId="6A6FA66A">
      <w:pPr>
        <w:pStyle w:val="style0"/>
        <w:rPr>
          <w:b/>
          <w:bCs/>
        </w:rPr>
      </w:pPr>
      <w:r>
        <w:rPr>
          <w:b/>
          <w:bCs/>
        </w:rPr>
        <w:t>Option 1: Direct Wholly-Owned Platform Entry (Historical Dominant Mode)</w:t>
      </w:r>
    </w:p>
    <w:p w14:paraId="701738F3">
      <w:pPr>
        <w:pStyle w:val="style0"/>
        <w:rPr/>
      </w:pPr>
      <w:r>
        <w:t>Using the Netflix's main global expansion strategy, the approach of operating an independent, direct-to-consumer streaming subscription service, is not legally possible</w:t>
      </w:r>
      <w:r>
        <w:t xml:space="preserve"> </w:t>
      </w:r>
      <w:r>
        <w:t>(Cui, 2024)</w:t>
      </w:r>
      <w:r>
        <w:t>. The Foreign Investment Negative List explicitly prohibits foreign companies from owning and operating value-added telecommunications and online media broadcasting services</w:t>
      </w:r>
      <w:r>
        <w:t xml:space="preserve"> </w:t>
      </w:r>
      <w:r>
        <w:t>(Ding and Chen, 2023)</w:t>
      </w:r>
      <w:r>
        <w:t>. This would lead to instant regulatory action, blocking of the domain through Great Firewall and very harsh consequences for non-compliance if anyone tried to set up a standalone direct platform.</w:t>
      </w:r>
    </w:p>
    <w:p w14:paraId="3FF374D2">
      <w:pPr>
        <w:pStyle w:val="style0"/>
        <w:rPr>
          <w:b/>
          <w:bCs/>
        </w:rPr>
      </w:pPr>
      <w:r>
        <w:rPr>
          <w:b/>
          <w:bCs/>
        </w:rPr>
        <w:t xml:space="preserve">Option 2: Business-to-Business Content Licensing (The 2017 </w:t>
      </w:r>
      <w:r>
        <w:rPr>
          <w:b/>
          <w:bCs/>
        </w:rPr>
        <w:t>iQIYI</w:t>
      </w:r>
      <w:r>
        <w:rPr>
          <w:b/>
          <w:bCs/>
        </w:rPr>
        <w:t xml:space="preserve"> Case Study)</w:t>
      </w:r>
    </w:p>
    <w:p w14:paraId="5F4FB5A9">
      <w:pPr>
        <w:pStyle w:val="style0"/>
        <w:rPr/>
      </w:pPr>
      <w:r>
        <w:t xml:space="preserve">Statutory prohibition of direct ownership of platforms led Netflix to try an indirect approach in April 2017 with an agreement with </w:t>
      </w:r>
      <w:r>
        <w:t>iQIYI</w:t>
      </w:r>
      <w:r>
        <w:t>, Baidu's streaming platform</w:t>
      </w:r>
      <w:r>
        <w:t xml:space="preserve"> </w:t>
      </w:r>
      <w:r>
        <w:t>(</w:t>
      </w:r>
      <w:r>
        <w:t>Goncharenko</w:t>
      </w:r>
      <w:r>
        <w:t xml:space="preserve"> et al., 2023)</w:t>
      </w:r>
      <w:r>
        <w:t>. The content distribution deal includes a number of original Netflix TV series including Black Mirror, Stranger Things and Mindhunter.</w:t>
      </w:r>
    </w:p>
    <w:tbl>
      <w:tblPr>
        <w:tblStyle w:val="style4101"/>
        <w:tblW w:w="0" w:type="auto"/>
        <w:tblLook w:val="04A0" w:firstRow="1" w:lastRow="0" w:firstColumn="1" w:lastColumn="0" w:noHBand="0" w:noVBand="1"/>
      </w:tblPr>
      <w:tblGrid>
        <w:gridCol w:w="3005"/>
        <w:gridCol w:w="3005"/>
        <w:gridCol w:w="3006"/>
      </w:tblGrid>
      <w:tr w14:paraId="1BA6CDF9">
        <w:trPr/>
        <w:tc>
          <w:tcPr>
            <w:tcW w:w="3005" w:type="dxa"/>
            <w:tcBorders/>
          </w:tcPr>
          <w:p w14:paraId="06EFDA5D">
            <w:pPr>
              <w:pStyle w:val="style0"/>
              <w:rPr/>
            </w:pPr>
            <w:r>
              <w:t>Timeline Milestone</w:t>
            </w:r>
          </w:p>
        </w:tc>
        <w:tc>
          <w:tcPr>
            <w:tcW w:w="3005" w:type="dxa"/>
            <w:tcBorders/>
          </w:tcPr>
          <w:p w14:paraId="3A98C47A">
            <w:pPr>
              <w:pStyle w:val="style0"/>
              <w:rPr/>
            </w:pPr>
            <w:r>
              <w:t>Strategic Action / Operational Event</w:t>
            </w:r>
          </w:p>
        </w:tc>
        <w:tc>
          <w:tcPr>
            <w:tcW w:w="3006" w:type="dxa"/>
            <w:tcBorders/>
          </w:tcPr>
          <w:p w14:paraId="11B659FC">
            <w:pPr>
              <w:pStyle w:val="style0"/>
              <w:rPr/>
            </w:pPr>
            <w:r>
              <w:t>Key Outcome / Friction Identified</w:t>
            </w:r>
          </w:p>
        </w:tc>
      </w:tr>
      <w:tr w14:paraId="0FAD2932">
        <w:tblPrEx/>
        <w:trPr/>
        <w:tc>
          <w:tcPr>
            <w:tcW w:w="3005" w:type="dxa"/>
            <w:tcBorders/>
          </w:tcPr>
          <w:p w14:paraId="6938907D">
            <w:pPr>
              <w:pStyle w:val="style0"/>
              <w:rPr/>
            </w:pPr>
            <w:r>
              <w:t>April 2017</w:t>
            </w:r>
          </w:p>
        </w:tc>
        <w:tc>
          <w:tcPr>
            <w:tcW w:w="3005" w:type="dxa"/>
            <w:tcBorders/>
          </w:tcPr>
          <w:p w14:paraId="3A0BECBE">
            <w:pPr>
              <w:pStyle w:val="style0"/>
              <w:rPr/>
            </w:pPr>
            <w:r>
              <w:t xml:space="preserve">Announcement of strategic content licensing deal with </w:t>
            </w:r>
            <w:r>
              <w:t>iQIYI</w:t>
            </w:r>
            <w:r>
              <w:t>.</w:t>
            </w:r>
          </w:p>
        </w:tc>
        <w:tc>
          <w:tcPr>
            <w:tcW w:w="3006" w:type="dxa"/>
            <w:tcBorders/>
          </w:tcPr>
          <w:p w14:paraId="76860CFC">
            <w:pPr>
              <w:pStyle w:val="style0"/>
              <w:rPr/>
            </w:pPr>
            <w:r>
              <w:t>Indirect entry route established, bypassing foreign direct investment bans</w:t>
            </w:r>
          </w:p>
        </w:tc>
      </w:tr>
      <w:tr w14:paraId="32E7D6A6">
        <w:tblPrEx/>
        <w:trPr/>
        <w:tc>
          <w:tcPr>
            <w:tcW w:w="3005" w:type="dxa"/>
            <w:tcBorders/>
          </w:tcPr>
          <w:p w14:paraId="01120A35">
            <w:pPr>
              <w:pStyle w:val="style0"/>
              <w:rPr/>
            </w:pPr>
            <w:r>
              <w:t>2017–2018</w:t>
            </w:r>
          </w:p>
        </w:tc>
        <w:tc>
          <w:tcPr>
            <w:tcW w:w="3005" w:type="dxa"/>
            <w:tcBorders/>
          </w:tcPr>
          <w:p w14:paraId="2C1E38B8">
            <w:pPr>
              <w:pStyle w:val="style0"/>
              <w:rPr/>
            </w:pPr>
            <w:r>
              <w:t xml:space="preserve">Distribution of selected Netflix titles on </w:t>
            </w:r>
            <w:r>
              <w:t>iQIYI</w:t>
            </w:r>
            <w:r>
              <w:t xml:space="preserve"> platform</w:t>
            </w:r>
            <w:r>
              <w:t>.</w:t>
            </w:r>
          </w:p>
        </w:tc>
        <w:tc>
          <w:tcPr>
            <w:tcW w:w="3006" w:type="dxa"/>
            <w:tcBorders/>
          </w:tcPr>
          <w:p w14:paraId="1E72BDCB">
            <w:pPr>
              <w:pStyle w:val="style0"/>
              <w:rPr/>
            </w:pPr>
            <w:r>
              <w:t>Content subjected to multi-month NRTA censorship delays; no day-and-date premieres.</w:t>
            </w:r>
          </w:p>
        </w:tc>
      </w:tr>
      <w:tr w14:paraId="68AFBDBA">
        <w:tblPrEx/>
        <w:trPr/>
        <w:tc>
          <w:tcPr>
            <w:tcW w:w="3005" w:type="dxa"/>
            <w:tcBorders/>
          </w:tcPr>
          <w:p w14:paraId="03225B7D">
            <w:pPr>
              <w:pStyle w:val="style0"/>
              <w:rPr/>
            </w:pPr>
            <w:r>
              <w:t>Mid-2019</w:t>
            </w:r>
          </w:p>
        </w:tc>
        <w:tc>
          <w:tcPr>
            <w:tcW w:w="3005" w:type="dxa"/>
            <w:tcBorders/>
          </w:tcPr>
          <w:p w14:paraId="581C7694">
            <w:pPr>
              <w:pStyle w:val="style0"/>
              <w:rPr/>
            </w:pPr>
            <w:r>
              <w:t>Quiet dissolution of licensing agreement</w:t>
            </w:r>
            <w:r>
              <w:t>.</w:t>
            </w:r>
          </w:p>
        </w:tc>
        <w:tc>
          <w:tcPr>
            <w:tcW w:w="3006" w:type="dxa"/>
            <w:tcBorders/>
          </w:tcPr>
          <w:p w14:paraId="56FDFBBF">
            <w:pPr>
              <w:pStyle w:val="style0"/>
              <w:rPr/>
            </w:pPr>
            <w:r>
              <w:t xml:space="preserve">Modest commercial returns; </w:t>
            </w:r>
            <w:r>
              <w:t>iQIYI</w:t>
            </w:r>
            <w:r>
              <w:t xml:space="preserve"> shifted </w:t>
            </w:r>
            <w:r>
              <w:t>investments to domestic original IP</w:t>
            </w:r>
          </w:p>
        </w:tc>
      </w:tr>
    </w:tbl>
    <w:p w14:paraId="7AB402F7">
      <w:pPr>
        <w:pStyle w:val="style0"/>
        <w:rPr/>
      </w:pPr>
      <w:r>
        <w:t>By mid-2019, the partnership quietly ended, demonstrating the operational friction of content licensing in China. The failure of this licensing mode resulted from three primary factors:</w:t>
      </w:r>
    </w:p>
    <w:p w14:paraId="11EC79CA">
      <w:pPr>
        <w:pStyle w:val="style0"/>
        <w:rPr/>
      </w:pPr>
      <w:r>
        <w:rPr>
          <w:b/>
          <w:bCs/>
        </w:rPr>
        <w:t>Regulatory Censorship Delays:</w:t>
      </w:r>
      <w:r>
        <w:t xml:space="preserve"> NRTA clearance required extended review periods, preventing day-and-date premieres. Chinese consumers frequently accessed pirated versions of popular shows prior to official censored releases, eroding paid viewership</w:t>
      </w:r>
      <w:r>
        <w:t xml:space="preserve"> </w:t>
      </w:r>
      <w:r>
        <w:t>(</w:t>
      </w:r>
      <w:r>
        <w:t>Jati</w:t>
      </w:r>
      <w:r>
        <w:t>, Serenade and Umar, 2024)</w:t>
      </w:r>
      <w:r>
        <w:t>.</w:t>
      </w:r>
    </w:p>
    <w:p w14:paraId="483E123E">
      <w:pPr>
        <w:pStyle w:val="style0"/>
        <w:rPr/>
      </w:pPr>
      <w:r>
        <w:rPr>
          <w:b/>
          <w:bCs/>
        </w:rPr>
        <w:t xml:space="preserve">Foreign Content </w:t>
      </w:r>
      <w:r>
        <w:rPr>
          <w:b/>
          <w:bCs/>
        </w:rPr>
        <w:t>Catalog</w:t>
      </w:r>
      <w:r>
        <w:rPr>
          <w:b/>
          <w:bCs/>
        </w:rPr>
        <w:t xml:space="preserve"> Caps:</w:t>
      </w:r>
      <w:r>
        <w:t xml:space="preserve"> The statutory 30% quota on foreign content forced Chinese platforms to prioritize high-margin Hollywood blockbusters over foreign episodic television series</w:t>
      </w:r>
      <w:r>
        <w:t xml:space="preserve"> </w:t>
      </w:r>
      <w:r>
        <w:t>(</w:t>
      </w:r>
      <w:r>
        <w:t>Kosal</w:t>
      </w:r>
      <w:r>
        <w:t xml:space="preserve"> and Putney, 2022)</w:t>
      </w:r>
      <w:r>
        <w:t>.</w:t>
      </w:r>
    </w:p>
    <w:p w14:paraId="375C640D">
      <w:pPr>
        <w:pStyle w:val="style0"/>
        <w:rPr/>
      </w:pPr>
      <w:r>
        <w:rPr>
          <w:b/>
          <w:bCs/>
        </w:rPr>
        <w:t>Strategic Asymmetry:</w:t>
      </w:r>
      <w:r>
        <w:t xml:space="preserve"> </w:t>
      </w:r>
      <w:r>
        <w:t>iQIYI</w:t>
      </w:r>
      <w:r>
        <w:t xml:space="preserve"> utilized licensed Netflix content primarily to build its premium subscriber base while simultaneously scaling its domestic original content production, eventually diminishing its operational reliance on foreign licensing partners</w:t>
      </w:r>
      <w:r>
        <w:t xml:space="preserve"> </w:t>
      </w:r>
      <w:r>
        <w:t>(</w:t>
      </w:r>
      <w:r>
        <w:t>Mier</w:t>
      </w:r>
      <w:r>
        <w:t xml:space="preserve"> and Kohli, 2021)</w:t>
      </w:r>
      <w:r>
        <w:t>.</w:t>
      </w:r>
    </w:p>
    <w:p w14:paraId="1B801A00">
      <w:pPr>
        <w:pStyle w:val="style0"/>
        <w:rPr>
          <w:b/>
          <w:bCs/>
        </w:rPr>
      </w:pPr>
      <w:r>
        <w:rPr>
          <w:b/>
          <w:bCs/>
        </w:rPr>
        <w:t>Option 3: Minority Equity Joint Venture (JV)</w:t>
      </w:r>
    </w:p>
    <w:p w14:paraId="66C1D3DF">
      <w:pPr>
        <w:pStyle w:val="style0"/>
        <w:rPr/>
      </w:pPr>
      <w:r>
        <w:t>Selected value-added digital services can be implemented through a domestic Chinese media enterprise that is set up as an Equity Joint Venture (EJV) in a 49/51 split (legal split under domestic control)</w:t>
      </w:r>
      <w:r>
        <w:t xml:space="preserve"> </w:t>
      </w:r>
      <w:r>
        <w:t>(</w:t>
      </w:r>
      <w:r>
        <w:t>Morschett</w:t>
      </w:r>
      <w:r>
        <w:t xml:space="preserve"> et al., 2025)</w:t>
      </w:r>
      <w:r>
        <w:t>. This entry mode however carries with it many risks however, of operation:</w:t>
      </w:r>
    </w:p>
    <w:p w14:paraId="39780DCF">
      <w:pPr>
        <w:pStyle w:val="style0"/>
        <w:rPr/>
      </w:pPr>
      <w:r>
        <w:rPr>
          <w:b/>
          <w:bCs/>
        </w:rPr>
        <w:t>Loss of Platform and Algorithmic Governance:</w:t>
      </w:r>
      <w:r>
        <w:t xml:space="preserve"> The operational governance, content curation and strategic decision-making would fall to the majority domestic partner, affecting Netflix's corporate strategy</w:t>
      </w:r>
      <w:r>
        <w:t>.</w:t>
      </w:r>
    </w:p>
    <w:p w14:paraId="2D80DA73">
      <w:pPr>
        <w:pStyle w:val="style0"/>
        <w:rPr/>
      </w:pPr>
      <w:r>
        <w:rPr>
          <w:b/>
          <w:bCs/>
        </w:rPr>
        <w:t>IP and Technology Leakage:</w:t>
      </w:r>
      <w:r>
        <w:t xml:space="preserve"> </w:t>
      </w:r>
      <w:r>
        <w:t>Joint venture structures open up proprietary recommendation algorithms, compression technologies, and data engineering processes to local strategic partners and run the risk of competitive duplication</w:t>
      </w:r>
      <w:r>
        <w:t xml:space="preserve"> </w:t>
      </w:r>
      <w:r>
        <w:t>(Shi and Zhou, 2021)</w:t>
      </w:r>
      <w:r>
        <w:t>.</w:t>
      </w:r>
    </w:p>
    <w:p w14:paraId="0E7A9D1F">
      <w:pPr>
        <w:pStyle w:val="style0"/>
        <w:rPr/>
      </w:pPr>
      <w:r>
        <w:rPr>
          <w:b/>
          <w:bCs/>
        </w:rPr>
        <w:t>Brand Exposure and Political Risk:</w:t>
      </w:r>
      <w:r>
        <w:t xml:space="preserve"> </w:t>
      </w:r>
      <w:r>
        <w:t>Moral hazard occurs if the joint venture alters the content or follows political directives that create world-wide consumer or regulatory backlash in the West.</w:t>
      </w:r>
    </w:p>
    <w:p w14:paraId="08D456EF">
      <w:pPr>
        <w:pStyle w:val="style0"/>
        <w:rPr>
          <w:b/>
          <w:bCs/>
        </w:rPr>
      </w:pPr>
      <w:r>
        <w:rPr>
          <w:b/>
          <w:bCs/>
        </w:rPr>
        <w:t>Option 4: Outbound Chinese-Language Content Strategy ("Offshore" Entry)</w:t>
      </w:r>
    </w:p>
    <w:p w14:paraId="0B1B7A6F">
      <w:pPr>
        <w:pStyle w:val="style0"/>
        <w:rPr/>
      </w:pPr>
      <w:r>
        <w:t>Instead of setting up a physical presence or direct platform distribution in mainland China, Netflix can go about an outbound Chinese-language strategy, "offshore". This is achieved by making high-quality Mandarin original programmes and films in markets, other than mainland China, like Taiwan, Singapore, Malaysia and Hong Kong, and releasing them worldwide on its current international platform network</w:t>
      </w:r>
      <w:r>
        <w:t xml:space="preserve"> </w:t>
      </w:r>
      <w:r>
        <w:t>(Surana et al., 2024)</w:t>
      </w:r>
      <w:r>
        <w:t>.</w:t>
      </w:r>
    </w:p>
    <w:p w14:paraId="79E8B047">
      <w:pPr>
        <w:pStyle w:val="style0"/>
        <w:rPr/>
      </w:pPr>
      <w:r>
        <w:t>This entry mode will bypass the controls of the Chinese regulatory system, the Great Firewall and data localization regulations in China altogether. At the same time, it allows Netflix to monetize the huge Mandarin-speaking community in spaces as diverse as UCAN, APAC, Europe, and LATAM, and establishes a cultural media library that secures Netflix's future in institutional change within the Chinese mainland</w:t>
      </w:r>
      <w:r>
        <w:t xml:space="preserve"> </w:t>
      </w:r>
      <w:r>
        <w:t>(Tang and Wei, 2023)</w:t>
      </w:r>
      <w:r>
        <w:t>.</w:t>
      </w:r>
    </w:p>
    <w:p w14:paraId="344DE2BA">
      <w:pPr>
        <w:pStyle w:val="style0"/>
        <w:spacing w:lineRule="auto" w:line="259"/>
        <w:jc w:val="left"/>
        <w:rPr/>
      </w:pPr>
      <w:r>
        <w:br w:type="page"/>
      </w:r>
    </w:p>
    <w:bookmarkStart w:id="11" w:name="_Toc237170557"/>
    <w:p w14:paraId="675D27AE">
      <w:pPr>
        <w:pStyle w:val="style3"/>
        <w:rPr/>
      </w:pPr>
      <w:r>
        <w:t>Strategic Recommendations and Decision Matrix</w:t>
      </w:r>
      <w:bookmarkEnd w:id="11"/>
    </w:p>
    <w:p w14:paraId="32F6B979">
      <w:pPr>
        <w:pStyle w:val="style0"/>
        <w:rPr/>
      </w:pPr>
      <w:r>
        <w:t>Synthesizing the environmental constraints, legal boundaries, and strategic options, Netflix is advised to pursue a Dual-Track International Strategy:</w:t>
      </w:r>
    </w:p>
    <w:p w14:paraId="1DED938E">
      <w:pPr>
        <w:pStyle w:val="style0"/>
        <w:rPr/>
      </w:pPr>
      <w:r>
        <w:rPr>
          <w:b/>
          <w:bCs/>
        </w:rPr>
        <w:t>Primary Strategy (Outbound Diaspora &amp; Regional Production):</w:t>
      </w:r>
      <w:r>
        <w:t xml:space="preserve"> Ensure the continuity and development of direct investment in regional Mandarin-language content production bases outside the mainland (such as Taiwan and Southeast Asia). Stretched across Netflix's global platform network to cater to audiences across all parts of the world who speak the Mandarin language, these assets can help to deliver immediate subscription revenue in both APAC and Western markets, with no risk of non-market compliance in China</w:t>
      </w:r>
      <w:r>
        <w:t xml:space="preserve"> </w:t>
      </w:r>
      <w:r>
        <w:t>(Tyagi, 2025)</w:t>
      </w:r>
      <w:r>
        <w:t>.</w:t>
      </w:r>
    </w:p>
    <w:p w14:paraId="254FFD0B">
      <w:pPr>
        <w:pStyle w:val="style0"/>
        <w:rPr/>
      </w:pPr>
      <w:r>
        <w:rPr>
          <w:b/>
          <w:bCs/>
        </w:rPr>
        <w:t>Secondary Strategy (Opportunistic Non-Exclusive IP Monetization):</w:t>
      </w:r>
      <w:r>
        <w:t xml:space="preserve"> Sign selective, non-exclusive IP licensing agreements with the Chinese domestic streaming platforms (Tencent Video, </w:t>
      </w:r>
      <w:r>
        <w:t>iQIYI</w:t>
      </w:r>
      <w:r>
        <w:t>, Youku) for original content titles that are fully finished and have no political themes. The transactions should be of the type that require little capital, and in which the IP is not sold with a transaction, but rather, it is a high-margin corporate licensing sale</w:t>
      </w:r>
      <w:r>
        <w:t xml:space="preserve"> </w:t>
      </w:r>
      <w:r>
        <w:t>(Wang and Weng, 2022)</w:t>
      </w:r>
      <w:r>
        <w:t>.</w:t>
      </w:r>
    </w:p>
    <w:bookmarkStart w:id="12" w:name="_Toc237170558"/>
    <w:p w14:paraId="09EC9845">
      <w:pPr>
        <w:pStyle w:val="style3"/>
        <w:rPr/>
      </w:pPr>
      <w:r>
        <w:t>Conclusion</w:t>
      </w:r>
      <w:bookmarkEnd w:id="12"/>
    </w:p>
    <w:p w14:paraId="18537821">
      <w:pPr>
        <w:pStyle w:val="style0"/>
        <w:rPr/>
      </w:pPr>
      <w:r>
        <w:t xml:space="preserve">Netflix's business model, founded on centralised technology and localised content, is responsible for its success in other countries, but does not have an obvious equivalent in China. The macro-environmental appraisal shows that political censorship, foreign ownership limitations, data-localisation laws and the presence of a strong domestic incumbent place Netflix under structural disadvantage in terms of ownership, location and internalisation according to the OLI framework. The </w:t>
      </w:r>
      <w:r>
        <w:t>iQIYI</w:t>
      </w:r>
      <w:r>
        <w:t xml:space="preserve"> debacle from last year is proof enough that these institutional hurdles can't be overcome via the indirect route of licensing. Instead of going down the direct route, Netflix would be better served to take a dual-track approach of investing in the production of Mandarin content overseas while opportunistically licensing non-political IP locally for revenue without the risk of regulatory exposure.</w:t>
      </w:r>
      <w:r>
        <w:br w:type="page"/>
      </w:r>
    </w:p>
    <w:bookmarkStart w:id="13" w:name="_Toc237170559"/>
    <w:p w14:paraId="01D0952E">
      <w:pPr>
        <w:pStyle w:val="style1"/>
        <w:rPr/>
      </w:pPr>
      <w:r>
        <w:t>Section 2: Reflective Account on the Research and Analytical Process</w:t>
      </w:r>
      <w:bookmarkEnd w:id="13"/>
    </w:p>
    <w:p w14:paraId="3DB8CEF1">
      <w:pPr>
        <w:pStyle w:val="style0"/>
        <w:rPr/>
      </w:pPr>
      <w:r>
        <w:t>The research, analytical, and synthesis methods used to prepare Section 1 of this report were critically examined using Gibbs' (1988) Reflective Cycle. The six-step model</w:t>
      </w:r>
      <w:r>
        <w:t xml:space="preserve"> </w:t>
      </w:r>
      <w:r>
        <w:t>Description, Feelings, Evaluation, Analysis, Conclusion, and Action Plan</w:t>
      </w:r>
      <w:r>
        <w:t xml:space="preserve"> </w:t>
      </w:r>
      <w:r>
        <w:t>provides an organised, iterative path to learning</w:t>
      </w:r>
      <w:r>
        <w:t xml:space="preserve"> </w:t>
      </w:r>
      <w:r>
        <w:t>(Eldridge, 2023)</w:t>
      </w:r>
      <w:r>
        <w:t>.</w:t>
      </w:r>
    </w:p>
    <w:p w14:paraId="5F011BC4">
      <w:pPr>
        <w:pStyle w:val="style0"/>
        <w:jc w:val="center"/>
        <w:rPr/>
      </w:pPr>
      <w:r>
        <w:rPr>
          <w:noProof/>
        </w:rPr>
        <w:drawing>
          <wp:inline distL="0" distT="0" distB="0" distR="0">
            <wp:extent cx="3320503" cy="2771781"/>
            <wp:effectExtent l="0" t="0" r="0" b="0"/>
            <wp:docPr id="1034"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4"/>
                    <pic:cNvPicPr/>
                  </pic:nvPicPr>
                  <pic:blipFill>
                    <a:blip r:embed="rId9" cstate="print"/>
                    <a:srcRect l="0" t="0" r="0" b="0"/>
                    <a:stretch/>
                  </pic:blipFill>
                  <pic:spPr>
                    <a:xfrm rot="0">
                      <a:off x="0" y="0"/>
                      <a:ext cx="3320503" cy="2771781"/>
                    </a:xfrm>
                    <a:prstGeom prst="rect"/>
                    <a:ln>
                      <a:noFill/>
                    </a:ln>
                  </pic:spPr>
                </pic:pic>
              </a:graphicData>
            </a:graphic>
          </wp:inline>
        </w:drawing>
      </w:r>
    </w:p>
    <w:p w14:paraId="3D5A2984">
      <w:pPr>
        <w:pStyle w:val="style0"/>
        <w:jc w:val="center"/>
        <w:rPr>
          <w:b/>
          <w:bCs/>
          <w:i/>
          <w:iCs/>
        </w:rPr>
      </w:pPr>
      <w:r>
        <w:rPr>
          <w:b/>
          <w:bCs/>
          <w:i/>
          <w:iCs/>
        </w:rPr>
        <w:t>Figure 7: Gibbs' (1988) Reflective Cycle (Eldridge, 2023)</w:t>
      </w:r>
    </w:p>
    <w:p w14:paraId="1013958C">
      <w:pPr>
        <w:pStyle w:val="style0"/>
        <w:rPr>
          <w:b/>
          <w:bCs/>
        </w:rPr>
      </w:pPr>
      <w:r>
        <w:rPr>
          <w:b/>
          <w:bCs/>
        </w:rPr>
        <w:t>Description</w:t>
      </w:r>
    </w:p>
    <w:p w14:paraId="341DD857">
      <w:pPr>
        <w:pStyle w:val="style0"/>
        <w:rPr/>
      </w:pPr>
      <w:r>
        <w:t xml:space="preserve">The assignment brief required a thorough analysis of Netflix's worldwide strategy and China entrance potential. This required three interconnected tasks: classifying Netflix's international operating model using the Bartlett and Ghoshal (1989) integration-responsiveness framework; macro-environmental appraisal of China using PEST analysis, Hofstede's cultural dimensions, and Dunning's Eclectic Paradigm (OLI Framework); and critically assessing Netflix's historical entry modes, including the 2017 </w:t>
      </w:r>
      <w:r>
        <w:t>iQIYI</w:t>
      </w:r>
      <w:r>
        <w:t xml:space="preserve"> licensing arrangement, against realistic alternatives. Before choosing sources, I reviewed the module's teaching content and key literature on internationalisation theory. After gathering evidence from company disclosures, industry market-sizing reports, and academic and news commentary on Chinese media regulation, I drafted each subsection sequentially and revised the report once </w:t>
      </w:r>
      <w:r>
        <w:t>a full first draft was complete, ensuring that the frameworks were applied consistently and the narrative developed logically toward the entry-mode recommendations.</w:t>
      </w:r>
    </w:p>
    <w:p w14:paraId="64FEAE87">
      <w:pPr>
        <w:pStyle w:val="style0"/>
        <w:rPr>
          <w:b/>
          <w:bCs/>
        </w:rPr>
      </w:pPr>
      <w:r>
        <w:rPr>
          <w:b/>
          <w:bCs/>
        </w:rPr>
        <w:t>Feelings</w:t>
      </w:r>
    </w:p>
    <w:p w14:paraId="55B0F3FE">
      <w:pPr>
        <w:pStyle w:val="style0"/>
        <w:rPr/>
      </w:pPr>
      <w:r>
        <w:t>I was first unsure about the task's size. Netflix has no direct operating presence in China, so there is no first-party disclosure of Chinese-market performance</w:t>
      </w:r>
      <w:r>
        <w:t xml:space="preserve"> </w:t>
      </w:r>
      <w:r>
        <w:t>(Wang and Weng, 2022)</w:t>
      </w:r>
      <w:r>
        <w:t xml:space="preserve">. Every claim about the firm's position there had to be built indirectly, thru regulation, competitor data, and the documented history of the </w:t>
      </w:r>
      <w:r>
        <w:t>iQIYI</w:t>
      </w:r>
      <w:r>
        <w:t xml:space="preserve"> deal. This made me doubt several assertions early on. As the picture came together, my confidence rose. The PEST, Hofstede, and OLI analyses all agreed that direct entrance is structurally blocked, which was satisfactory since it showed that the theoretical apparatus was being used analytically rather than for its own sake. After the entry-mode comparison and recommendations, I was much more convinced in the argument's consistency.</w:t>
      </w:r>
    </w:p>
    <w:p w14:paraId="76187432">
      <w:pPr>
        <w:pStyle w:val="style0"/>
        <w:rPr>
          <w:b/>
          <w:bCs/>
        </w:rPr>
      </w:pPr>
      <w:r>
        <w:rPr>
          <w:b/>
          <w:bCs/>
        </w:rPr>
        <w:t>Evaluation</w:t>
      </w:r>
    </w:p>
    <w:p w14:paraId="3682C536">
      <w:pPr>
        <w:pStyle w:val="style0"/>
        <w:rPr/>
      </w:pPr>
      <w:r>
        <w:t>Several steps went nicely. Multiple, complementary frameworks allowed the analysis to move from a strategic-position classification to an institutional and cultural read of the host market to a firm-specific assessment of ownership, location, and internalisation advantages, creating a layered argument rather than a repetitive one</w:t>
      </w:r>
      <w:r>
        <w:t xml:space="preserve"> </w:t>
      </w:r>
      <w:r>
        <w:t>(Yuan, 2023)</w:t>
      </w:r>
      <w:r>
        <w:t xml:space="preserve">. Anchoring the theory to the growth and silent collapse of the 2017 </w:t>
      </w:r>
      <w:r>
        <w:t>iQIYI</w:t>
      </w:r>
      <w:r>
        <w:t xml:space="preserve"> license agreement reinforced the study by testing the abstract entry-mode debate against reality. My original draft of the macro-environmental section focused too much on description, listing China's political, economic, legal, and cultural elements without explaining how they affected Netflix's strategy. It would have been easy to present Chinese platforms and regulators solely as obstacles, but a fuller picture required acknowledging the genuine competitive strengths of firms like </w:t>
      </w:r>
      <w:r>
        <w:t>iQIYI</w:t>
      </w:r>
      <w:r>
        <w:t>, Tencent Video, and Youku and the coherent policy logic behind China's data-sovereignty and content-quota rules. Both issues needed more editing.</w:t>
      </w:r>
    </w:p>
    <w:p w14:paraId="1736CED9">
      <w:pPr>
        <w:pStyle w:val="style0"/>
        <w:rPr>
          <w:b/>
          <w:bCs/>
        </w:rPr>
      </w:pPr>
      <w:r>
        <w:rPr>
          <w:b/>
          <w:bCs/>
        </w:rPr>
        <w:t>Analysis</w:t>
      </w:r>
    </w:p>
    <w:p w14:paraId="427AC24C">
      <w:pPr>
        <w:pStyle w:val="style0"/>
        <w:rPr/>
      </w:pPr>
      <w:r>
        <w:t xml:space="preserve">Thinking about why these strengths and weaknesses occurred reveals how the program material and my working habits interacted. In the early weeks of the module, the Bartlett and Ghoshal (1989) integration-responsiveness matrix gave me a </w:t>
      </w:r>
      <w:r>
        <w:t>vocabulary for describing Netflix's shift from a global to a transnational posture. Without it, the observation that Netflix now combines centralised technology with localised content would have remained an anecdote. However, Dunning's Eclectic Paradigm showed that one cannot easily apply a paradigm for asset-heavy industrial FDI to an intangible, data-driven digital platform</w:t>
      </w:r>
      <w:r>
        <w:t xml:space="preserve"> </w:t>
      </w:r>
      <w:r>
        <w:t>(Dunning, 2001)</w:t>
      </w:r>
      <w:r>
        <w:t xml:space="preserve">. This tension forced me to consider Luo's (2021) extension of the OLI model for digital platforms, which reframes ownership advantage in terms of open resources, linkage, and integration rather than physical assets, which deepened the internalisation discussion. The PEST and Hofstede tools, covered in seminar discussions of institutional and psychic distance, helped me organise an overwhelming amount of information about Chinese media regulation, and the Uppsala Internationalisation Model explained in the entry-mode section why Netflix's early sequential, low-psychic-distance expansion strategy has no obvious Chinese equivalent. Since Netflix does not disclose China-specific figures, I had to cross-check claims about market size, regulatory quotas, and the </w:t>
      </w:r>
      <w:r>
        <w:t>iQIYI</w:t>
      </w:r>
      <w:r>
        <w:t xml:space="preserve"> partnership across industry reports, news archives, and academic commentary, a research-literacy skill the module had implicitly been building throughout the term. I developed a framework for systematically evaluating entry-mode alternatives from seminar discussion of previous platform-based case studies into the four-option comparison in Section 1.</w:t>
      </w:r>
    </w:p>
    <w:p w14:paraId="6B81879C">
      <w:pPr>
        <w:pStyle w:val="style0"/>
        <w:rPr>
          <w:b/>
          <w:bCs/>
        </w:rPr>
      </w:pPr>
      <w:r>
        <w:rPr>
          <w:b/>
          <w:bCs/>
        </w:rPr>
        <w:t>Conclusion</w:t>
      </w:r>
    </w:p>
    <w:p w14:paraId="032A534F">
      <w:pPr>
        <w:pStyle w:val="style0"/>
        <w:rPr/>
      </w:pPr>
      <w:r>
        <w:t>The process showed that combining several theoretical lenses produces a richer and more defensible critical picture than relying on any single model, and that theories originally built for a different economic context, such as Dunning's OLI framework for manufacturing FDI, must be actively adapted rather than mechanically applied to novel settings like digital-platform internationalisation Before starting empirical research, I might have interacted with the theoretical literature more systematically to make my framework choices more intentional rather than partly reactive to the findings. I could have used more peer-reviewed sources earlier in the process, rather than industry and press reporting for early versions, to improve the analysis's academic rigour from the start.</w:t>
      </w:r>
    </w:p>
    <w:p w14:paraId="414F0DC3">
      <w:pPr>
        <w:pStyle w:val="style0"/>
        <w:rPr>
          <w:b/>
          <w:bCs/>
        </w:rPr>
      </w:pPr>
      <w:r>
        <w:rPr>
          <w:b/>
          <w:bCs/>
        </w:rPr>
        <w:t>Plan Action</w:t>
      </w:r>
    </w:p>
    <w:p w14:paraId="455DEA2D">
      <w:pPr>
        <w:pStyle w:val="style0"/>
        <w:rPr/>
      </w:pPr>
      <w:r>
        <w:t>For future tasks like this, I will spend time researching relevant theory before starting empirical research to make framework selection thoughtful. I will start each project with a modest source record to streamline triangulation and citation, especially for data-scarce or indirectly observable markets. I'll ask for input on an early draft rather than a near-final one to fix structural flaws like excessive detail before they spread throughout sections. I'll also keep exercising critical, evaluative writing by asking "so what does this mean for the argument" after incorporating each piece of evidence, rather than separating description and analysis into distinct drafting sessions. Finally, given how quickly digital-platform internationalisation theory is evolving, I plan to track emerging academic extensions to classical international business frameworks, which were essential to producing a critical, rather than descriptive, evaluation in this assignment.</w:t>
      </w:r>
    </w:p>
    <w:p w14:paraId="7B981B23">
      <w:pPr>
        <w:pStyle w:val="style0"/>
        <w:spacing w:lineRule="auto" w:line="259"/>
        <w:jc w:val="left"/>
        <w:rPr/>
      </w:pPr>
      <w:r>
        <w:br w:type="page"/>
      </w:r>
    </w:p>
    <w:bookmarkStart w:id="14" w:name="_Toc237170560"/>
    <w:p w14:paraId="39EB03B6">
      <w:pPr>
        <w:pStyle w:val="style1"/>
        <w:rPr/>
      </w:pPr>
      <w:r>
        <w:t>References</w:t>
      </w:r>
      <w:bookmarkEnd w:id="14"/>
    </w:p>
    <w:p w14:paraId="06079FBD">
      <w:pPr>
        <w:pStyle w:val="style0"/>
        <w:rPr>
          <w:rFonts w:ascii="Times New Roman" w:hAnsi="Times New Roman"/>
        </w:rPr>
      </w:pPr>
      <w:r>
        <w:t xml:space="preserve">Ali, W. (2023). A report Global Strategy Assessment of Wendy’s United States of America (USA). </w:t>
      </w:r>
      <w:r>
        <w:rPr>
          <w:i/>
          <w:iCs/>
        </w:rPr>
        <w:t>ResearchGate</w:t>
      </w:r>
      <w:r>
        <w:t>. [online] doi:10.13140/RG.2.2.25421.45283.</w:t>
      </w:r>
    </w:p>
    <w:p w14:paraId="6D87C0F7">
      <w:pPr>
        <w:pStyle w:val="style0"/>
        <w:rPr/>
      </w:pPr>
      <w:r>
        <w:t>Ameya</w:t>
      </w:r>
      <w:r>
        <w:t xml:space="preserve"> Anil Patil and Sangram </w:t>
      </w:r>
      <w:r>
        <w:t>Girigosavi</w:t>
      </w:r>
      <w:r>
        <w:t xml:space="preserve"> (2024). Internationalization strategies of FAANG. pp.279–295. doi:10.4018/979-8-3693-1155-4.ch014.</w:t>
      </w:r>
    </w:p>
    <w:p w14:paraId="0C02C37D">
      <w:pPr>
        <w:pStyle w:val="style0"/>
        <w:rPr/>
      </w:pPr>
      <w:r>
        <w:t>Asmussen</w:t>
      </w:r>
      <w:r>
        <w:t xml:space="preserve">, C. B., </w:t>
      </w:r>
      <w:r>
        <w:t>Fosfuri</w:t>
      </w:r>
      <w:r>
        <w:t xml:space="preserve">, A., Marcus </w:t>
      </w:r>
      <w:r>
        <w:t>Møller</w:t>
      </w:r>
      <w:r>
        <w:t xml:space="preserve"> Larsen and Santangelo, G. D (2023). Corporate Social Responsibility in the Global Value Chain: A Bargaining Perspective. </w:t>
      </w:r>
      <w:r>
        <w:rPr>
          <w:i/>
          <w:iCs/>
        </w:rPr>
        <w:t>Journal of International Business Studies</w:t>
      </w:r>
      <w:r>
        <w:t>, 54(7). doi:10.1057/s41267-023-00635-w.</w:t>
      </w:r>
    </w:p>
    <w:p w14:paraId="61123A58">
      <w:pPr>
        <w:pStyle w:val="style0"/>
        <w:rPr/>
      </w:pPr>
      <w:r>
        <w:t>Asseraf</w:t>
      </w:r>
      <w:r>
        <w:t xml:space="preserve">, Y. and </w:t>
      </w:r>
      <w:r>
        <w:t>Gnizy</w:t>
      </w:r>
      <w:r>
        <w:t xml:space="preserve">, I. (2026). Agile Mindset in International Business: The Case of Organizational Culture and </w:t>
      </w:r>
      <w:r>
        <w:t>Behavioral</w:t>
      </w:r>
      <w:r>
        <w:t xml:space="preserve"> Performance. </w:t>
      </w:r>
      <w:r>
        <w:rPr>
          <w:i/>
          <w:iCs/>
        </w:rPr>
        <w:t>Review of International Business and Strategy</w:t>
      </w:r>
      <w:r>
        <w:t>, pp.1–24. doi:10.1108/ribs-04-2025-0064.</w:t>
      </w:r>
    </w:p>
    <w:p w14:paraId="13553B0E">
      <w:pPr>
        <w:pStyle w:val="style0"/>
        <w:rPr/>
      </w:pPr>
      <w:r>
        <w:t xml:space="preserve">Babu B., M. and </w:t>
      </w:r>
      <w:r>
        <w:t>Aithal</w:t>
      </w:r>
      <w:r>
        <w:t xml:space="preserve">, P.S. (2023). </w:t>
      </w:r>
      <w:r>
        <w:rPr>
          <w:i/>
          <w:iCs/>
        </w:rPr>
        <w:t>The scope of sustainability in an orientation-based approach to penetration of foreign markets</w:t>
      </w:r>
      <w:r>
        <w:t xml:space="preserve">. [online] </w:t>
      </w:r>
      <w:r>
        <w:rPr>
          <w:i/>
          <w:iCs/>
        </w:rPr>
        <w:t>Social Science Research Network</w:t>
      </w:r>
      <w:r>
        <w:t>. Rochester, NY. doi:10.2139/ssrn.4575581.</w:t>
      </w:r>
    </w:p>
    <w:p w14:paraId="47C74FF1">
      <w:pPr>
        <w:pStyle w:val="style0"/>
        <w:rPr/>
      </w:pPr>
      <w:r>
        <w:t xml:space="preserve">Berndt, R., </w:t>
      </w:r>
      <w:r>
        <w:t>Fantapié</w:t>
      </w:r>
      <w:r>
        <w:t xml:space="preserve"> </w:t>
      </w:r>
      <w:r>
        <w:t>Altobelli</w:t>
      </w:r>
      <w:r>
        <w:t xml:space="preserve">, C. and Sander, M. (2023). International Market Entry Strategies. </w:t>
      </w:r>
      <w:r>
        <w:rPr>
          <w:i/>
          <w:iCs/>
        </w:rPr>
        <w:t>International Marketing Management</w:t>
      </w:r>
      <w:r>
        <w:t>, pp.165–200. doi:10.1007/978-3-662-66800-9_7.</w:t>
      </w:r>
    </w:p>
    <w:p w14:paraId="4452B1CF">
      <w:pPr>
        <w:pStyle w:val="style0"/>
        <w:rPr/>
      </w:pPr>
      <w:r>
        <w:t>Botella</w:t>
      </w:r>
      <w:r>
        <w:t xml:space="preserve">-Andreu, A., </w:t>
      </w:r>
      <w:r>
        <w:t>Pla</w:t>
      </w:r>
      <w:r>
        <w:t xml:space="preserve">-Barber, J. and </w:t>
      </w:r>
      <w:r>
        <w:t>Rocafull</w:t>
      </w:r>
      <w:r>
        <w:t xml:space="preserve">, A.P. (2025). Bounded-born globals: Rethinking internationalization in the platform economy. </w:t>
      </w:r>
      <w:r>
        <w:rPr>
          <w:i/>
          <w:iCs/>
        </w:rPr>
        <w:t>Long Range Planning</w:t>
      </w:r>
      <w:r>
        <w:t xml:space="preserve">, p.102587. </w:t>
      </w:r>
      <w:r>
        <w:t>doi:10.1016/j.lrp</w:t>
      </w:r>
      <w:r>
        <w:t>.2025.102587.</w:t>
      </w:r>
    </w:p>
    <w:p w14:paraId="337C2333">
      <w:pPr>
        <w:pStyle w:val="style0"/>
        <w:rPr/>
      </w:pPr>
      <w:r>
        <w:t>Brunk</w:t>
      </w:r>
      <w:r>
        <w:t xml:space="preserve">, H. (2020). </w:t>
      </w:r>
      <w:r>
        <w:rPr>
          <w:i/>
          <w:iCs/>
        </w:rPr>
        <w:t>How Netflix used partnerships and alliances to internationalize and then internalize the global streaming industry</w:t>
      </w:r>
      <w:r>
        <w:t xml:space="preserve">. [online] </w:t>
      </w:r>
      <w:r>
        <w:rPr>
          <w:i/>
          <w:iCs/>
        </w:rPr>
        <w:t>ResearchGate</w:t>
      </w:r>
      <w:r>
        <w:t>. Available at: https://www.researchgate.net/publication/350801344_How_Netflix_used_Partnerships_and_Alliances_to_Internationalize_and_then_Internalize_the_Global_Streaming_Industry [Accessed 5 Aug. 2026].</w:t>
      </w:r>
    </w:p>
    <w:p w14:paraId="3C5F1C91">
      <w:pPr>
        <w:pStyle w:val="style0"/>
        <w:rPr/>
      </w:pPr>
      <w:r>
        <w:t xml:space="preserve">CFI (2022). </w:t>
      </w:r>
      <w:r>
        <w:rPr>
          <w:i/>
          <w:iCs/>
        </w:rPr>
        <w:t>Eclectic paradigm</w:t>
      </w:r>
      <w:r>
        <w:t xml:space="preserve">. [online] </w:t>
      </w:r>
      <w:r>
        <w:rPr>
          <w:i/>
          <w:iCs/>
        </w:rPr>
        <w:t>Corporate Finance Institute</w:t>
      </w:r>
      <w:r>
        <w:t>. Available at: https://corporatefinanceinstitute.com/resources/management/eclectic-paradigm/ [Accessed 8 Aug. 2026].</w:t>
      </w:r>
    </w:p>
    <w:p w14:paraId="27D7B3A1">
      <w:pPr>
        <w:pStyle w:val="style0"/>
        <w:rPr/>
      </w:pPr>
      <w:r>
        <w:t>Chalaby</w:t>
      </w:r>
      <w:r>
        <w:t xml:space="preserve">, J.K. (2024). Streaming Giants and the global shift: Building value chains and remapping trade flows. </w:t>
      </w:r>
      <w:r>
        <w:rPr>
          <w:i/>
          <w:iCs/>
        </w:rPr>
        <w:t>Journal of Communication</w:t>
      </w:r>
      <w:r>
        <w:t>, [online] 75(2). doi:10.1093/</w:t>
      </w:r>
      <w:r>
        <w:t>joc</w:t>
      </w:r>
      <w:r>
        <w:t>/jqae040.</w:t>
      </w:r>
    </w:p>
    <w:p w14:paraId="1912EFDF">
      <w:pPr>
        <w:pStyle w:val="style0"/>
        <w:rPr/>
      </w:pPr>
      <w:r>
        <w:t xml:space="preserve">Contractor, F.J., Cantwell, J., </w:t>
      </w:r>
      <w:r>
        <w:t>Gereffi</w:t>
      </w:r>
      <w:r>
        <w:t xml:space="preserve">, G. and </w:t>
      </w:r>
      <w:r>
        <w:t>Sauvant</w:t>
      </w:r>
      <w:r>
        <w:t xml:space="preserve">, K.P. (2026). The shift to a more turbulent IB environment, and how MNEs respond to this shift. </w:t>
      </w:r>
      <w:r>
        <w:rPr>
          <w:i/>
          <w:iCs/>
        </w:rPr>
        <w:t>International Business Review</w:t>
      </w:r>
      <w:r>
        <w:t>, 35(2), p.102538. doi: 10.1016/j.ibusrev.2025.102538.</w:t>
      </w:r>
    </w:p>
    <w:p w14:paraId="06890353">
      <w:pPr>
        <w:pStyle w:val="style0"/>
        <w:rPr/>
      </w:pPr>
      <w:r>
        <w:t xml:space="preserve">Cui, Y. (2024). Research on Netflix’s expansion and competitive strategies in the global markets. </w:t>
      </w:r>
      <w:r>
        <w:rPr>
          <w:i/>
          <w:iCs/>
        </w:rPr>
        <w:t>Highlights in Business, Economics and Management</w:t>
      </w:r>
      <w:r>
        <w:t>, 41, pp.107–114. doi:10.54097/4nyc7106.</w:t>
      </w:r>
    </w:p>
    <w:p w14:paraId="51513B4D">
      <w:pPr>
        <w:pStyle w:val="style0"/>
        <w:rPr/>
      </w:pPr>
      <w:r>
        <w:t xml:space="preserve">Davis, S. (2021). What is Netflix imperialism? Interrogating the monopoly aspirations of the ‘World’s largest television network’. </w:t>
      </w:r>
      <w:r>
        <w:rPr>
          <w:i/>
          <w:iCs/>
        </w:rPr>
        <w:t>Information, Communication &amp; Society</w:t>
      </w:r>
      <w:r>
        <w:t>, 26(6), pp.1143–1158. doi:10.1080/1369118x.2021.1993955.</w:t>
      </w:r>
    </w:p>
    <w:p w14:paraId="345CE2FF">
      <w:pPr>
        <w:pStyle w:val="style0"/>
        <w:rPr/>
      </w:pPr>
      <w:r>
        <w:t xml:space="preserve">Ding, Y. and Chen, C.-L. (2023). Internationalization strategies and dynamic capabilities of platform companies - A case study of the game industry. </w:t>
      </w:r>
      <w:r>
        <w:rPr>
          <w:i/>
          <w:iCs/>
        </w:rPr>
        <w:t>Organizational Dynamics</w:t>
      </w:r>
      <w:r>
        <w:t>, 52(2), p.100980. doi: 10.1016/j.orgdyn.2023.100980.</w:t>
      </w:r>
    </w:p>
    <w:p w14:paraId="6A7D2B4C">
      <w:pPr>
        <w:pStyle w:val="style0"/>
        <w:rPr/>
      </w:pPr>
      <w:r>
        <w:t xml:space="preserve">Dunning, J.H. (2001). The Eclectic (OLI) Paradigm of International Production: Past, Present and Future. </w:t>
      </w:r>
      <w:r>
        <w:rPr>
          <w:i/>
          <w:iCs/>
        </w:rPr>
        <w:t>International Journal of the Economics of Business</w:t>
      </w:r>
      <w:r>
        <w:t xml:space="preserve">, [online] 8(2), pp.173–190. doi: </w:t>
      </w:r>
      <w:r>
        <w:rPr/>
        <w:fldChar w:fldCharType="begin"/>
      </w:r>
      <w:r>
        <w:instrText xml:space="preserve"> HYPERLINK "https://doi.org/10.1080/13571510110051441" </w:instrText>
      </w:r>
      <w:r>
        <w:rPr/>
        <w:fldChar w:fldCharType="separate"/>
      </w:r>
      <w:r>
        <w:rPr>
          <w:rStyle w:val="style85"/>
        </w:rPr>
        <w:t>https://doi.org/10.1080/13571510110051441</w:t>
      </w:r>
      <w:r>
        <w:rPr/>
        <w:fldChar w:fldCharType="end"/>
      </w:r>
      <w:r>
        <w:t>.</w:t>
      </w:r>
    </w:p>
    <w:p w14:paraId="5EF2FA91">
      <w:pPr>
        <w:pStyle w:val="style0"/>
        <w:rPr/>
      </w:pPr>
      <w:r>
        <w:t xml:space="preserve">Eldridge, L. (2023). </w:t>
      </w:r>
      <w:r>
        <w:rPr>
          <w:i/>
          <w:iCs/>
        </w:rPr>
        <w:t xml:space="preserve">Gibbs reflective </w:t>
      </w:r>
      <w:r>
        <w:rPr>
          <w:i/>
          <w:iCs/>
        </w:rPr>
        <w:t>cycle :</w:t>
      </w:r>
      <w:r>
        <w:rPr>
          <w:i/>
          <w:iCs/>
        </w:rPr>
        <w:t xml:space="preserve"> Reflective practice made easy</w:t>
      </w:r>
      <w:r>
        <w:t xml:space="preserve">. [online] </w:t>
      </w:r>
      <w:r>
        <w:rPr>
          <w:i/>
          <w:iCs/>
        </w:rPr>
        <w:t>Cognitive Athlete</w:t>
      </w:r>
      <w:r>
        <w:t>. Available at: https://cognitiveathlete.co.uk/the-gibbs-reflective-cycle-as-a-leader/ [Accessed 9 Aug. 2026].</w:t>
      </w:r>
    </w:p>
    <w:p w14:paraId="2A838576">
      <w:pPr>
        <w:pStyle w:val="style0"/>
        <w:rPr/>
      </w:pPr>
      <w:r>
        <w:t xml:space="preserve">F. Yu. </w:t>
      </w:r>
      <w:r>
        <w:t>Baykov</w:t>
      </w:r>
      <w:r>
        <w:t xml:space="preserve"> and </w:t>
      </w:r>
      <w:r>
        <w:t>Ershov</w:t>
      </w:r>
      <w:r>
        <w:t xml:space="preserve">, V.S. (2023). International Trade digital transformation impact on the global digital </w:t>
      </w:r>
      <w:r>
        <w:t>platforms</w:t>
      </w:r>
      <w:r>
        <w:t xml:space="preserve"> expansion. doi:10.1109/emctech58502.2023.10296940.</w:t>
      </w:r>
    </w:p>
    <w:p w14:paraId="12A3D237">
      <w:pPr>
        <w:pStyle w:val="style0"/>
        <w:rPr/>
      </w:pPr>
      <w:r>
        <w:t xml:space="preserve">Fuchs, M. (2022). Market Entry Modes. </w:t>
      </w:r>
      <w:r>
        <w:rPr>
          <w:i/>
          <w:iCs/>
        </w:rPr>
        <w:t>International Management</w:t>
      </w:r>
      <w:r>
        <w:t xml:space="preserve">, [online] pp.179–230. Available at: </w:t>
      </w:r>
      <w:r>
        <w:rPr/>
        <w:fldChar w:fldCharType="begin"/>
      </w:r>
      <w:r>
        <w:instrText xml:space="preserve"> HYPERLINK "https://link.springer.com/chapter/10.1007/978-3-662-65870-3_5" </w:instrText>
      </w:r>
      <w:r>
        <w:rPr/>
        <w:fldChar w:fldCharType="separate"/>
      </w:r>
      <w:r>
        <w:rPr>
          <w:rStyle w:val="style85"/>
        </w:rPr>
        <w:t>https://link.springer.com/chapter/10.1007/978-3-662-65870-3_5</w:t>
      </w:r>
      <w:r>
        <w:rPr/>
        <w:fldChar w:fldCharType="end"/>
      </w:r>
    </w:p>
    <w:p w14:paraId="31C4535C">
      <w:pPr>
        <w:pStyle w:val="style0"/>
        <w:rPr/>
      </w:pPr>
      <w:r>
        <w:t>Goncharenko</w:t>
      </w:r>
      <w:r>
        <w:t xml:space="preserve">, M., Zhen, W.Z., Yang, X.Y., Ismail, N.A. and Xu, D.R. (2023). Netflix, the success of a global storytelling. </w:t>
      </w:r>
      <w:r>
        <w:rPr>
          <w:i/>
          <w:iCs/>
        </w:rPr>
        <w:t>Journal of Business and Social Sciences</w:t>
      </w:r>
      <w:r>
        <w:t>, [online] 2023. Available at: https://iuojs.intimal.edu.my/index.php/jobss/article/view/432 [Accessed 2 Aug. 2026].</w:t>
      </w:r>
    </w:p>
    <w:p w14:paraId="53BEBFEB">
      <w:pPr>
        <w:pStyle w:val="style0"/>
        <w:rPr/>
      </w:pPr>
      <w:r>
        <w:t>Jati</w:t>
      </w:r>
      <w:r>
        <w:t xml:space="preserve">, I.M., Serenade, V. and Umar, N. (2024). Netflix’s global market entry and adaptation strategies critical review. </w:t>
      </w:r>
      <w:r>
        <w:rPr>
          <w:i/>
          <w:iCs/>
        </w:rPr>
        <w:t>Jurnal</w:t>
      </w:r>
      <w:r>
        <w:rPr>
          <w:i/>
          <w:iCs/>
        </w:rPr>
        <w:t xml:space="preserve"> </w:t>
      </w:r>
      <w:r>
        <w:rPr>
          <w:i/>
          <w:iCs/>
        </w:rPr>
        <w:t>Informatika</w:t>
      </w:r>
      <w:r>
        <w:rPr>
          <w:i/>
          <w:iCs/>
        </w:rPr>
        <w:t xml:space="preserve"> </w:t>
      </w:r>
      <w:r>
        <w:rPr>
          <w:i/>
          <w:iCs/>
        </w:rPr>
        <w:t>Ekonomi</w:t>
      </w:r>
      <w:r>
        <w:rPr>
          <w:i/>
          <w:iCs/>
        </w:rPr>
        <w:t xml:space="preserve"> </w:t>
      </w:r>
      <w:r>
        <w:rPr>
          <w:i/>
          <w:iCs/>
        </w:rPr>
        <w:t>Bisnis</w:t>
      </w:r>
      <w:r>
        <w:t>, [online] 6(4), pp.932–936. Available at: https://infeb.org/index.php/infeb/article/view/1049 [Accessed 1 Aug. 2026].</w:t>
      </w:r>
    </w:p>
    <w:p w14:paraId="57D58FDC">
      <w:pPr>
        <w:pStyle w:val="style0"/>
        <w:rPr/>
      </w:pPr>
      <w:r>
        <w:t>Khitab</w:t>
      </w:r>
      <w:r>
        <w:t xml:space="preserve">, M., Zia, M.H. and </w:t>
      </w:r>
      <w:r>
        <w:t>Tabassam</w:t>
      </w:r>
      <w:r>
        <w:t xml:space="preserve">, A. (2025). A critical analysis of the strategic implications of globalization on business performance: Evaluating opportunities, challenges, and adaptive strategies. </w:t>
      </w:r>
      <w:r>
        <w:rPr>
          <w:i/>
          <w:iCs/>
        </w:rPr>
        <w:t>Social Science Review Archives</w:t>
      </w:r>
      <w:r>
        <w:t>, [online] 3(1), pp.1995–2008. doi:10.70670/</w:t>
      </w:r>
      <w:r>
        <w:t>sra.</w:t>
      </w:r>
      <w:r>
        <w:t xml:space="preserve"> v3i1.510.</w:t>
      </w:r>
    </w:p>
    <w:p w14:paraId="36FCBD92">
      <w:pPr>
        <w:pStyle w:val="style0"/>
        <w:rPr/>
      </w:pPr>
      <w:r>
        <w:t xml:space="preserve">Kim, Y. (2022). </w:t>
      </w:r>
      <w:r>
        <w:rPr>
          <w:i/>
          <w:iCs/>
        </w:rPr>
        <w:t xml:space="preserve">Media in </w:t>
      </w:r>
      <w:r>
        <w:rPr>
          <w:i/>
          <w:iCs/>
        </w:rPr>
        <w:t>Asia :</w:t>
      </w:r>
      <w:r>
        <w:rPr>
          <w:i/>
          <w:iCs/>
        </w:rPr>
        <w:t xml:space="preserve"> Global, Digital, gendered and mobile</w:t>
      </w:r>
      <w:r>
        <w:t>. London: Routledge.</w:t>
      </w:r>
    </w:p>
    <w:p w14:paraId="19014AEE">
      <w:pPr>
        <w:pStyle w:val="style0"/>
        <w:rPr/>
      </w:pPr>
      <w:r>
        <w:t>Kosal</w:t>
      </w:r>
      <w:r>
        <w:t xml:space="preserve">, M. and Putney, J. (2022). Neurotechnology and international security. </w:t>
      </w:r>
      <w:r>
        <w:rPr>
          <w:i/>
          <w:iCs/>
        </w:rPr>
        <w:t>Politics and the Life Sciences</w:t>
      </w:r>
      <w:r>
        <w:t>, 42(1), pp.1–23. doi:10.1017/pls.2022.2.</w:t>
      </w:r>
    </w:p>
    <w:p w14:paraId="61A44B79">
      <w:pPr>
        <w:pStyle w:val="style0"/>
        <w:rPr/>
      </w:pPr>
      <w:r>
        <w:t>Mier</w:t>
      </w:r>
      <w:r>
        <w:t xml:space="preserve">, J. and Kohli, A.K. (2021). Netflix: Reinvention across multiple time periods, reflections and directions for future research. </w:t>
      </w:r>
      <w:r>
        <w:rPr>
          <w:i/>
          <w:iCs/>
        </w:rPr>
        <w:t>AMS Review</w:t>
      </w:r>
      <w:r>
        <w:t>, 11(1), pp.194–205.</w:t>
      </w:r>
    </w:p>
    <w:p w14:paraId="76F057F1">
      <w:pPr>
        <w:pStyle w:val="style0"/>
        <w:rPr/>
      </w:pPr>
      <w:r>
        <w:t>Morschett</w:t>
      </w:r>
      <w:r>
        <w:t xml:space="preserve">, D., Schramm-Klein, H., Joachim </w:t>
      </w:r>
      <w:r>
        <w:t>Zentes</w:t>
      </w:r>
      <w:r>
        <w:t xml:space="preserve"> and Bader, B. (2025). </w:t>
      </w:r>
      <w:r>
        <w:rPr>
          <w:i/>
          <w:iCs/>
        </w:rPr>
        <w:t>Strategic international management</w:t>
      </w:r>
      <w:r>
        <w:t>. doi:10.1007/978-3-031-86213-7.</w:t>
      </w:r>
    </w:p>
    <w:p w14:paraId="7D6AA378">
      <w:pPr>
        <w:pStyle w:val="style0"/>
        <w:rPr/>
      </w:pPr>
      <w:r>
        <w:t xml:space="preserve">Neves, L. and </w:t>
      </w:r>
      <w:r>
        <w:t>Kogut</w:t>
      </w:r>
      <w:r>
        <w:t xml:space="preserve">, C.S. (2023). Diversity and Inclusion Programs in Multinationals: Opportunity for Reverse Knowledge Transfer. </w:t>
      </w:r>
      <w:r>
        <w:rPr>
          <w:i/>
          <w:iCs/>
        </w:rPr>
        <w:t>Rae-</w:t>
      </w:r>
      <w:r>
        <w:rPr>
          <w:i/>
          <w:iCs/>
        </w:rPr>
        <w:t>revista</w:t>
      </w:r>
      <w:r>
        <w:rPr>
          <w:i/>
          <w:iCs/>
        </w:rPr>
        <w:t xml:space="preserve"> De </w:t>
      </w:r>
      <w:r>
        <w:rPr>
          <w:i/>
          <w:iCs/>
        </w:rPr>
        <w:t>Administracao</w:t>
      </w:r>
      <w:r>
        <w:rPr>
          <w:i/>
          <w:iCs/>
        </w:rPr>
        <w:t xml:space="preserve"> De </w:t>
      </w:r>
      <w:r>
        <w:rPr>
          <w:i/>
          <w:iCs/>
        </w:rPr>
        <w:t>Empresas</w:t>
      </w:r>
      <w:r>
        <w:t>, 63(5). doi:10.1590/s0034-759020230503.</w:t>
      </w:r>
    </w:p>
    <w:p w14:paraId="7F0E3A96">
      <w:pPr>
        <w:pStyle w:val="style0"/>
        <w:rPr/>
      </w:pPr>
      <w:r>
        <w:t>Oldroyd</w:t>
      </w:r>
      <w:r>
        <w:t xml:space="preserve">, J. and Morris, S. (2023). </w:t>
      </w:r>
      <w:r>
        <w:rPr>
          <w:i/>
          <w:iCs/>
        </w:rPr>
        <w:t>International Business</w:t>
      </w:r>
      <w:r>
        <w:t>. John Wiley &amp; Sons.</w:t>
      </w:r>
    </w:p>
    <w:p w14:paraId="5FEA8068">
      <w:pPr>
        <w:pStyle w:val="style0"/>
        <w:rPr/>
      </w:pPr>
      <w:r>
        <w:t xml:space="preserve">Pereira, C.S., </w:t>
      </w:r>
      <w:r>
        <w:t>Durão</w:t>
      </w:r>
      <w:r>
        <w:t xml:space="preserve">, N., Moreira, F. and Veloso, B. (2022). The Importance of Digital Transformation in International Business. </w:t>
      </w:r>
      <w:r>
        <w:rPr>
          <w:i/>
          <w:iCs/>
        </w:rPr>
        <w:t>Sustainability</w:t>
      </w:r>
      <w:r>
        <w:t>, [online] 14(2), p.834. doi: https://doi.org/10.3390/su14020834.</w:t>
      </w:r>
    </w:p>
    <w:p w14:paraId="424CEF9F">
      <w:pPr>
        <w:pStyle w:val="style0"/>
        <w:rPr/>
      </w:pPr>
      <w:r>
        <w:t>Quattrociocchi</w:t>
      </w:r>
      <w:r>
        <w:t xml:space="preserve">, B., Francesco, M., </w:t>
      </w:r>
      <w:r>
        <w:t>Perano</w:t>
      </w:r>
      <w:r>
        <w:t xml:space="preserve"> Mirko and Calabrese, M. (2017). Tourism Supply Chain Management &amp;amp; Strategic Partnerships for managing the complexity in tourism industry. [online] 7(1). Available at: https://www.researchgate.net/publication/318215790_Tourism_Supply_Chain_Management_Strategic_Partnerships_for_managing_the_complexity_in_tourism_industry [Accessed 4 Aug. 2026].</w:t>
      </w:r>
    </w:p>
    <w:p w14:paraId="1C917870">
      <w:pPr>
        <w:pStyle w:val="style0"/>
        <w:rPr/>
      </w:pPr>
      <w:r>
        <w:t xml:space="preserve">Shi, Y. and Zhou, J. (2021). </w:t>
      </w:r>
      <w:r>
        <w:rPr>
          <w:i/>
          <w:iCs/>
        </w:rPr>
        <w:t>Analysis of foreign video streaming service entering Chinese streaming media market: A case study of Netflix</w:t>
      </w:r>
      <w:r>
        <w:t xml:space="preserve">. [online] </w:t>
      </w:r>
      <w:r>
        <w:rPr>
          <w:i/>
          <w:iCs/>
        </w:rPr>
        <w:t>www.atlantis-press.com</w:t>
      </w:r>
      <w:r>
        <w:t>, Atlantis Press, pp.337–343. doi:10.2991/assehr.k.211020.177.</w:t>
      </w:r>
    </w:p>
    <w:p w14:paraId="13C613B7">
      <w:pPr>
        <w:pStyle w:val="style0"/>
        <w:rPr/>
      </w:pPr>
      <w:r>
        <w:t>Stratrix</w:t>
      </w:r>
      <w:r>
        <w:t xml:space="preserve"> (2026). </w:t>
      </w:r>
      <w:r>
        <w:rPr>
          <w:i/>
          <w:iCs/>
        </w:rPr>
        <w:t>Globalization strategy</w:t>
      </w:r>
      <w:r>
        <w:t xml:space="preserve">. [online] </w:t>
      </w:r>
      <w:r>
        <w:t>Stratrix</w:t>
      </w:r>
      <w:r>
        <w:t>. Available at: https://www.stratrix.com/strategy-studio/globalization-strategy [Accessed 8 Aug. 2026].</w:t>
      </w:r>
    </w:p>
    <w:p w14:paraId="30EF21B5">
      <w:pPr>
        <w:pStyle w:val="style0"/>
        <w:rPr/>
      </w:pPr>
      <w:r>
        <w:t xml:space="preserve">Surana, A., Chavan, M., Kumar, V. and Chirico, F. (2024). The internationalization of digital platform firms: The platform-OLI (P-OLI) framework. </w:t>
      </w:r>
      <w:r>
        <w:rPr>
          <w:i/>
          <w:iCs/>
        </w:rPr>
        <w:t>International Marketing Review</w:t>
      </w:r>
      <w:r>
        <w:t>, 41(5). doi:10.1108/imr-08-2023-0182.</w:t>
      </w:r>
    </w:p>
    <w:p w14:paraId="60ECE881">
      <w:pPr>
        <w:pStyle w:val="style0"/>
        <w:rPr/>
      </w:pPr>
      <w:r>
        <w:t>Tang, W. and Wei, M. (2023). Streaming media business strategies and audience-</w:t>
      </w:r>
      <w:r>
        <w:t>centered</w:t>
      </w:r>
      <w:r>
        <w:t xml:space="preserve"> practices: A comparative study of Netflix and </w:t>
      </w:r>
      <w:r>
        <w:t>tencent</w:t>
      </w:r>
      <w:r>
        <w:t xml:space="preserve"> video. </w:t>
      </w:r>
      <w:r>
        <w:rPr>
          <w:i/>
          <w:iCs/>
        </w:rPr>
        <w:t>Online Media and Global Communication</w:t>
      </w:r>
      <w:r>
        <w:t>, 2(1), pp.3–24. doi:10.1515/omgc-2022-0061.</w:t>
      </w:r>
    </w:p>
    <w:p w14:paraId="7BA08F33">
      <w:pPr>
        <w:pStyle w:val="style0"/>
        <w:rPr/>
      </w:pPr>
      <w:r>
        <w:t xml:space="preserve">Technavio (2026). </w:t>
      </w:r>
      <w:r>
        <w:rPr>
          <w:i/>
          <w:iCs/>
        </w:rPr>
        <w:t>Video streaming market in China 2023-2027</w:t>
      </w:r>
      <w:r>
        <w:t xml:space="preserve">. [online] </w:t>
      </w:r>
      <w:r>
        <w:rPr>
          <w:i/>
          <w:iCs/>
        </w:rPr>
        <w:t>www.technavio.com</w:t>
      </w:r>
      <w:r>
        <w:t>. Available at: https://www.technavio.com/report/china-video-streaming-market-analysis [Accessed 8 Aug. 2026].</w:t>
      </w:r>
    </w:p>
    <w:p w14:paraId="59A29EC6">
      <w:pPr>
        <w:pStyle w:val="style0"/>
        <w:rPr/>
      </w:pPr>
      <w:r>
        <w:t xml:space="preserve">Tyagi, H. (2025). </w:t>
      </w:r>
      <w:r>
        <w:rPr>
          <w:i/>
          <w:iCs/>
        </w:rPr>
        <w:t>Netflix earnings report: Revenue hits record $11.8 bn</w:t>
      </w:r>
      <w:r>
        <w:t xml:space="preserve">. [online] </w:t>
      </w:r>
      <w:r>
        <w:rPr>
          <w:i/>
          <w:iCs/>
        </w:rPr>
        <w:t>INDmoney</w:t>
      </w:r>
      <w:r>
        <w:t>. Available at: https://www.indmoney.com/blog/us-stocks/netflix-earnings-report [Accessed 20 July. 2026].</w:t>
      </w:r>
    </w:p>
    <w:p w14:paraId="4EB1E686">
      <w:pPr>
        <w:pStyle w:val="style0"/>
        <w:rPr/>
      </w:pPr>
      <w:r>
        <w:t xml:space="preserve">Wang, Y. and Weng, X. (2022). Analysis on how “globalization” </w:t>
      </w:r>
      <w:r>
        <w:t>affect</w:t>
      </w:r>
      <w:r>
        <w:t xml:space="preserve"> Netflix to cultural diffusion. </w:t>
      </w:r>
      <w:r>
        <w:rPr>
          <w:i/>
          <w:iCs/>
        </w:rPr>
        <w:t>Advances in Social Science, Education and Humanities Research</w:t>
      </w:r>
      <w:r>
        <w:t>, [online] 664. doi:10.2991/assehr.k.220504.376.</w:t>
      </w:r>
    </w:p>
    <w:p w14:paraId="19E57F4B">
      <w:pPr>
        <w:pStyle w:val="style0"/>
        <w:rPr/>
      </w:pPr>
      <w:r>
        <w:t xml:space="preserve">Wilson, S. (2026). </w:t>
      </w:r>
      <w:r>
        <w:rPr>
          <w:i/>
          <w:iCs/>
        </w:rPr>
        <w:t>Netflix Subscribers 2026: Global Users, Demographics &amp; More</w:t>
      </w:r>
      <w:r>
        <w:t xml:space="preserve">. [online] </w:t>
      </w:r>
      <w:r>
        <w:rPr>
          <w:i/>
          <w:iCs/>
        </w:rPr>
        <w:t>Resourcera.com</w:t>
      </w:r>
      <w:r>
        <w:t>. Available at: https://resourcera.com/data/ott/netflix-subscribers/ [Accessed 24 July. 2026].</w:t>
      </w:r>
    </w:p>
    <w:p w14:paraId="14512735">
      <w:pPr>
        <w:pStyle w:val="style0"/>
        <w:rPr/>
      </w:pPr>
      <w:r>
        <w:t xml:space="preserve">Yuan, C. (2023). A case study of Netflix’s marketing strategy. </w:t>
      </w:r>
      <w:r>
        <w:rPr>
          <w:i/>
          <w:iCs/>
        </w:rPr>
        <w:t>BCP Business &amp; Management</w:t>
      </w:r>
      <w:r>
        <w:t>, [online] 42, pp.185–190. doi:10.54691/</w:t>
      </w:r>
      <w:r>
        <w:t>bcpbm.v</w:t>
      </w:r>
      <w:r>
        <w:t>42i.4580.</w:t>
      </w:r>
    </w:p>
    <w:p w14:paraId="0859D042">
      <w:pPr>
        <w:pStyle w:val="style0"/>
        <w:rPr/>
      </w:pPr>
      <w:r>
        <w:t>Zámborský</w:t>
      </w:r>
      <w:r>
        <w:t xml:space="preserve">, P., Yan, Z., </w:t>
      </w:r>
      <w:r>
        <w:t>Michailova</w:t>
      </w:r>
      <w:r>
        <w:t>, S. and Zhuang, V. (2023). Chinese multinationals’ internationalization strategies: N&lt;</w:t>
      </w:r>
      <w:r>
        <w:t>scp</w:t>
      </w:r>
      <w:r>
        <w:t>&gt;EW&lt;/</w:t>
      </w:r>
      <w:r>
        <w:t>scp</w:t>
      </w:r>
      <w:r>
        <w:t>&gt; R&lt;</w:t>
      </w:r>
      <w:r>
        <w:t>scp</w:t>
      </w:r>
      <w:r>
        <w:t>&gt;EALITIES&lt;/</w:t>
      </w:r>
      <w:r>
        <w:t>scp</w:t>
      </w:r>
      <w:r>
        <w:t>&gt;, n&lt;</w:t>
      </w:r>
      <w:r>
        <w:t>scp</w:t>
      </w:r>
      <w:r>
        <w:t>&gt;EW&lt;/</w:t>
      </w:r>
      <w:r>
        <w:t>scp</w:t>
      </w:r>
      <w:r>
        <w:t>&gt; P&lt;</w:t>
      </w:r>
      <w:r>
        <w:t>scp</w:t>
      </w:r>
      <w:r>
        <w:t>&gt;ATHWAYS&lt;/</w:t>
      </w:r>
      <w:r>
        <w:t>scp</w:t>
      </w:r>
      <w:r>
        <w:t xml:space="preserve">&gt;. </w:t>
      </w:r>
      <w:r>
        <w:rPr>
          <w:i/>
          <w:iCs/>
        </w:rPr>
        <w:t>California Management Review</w:t>
      </w:r>
      <w:r>
        <w:t>, 66(1). doi:10.1177/00081256231193467.</w:t>
      </w:r>
    </w:p>
    <w:p w14:paraId="789729B2">
      <w:pPr>
        <w:pStyle w:val="style0"/>
        <w:rPr/>
      </w:pPr>
      <w:r>
        <w:t xml:space="preserve">Zhou, D. (2026). </w:t>
      </w:r>
      <w:r>
        <w:rPr>
          <w:i/>
          <w:iCs/>
        </w:rPr>
        <w:t>China’s negative list for foreign investment — 2026 Update</w:t>
      </w:r>
      <w:r>
        <w:t>. [online] MSA Asia. Available at: https://msadvisory.com/china-negative-list-explainer-foreign-investment/ [Accessed 1 Aug. 2026].</w:t>
      </w:r>
    </w:p>
    <w:p w14:paraId="05A2EA97">
      <w:pPr>
        <w:pStyle w:val="style0"/>
        <w:rPr/>
      </w:pPr>
    </w:p>
    <w:p w14:paraId="6A550632">
      <w:pPr>
        <w:pStyle w:val="style0"/>
        <w:rPr/>
      </w:pPr>
    </w:p>
    <w:sectPr>
      <w:footerReference w:type="default" r:id="rId1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altName w:val="Wingdings"/>
    <w:panose1 w:val="05000000000000000000"/>
    <w:charset w:val="02"/>
    <w:family w:val="auto"/>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Symbol">
    <w:altName w:val="Symbol"/>
    <w:panose1 w:val="05050102010007020507"/>
    <w:charset w:val="02"/>
    <w:family w:val="roman"/>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00E93563">
    <w:pPr>
      <w:pStyle w:val="style32"/>
      <w:pBdr>
        <w:top w:val="single" w:sz="4" w:space="1" w:color="d9d9d9"/>
      </w:pBdr>
      <w:jc w:val="right"/>
      <w:rPr/>
    </w:pPr>
    <w:r>
      <w:rPr/>
      <w:fldChar w:fldCharType="begin"/>
    </w:r>
    <w:r>
      <w:instrText xml:space="preserve"> PAGE   \* MERGEFORMAT </w:instrText>
    </w:r>
    <w:r>
      <w:rPr/>
      <w:fldChar w:fldCharType="separate"/>
    </w:r>
    <w:r>
      <w:rPr>
        <w:noProof/>
      </w:rPr>
      <w:t>2</w:t>
    </w:r>
    <w:r>
      <w:rPr>
        <w:noProof/>
      </w:rPr>
      <w:fldChar w:fldCharType="end"/>
    </w:r>
    <w:r>
      <w:t xml:space="preserve"> | </w:t>
    </w:r>
    <w:r>
      <w:rPr>
        <w:color w:val="7f7f7f"/>
        <w:spacing w:val="60"/>
      </w:rPr>
      <w:t>Page</w:t>
    </w:r>
  </w:p>
  <w:p w14:paraId="52D4E6D3">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CBB8F962"/>
    <w:lvl w:ilvl="0" w:tplc="4C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0000001"/>
    <w:multiLevelType w:val="hybridMultilevel"/>
    <w:tmpl w:val="6560A714"/>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removePersonalInformation/>
  <w:removeDateAndTime/>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GB" w:bidi="ar-SA"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Arial" w:hAnsi="Arial"/>
      <w:sz w:val="24"/>
    </w:rPr>
  </w:style>
  <w:style w:type="paragraph" w:styleId="style1">
    <w:name w:val="heading 1"/>
    <w:basedOn w:val="style0"/>
    <w:next w:val="style0"/>
    <w:link w:val="style4098"/>
    <w:qFormat/>
    <w:uiPriority w:val="9"/>
    <w:pPr>
      <w:keepNext/>
      <w:keepLines/>
      <w:spacing w:before="240" w:after="0"/>
      <w:outlineLvl w:val="0"/>
    </w:pPr>
    <w:rPr>
      <w:rFonts w:cs="宋体" w:eastAsia="宋体"/>
      <w:color w:val="2f5496"/>
      <w:sz w:val="32"/>
      <w:szCs w:val="32"/>
    </w:rPr>
  </w:style>
  <w:style w:type="paragraph" w:styleId="style2">
    <w:name w:val="heading 2"/>
    <w:basedOn w:val="style0"/>
    <w:next w:val="style0"/>
    <w:link w:val="style4097"/>
    <w:qFormat/>
    <w:uiPriority w:val="9"/>
    <w:pPr>
      <w:keepNext/>
      <w:keepLines/>
      <w:spacing w:before="40" w:after="0"/>
      <w:outlineLvl w:val="1"/>
    </w:pPr>
    <w:rPr>
      <w:rFonts w:cs="宋体" w:eastAsia="宋体"/>
      <w:color w:val="2f5496"/>
      <w:sz w:val="28"/>
      <w:szCs w:val="26"/>
    </w:rPr>
  </w:style>
  <w:style w:type="paragraph" w:styleId="style3">
    <w:name w:val="heading 3"/>
    <w:basedOn w:val="style0"/>
    <w:next w:val="style0"/>
    <w:link w:val="style4100"/>
    <w:qFormat/>
    <w:uiPriority w:val="9"/>
    <w:pPr>
      <w:keepNext/>
      <w:keepLines/>
      <w:spacing w:before="40" w:after="0"/>
      <w:outlineLvl w:val="2"/>
    </w:pPr>
    <w:rPr>
      <w:rFonts w:cs="宋体" w:eastAsia="宋体"/>
      <w:color w:val="1f3763"/>
      <w:sz w:val="26"/>
      <w:szCs w:val="24"/>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2 Char_fe44149b-1330-4f82-bb6f-d6e30c1454c1"/>
    <w:basedOn w:val="style65"/>
    <w:next w:val="style4097"/>
    <w:link w:val="style2"/>
    <w:uiPriority w:val="9"/>
    <w:rPr>
      <w:rFonts w:ascii="Arial" w:cs="宋体" w:eastAsia="宋体" w:hAnsi="Arial"/>
      <w:color w:val="2f5496"/>
      <w:sz w:val="28"/>
      <w:szCs w:val="26"/>
    </w:rPr>
  </w:style>
  <w:style w:type="character" w:customStyle="1" w:styleId="style4098">
    <w:name w:val="Heading 1 Char_152074be-fc8d-4f9c-be4f-56e94048908e"/>
    <w:basedOn w:val="style65"/>
    <w:next w:val="style4098"/>
    <w:link w:val="style1"/>
    <w:uiPriority w:val="9"/>
    <w:rPr>
      <w:rFonts w:ascii="Arial" w:cs="宋体" w:eastAsia="宋体" w:hAnsi="Arial"/>
      <w:color w:val="2f5496"/>
      <w:sz w:val="32"/>
      <w:szCs w:val="32"/>
    </w:rPr>
  </w:style>
  <w:style w:type="table" w:customStyle="1" w:styleId="style4099">
    <w:name w:val="Grid Table 2 Accent 3"/>
    <w:basedOn w:val="style105"/>
    <w:next w:val="style4099"/>
    <w:uiPriority w:val="47"/>
    <w:pPr>
      <w:spacing w:after="0" w:lineRule="auto" w:line="240"/>
    </w:pPr>
    <w:rPr/>
    <w:tblPr>
      <w:tblStyleRowBandSize w:val="1"/>
      <w:tblStyleColBandSize w:val="1"/>
      <w:tblBorders>
        <w:top w:val="single" w:sz="2" w:space="0" w:color="c9c9c9"/>
        <w:bottom w:val="single" w:sz="2" w:space="0" w:color="c9c9c9"/>
        <w:insideH w:val="single" w:sz="2" w:space="0" w:color="c9c9c9"/>
        <w:insideV w:val="single" w:sz="2" w:space="0" w:color="c9c9c9"/>
      </w:tblBorders>
    </w:tblPr>
    <w:tblStylePr w:type="firstRow">
      <w:pPr/>
      <w:rPr>
        <w:b/>
        <w:bCs/>
      </w:rPr>
      <w:tblPr/>
      <w:tcPr>
        <w:tcBorders>
          <w:top w:val="nil"/>
          <w:bottom w:val="single" w:sz="12" w:space="0" w:color="c9c9c9"/>
          <w:insideH w:val="nil"/>
          <w:insideV w:val="nil"/>
        </w:tcBorders>
        <w:shd w:val="clear" w:color="auto" w:fill="ffffff"/>
      </w:tcPr>
    </w:tblStylePr>
    <w:tblStylePr w:type="lastRow">
      <w:pPr/>
      <w:rPr>
        <w:b/>
        <w:bCs/>
      </w:rPr>
      <w:tblPr/>
      <w:tcPr>
        <w:tcBorders>
          <w:top w:val="double" w:sz="2" w:space="0" w:color="c9c9c9"/>
          <w:bottom w:val="nil"/>
          <w:insideH w:val="nil"/>
          <w:insideV w:val="nil"/>
        </w:tcBorders>
        <w:shd w:val="clear" w:color="auto" w:fill="ffffff"/>
      </w:tcPr>
    </w:tblStylePr>
    <w:tblStylePr w:type="band1Horz">
      <w:pPr/>
      <w:tblPr/>
      <w:tcPr>
        <w:tcBorders/>
        <w:shd w:val="clear" w:color="auto" w:fill="ededed"/>
      </w:tcPr>
    </w:tblStylePr>
    <w:tblStylePr w:type="firstCol">
      <w:pPr/>
      <w:rPr>
        <w:b/>
        <w:bCs/>
      </w:rPr>
      <w:tcPr>
        <w:tcBorders/>
      </w:tcPr>
    </w:tblStylePr>
    <w:tblStylePr w:type="lastCol">
      <w:pPr/>
      <w:rPr>
        <w:b/>
        <w:bCs/>
      </w:rPr>
      <w:tcPr>
        <w:tcBorders/>
      </w:tcPr>
    </w:tblStylePr>
    <w:tblStylePr w:type="band1Vert">
      <w:pPr/>
      <w:tblPr/>
      <w:tcPr>
        <w:tcBorders/>
        <w:shd w:val="clear" w:color="auto" w:fill="ededed"/>
      </w:tcPr>
    </w:tblStylePr>
    <w:tcPr>
      <w:tcBorders/>
    </w:tcPr>
  </w:style>
  <w:style w:type="character" w:customStyle="1" w:styleId="style4100">
    <w:name w:val="Heading 3 Char_cf6a14d6-06cb-472c-b09e-42767a2c4e5f"/>
    <w:basedOn w:val="style65"/>
    <w:next w:val="style4100"/>
    <w:link w:val="style3"/>
    <w:uiPriority w:val="9"/>
    <w:rPr>
      <w:rFonts w:ascii="Arial" w:cs="宋体" w:eastAsia="宋体" w:hAnsi="Arial"/>
      <w:color w:val="1f3763"/>
      <w:sz w:val="26"/>
      <w:szCs w:val="24"/>
    </w:rPr>
  </w:style>
  <w:style w:type="paragraph" w:styleId="style179">
    <w:name w:val="List Paragraph"/>
    <w:basedOn w:val="style0"/>
    <w:next w:val="style179"/>
    <w:qFormat/>
    <w:uiPriority w:val="34"/>
    <w:pPr>
      <w:ind w:left="720"/>
      <w:contextualSpacing/>
    </w:pPr>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table" w:customStyle="1" w:styleId="style4101">
    <w:name w:val="Plain Table 1"/>
    <w:basedOn w:val="style105"/>
    <w:next w:val="style4101"/>
    <w:uiPriority w:val="41"/>
    <w:pPr>
      <w:spacing w:after="0" w:lineRule="auto" w:line="240"/>
    </w:pPr>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pPr/>
      <w:rPr>
        <w:b/>
        <w:bCs/>
      </w:rPr>
      <w:tcPr>
        <w:tcBorders/>
      </w:tcPr>
    </w:tblStylePr>
    <w:tblStylePr w:type="lastRow">
      <w:pPr/>
      <w:rPr>
        <w:b/>
        <w:bCs/>
      </w:rPr>
      <w:tblPr/>
      <w:tcPr>
        <w:tcBorders>
          <w:top w:val="double" w:sz="4" w:space="0" w:color="bfbfbf"/>
        </w:tcBorders>
      </w:tcPr>
    </w:tblStylePr>
    <w:tblStylePr w:type="band1Horz">
      <w:pPr/>
      <w:tblPr/>
      <w:tcPr>
        <w:tcBorders/>
        <w:shd w:val="clear" w:color="auto" w:fill="f2f2f2"/>
      </w:tcPr>
    </w:tblStylePr>
    <w:tblStylePr w:type="firstCol">
      <w:pPr/>
      <w:rPr>
        <w:b/>
        <w:bCs/>
      </w:rPr>
      <w:tcPr>
        <w:tcBorders/>
      </w:tcPr>
    </w:tblStylePr>
    <w:tblStylePr w:type="lastCol">
      <w:pPr/>
      <w:rPr>
        <w:b/>
        <w:bCs/>
      </w:rPr>
      <w:tcPr>
        <w:tcBorders/>
      </w:tcPr>
    </w:tblStylePr>
    <w:tblStylePr w:type="band1Vert">
      <w:pPr/>
      <w:tblPr/>
      <w:tcPr>
        <w:tcBorders/>
        <w:shd w:val="clear" w:color="auto" w:fill="f2f2f2"/>
      </w:tcPr>
    </w:tblStylePr>
    <w:tcPr>
      <w:tcBorders/>
    </w:tcPr>
  </w:style>
  <w:style w:type="paragraph" w:styleId="style266">
    <w:name w:val="TOC Heading"/>
    <w:basedOn w:val="style1"/>
    <w:next w:val="style0"/>
    <w:qFormat/>
    <w:uiPriority w:val="39"/>
    <w:pPr>
      <w:spacing w:lineRule="auto" w:line="259"/>
      <w:jc w:val="left"/>
      <w:outlineLvl w:val="9"/>
    </w:pPr>
    <w:rPr>
      <w:rFonts w:ascii="Calibri Light" w:hAnsi="Calibri Light"/>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character" w:styleId="style85">
    <w:name w:val="Hyperlink"/>
    <w:basedOn w:val="style65"/>
    <w:next w:val="style85"/>
    <w:uiPriority w:val="99"/>
    <w:rPr>
      <w:color w:val="0563c1"/>
      <w:u w:val="single"/>
    </w:rPr>
  </w:style>
  <w:style w:type="table" w:customStyle="1" w:styleId="style4102">
    <w:name w:val="Grid Table 2 Accent 2"/>
    <w:basedOn w:val="style105"/>
    <w:next w:val="style4102"/>
    <w:uiPriority w:val="47"/>
    <w:pPr>
      <w:spacing w:after="0" w:lineRule="auto" w:line="240"/>
    </w:pPr>
    <w:rPr/>
    <w:tblPr>
      <w:tblStyleRowBandSize w:val="1"/>
      <w:tblStyleColBandSize w:val="1"/>
      <w:tblBorders>
        <w:top w:val="single" w:sz="2" w:space="0" w:color="f4b083"/>
        <w:bottom w:val="single" w:sz="2" w:space="0" w:color="f4b083"/>
        <w:insideH w:val="single" w:sz="2" w:space="0" w:color="f4b083"/>
        <w:insideV w:val="single" w:sz="2" w:space="0" w:color="f4b083"/>
      </w:tblBorders>
    </w:tblPr>
    <w:tblStylePr w:type="firstRow">
      <w:pPr/>
      <w:rPr>
        <w:b/>
        <w:bCs/>
      </w:rPr>
      <w:tblPr/>
      <w:tcPr>
        <w:tcBorders>
          <w:top w:val="nil"/>
          <w:bottom w:val="single" w:sz="12" w:space="0" w:color="f4b083"/>
          <w:insideH w:val="nil"/>
          <w:insideV w:val="nil"/>
        </w:tcBorders>
        <w:shd w:val="clear" w:color="auto" w:fill="ffffff"/>
      </w:tcPr>
    </w:tblStylePr>
    <w:tblStylePr w:type="lastRow">
      <w:pPr/>
      <w:rPr>
        <w:b/>
        <w:bCs/>
      </w:rPr>
      <w:tblPr/>
      <w:tcPr>
        <w:tcBorders>
          <w:top w:val="double" w:sz="2" w:space="0" w:color="f4b083"/>
          <w:bottom w:val="nil"/>
          <w:insideH w:val="nil"/>
          <w:insideV w:val="nil"/>
        </w:tcBorders>
        <w:shd w:val="clear" w:color="auto" w:fill="ffffff"/>
      </w:tcPr>
    </w:tblStylePr>
    <w:tblStylePr w:type="band1Horz">
      <w:pPr/>
      <w:tblPr/>
      <w:tcPr>
        <w:tcBorders/>
        <w:shd w:val="clear" w:color="auto" w:fill="fbe4d5"/>
      </w:tcPr>
    </w:tblStylePr>
    <w:tblStylePr w:type="firstCol">
      <w:pPr/>
      <w:rPr>
        <w:b/>
        <w:bCs/>
      </w:rPr>
      <w:tcPr>
        <w:tcBorders/>
      </w:tcPr>
    </w:tblStylePr>
    <w:tblStylePr w:type="lastCol">
      <w:pPr/>
      <w:rPr>
        <w:b/>
        <w:bCs/>
      </w:rPr>
      <w:tcPr>
        <w:tcBorders/>
      </w:tcPr>
    </w:tblStylePr>
    <w:tblStylePr w:type="band1Vert">
      <w:pPr/>
      <w:tblPr/>
      <w:tcPr>
        <w:tcBorders/>
        <w:shd w:val="clear" w:color="auto" w:fill="fbe4d5"/>
      </w:tcPr>
    </w:tblStylePr>
    <w:tcPr>
      <w:tcBorders/>
    </w:tcPr>
  </w:style>
  <w:style w:type="paragraph" w:styleId="style31">
    <w:name w:val="header"/>
    <w:basedOn w:val="style0"/>
    <w:next w:val="style31"/>
    <w:link w:val="style4103"/>
    <w:uiPriority w:val="99"/>
    <w:pPr>
      <w:tabs>
        <w:tab w:val="center" w:leader="none" w:pos="4513"/>
        <w:tab w:val="right" w:leader="none" w:pos="9026"/>
      </w:tabs>
      <w:spacing w:after="0" w:lineRule="auto" w:line="240"/>
    </w:pPr>
    <w:rPr/>
  </w:style>
  <w:style w:type="character" w:customStyle="1" w:styleId="style4103">
    <w:name w:val="Header Char_024d6ebd-078e-4cac-924e-19b0ccdc3ac7"/>
    <w:basedOn w:val="style65"/>
    <w:next w:val="style4103"/>
    <w:link w:val="style31"/>
    <w:uiPriority w:val="99"/>
    <w:rPr>
      <w:rFonts w:ascii="Arial" w:hAnsi="Arial"/>
      <w:sz w:val="24"/>
    </w:rPr>
  </w:style>
  <w:style w:type="paragraph" w:styleId="style32">
    <w:name w:val="footer"/>
    <w:basedOn w:val="style0"/>
    <w:next w:val="style32"/>
    <w:link w:val="style4104"/>
    <w:uiPriority w:val="99"/>
    <w:pPr>
      <w:tabs>
        <w:tab w:val="center" w:leader="none" w:pos="4513"/>
        <w:tab w:val="right" w:leader="none" w:pos="9026"/>
      </w:tabs>
      <w:spacing w:after="0" w:lineRule="auto" w:line="240"/>
    </w:pPr>
    <w:rPr/>
  </w:style>
  <w:style w:type="character" w:customStyle="1" w:styleId="style4104">
    <w:name w:val="Footer Char_242aa621-601a-42a0-b39f-0d5a2ce73388"/>
    <w:basedOn w:val="style65"/>
    <w:next w:val="style4104"/>
    <w:link w:val="style32"/>
    <w:uiPriority w:val="99"/>
    <w:rPr>
      <w:rFonts w:ascii="Arial" w:hAnsi="Arial"/>
      <w:sz w:val="24"/>
    </w:rPr>
  </w:style>
  <w:style w:type="paragraph" w:styleId="style94">
    <w:name w:val="Normal (Web)"/>
    <w:basedOn w:val="style0"/>
    <w:next w:val="style94"/>
    <w:uiPriority w:val="99"/>
    <w:pPr>
      <w:spacing w:before="100" w:beforeAutospacing="true" w:after="100" w:afterAutospacing="true" w:lineRule="auto" w:line="240"/>
      <w:jc w:val="left"/>
    </w:pPr>
    <w:rPr>
      <w:rFonts w:ascii="Times New Roman" w:cs="Times New Roman" w:eastAsia="Times New Roman" w:hAnsi="Times New Roman"/>
      <w:szCs w:val="24"/>
      <w:lang w:eastAsia="en-GB"/>
    </w:rPr>
  </w:style>
</w:styles>
</file>

<file path=word/_rels/document.xml.rels><?xml version="1.0" encoding="UTF-8"?>
<Relationships xmlns="http://schemas.openxmlformats.org/package/2006/relationships"><Relationship Id="rId11" Type="http://schemas.openxmlformats.org/officeDocument/2006/relationships/styles" Target="styles.xml"/><Relationship Id="rId10" Type="http://schemas.openxmlformats.org/officeDocument/2006/relationships/footer" Target="footer1.xml"/><Relationship Id="rId13" Type="http://schemas.openxmlformats.org/officeDocument/2006/relationships/settings" Target="settings.xml"/><Relationship Id="rId12"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customXml" Target="../customXml/item1.xml"/><Relationship Id="rId14" Type="http://schemas.openxmlformats.org/officeDocument/2006/relationships/theme" Target="theme/theme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AC4AD7-0901-47BE-A7FA-DA3CD3146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6037</Words>
  <Pages>1</Pages>
  <Characters>39403</Characters>
  <Application>WPS Office</Application>
  <DocSecurity>0</DocSecurity>
  <Paragraphs>318</Paragraphs>
  <ScaleCrop>false</ScaleCrop>
  <LinksUpToDate>false</LinksUpToDate>
  <CharactersWithSpaces>45180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2026-08-09T06:23:00Z</dcterms:created>
  <dc:creator>WPS Office</dc:creator>
  <lastModifiedBy>CPH2579</lastModifiedBy>
  <dcterms:modified xsi:type="dcterms:W3CDTF">2026-08-09T09:55:48Z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b3be8748ca874997a506ef2b8e0d1eef_23</vt:lpwstr>
  </property>
</Properties>
</file>