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CE5C97" w:rsidRDefault="006661B8" w:rsidP="006661B8">
      <w:pPr>
        <w:jc w:val="center"/>
        <w:rPr>
          <w:u w:val="single"/>
        </w:rPr>
      </w:pPr>
      <w:r w:rsidRPr="006661B8">
        <w:rPr>
          <w:u w:val="single"/>
        </w:rPr>
        <w:t xml:space="preserve">WORKBOOK 1 </w:t>
      </w:r>
    </w:p>
    <w:p w:rsidR="006661B8" w:rsidRDefault="006661B8" w:rsidP="006661B8">
      <w:pPr>
        <w:rPr>
          <w:u w:val="single"/>
        </w:rPr>
      </w:pPr>
      <w:r>
        <w:rPr>
          <w:u w:val="single"/>
        </w:rPr>
        <w:t xml:space="preserve">QUESTION 1 </w:t>
      </w:r>
    </w:p>
    <w:p w:rsidR="006661B8" w:rsidRDefault="006661B8" w:rsidP="006661B8">
      <w:r w:rsidRPr="006661B8">
        <w:t>Focussing upon the last 12 months of your career, critically evaluate your own performance using principles of reflection (e.g., skills development, academic ach</w:t>
      </w:r>
      <w:r w:rsidRPr="006661B8">
        <w:t xml:space="preserve">ievements, CPD and training).  </w:t>
      </w:r>
      <w:r w:rsidRPr="006661B8">
        <w:t xml:space="preserve">Analyse the importance of continuous personal and professional development in achieving organisation objectives and the use of reflective practice in personal and professional development.  </w:t>
      </w:r>
    </w:p>
    <w:p w:rsidR="006661B8" w:rsidRDefault="006661B8" w:rsidP="006661B8">
      <w:r>
        <w:t xml:space="preserve"> </w:t>
      </w:r>
    </w:p>
    <w:p w:rsidR="006661B8" w:rsidRPr="00F10120" w:rsidRDefault="006661B8" w:rsidP="006661B8">
      <w:pPr>
        <w:rPr>
          <w:rFonts w:ascii="Times New Roman" w:hAnsi="Times New Roman" w:cs="Times New Roman"/>
        </w:rPr>
      </w:pPr>
      <w:r w:rsidRPr="00F10120">
        <w:rPr>
          <w:rFonts w:ascii="Times New Roman" w:hAnsi="Times New Roman" w:cs="Times New Roman"/>
        </w:rPr>
        <w:t>I have an interest in suspect interviewing and have had the chance to improve and develop my expertise over the previous year by undertaking the Tier 3 Suspect interview course. Reflecting on my previous interviews, I realised I was often unprepared, hurriedly putting together interview plans owing to a lack of time, expertise, and organisational abilities. Moon (1999) defined reflection as "the process of learning from experience." Reflection is thinking back to what we already know in order to f</w:t>
      </w:r>
      <w:r w:rsidRPr="00F10120">
        <w:rPr>
          <w:rFonts w:ascii="Times New Roman" w:hAnsi="Times New Roman" w:cs="Times New Roman"/>
        </w:rPr>
        <w:t xml:space="preserve">ully understand something new. </w:t>
      </w:r>
    </w:p>
    <w:p w:rsidR="006661B8" w:rsidRPr="00F10120" w:rsidRDefault="006661B8" w:rsidP="006661B8">
      <w:pPr>
        <w:rPr>
          <w:rFonts w:ascii="Times New Roman" w:hAnsi="Times New Roman" w:cs="Times New Roman"/>
        </w:rPr>
      </w:pPr>
      <w:r w:rsidRPr="00F10120">
        <w:rPr>
          <w:rFonts w:ascii="Times New Roman" w:hAnsi="Times New Roman" w:cs="Times New Roman"/>
        </w:rPr>
        <w:t>Using Driscolls’ (2007) reflective model of a 3-question approach I have learnt from those experiences and developed my skills and confidence. In the first phase of the model, the 'What' question is posed. I attended the course thinking I was an experienced interviewer wh</w:t>
      </w:r>
      <w:r w:rsidRPr="00F10120">
        <w:rPr>
          <w:rFonts w:ascii="Times New Roman" w:hAnsi="Times New Roman" w:cs="Times New Roman"/>
        </w:rPr>
        <w:t xml:space="preserve">o would find the course easy.  </w:t>
      </w:r>
    </w:p>
    <w:p w:rsidR="006661B8" w:rsidRPr="00F10120" w:rsidRDefault="006661B8" w:rsidP="006661B8">
      <w:pPr>
        <w:rPr>
          <w:rFonts w:ascii="Times New Roman" w:hAnsi="Times New Roman" w:cs="Times New Roman"/>
        </w:rPr>
      </w:pPr>
      <w:r w:rsidRPr="00F10120">
        <w:rPr>
          <w:rFonts w:ascii="Times New Roman" w:hAnsi="Times New Roman" w:cs="Times New Roman"/>
        </w:rPr>
        <w:t>Driscoll's 2007 model's 'So What' stage required me to reflect on the experience and analyse what I had learnt as a result. I role-played an interview with a suspect at the start of the training. I had not prepared for the interview, and despite my confidence in my abilities, the 'suspect' gained control of the conversation and led me away from the alleged offence. I was disappointed that the assessment interview had not gone well, but I could see how my lack of preparation had contributed to this. Griffiths (2008) discovered flaws in interviewing skills in his research of police interviews, which he att</w:t>
      </w:r>
      <w:r w:rsidRPr="00F10120">
        <w:rPr>
          <w:rFonts w:ascii="Times New Roman" w:hAnsi="Times New Roman" w:cs="Times New Roman"/>
        </w:rPr>
        <w:t xml:space="preserve">ributed to a lack of planning. </w:t>
      </w:r>
    </w:p>
    <w:p w:rsidR="006661B8" w:rsidRPr="00F10120" w:rsidRDefault="006661B8" w:rsidP="006661B8">
      <w:pPr>
        <w:rPr>
          <w:rFonts w:ascii="Times New Roman" w:hAnsi="Times New Roman" w:cs="Times New Roman"/>
        </w:rPr>
      </w:pPr>
      <w:r w:rsidRPr="00F10120">
        <w:rPr>
          <w:rFonts w:ascii="Times New Roman" w:hAnsi="Times New Roman" w:cs="Times New Roman"/>
        </w:rPr>
        <w:t>I was able to reflect on my interviewing abilities and analyse what I could do better in the third step of Driscoll's stage of reflection. According to Walsh &amp; Milne's (2007) research, investigators do not see themselves as lacking in interviewing abilities. According to their findings, officers often fail to recognise their own shortcomings in interviewing abilities, limiting any additional opportunities for immediate improvement. On reflection, I believe that my inability to acknowledge my own limitations was a contributing factor. Until it was pointed out to me, I was unaware of a gap in my interviewing skills and knowledge. Officers are taught the importance of evaluating information obtained during the interview in relation to other sources and how they should assess their performance as reflective practitioners aft</w:t>
      </w:r>
      <w:r w:rsidRPr="00F10120">
        <w:rPr>
          <w:rFonts w:ascii="Times New Roman" w:hAnsi="Times New Roman" w:cs="Times New Roman"/>
        </w:rPr>
        <w:t xml:space="preserve">er the interview (Schon 1983). </w:t>
      </w:r>
    </w:p>
    <w:p w:rsidR="006661B8" w:rsidRPr="00F10120" w:rsidRDefault="006661B8" w:rsidP="006661B8">
      <w:pPr>
        <w:rPr>
          <w:rFonts w:ascii="Times New Roman" w:hAnsi="Times New Roman" w:cs="Times New Roman"/>
        </w:rPr>
      </w:pPr>
      <w:r w:rsidRPr="00F10120">
        <w:rPr>
          <w:rFonts w:ascii="Times New Roman" w:hAnsi="Times New Roman" w:cs="Times New Roman"/>
        </w:rPr>
        <w:t xml:space="preserve">I felt overwhelmed and believed that changing my habits would be difficult. People are less likely to try to change if they do not believe they can, even if the change is desirable or advantageous, according to research (Chambliss and Murray, 1979). My apprehension about change arose from the fact that my skills had developed through time. Changing my routine would be difficult, it would mean challenging assumptions and unlearning certain practices and patterns of behaviour to develop new learning. Reflecting allowed me to make sense of what I had learnt and to see it from an unfamiliar viewpoint. It encouraged me to develop new ways of conducting interviews which although were difficult at first, if developed well would be extremely advantageous in the future. </w:t>
      </w:r>
    </w:p>
    <w:p w:rsidR="006661B8" w:rsidRPr="00F10120" w:rsidRDefault="006661B8" w:rsidP="006661B8">
      <w:pPr>
        <w:rPr>
          <w:rFonts w:ascii="Times New Roman" w:hAnsi="Times New Roman" w:cs="Times New Roman"/>
        </w:rPr>
      </w:pPr>
      <w:r w:rsidRPr="00F10120">
        <w:rPr>
          <w:rFonts w:ascii="Times New Roman" w:hAnsi="Times New Roman" w:cs="Times New Roman"/>
        </w:rPr>
        <w:t>Throughout the three-week course I was continually critiqued. I saw this as a good opportunity to improve my interviewing skills and I willingly accepted any feedback given. I practiced the principles</w:t>
      </w:r>
      <w:r w:rsidRPr="00F10120">
        <w:rPr>
          <w:rFonts w:ascii="Times New Roman" w:hAnsi="Times New Roman" w:cs="Times New Roman"/>
        </w:rPr>
        <w:t xml:space="preserve"> </w:t>
      </w:r>
      <w:r w:rsidRPr="00F10120">
        <w:rPr>
          <w:rFonts w:ascii="Times New Roman" w:hAnsi="Times New Roman" w:cs="Times New Roman"/>
        </w:rPr>
        <w:t xml:space="preserve">during the interviews. After each interview I was asked by the trainer how I thought the interview had gone, what went well and what I thought I could improve on next time. Each time I reflected on how I </w:t>
      </w:r>
      <w:r w:rsidRPr="00F10120">
        <w:rPr>
          <w:rFonts w:ascii="Times New Roman" w:hAnsi="Times New Roman" w:cs="Times New Roman"/>
        </w:rPr>
        <w:lastRenderedPageBreak/>
        <w:t xml:space="preserve">had performed in that interview. Studies indicate that practitioners perform significantly better on subsequent tasks when they reflect on what they learned from the task they completed (Di Stefano, Pisano and Staats 2015; Perusso, Blankesteij and Leal 2020) </w:t>
      </w:r>
    </w:p>
    <w:p w:rsidR="006661B8" w:rsidRPr="00F10120" w:rsidRDefault="006661B8" w:rsidP="006661B8">
      <w:pPr>
        <w:rPr>
          <w:rFonts w:ascii="Times New Roman" w:hAnsi="Times New Roman" w:cs="Times New Roman"/>
        </w:rPr>
      </w:pPr>
      <w:r w:rsidRPr="00F10120">
        <w:rPr>
          <w:rFonts w:ascii="Times New Roman" w:hAnsi="Times New Roman" w:cs="Times New Roman"/>
        </w:rPr>
        <w:t xml:space="preserve">Following the course, I had the opportunity to reflect on what I had learned and put my newly acquired skills and knowledge into practise. To help me reflect on workplace interviewing, I used the Gibbs Reflective Cycle (Gibbs 1998), which recognises that when learning is considered as a cycle, the importance of reflection becomes apparent. The first stage involves describing the situation. Over the years, I have interviewed a number of suspects for serious crimes. I have always felt less comfortable interviewing </w:t>
      </w:r>
      <w:r w:rsidRPr="00F10120">
        <w:rPr>
          <w:rFonts w:ascii="Times New Roman" w:hAnsi="Times New Roman" w:cs="Times New Roman"/>
        </w:rPr>
        <w:t xml:space="preserve">suspects who remained silent.  </w:t>
      </w:r>
    </w:p>
    <w:p w:rsidR="006661B8" w:rsidRPr="00F10120" w:rsidRDefault="006661B8" w:rsidP="006661B8">
      <w:pPr>
        <w:rPr>
          <w:rFonts w:ascii="Times New Roman" w:hAnsi="Times New Roman" w:cs="Times New Roman"/>
        </w:rPr>
      </w:pPr>
      <w:r w:rsidRPr="00F10120">
        <w:rPr>
          <w:rFonts w:ascii="Times New Roman" w:hAnsi="Times New Roman" w:cs="Times New Roman"/>
        </w:rPr>
        <w:t>The model's second stage involves understanding the emotions that were created by the situation. Learning, according to Illeris (2015), has emotional and social components. Knowledge can be easily assessed or measured through performance, but the emotional and social aspects are more difficult to understand and capture. During silent interviews, I am frequently anxious. I lacked the confidence to deal with these interviews effectively. This is corroborated by Yeschke's (1997) observation that a brief period of silence might feel endless to apprehensive intervie</w:t>
      </w:r>
      <w:r w:rsidRPr="00F10120">
        <w:rPr>
          <w:rFonts w:ascii="Times New Roman" w:hAnsi="Times New Roman" w:cs="Times New Roman"/>
        </w:rPr>
        <w:t xml:space="preserve">wers who lack self-confidence. </w:t>
      </w:r>
    </w:p>
    <w:p w:rsidR="006661B8" w:rsidRPr="00F10120" w:rsidRDefault="006661B8" w:rsidP="006661B8">
      <w:pPr>
        <w:rPr>
          <w:rFonts w:ascii="Times New Roman" w:hAnsi="Times New Roman" w:cs="Times New Roman"/>
        </w:rPr>
      </w:pPr>
      <w:r w:rsidRPr="00F10120">
        <w:rPr>
          <w:rFonts w:ascii="Times New Roman" w:hAnsi="Times New Roman" w:cs="Times New Roman"/>
        </w:rPr>
        <w:t>I used the model's evaluation stage to identify that a silent interview had a negative impact on my ability to ask questions. After each interview, I reflected and became frustrated that I had not asked all of the pertinent questions. I wanted to ensure that this issue was addressed. Silent interviews can cause interviewers pressure, stress, and anxiety, according to A/DI Dan McCarthy (2021), who conducted research on suspect interviews. According to his work, multiple studies had been carried out on the impact of oppressive silence by interviewers however little research has been done in relation to the silence of the interviewees. Without uttering a word, the interviewee can manipulate, control, and intimidate an unprepared interviewer, Shepherd (1993). McCarthy goes on to explain that 'silent treatment' is a type of ostracism in which a lack of communication is used to express disapproval and punishment. Silence has an influence on people because it produces a sense of vulnerability. McCarthy’s study suggests the interviewer may experience situational stress from the silence and that factors such as silence, anxiety and stress can cause even the most skilled individuals to lose their abili</w:t>
      </w:r>
      <w:r w:rsidRPr="00F10120">
        <w:rPr>
          <w:rFonts w:ascii="Times New Roman" w:hAnsi="Times New Roman" w:cs="Times New Roman"/>
        </w:rPr>
        <w:t xml:space="preserve">ty to perform basic functions. </w:t>
      </w:r>
    </w:p>
    <w:p w:rsidR="006661B8" w:rsidRPr="00F10120" w:rsidRDefault="006661B8" w:rsidP="006661B8">
      <w:pPr>
        <w:rPr>
          <w:rFonts w:ascii="Times New Roman" w:hAnsi="Times New Roman" w:cs="Times New Roman"/>
        </w:rPr>
      </w:pPr>
      <w:r w:rsidRPr="00F10120">
        <w:rPr>
          <w:rFonts w:ascii="Times New Roman" w:hAnsi="Times New Roman" w:cs="Times New Roman"/>
        </w:rPr>
        <w:t xml:space="preserve">Using the analysis stage of Gibbs`s model I have examined my performance in subsequent interviews whereby the person interviewed remained silent. I reflected on the techniques I had been taught for dealing with silent interviews, and I applied them, always keeping in mind that stillness may cause unnecessary stress. I remained calm and stated that, while they had the right to remain silent, it was my obligation to question them. I explained why I would continue to ask questions based on my legal expertise and stated cases. I had not realised that the silence was increasing my anxiety. When a suspect remains silent, according to DI McCarthy's research, interviewers feel under pressure. By acknowledging that these types of interviews can cause anxiety and stress I have been able to employ techniques such as mindfulness and self-awareness which limits any stress they can cause. Previous experience of being in these interviews meant that I had pre-existing ideas about how to approach specific situations. I have since learnt to take a step away and understand that it is not the interview that causes stress, but the silence associated with it. </w:t>
      </w:r>
    </w:p>
    <w:p w:rsidR="006661B8" w:rsidRPr="00F10120" w:rsidRDefault="006661B8" w:rsidP="006661B8">
      <w:pPr>
        <w:rPr>
          <w:rFonts w:ascii="Times New Roman" w:hAnsi="Times New Roman" w:cs="Times New Roman"/>
        </w:rPr>
      </w:pPr>
      <w:r w:rsidRPr="00F10120">
        <w:rPr>
          <w:rFonts w:ascii="Times New Roman" w:hAnsi="Times New Roman" w:cs="Times New Roman"/>
        </w:rPr>
        <w:t>The fourth stage of Gibbs model is the conclusion. I was pleased with how I handled the situation, and our interaction was polite and professional. Later, I reflected on my encounter with the suspect. I had learnt a lot during the course, but the real learning occurred when I was able to put the learning into practice. I concluded that being mindful of how the situation could affect my stress levels enabled me to control my emotions. I was also conscious that these situations could arise in future and would</w:t>
      </w:r>
      <w:r w:rsidRPr="00F10120">
        <w:rPr>
          <w:rFonts w:ascii="Times New Roman" w:hAnsi="Times New Roman" w:cs="Times New Roman"/>
        </w:rPr>
        <w:t xml:space="preserve"> need to bear this in mind. </w:t>
      </w:r>
    </w:p>
    <w:p w:rsidR="006661B8" w:rsidRPr="00F10120" w:rsidRDefault="006661B8" w:rsidP="006661B8">
      <w:pPr>
        <w:rPr>
          <w:rFonts w:ascii="Times New Roman" w:hAnsi="Times New Roman" w:cs="Times New Roman"/>
        </w:rPr>
      </w:pPr>
      <w:r w:rsidRPr="00F10120">
        <w:rPr>
          <w:rFonts w:ascii="Times New Roman" w:hAnsi="Times New Roman" w:cs="Times New Roman"/>
        </w:rPr>
        <w:lastRenderedPageBreak/>
        <w:t>The final stage of Gibbs model relates to an action plan. Using the knowledge gained over the last year I have used critical reflection to analyse and assess my interviewing abilities. As a result of refining my reflective skills, my interview techniques have improved. I am able to gather the information I need more efficiently as I am better able to respond to challenges, manage emotions, gain self-awareness, and cope with stress. I will continue to build on my knowledge and experience in the future by asking that I am involved in more challenging interviews, even if they are out of my comfort zone. Research by Allan, Sniehotta and Johnson (2013) has demonstrated that implementing an action plan where the intended action has been specified in advance, can increase the likelihood of goal attainment. However, their research also found that despite there being benefits of action planning for meeting goals and behaviour change, action plans are not always effective. This could be put down to the variances in individual's planning abilities and their failure to ma</w:t>
      </w:r>
      <w:r w:rsidRPr="00F10120">
        <w:rPr>
          <w:rFonts w:ascii="Times New Roman" w:hAnsi="Times New Roman" w:cs="Times New Roman"/>
        </w:rPr>
        <w:t xml:space="preserve">intain the plans they create.  </w:t>
      </w:r>
    </w:p>
    <w:p w:rsidR="006661B8" w:rsidRPr="00F10120" w:rsidRDefault="006661B8" w:rsidP="006661B8">
      <w:pPr>
        <w:rPr>
          <w:rFonts w:ascii="Times New Roman" w:hAnsi="Times New Roman" w:cs="Times New Roman"/>
        </w:rPr>
      </w:pPr>
      <w:r w:rsidRPr="00F10120">
        <w:rPr>
          <w:rFonts w:ascii="Times New Roman" w:hAnsi="Times New Roman" w:cs="Times New Roman"/>
        </w:rPr>
        <w:t>This upskilling of my interview ability has formed part of my Continuing Professional Development (CPD). I have done this in several ways. I have made it one of my main personal objectives in my Personal Development Review requesting that I be utilised to conduct suspect interview over the coming year. I will continuously update my interview portfolio with work that I have conducted which will assist me in reflecting on interviews that have gone well and interview skills that I could improve on. I will ensure to keep up to date with any new policies and guidance. This, I believe will help me manage my own learning and development. It also assists me in achieving two of South Wales Police`s operational objectives of ensuring that personnel feel empowered to make positive changes in their working practises, achieving this through critical reflection. This ties into another operational goal, which focuses on knowledge and skills gaps when it comes to responding to and preven</w:t>
      </w:r>
      <w:r w:rsidRPr="00F10120">
        <w:rPr>
          <w:rFonts w:ascii="Times New Roman" w:hAnsi="Times New Roman" w:cs="Times New Roman"/>
        </w:rPr>
        <w:t xml:space="preserve">ting harm from serious crime.  </w:t>
      </w:r>
    </w:p>
    <w:p w:rsidR="006661B8" w:rsidRPr="00F10120" w:rsidRDefault="006661B8" w:rsidP="006661B8">
      <w:pPr>
        <w:rPr>
          <w:rFonts w:ascii="Times New Roman" w:hAnsi="Times New Roman" w:cs="Times New Roman"/>
        </w:rPr>
      </w:pPr>
      <w:r w:rsidRPr="00F10120">
        <w:rPr>
          <w:rFonts w:ascii="Times New Roman" w:hAnsi="Times New Roman" w:cs="Times New Roman"/>
        </w:rPr>
        <w:t>A huge importance is placed on CPD. It is a structured approach to training and development and is crucial for maintaining high standards, enhancing knowledge and skills, identifying objectives and to ensure individuals are up to date with current policies. It has been shown to improve productivity. It not only improves learning ability but encourages independent learning and demonstrates ambition and commitment to professional self-improvement. It can keep track of and document skills and helps identify ability gaps. CPD can take several forms. It can be professional and mandatory and set by the organisation, meeting basic needs. It can ensure competence and make certain that best practice and organisational CPD requirements are met. Mandatory learning objectives must be adhered to, and behaviour changes achieved. The potential of employees is maximised, which helps boost morale. CPD training and courses can serve as a benchmar</w:t>
      </w:r>
      <w:r w:rsidRPr="00F10120">
        <w:rPr>
          <w:rFonts w:ascii="Times New Roman" w:hAnsi="Times New Roman" w:cs="Times New Roman"/>
        </w:rPr>
        <w:t xml:space="preserve">k for performance evaluations. </w:t>
      </w:r>
    </w:p>
    <w:p w:rsidR="006661B8" w:rsidRPr="00F10120" w:rsidRDefault="006661B8" w:rsidP="006661B8">
      <w:pPr>
        <w:rPr>
          <w:rFonts w:ascii="Times New Roman" w:hAnsi="Times New Roman" w:cs="Times New Roman"/>
        </w:rPr>
      </w:pPr>
      <w:r w:rsidRPr="00F10120">
        <w:rPr>
          <w:rFonts w:ascii="Times New Roman" w:hAnsi="Times New Roman" w:cs="Times New Roman"/>
        </w:rPr>
        <w:t xml:space="preserve">CPD can also be personal and self-initiated. This is critical for advancing one's career. An individual can determine how they acquire new skills and knowledge and how long it will take as it is bespoke to them. It shifts responsibility for personal development from the organisation to the individual. For maximum results CPD needs to be linked to both individual and organisational goals if both individual and organisational change are to be achieved (Jones and Fear 1994). Active learning is one of the most effective ways to accomplish this (Richardson 1998)  </w:t>
      </w:r>
    </w:p>
    <w:p w:rsidR="006661B8" w:rsidRPr="00F10120" w:rsidRDefault="006661B8" w:rsidP="006661B8">
      <w:pPr>
        <w:rPr>
          <w:rFonts w:ascii="Times New Roman" w:hAnsi="Times New Roman" w:cs="Times New Roman"/>
        </w:rPr>
      </w:pPr>
      <w:r w:rsidRPr="00F10120">
        <w:rPr>
          <w:rFonts w:ascii="Times New Roman" w:hAnsi="Times New Roman" w:cs="Times New Roman"/>
        </w:rPr>
        <w:t xml:space="preserve">CPD can be broken down into three questions: What will I learn, how will I learn, and how well will I learn. Portfolios can be a valuable assessment tools to evaluate learning and identify developmental needs.  </w:t>
      </w:r>
    </w:p>
    <w:p w:rsidR="006661B8" w:rsidRPr="00F10120" w:rsidRDefault="006661B8" w:rsidP="006661B8">
      <w:pPr>
        <w:rPr>
          <w:rFonts w:ascii="Times New Roman" w:hAnsi="Times New Roman" w:cs="Times New Roman"/>
        </w:rPr>
      </w:pPr>
      <w:r w:rsidRPr="00F10120">
        <w:rPr>
          <w:rFonts w:ascii="Times New Roman" w:hAnsi="Times New Roman" w:cs="Times New Roman"/>
        </w:rPr>
        <w:t>Yam, Griffiths, and Yeoh (2020) discussed the benefits of CPD and found that it assisted with improving knowledge and practise. They questioned if this could be taken a step further and based on an incentive type approach which would motivate people to participate. Individuals not always having time to complete CPD to defined deadlines was a res</w:t>
      </w:r>
      <w:r w:rsidRPr="00F10120">
        <w:rPr>
          <w:rFonts w:ascii="Times New Roman" w:hAnsi="Times New Roman" w:cs="Times New Roman"/>
        </w:rPr>
        <w:t xml:space="preserve">ounding disadvantage to this.  </w:t>
      </w:r>
    </w:p>
    <w:p w:rsidR="006661B8" w:rsidRPr="00F10120" w:rsidRDefault="006661B8" w:rsidP="006661B8">
      <w:pPr>
        <w:rPr>
          <w:rFonts w:ascii="Times New Roman" w:hAnsi="Times New Roman" w:cs="Times New Roman"/>
        </w:rPr>
      </w:pPr>
      <w:r w:rsidRPr="00F10120">
        <w:rPr>
          <w:rFonts w:ascii="Times New Roman" w:hAnsi="Times New Roman" w:cs="Times New Roman"/>
        </w:rPr>
        <w:lastRenderedPageBreak/>
        <w:t xml:space="preserve">Even though there is a vast amount of documentation relating to the positives of CPD, there are also negatives. Not all learning can be measured by CPD. Unmeasured Learning can still take place which is not always documented. People can be demotivated if they do not hit objectives and aims. Stress can also play factor. Penetar and Friedl (2005) have focused on this and have identified that there is a close link between individuals work stress and their performance. When an individual's stress level is high their CPD is low. This needs to be recognised rather than focusing on goals that may not have been met. Stress management is vital in order to increase CPD. According to McArdle and Cotts' (2010) research, many people find it difficult to progress beyond the task description when asked to critically reflect on previous CPD experiences. Many people find it difficult to move beyond the description of the task. Reflection on practice often fails to get started, lacks any depth or substance, or quickly </w:t>
      </w:r>
      <w:r w:rsidRPr="00F10120">
        <w:rPr>
          <w:rFonts w:ascii="Times New Roman" w:hAnsi="Times New Roman" w:cs="Times New Roman"/>
        </w:rPr>
        <w:t xml:space="preserve">falters and stalls altogether. </w:t>
      </w:r>
    </w:p>
    <w:p w:rsidR="006661B8" w:rsidRPr="00F10120" w:rsidRDefault="006661B8" w:rsidP="006661B8">
      <w:pPr>
        <w:rPr>
          <w:rFonts w:ascii="Times New Roman" w:hAnsi="Times New Roman" w:cs="Times New Roman"/>
        </w:rPr>
      </w:pPr>
      <w:r w:rsidRPr="00F10120">
        <w:rPr>
          <w:rFonts w:ascii="Times New Roman" w:hAnsi="Times New Roman" w:cs="Times New Roman"/>
        </w:rPr>
        <w:t xml:space="preserve">The mere carrying out of a developmental activity may not be enough to enable future improvements and individuals should be encouraged to reflect on their experiences. Reflection can contribute to learning. Learning is at its best when individuals are encouraged to reflect and to take part in CPD. Reflection promotes self-awareness and slows down activity, providing time to process learning and link it to previous ideas. Refection and CPD </w:t>
      </w:r>
      <w:r w:rsidRPr="00F10120">
        <w:rPr>
          <w:rFonts w:ascii="Times New Roman" w:hAnsi="Times New Roman" w:cs="Times New Roman"/>
        </w:rPr>
        <w:t xml:space="preserve">should be encouraged together. </w:t>
      </w:r>
    </w:p>
    <w:p w:rsidR="006661B8" w:rsidRPr="00F10120" w:rsidRDefault="006661B8" w:rsidP="006661B8">
      <w:pPr>
        <w:rPr>
          <w:rFonts w:ascii="Times New Roman" w:hAnsi="Times New Roman" w:cs="Times New Roman"/>
        </w:rPr>
      </w:pPr>
      <w:r w:rsidRPr="00F10120">
        <w:rPr>
          <w:rFonts w:ascii="Times New Roman" w:hAnsi="Times New Roman" w:cs="Times New Roman"/>
        </w:rPr>
        <w:t xml:space="preserve">Research has shown the importance of reflection to continuous professional development allowing individuals to identify where they can improve and recognise gaps in their own learning which will improve their future development. </w:t>
      </w:r>
    </w:p>
    <w:p w:rsidR="006661B8" w:rsidRDefault="006661B8" w:rsidP="006661B8"/>
    <w:p w:rsidR="006661B8" w:rsidRDefault="006661B8" w:rsidP="006661B8">
      <w:pPr>
        <w:rPr>
          <w:u w:val="single"/>
        </w:rPr>
      </w:pPr>
      <w:r w:rsidRPr="006661B8">
        <w:rPr>
          <w:u w:val="single"/>
        </w:rPr>
        <w:t xml:space="preserve">Word count – 2177  </w:t>
      </w:r>
    </w:p>
    <w:p w:rsidR="00EE3851" w:rsidRDefault="00EE3851" w:rsidP="00515ED9">
      <w:pPr>
        <w:rPr>
          <w:u w:val="single"/>
        </w:rPr>
      </w:pPr>
    </w:p>
    <w:p w:rsidR="00515ED9" w:rsidRDefault="00515ED9" w:rsidP="00515ED9">
      <w:pPr>
        <w:rPr>
          <w:u w:val="single"/>
        </w:rPr>
      </w:pPr>
      <w:r>
        <w:rPr>
          <w:u w:val="single"/>
        </w:rPr>
        <w:t>Question 1 – References</w:t>
      </w:r>
    </w:p>
    <w:p w:rsidR="00515ED9" w:rsidRPr="00515ED9" w:rsidRDefault="00515ED9" w:rsidP="00515ED9">
      <w:r>
        <w:rPr>
          <w:u w:val="single"/>
        </w:rPr>
        <w:t xml:space="preserve"> </w:t>
      </w:r>
    </w:p>
    <w:p w:rsidR="00515ED9" w:rsidRPr="00515ED9" w:rsidRDefault="00515ED9" w:rsidP="00515ED9">
      <w:r w:rsidRPr="00515ED9">
        <w:t>Allan, J; Sniehotta,F &amp; Johnston, M (2013) `The Best Laid Plans: Planning skill determines the effectiveness of action plans and implementation intentions</w:t>
      </w:r>
      <w:r w:rsidRPr="00515ED9">
        <w:rPr>
          <w:i/>
        </w:rPr>
        <w:t>`</w:t>
      </w:r>
      <w:r w:rsidRPr="00515ED9">
        <w:t xml:space="preserve">. </w:t>
      </w:r>
      <w:r w:rsidRPr="00515ED9">
        <w:rPr>
          <w:i/>
        </w:rPr>
        <w:t>Annals of behavioral medicine</w:t>
      </w:r>
      <w:r w:rsidRPr="00515ED9">
        <w:t xml:space="preserve">, Volume 46, Pp 114-120 </w:t>
      </w:r>
    </w:p>
    <w:p w:rsidR="00515ED9" w:rsidRPr="00515ED9" w:rsidRDefault="00515ED9" w:rsidP="00515ED9"/>
    <w:p w:rsidR="00515ED9" w:rsidRPr="00515ED9" w:rsidRDefault="00515ED9" w:rsidP="00515ED9">
      <w:r w:rsidRPr="00515ED9">
        <w:t xml:space="preserve">Chambliss, C &amp; Murray, E (1979) `Efficacy attribution, locus of control, and weight loss`. </w:t>
      </w:r>
      <w:r w:rsidRPr="00515ED9">
        <w:rPr>
          <w:i/>
        </w:rPr>
        <w:t>Cognitive Therapy and Research</w:t>
      </w:r>
      <w:r w:rsidRPr="00515ED9">
        <w:t xml:space="preserve"> Volume 3, Pp 349–353 </w:t>
      </w:r>
    </w:p>
    <w:p w:rsidR="00515ED9" w:rsidRPr="00515ED9" w:rsidRDefault="00515ED9" w:rsidP="00515ED9"/>
    <w:p w:rsidR="00515ED9" w:rsidRPr="00515ED9" w:rsidRDefault="00515ED9" w:rsidP="00515ED9">
      <w:r w:rsidRPr="00515ED9">
        <w:t xml:space="preserve">Di Stefano, G; Pisano, G &amp; Staats,B (2015) `Learning by Thinking: How Reflection Aids Performance`. </w:t>
      </w:r>
      <w:r w:rsidRPr="00515ED9">
        <w:rPr>
          <w:i/>
        </w:rPr>
        <w:t>Academy of Management Proceedings</w:t>
      </w:r>
      <w:r w:rsidRPr="00515ED9">
        <w:t>, Volume 1, Pp.12709-12709</w:t>
      </w:r>
    </w:p>
    <w:p w:rsidR="00515ED9" w:rsidRPr="00515ED9" w:rsidRDefault="00515ED9" w:rsidP="00515ED9"/>
    <w:p w:rsidR="00515ED9" w:rsidRPr="00515ED9" w:rsidRDefault="00515ED9" w:rsidP="00515ED9">
      <w:r w:rsidRPr="00515ED9">
        <w:t xml:space="preserve">Driscoll, J. (2007) </w:t>
      </w:r>
      <w:r w:rsidRPr="00515ED9">
        <w:rPr>
          <w:i/>
        </w:rPr>
        <w:t>Practising Clinical Supervision: A Reflective Approach</w:t>
      </w:r>
      <w:r w:rsidRPr="00515ED9">
        <w:t>, London, Bailliere Tindall.</w:t>
      </w:r>
    </w:p>
    <w:p w:rsidR="00515ED9" w:rsidRPr="00515ED9" w:rsidRDefault="00515ED9" w:rsidP="00515ED9"/>
    <w:p w:rsidR="00515ED9" w:rsidRPr="00515ED9" w:rsidRDefault="00515ED9" w:rsidP="00515ED9">
      <w:r w:rsidRPr="00515ED9">
        <w:t xml:space="preserve">Griffiths A. (2008). </w:t>
      </w:r>
      <w:r w:rsidR="00C0016B">
        <w:t>`</w:t>
      </w:r>
      <w:r w:rsidRPr="00515ED9">
        <w:t>An examination into the efficacy of police advanced investigative interview training</w:t>
      </w:r>
      <w:r w:rsidR="00C0016B">
        <w:t>`</w:t>
      </w:r>
      <w:r w:rsidRPr="00515ED9">
        <w:t>. PhD thesis. Institute of Criminal Justice Studies. University of Portsmouth.</w:t>
      </w:r>
    </w:p>
    <w:p w:rsidR="00515ED9" w:rsidRPr="00515ED9" w:rsidRDefault="00515ED9" w:rsidP="00515ED9"/>
    <w:p w:rsidR="00515ED9" w:rsidRPr="00515ED9" w:rsidRDefault="00515ED9" w:rsidP="00515ED9">
      <w:r w:rsidRPr="00515ED9">
        <w:lastRenderedPageBreak/>
        <w:t xml:space="preserve">Gibbs, G. (1988) </w:t>
      </w:r>
      <w:r w:rsidRPr="00515ED9">
        <w:rPr>
          <w:i/>
        </w:rPr>
        <w:t>Learning by Doing: A guide to teaching and learning methods</w:t>
      </w:r>
      <w:r w:rsidRPr="00515ED9">
        <w:t>, Oxford, Oxford Polytechnic.</w:t>
      </w:r>
    </w:p>
    <w:p w:rsidR="00515ED9" w:rsidRPr="00515ED9" w:rsidRDefault="00515ED9" w:rsidP="00515ED9"/>
    <w:p w:rsidR="00515ED9" w:rsidRPr="00515ED9" w:rsidRDefault="00515ED9" w:rsidP="00515ED9">
      <w:r w:rsidRPr="00515ED9">
        <w:t xml:space="preserve">Jones, N &amp; Fear, N (1994). ‘Continuing Professional Development: perspectives from human resource professionals’. </w:t>
      </w:r>
      <w:r w:rsidRPr="00515ED9">
        <w:rPr>
          <w:i/>
        </w:rPr>
        <w:t>Personnel Review</w:t>
      </w:r>
      <w:r w:rsidRPr="00515ED9">
        <w:t>, Volume 23 issue 8, Pp 49-60.</w:t>
      </w:r>
    </w:p>
    <w:p w:rsidR="00515ED9" w:rsidRPr="00515ED9" w:rsidRDefault="00515ED9" w:rsidP="00515ED9"/>
    <w:p w:rsidR="00515ED9" w:rsidRPr="00515ED9" w:rsidRDefault="00515ED9" w:rsidP="00515ED9">
      <w:r w:rsidRPr="00515ED9">
        <w:t xml:space="preserve">Illeris, K (2015) `The development of a comprehensive and coherent theory of learning`.  </w:t>
      </w:r>
      <w:r w:rsidRPr="00515ED9">
        <w:rPr>
          <w:i/>
        </w:rPr>
        <w:t>European Journal of Education</w:t>
      </w:r>
      <w:r w:rsidRPr="00515ED9">
        <w:t>, Volume 50, Issue 1. Pp 29 - 40</w:t>
      </w:r>
    </w:p>
    <w:p w:rsidR="00515ED9" w:rsidRPr="00515ED9" w:rsidRDefault="00515ED9" w:rsidP="00515ED9"/>
    <w:p w:rsidR="00515ED9" w:rsidRPr="00515ED9" w:rsidRDefault="00515ED9" w:rsidP="00515ED9">
      <w:r w:rsidRPr="00515ED9">
        <w:t>McArdle, K and Coutts, N (2010) `Taking teachers’ continuous professional development (CPD) beyond reflection: adding shared sense-making and collaborative engagement for professional renewal`</w:t>
      </w:r>
      <w:r w:rsidRPr="00515ED9">
        <w:rPr>
          <w:i/>
        </w:rPr>
        <w:t xml:space="preserve"> Studies in Continuing Education</w:t>
      </w:r>
      <w:r w:rsidRPr="00515ED9">
        <w:t>.  Volume 32, Issue 3. Pp 201 - 215</w:t>
      </w:r>
    </w:p>
    <w:p w:rsidR="00515ED9" w:rsidRPr="00515ED9" w:rsidRDefault="00515ED9" w:rsidP="00515ED9"/>
    <w:p w:rsidR="00515ED9" w:rsidRPr="00515ED9" w:rsidRDefault="00515ED9" w:rsidP="00515ED9">
      <w:r w:rsidRPr="00515ED9">
        <w:t xml:space="preserve">McCarthy, D (2021) </w:t>
      </w:r>
      <w:r w:rsidRPr="00515ED9">
        <w:rPr>
          <w:i/>
        </w:rPr>
        <w:t>Dealing with the silent treatment during suspect interviews. Expanding the horizons of current research to help investigators face 'no comment' suspects in the interview room</w:t>
      </w:r>
      <w:r w:rsidRPr="00515ED9">
        <w:t>. Available on: https://www.learn.college.police.uk. Last accessed 08/01/2021</w:t>
      </w:r>
    </w:p>
    <w:p w:rsidR="00515ED9" w:rsidRPr="00515ED9" w:rsidRDefault="00515ED9" w:rsidP="00515ED9"/>
    <w:p w:rsidR="00515ED9" w:rsidRPr="00515ED9" w:rsidRDefault="00515ED9" w:rsidP="00515ED9">
      <w:r w:rsidRPr="00515ED9">
        <w:t xml:space="preserve">Moon (1999).  </w:t>
      </w:r>
      <w:r w:rsidRPr="00515ED9">
        <w:rPr>
          <w:i/>
        </w:rPr>
        <w:t>Learning Journals: A Handbook for Academics, Students and professional Development</w:t>
      </w:r>
      <w:r w:rsidRPr="00515ED9">
        <w:t>. Kogan Page</w:t>
      </w:r>
    </w:p>
    <w:p w:rsidR="00515ED9" w:rsidRPr="00515ED9" w:rsidRDefault="00515ED9" w:rsidP="00515ED9"/>
    <w:p w:rsidR="00515ED9" w:rsidRPr="00515ED9" w:rsidRDefault="00515ED9" w:rsidP="00515ED9">
      <w:r w:rsidRPr="00515ED9">
        <w:t xml:space="preserve">Penetar, D.M. &amp; Friedl, K.E. (2005). `The physiology of performance, stress and readiness`. </w:t>
      </w:r>
      <w:r w:rsidRPr="00515ED9">
        <w:rPr>
          <w:i/>
        </w:rPr>
        <w:t>Advances in human performance and cognitive engineering research</w:t>
      </w:r>
      <w:r w:rsidRPr="00515ED9">
        <w:t>. Volume 5, Pp 267-305.</w:t>
      </w:r>
    </w:p>
    <w:p w:rsidR="00515ED9" w:rsidRPr="00515ED9" w:rsidRDefault="00515ED9" w:rsidP="00515ED9"/>
    <w:p w:rsidR="00515ED9" w:rsidRPr="00515ED9" w:rsidRDefault="00515ED9" w:rsidP="00515ED9">
      <w:r w:rsidRPr="00515ED9">
        <w:t xml:space="preserve">Perusso, A; Blankesteijn, M &amp; Leal, R. (2020) `The contribution of reflective learning to experiential learning in business education`. </w:t>
      </w:r>
      <w:r w:rsidRPr="00515ED9">
        <w:rPr>
          <w:i/>
        </w:rPr>
        <w:t>Assessment and evaluation in higher education</w:t>
      </w:r>
      <w:r w:rsidRPr="00515ED9">
        <w:t>, Volume 45, issue 7, pp.1001-15</w:t>
      </w:r>
    </w:p>
    <w:p w:rsidR="00515ED9" w:rsidRPr="00515ED9" w:rsidRDefault="00515ED9" w:rsidP="00515ED9"/>
    <w:p w:rsidR="00515ED9" w:rsidRPr="00515ED9" w:rsidRDefault="00515ED9" w:rsidP="00515ED9">
      <w:r w:rsidRPr="00515ED9">
        <w:t xml:space="preserve">Richardson, J. (1998). `We’re all here to learn`.  </w:t>
      </w:r>
      <w:r w:rsidRPr="00515ED9">
        <w:rPr>
          <w:i/>
        </w:rPr>
        <w:t>Journal of Staff Development</w:t>
      </w:r>
      <w:r w:rsidRPr="00515ED9">
        <w:t>, Volume 19 issue 4, Pp 49-55.</w:t>
      </w:r>
    </w:p>
    <w:p w:rsidR="00515ED9" w:rsidRPr="00515ED9" w:rsidRDefault="00515ED9" w:rsidP="00515ED9"/>
    <w:p w:rsidR="00515ED9" w:rsidRPr="00515ED9" w:rsidRDefault="00515ED9" w:rsidP="00515ED9">
      <w:r w:rsidRPr="00515ED9">
        <w:t xml:space="preserve">Schon, D. A. (1983) </w:t>
      </w:r>
      <w:r w:rsidRPr="00515ED9">
        <w:rPr>
          <w:i/>
        </w:rPr>
        <w:t>The Reflective Practitioner: How Professionals Think in Action</w:t>
      </w:r>
      <w:r w:rsidRPr="00515ED9">
        <w:t>. London: Temple Smith.</w:t>
      </w:r>
    </w:p>
    <w:p w:rsidR="00515ED9" w:rsidRPr="00515ED9" w:rsidRDefault="00515ED9" w:rsidP="00515ED9"/>
    <w:p w:rsidR="00515ED9" w:rsidRPr="00515ED9" w:rsidRDefault="00515ED9" w:rsidP="00515ED9">
      <w:r w:rsidRPr="00515ED9">
        <w:t xml:space="preserve">Shepherd E, (1993) </w:t>
      </w:r>
      <w:r w:rsidRPr="00515ED9">
        <w:rPr>
          <w:i/>
        </w:rPr>
        <w:t>'Aspects of police interviewing</w:t>
      </w:r>
      <w:r w:rsidRPr="00515ED9">
        <w:t>'. British Psychological Society: Leicester.</w:t>
      </w:r>
    </w:p>
    <w:p w:rsidR="00515ED9" w:rsidRPr="00515ED9" w:rsidRDefault="00515ED9" w:rsidP="00515ED9"/>
    <w:p w:rsidR="00515ED9" w:rsidRPr="00515ED9" w:rsidRDefault="00515ED9" w:rsidP="00515ED9">
      <w:r w:rsidRPr="00515ED9">
        <w:lastRenderedPageBreak/>
        <w:t xml:space="preserve">Walsh,D &amp; Milne, R (2007) `Perceptions of benefit fraud staff in the UK: Giving P.E.A.C.E a chance?`. </w:t>
      </w:r>
      <w:r w:rsidRPr="00515ED9">
        <w:rPr>
          <w:i/>
        </w:rPr>
        <w:t>Public Administration (London)</w:t>
      </w:r>
      <w:r w:rsidRPr="00515ED9">
        <w:t xml:space="preserve">. Volume 85 issue 2. Pp 525-540 </w:t>
      </w:r>
    </w:p>
    <w:p w:rsidR="00515ED9" w:rsidRPr="00515ED9" w:rsidRDefault="00515ED9" w:rsidP="00515ED9"/>
    <w:p w:rsidR="00515ED9" w:rsidRPr="00515ED9" w:rsidRDefault="00515ED9" w:rsidP="00515ED9">
      <w:r w:rsidRPr="00515ED9">
        <w:t xml:space="preserve">Yam, C; Griffiths, S &amp; Yeoh, E (2020) `What helps and hinders doctors in engaging in continuous professional development? An explanatory sequential design`. </w:t>
      </w:r>
      <w:r w:rsidRPr="00515ED9">
        <w:rPr>
          <w:i/>
        </w:rPr>
        <w:t>San Francisco: Public Library of Science</w:t>
      </w:r>
      <w:r w:rsidRPr="00515ED9">
        <w:t xml:space="preserve">. Volume 15. Issue 8. </w:t>
      </w:r>
    </w:p>
    <w:p w:rsidR="00515ED9" w:rsidRPr="00515ED9" w:rsidRDefault="00515ED9" w:rsidP="00515ED9"/>
    <w:p w:rsidR="00515ED9" w:rsidRPr="00515ED9" w:rsidRDefault="00515ED9" w:rsidP="00515ED9">
      <w:r w:rsidRPr="00515ED9">
        <w:t xml:space="preserve">Yeschke, C. (1997). </w:t>
      </w:r>
      <w:r w:rsidRPr="00515ED9">
        <w:rPr>
          <w:i/>
        </w:rPr>
        <w:t>The art of investigative interviewing: A human approach to testimonial evidence</w:t>
      </w:r>
      <w:r w:rsidRPr="00515ED9">
        <w:t>. Boston, MA: Butterworth-Heinemann</w:t>
      </w:r>
    </w:p>
    <w:p w:rsidR="00515ED9" w:rsidRDefault="00515ED9" w:rsidP="00515ED9">
      <w:pPr>
        <w:rPr>
          <w:u w:val="single"/>
        </w:rPr>
      </w:pPr>
    </w:p>
    <w:p w:rsidR="00E11FD7" w:rsidRDefault="00E11FD7" w:rsidP="00515ED9">
      <w:pPr>
        <w:rPr>
          <w:u w:val="single"/>
        </w:rPr>
      </w:pPr>
      <w:r>
        <w:rPr>
          <w:u w:val="single"/>
        </w:rPr>
        <w:t xml:space="preserve">QUESTION 2 </w:t>
      </w:r>
    </w:p>
    <w:p w:rsidR="00E11FD7" w:rsidRPr="00E11FD7" w:rsidRDefault="00E11FD7" w:rsidP="00E11FD7">
      <w:r w:rsidRPr="00E11FD7">
        <w:t xml:space="preserve">Give a brief description of the investigation including social and legislative contexts and any relevant cultural, ethnicity and language issues.   </w:t>
      </w:r>
    </w:p>
    <w:p w:rsidR="00E11FD7" w:rsidRPr="00E11FD7" w:rsidRDefault="00E11FD7" w:rsidP="00E11FD7">
      <w:pPr>
        <w:rPr>
          <w:u w:val="single"/>
        </w:rPr>
      </w:pPr>
      <w:r w:rsidRPr="00E11FD7">
        <w:t>Demonstrate your critical thinking, analysis and evaluation of assumptions, generalisations and material (that may be incomplete) and how you communicated your conclusions to specialist and non-specialist investigators/departments.</w:t>
      </w:r>
      <w:r w:rsidRPr="00E11FD7">
        <w:rPr>
          <w:u w:val="single"/>
        </w:rPr>
        <w:t xml:space="preserve">  </w:t>
      </w:r>
    </w:p>
    <w:p w:rsidR="00E11FD7" w:rsidRDefault="00E11FD7" w:rsidP="00E11FD7">
      <w:r w:rsidRPr="00E11FD7">
        <w:t xml:space="preserve">Critically evaluate the challenges associated with the investigation and the actions undertaken to effectively deal with such challenging situations.  </w:t>
      </w:r>
    </w:p>
    <w:p w:rsidR="00E11FD7" w:rsidRDefault="00E11FD7" w:rsidP="00E11FD7"/>
    <w:p w:rsidR="00E11FD7" w:rsidRDefault="00E11FD7" w:rsidP="00E11FD7"/>
    <w:p w:rsidR="00E11FD7" w:rsidRDefault="00E11FD7" w:rsidP="00E11FD7"/>
    <w:p w:rsidR="00E11FD7" w:rsidRDefault="00E11FD7" w:rsidP="00E11FD7">
      <w:pPr>
        <w:rPr>
          <w:u w:val="single"/>
        </w:rPr>
      </w:pPr>
      <w:r w:rsidRPr="00E11FD7">
        <w:rPr>
          <w:u w:val="single"/>
        </w:rPr>
        <w:t>QU</w:t>
      </w:r>
      <w:r>
        <w:rPr>
          <w:u w:val="single"/>
        </w:rPr>
        <w:t>E</w:t>
      </w:r>
      <w:r w:rsidRPr="00E11FD7">
        <w:rPr>
          <w:u w:val="single"/>
        </w:rPr>
        <w:t xml:space="preserve">STION 3 </w:t>
      </w:r>
    </w:p>
    <w:p w:rsidR="00E11FD7" w:rsidRDefault="00E11FD7" w:rsidP="00E11FD7">
      <w:r w:rsidRPr="00E11FD7">
        <w:t>Give a brief description of the incident including social and legislative contexts and any relevant cultural, et</w:t>
      </w:r>
      <w:r>
        <w:t xml:space="preserve">hnicity and language issues.   </w:t>
      </w:r>
    </w:p>
    <w:p w:rsidR="00E11FD7" w:rsidRPr="00E11FD7" w:rsidRDefault="00E11FD7" w:rsidP="00E11FD7">
      <w:r w:rsidRPr="00E11FD7">
        <w:t>Analyse how you employed established techniques t</w:t>
      </w:r>
      <w:r>
        <w:t xml:space="preserve">o progress the investigation. </w:t>
      </w:r>
      <w:r w:rsidRPr="00E11FD7">
        <w:t xml:space="preserve">Critically evaluate how you applied specific legislation and or powers to the investigation.  </w:t>
      </w:r>
    </w:p>
    <w:p w:rsidR="00E11FD7" w:rsidRDefault="00E11FD7" w:rsidP="00E11FD7">
      <w:pPr>
        <w:rPr>
          <w:u w:val="single"/>
        </w:rPr>
      </w:pPr>
      <w:r w:rsidRPr="00E11FD7">
        <w:t xml:space="preserve">Explore the use of the techniques you applied to the investigation and demonstrate your understanding of their use. </w:t>
      </w:r>
      <w:r w:rsidRPr="00E11FD7">
        <w:rPr>
          <w:u w:val="single"/>
        </w:rPr>
        <w:t xml:space="preserve"> </w:t>
      </w:r>
    </w:p>
    <w:p w:rsidR="00EE3851" w:rsidRPr="00EE3851" w:rsidRDefault="00EE3851" w:rsidP="00E11FD7">
      <w:pPr>
        <w:rPr>
          <w:rFonts w:ascii="Times New Roman" w:hAnsi="Times New Roman" w:cs="Times New Roman"/>
        </w:rPr>
      </w:pPr>
    </w:p>
    <w:p w:rsidR="00EE3851" w:rsidRPr="00EE3851" w:rsidRDefault="00EE3851" w:rsidP="00EE3851">
      <w:pPr>
        <w:rPr>
          <w:rFonts w:ascii="Times New Roman" w:hAnsi="Times New Roman" w:cs="Times New Roman"/>
        </w:rPr>
      </w:pPr>
      <w:r w:rsidRPr="00EE3851">
        <w:rPr>
          <w:rFonts w:ascii="Times New Roman" w:hAnsi="Times New Roman" w:cs="Times New Roman"/>
        </w:rPr>
        <w:t xml:space="preserve">This investigation relates to the death of a French male `FP`. FP was found deceased on the pavement outside his home address. FP`s partner AJ was arrested for his murder. This was a difficult case to prove, I had to investigate whether FP was intentionally pushed and killed or had he accidentally fallen to his death.  </w:t>
      </w:r>
    </w:p>
    <w:p w:rsidR="00EE3851" w:rsidRPr="00EE3851" w:rsidRDefault="00EE3851" w:rsidP="00EE3851">
      <w:pPr>
        <w:rPr>
          <w:rFonts w:ascii="Times New Roman" w:hAnsi="Times New Roman" w:cs="Times New Roman"/>
        </w:rPr>
      </w:pPr>
      <w:r w:rsidRPr="00EE3851">
        <w:rPr>
          <w:rFonts w:ascii="Times New Roman" w:hAnsi="Times New Roman" w:cs="Times New Roman"/>
        </w:rPr>
        <w:t xml:space="preserve">I critically evaluated the legislation that was available. The two specific pieces of Legislation that I considered and compared were the offences of murder and manslaughter. Under the law of England and Wales, a murder is committed where a person of sound mind unlawfully kills another person with intent to kill or cause Grievous harm. Murder requires intent, such as premeditation. The presence of malice distinguishes murder from manslaughter (Weinstock et al 1996). The necessary intention exists </w:t>
      </w:r>
      <w:r w:rsidRPr="00EE3851">
        <w:rPr>
          <w:rFonts w:ascii="Times New Roman" w:hAnsi="Times New Roman" w:cs="Times New Roman"/>
        </w:rPr>
        <w:lastRenderedPageBreak/>
        <w:t xml:space="preserve">if the defendant feels sure that death, or serious bodily harm, is a virtual certainty because of their actions, R v Matthews (2003 as cited in Crown Prosecution Service – CPS guidelines 2019). By contrast, where the defendant did not mean to kill but was grossly negligent a manslaughter charge could be pursued.  </w:t>
      </w:r>
    </w:p>
    <w:p w:rsidR="00EE3851" w:rsidRPr="00EE3851" w:rsidRDefault="00EE3851" w:rsidP="00EE3851">
      <w:pPr>
        <w:rPr>
          <w:rFonts w:ascii="Times New Roman" w:hAnsi="Times New Roman" w:cs="Times New Roman"/>
        </w:rPr>
      </w:pPr>
      <w:r w:rsidRPr="00EE3851">
        <w:rPr>
          <w:rFonts w:ascii="Times New Roman" w:hAnsi="Times New Roman" w:cs="Times New Roman"/>
        </w:rPr>
        <w:t>According to CPS legal guidance, Manslaughter can be committed in 3 ways- Involuntary manslaughter whereby the defendant has an intent but also a partial defence such as loss of control, Involuntary manslaughter whereby the defendants conduct was grossly negligent given the risks of death and did in fact kill or involuntary manslaughter in which the defendant committed an unlawful act involving a danger or some harm that resulted in death. These offences involve the perpetrator engaging in a conscious and voluntary course of conduct that results in the death of another person. The difference between these two types of involuntary manslaughter is when the wrongness of the originating behaviour becomes more serious, moving from a negligent to a criminal act, the level of risk required to prove the offence decreases from a high to a reasonable risk (McGorrey and McMahon 2019)</w:t>
      </w:r>
    </w:p>
    <w:p w:rsidR="00EE3851" w:rsidRPr="00EE3851" w:rsidRDefault="00EE3851" w:rsidP="00EE3851">
      <w:pPr>
        <w:rPr>
          <w:rFonts w:ascii="Times New Roman" w:hAnsi="Times New Roman" w:cs="Times New Roman"/>
        </w:rPr>
      </w:pPr>
      <w:r w:rsidRPr="00EE3851">
        <w:rPr>
          <w:rFonts w:ascii="Times New Roman" w:hAnsi="Times New Roman" w:cs="Times New Roman"/>
        </w:rPr>
        <w:t>When looking at Manslaughter we needed to conside</w:t>
      </w:r>
      <w:r w:rsidR="00B37959">
        <w:rPr>
          <w:rFonts w:ascii="Times New Roman" w:hAnsi="Times New Roman" w:cs="Times New Roman"/>
        </w:rPr>
        <w:t xml:space="preserve">r whether there was an intent </w:t>
      </w:r>
      <w:r w:rsidRPr="00EE3851">
        <w:rPr>
          <w:rFonts w:ascii="Times New Roman" w:hAnsi="Times New Roman" w:cs="Times New Roman"/>
        </w:rPr>
        <w:t>`</w:t>
      </w:r>
      <w:r w:rsidRPr="00B37959">
        <w:rPr>
          <w:rFonts w:ascii="Times New Roman" w:hAnsi="Times New Roman" w:cs="Times New Roman"/>
          <w:i/>
        </w:rPr>
        <w:t>Mens rea</w:t>
      </w:r>
      <w:r w:rsidRPr="00EE3851">
        <w:rPr>
          <w:rFonts w:ascii="Times New Roman" w:hAnsi="Times New Roman" w:cs="Times New Roman"/>
        </w:rPr>
        <w:t>`</w:t>
      </w:r>
      <w:r w:rsidR="00B37959">
        <w:rPr>
          <w:rFonts w:ascii="Times New Roman" w:hAnsi="Times New Roman" w:cs="Times New Roman"/>
        </w:rPr>
        <w:t>.</w:t>
      </w:r>
      <w:r w:rsidRPr="00EE3851">
        <w:rPr>
          <w:rFonts w:ascii="Times New Roman" w:hAnsi="Times New Roman" w:cs="Times New Roman"/>
        </w:rPr>
        <w:t xml:space="preserve"> The act is not criminal unless the intent is criminal (Sayre, 1932). </w:t>
      </w:r>
      <w:r w:rsidRPr="00B37959">
        <w:rPr>
          <w:rFonts w:ascii="Times New Roman" w:hAnsi="Times New Roman" w:cs="Times New Roman"/>
          <w:i/>
        </w:rPr>
        <w:t>Mens rea</w:t>
      </w:r>
      <w:r w:rsidRPr="00EE3851">
        <w:rPr>
          <w:rFonts w:ascii="Times New Roman" w:hAnsi="Times New Roman" w:cs="Times New Roman"/>
        </w:rPr>
        <w:t xml:space="preserve"> defences where the defendant argues that they did not have the required criminal intent are complex and are considered more complicated that the insanity defence (Weinstock 1996). Using a successful </w:t>
      </w:r>
      <w:r w:rsidR="00B37959">
        <w:rPr>
          <w:rFonts w:ascii="Times New Roman" w:hAnsi="Times New Roman" w:cs="Times New Roman"/>
          <w:i/>
        </w:rPr>
        <w:t>m</w:t>
      </w:r>
      <w:r w:rsidRPr="00B37959">
        <w:rPr>
          <w:rFonts w:ascii="Times New Roman" w:hAnsi="Times New Roman" w:cs="Times New Roman"/>
          <w:i/>
        </w:rPr>
        <w:t>ens rea</w:t>
      </w:r>
      <w:r w:rsidRPr="00EE3851">
        <w:rPr>
          <w:rFonts w:ascii="Times New Roman" w:hAnsi="Times New Roman" w:cs="Times New Roman"/>
        </w:rPr>
        <w:t xml:space="preserve"> defence could allow a defendant to walk free regardless of dangerousness considerations. (Borum and Fulero, 1999).  </w:t>
      </w:r>
    </w:p>
    <w:p w:rsidR="00EE3851" w:rsidRPr="00EE3851" w:rsidRDefault="00EE3851" w:rsidP="00EE3851">
      <w:pPr>
        <w:rPr>
          <w:rFonts w:ascii="Times New Roman" w:hAnsi="Times New Roman" w:cs="Times New Roman"/>
        </w:rPr>
      </w:pPr>
      <w:r w:rsidRPr="00EE3851">
        <w:rPr>
          <w:rFonts w:ascii="Times New Roman" w:hAnsi="Times New Roman" w:cs="Times New Roman"/>
        </w:rPr>
        <w:t xml:space="preserve">Another consideration was the defence of loss of control, brought in by the Coroners and Justice Act 2009. An element of this defence is the consideration that any reasonable person may have reacted or behaved in the same way. It does not matter whether the loss of control was sudden. As stated by Edwards (2010) the distinction between loss of self-control which may provide an excuse and a loss of temper which does not is a fine one and is a matter for the jury.   </w:t>
      </w:r>
    </w:p>
    <w:p w:rsidR="00EE3851" w:rsidRPr="00EE3851" w:rsidRDefault="00EE3851" w:rsidP="00EE3851">
      <w:pPr>
        <w:rPr>
          <w:rFonts w:ascii="Times New Roman" w:hAnsi="Times New Roman" w:cs="Times New Roman"/>
        </w:rPr>
      </w:pPr>
      <w:r w:rsidRPr="00EE3851">
        <w:rPr>
          <w:rFonts w:ascii="Times New Roman" w:hAnsi="Times New Roman" w:cs="Times New Roman"/>
        </w:rPr>
        <w:t>AJ was interviewed and admitted to the actus rea that he had pushed FP out of the doorway in temper after an argument</w:t>
      </w:r>
      <w:r w:rsidR="00B37959">
        <w:rPr>
          <w:rFonts w:ascii="Times New Roman" w:hAnsi="Times New Roman" w:cs="Times New Roman"/>
        </w:rPr>
        <w:t xml:space="preserve"> but made no admission to the </w:t>
      </w:r>
      <w:r w:rsidR="00B37959" w:rsidRPr="00B37959">
        <w:rPr>
          <w:rFonts w:ascii="Times New Roman" w:hAnsi="Times New Roman" w:cs="Times New Roman"/>
          <w:i/>
        </w:rPr>
        <w:t>m</w:t>
      </w:r>
      <w:r w:rsidRPr="00B37959">
        <w:rPr>
          <w:rFonts w:ascii="Times New Roman" w:hAnsi="Times New Roman" w:cs="Times New Roman"/>
          <w:i/>
        </w:rPr>
        <w:t>ens rea</w:t>
      </w:r>
      <w:r w:rsidR="003C7CCA">
        <w:rPr>
          <w:rFonts w:ascii="Times New Roman" w:hAnsi="Times New Roman" w:cs="Times New Roman"/>
          <w:i/>
        </w:rPr>
        <w:t>,</w:t>
      </w:r>
      <w:r w:rsidRPr="00EE3851">
        <w:rPr>
          <w:rFonts w:ascii="Times New Roman" w:hAnsi="Times New Roman" w:cs="Times New Roman"/>
        </w:rPr>
        <w:t xml:space="preserve"> the intent to kill was not evident. I critically evaluated the evidence that AJ had provided and compared this with the points to prove for the offence or murder and manslaughter. By reviewing the legislation against the available evidence, I established that AJ was culpable of manslaughter, that is, that he knew the risk of death or knew that his act of pushing AJ out of the doorway would have led to his death but carried out the act anyway. Evidently, he had been overcome by a loss of control. </w:t>
      </w:r>
    </w:p>
    <w:p w:rsidR="00EE3851" w:rsidRPr="00EE3851" w:rsidRDefault="00EE3851" w:rsidP="00EE3851">
      <w:pPr>
        <w:rPr>
          <w:rFonts w:ascii="Times New Roman" w:hAnsi="Times New Roman" w:cs="Times New Roman"/>
        </w:rPr>
      </w:pPr>
      <w:r w:rsidRPr="00EE3851">
        <w:rPr>
          <w:rFonts w:ascii="Times New Roman" w:hAnsi="Times New Roman" w:cs="Times New Roman"/>
        </w:rPr>
        <w:t xml:space="preserve">Established techniques were employed to gather the evidence that would indicate that he took risks that would be evident to an objective person and that those risks would lead to serious harm or death.  </w:t>
      </w:r>
    </w:p>
    <w:p w:rsidR="00EE3851" w:rsidRPr="00EE3851" w:rsidRDefault="003C7CCA" w:rsidP="00EE3851">
      <w:pPr>
        <w:rPr>
          <w:rFonts w:ascii="Times New Roman" w:hAnsi="Times New Roman" w:cs="Times New Roman"/>
        </w:rPr>
      </w:pPr>
      <w:r>
        <w:rPr>
          <w:rFonts w:ascii="Times New Roman" w:hAnsi="Times New Roman" w:cs="Times New Roman"/>
        </w:rPr>
        <w:t>A key aspect of this case were</w:t>
      </w:r>
      <w:r w:rsidR="00EE3851" w:rsidRPr="00EE3851">
        <w:rPr>
          <w:rFonts w:ascii="Times New Roman" w:hAnsi="Times New Roman" w:cs="Times New Roman"/>
        </w:rPr>
        <w:t xml:space="preserve"> the characteristics of the scene. The house was elevated from the road, with a tiered front garden. The height from pavement to front door was approximately 15 feet. The steps leading to the pavement were extremely steep and dangerous, and any person with a normal</w:t>
      </w:r>
      <w:r w:rsidR="00D3535F">
        <w:rPr>
          <w:rFonts w:ascii="Times New Roman" w:hAnsi="Times New Roman" w:cs="Times New Roman"/>
        </w:rPr>
        <w:t xml:space="preserve"> </w:t>
      </w:r>
      <w:r w:rsidR="00EE3851" w:rsidRPr="00EE3851">
        <w:rPr>
          <w:rFonts w:ascii="Times New Roman" w:hAnsi="Times New Roman" w:cs="Times New Roman"/>
        </w:rPr>
        <w:t>degree of tolerance and self-restraint would know that pushing a person with any force from this height would surely result in them falling to their death. As Moran (2003 as cited in Quirk 2005 p408) outlined – The appropriateness of behaviour such as attentiveness to risk or self-control is judged against an objective standard of what a normal person would do, they give the example of `What w</w:t>
      </w:r>
      <w:r>
        <w:rPr>
          <w:rFonts w:ascii="Times New Roman" w:hAnsi="Times New Roman" w:cs="Times New Roman"/>
        </w:rPr>
        <w:t>ould the man on Clapham bus do`.</w:t>
      </w:r>
    </w:p>
    <w:p w:rsidR="00EE3851" w:rsidRPr="00EE3851" w:rsidRDefault="00EE3851" w:rsidP="00EE3851">
      <w:pPr>
        <w:rPr>
          <w:rFonts w:ascii="Times New Roman" w:hAnsi="Times New Roman" w:cs="Times New Roman"/>
        </w:rPr>
      </w:pPr>
      <w:r w:rsidRPr="00EE3851">
        <w:rPr>
          <w:rFonts w:ascii="Times New Roman" w:hAnsi="Times New Roman" w:cs="Times New Roman"/>
        </w:rPr>
        <w:t xml:space="preserve">There were several forensic issues and opportunities at the scene. To investigate this case, I employed various techniques such as Blood pattern analysis, Footprint analysis and Biomechanics. </w:t>
      </w:r>
    </w:p>
    <w:p w:rsidR="00EE3851" w:rsidRPr="00EE3851" w:rsidRDefault="00EE3851" w:rsidP="00EE3851">
      <w:pPr>
        <w:rPr>
          <w:rFonts w:ascii="Times New Roman" w:hAnsi="Times New Roman" w:cs="Times New Roman"/>
        </w:rPr>
      </w:pPr>
      <w:r w:rsidRPr="00EE3851">
        <w:rPr>
          <w:rFonts w:ascii="Times New Roman" w:hAnsi="Times New Roman" w:cs="Times New Roman"/>
        </w:rPr>
        <w:t xml:space="preserve">One of the techniques applied to the investigation was blood pattern analysis of the scene. Blood was found on the corner of a brick wall at the bottom of the steps. Blood stains are a common by-product of violent crime and analysis of these stains is vital in crime scene investigation, Taylor et al (2016) </w:t>
      </w:r>
      <w:r w:rsidR="003C7CCA">
        <w:rPr>
          <w:rFonts w:ascii="Times New Roman" w:hAnsi="Times New Roman" w:cs="Times New Roman"/>
        </w:rPr>
        <w:lastRenderedPageBreak/>
        <w:t xml:space="preserve">who </w:t>
      </w:r>
      <w:r w:rsidRPr="00EE3851">
        <w:rPr>
          <w:rFonts w:ascii="Times New Roman" w:hAnsi="Times New Roman" w:cs="Times New Roman"/>
        </w:rPr>
        <w:t xml:space="preserve">goes on to explain that in these situations understanding the way the stains were deposited is important. Bloodstain patterns have reproducible features that allow a connection between the distribution of bloodstains and the underlying mechanism of their formation. Blood pattern analysists identify the type of blood pattern and the pattern extent. Prior to their examination they are usually given contextual information about the scene, such as eyewitness account, the position of the victim and the injuries sustained. Consideration must be given when relying on this evidence as Taylor et al`s research found that the hypothesising of contextual information is often integrated into blood pattern decisions. He stressed the importance of taking steps to minimise the effects of contextual information. In this case a scientist examined the scene and blood pattern and provided their observations that the overall nature of the bloodstaining did not assist in determining whether FP fell or was pushed down the steps. There were insufficient details to comment on the bloodstaining. </w:t>
      </w:r>
    </w:p>
    <w:p w:rsidR="00EE3851" w:rsidRPr="00EE3851" w:rsidRDefault="00EE3851" w:rsidP="00EE3851">
      <w:pPr>
        <w:rPr>
          <w:rFonts w:ascii="Times New Roman" w:hAnsi="Times New Roman" w:cs="Times New Roman"/>
        </w:rPr>
      </w:pPr>
      <w:r w:rsidRPr="00EE3851">
        <w:rPr>
          <w:rFonts w:ascii="Times New Roman" w:hAnsi="Times New Roman" w:cs="Times New Roman"/>
        </w:rPr>
        <w:t xml:space="preserve">The second technique used in this case involved requesting the expertise of a Biomechanics expert to fully establish the nature of the fall and the level of force used by the suspect to push the victim from the front door to the pavement below. I researched the Expert Advisers Database and identified Mike Brown from Advanced Simtech </w:t>
      </w:r>
      <w:r w:rsidR="003C7CCA">
        <w:rPr>
          <w:rFonts w:ascii="Times New Roman" w:hAnsi="Times New Roman" w:cs="Times New Roman"/>
        </w:rPr>
        <w:t xml:space="preserve">- </w:t>
      </w:r>
      <w:r w:rsidRPr="00EE3851">
        <w:rPr>
          <w:rFonts w:ascii="Times New Roman" w:hAnsi="Times New Roman" w:cs="Times New Roman"/>
        </w:rPr>
        <w:t xml:space="preserve">an expert specialising in reconstructing accidents, forensic laser scanning and analysing biomechanical data. He proposed to build a 3D virtual model. He would create a suitable human body computer model (based on an average male) to start understanding the physics of the event and to look at the several ways that the fall may have occurred. This would help to explain how the body would move, and more importantly fall/react in that unique environment. Phase 2 would include the specifics of the deceased </w:t>
      </w:r>
      <w:r w:rsidR="00053B03">
        <w:rPr>
          <w:rFonts w:ascii="Times New Roman" w:hAnsi="Times New Roman" w:cs="Times New Roman"/>
        </w:rPr>
        <w:t xml:space="preserve">- </w:t>
      </w:r>
      <w:r w:rsidRPr="00EE3851">
        <w:rPr>
          <w:rFonts w:ascii="Times New Roman" w:hAnsi="Times New Roman" w:cs="Times New Roman"/>
        </w:rPr>
        <w:t xml:space="preserve">height, weight etc. Phase 3 would involve reconstructing an actual 3D model of the crime scene. Phase 1 was completed, and a computerised scaled representation of the scene was created which showed reconstructions of falls from different angles. The report received was limited in detail and included lots of different variables. The cost of the work totalled £20,000. Consideration had to be given to weigh up whether the benefit of using this technique would justify the high cost.   </w:t>
      </w:r>
    </w:p>
    <w:p w:rsidR="00EE3851" w:rsidRPr="00EE3851" w:rsidRDefault="00EE3851" w:rsidP="00EE3851">
      <w:pPr>
        <w:rPr>
          <w:rFonts w:ascii="Times New Roman" w:hAnsi="Times New Roman" w:cs="Times New Roman"/>
        </w:rPr>
      </w:pPr>
      <w:r w:rsidRPr="00EE3851">
        <w:rPr>
          <w:rFonts w:ascii="Times New Roman" w:hAnsi="Times New Roman" w:cs="Times New Roman"/>
        </w:rPr>
        <w:t>Aquila et al (2019) conducted research on virtual methods when analysing a crime scene. A reproduction of the scene was created. The purpose of the research was to demonstrate how the application of 3D models could support a criminal investigation. He argued that this analysis is useful for comparing various techniques and for demonstrating what is most likely to have occurred. He used the 3D application to analyse a crime scene. A murder with an unknown number of suspects was analysed, one suspect had been arrested but investigators were unsure whether there were other persons involved. Scene investigation and Forensic investigation of the victim and the identified</w:t>
      </w:r>
      <w:r w:rsidR="002821FC">
        <w:rPr>
          <w:rFonts w:ascii="Times New Roman" w:hAnsi="Times New Roman" w:cs="Times New Roman"/>
        </w:rPr>
        <w:t xml:space="preserve"> </w:t>
      </w:r>
      <w:r w:rsidRPr="00EE3851">
        <w:rPr>
          <w:rFonts w:ascii="Times New Roman" w:hAnsi="Times New Roman" w:cs="Times New Roman"/>
        </w:rPr>
        <w:t>suspect had been carried out but it had failed to identify the number of offenders. 3D modelling was then used. A series of potential mechanisms of the murder were devised and reproduced in the models. Ten dynamics with different sequences of blows were reproduced. The reconstruction considered the height/weight of the murderer and victim and their mutual positions along with other factors such as injuries received, and the evidence obtained from the crime scene. Different sequences were progressively excluded when they were identified as being incompatible with other evidence. As a result of the reconstruction, it was possible to show that a single killer was involved. This simulation was used in Court as scientific evidence. However, Theoretical models can`t always be applied to the crime scene. There are often unknown variables which must be interpreted c</w:t>
      </w:r>
      <w:r w:rsidR="00D7086B">
        <w:rPr>
          <w:rFonts w:ascii="Times New Roman" w:hAnsi="Times New Roman" w:cs="Times New Roman"/>
        </w:rPr>
        <w:t xml:space="preserve">autiously, Kunz et al (2017).  </w:t>
      </w:r>
    </w:p>
    <w:p w:rsidR="00EE3851" w:rsidRPr="00EE3851" w:rsidRDefault="00EE3851" w:rsidP="00EE3851">
      <w:pPr>
        <w:rPr>
          <w:rFonts w:ascii="Times New Roman" w:hAnsi="Times New Roman" w:cs="Times New Roman"/>
        </w:rPr>
      </w:pPr>
      <w:r w:rsidRPr="00EE3851">
        <w:rPr>
          <w:rFonts w:ascii="Times New Roman" w:hAnsi="Times New Roman" w:cs="Times New Roman"/>
        </w:rPr>
        <w:t xml:space="preserve">The third technique employed related to Footprint analysis. A partial footprint was found in soil in the front top tier garden. A cast of this print was obtained, this involved the filling of a three-dimensional footwear impression with a substance that retained the characteristics that were left by the footprint (Bodziak 1999).  </w:t>
      </w:r>
    </w:p>
    <w:p w:rsidR="00EE3851" w:rsidRPr="00EE3851" w:rsidRDefault="00EE3851" w:rsidP="00EE3851">
      <w:pPr>
        <w:rPr>
          <w:rFonts w:ascii="Times New Roman" w:hAnsi="Times New Roman" w:cs="Times New Roman"/>
        </w:rPr>
      </w:pPr>
      <w:r w:rsidRPr="00EE3851">
        <w:rPr>
          <w:rFonts w:ascii="Times New Roman" w:hAnsi="Times New Roman" w:cs="Times New Roman"/>
        </w:rPr>
        <w:t xml:space="preserve">The relevance and importance of identifying whether this footprint belonged to FP was determined. This is supported by DiMaggio`s (2005) research that footprints are unique to an individual and </w:t>
      </w:r>
      <w:r w:rsidRPr="00EE3851">
        <w:rPr>
          <w:rFonts w:ascii="Times New Roman" w:hAnsi="Times New Roman" w:cs="Times New Roman"/>
        </w:rPr>
        <w:lastRenderedPageBreak/>
        <w:t xml:space="preserve">possess certain peculiar characteristics which can be used in forensic identification. Mr Walker, Head of Podiatry services in Sheffield NHS Hospital was identified as an expert witness. He was asked to examine the size and dimensions of the cast against FP`s post-mortem pictures. He was able to confirm that the impression was in fact a human footprint as it had the characteristics of a human foot. Further comparisons were made. The post-mortem pictures showed that FP had a Hallux Abducto Valgus (a Bunion deformity) on the side of his foot. The characteristics of the cast showed that the person who left the print on the soil also had a bunion. However, I had to take into consideration that there were some characteristics of the cast that were different, the cast appeared narrower than FP`s foot. This could have been due to how much weight he had used when making the footprint. It would be expected that a weight bearing foot would be wider and longer than a non-weight bearing foot. Mr Walker concluded that his examination gave moderate support for his hypothesis that FP`s right foot produced the questioned impression. </w:t>
      </w:r>
    </w:p>
    <w:p w:rsidR="00EE3851" w:rsidRPr="00EE3851" w:rsidRDefault="00EE3851" w:rsidP="00EE3851">
      <w:pPr>
        <w:rPr>
          <w:rFonts w:ascii="Times New Roman" w:hAnsi="Times New Roman" w:cs="Times New Roman"/>
        </w:rPr>
      </w:pPr>
      <w:r w:rsidRPr="00EE3851">
        <w:rPr>
          <w:rFonts w:ascii="Times New Roman" w:hAnsi="Times New Roman" w:cs="Times New Roman"/>
        </w:rPr>
        <w:t xml:space="preserve">Two dimensional footprints are more commonly recovered from a hard surface whereas three-dimensional foot impressions are more commonly recovered from a softer surface such as soil or sand. It is less common to have a three-dimensional foot impression recovered from a crime scene (DiMaggio 2005). The footprint recovered from the scene is referred to as a `questioned` footprint Vernon (2020). To compare questioned footprints to a known source, reference footprints need to be taken from a known person. Ideally a like for like reference footprint or impression made by the person of interest under a range of circumstances (DiMaggio and Vernon, 2011). These can include standing and walking prints, prints from hard or soft surfaces. Footprints or impressions are usually collected from a living person.  </w:t>
      </w:r>
    </w:p>
    <w:p w:rsidR="00EE3851" w:rsidRPr="00EE3851" w:rsidRDefault="00EE3851" w:rsidP="00EE3851">
      <w:pPr>
        <w:rPr>
          <w:rFonts w:ascii="Times New Roman" w:hAnsi="Times New Roman" w:cs="Times New Roman"/>
        </w:rPr>
      </w:pPr>
      <w:r w:rsidRPr="00EE3851">
        <w:rPr>
          <w:rFonts w:ascii="Times New Roman" w:hAnsi="Times New Roman" w:cs="Times New Roman"/>
        </w:rPr>
        <w:t>Methodologies have been established for barefoot print measurements to be compared against two-dimensional footprints. There are several different ways to compare footprints. Vernon et al (2005) outlines the overlay and measurement methods and refers to the validated Reel or Gunn method. The Gunn approach involves lines being drawn from the footprints heel to the foremost aspect of each toe, lines are also drawn across medial and lateral aspects of the footprint. Although the Gunn method is</w:t>
      </w:r>
      <w:r w:rsidR="00D7086B">
        <w:rPr>
          <w:rFonts w:ascii="Times New Roman" w:hAnsi="Times New Roman" w:cs="Times New Roman"/>
        </w:rPr>
        <w:t xml:space="preserve"> </w:t>
      </w:r>
      <w:r w:rsidRPr="00EE3851">
        <w:rPr>
          <w:rFonts w:ascii="Times New Roman" w:hAnsi="Times New Roman" w:cs="Times New Roman"/>
        </w:rPr>
        <w:t xml:space="preserve">widely used, the original research of this method is believed to be unscientific. The overlay method is an entirely different approach and instead of lines relies on the tracing of the outline of footprints along with any features or minute details. DiMaggio introduced terminology to define certain features of the foot even further. The resulting data is then used to form conclusions regarding the relationship between the two footprints, in terms of strength of agreement or disagreement.  </w:t>
      </w:r>
    </w:p>
    <w:p w:rsidR="00EE3851" w:rsidRPr="00EE3851" w:rsidRDefault="00EE3851" w:rsidP="00EE3851">
      <w:pPr>
        <w:rPr>
          <w:rFonts w:ascii="Times New Roman" w:hAnsi="Times New Roman" w:cs="Times New Roman"/>
        </w:rPr>
      </w:pPr>
      <w:r w:rsidRPr="00EE3851">
        <w:rPr>
          <w:rFonts w:ascii="Times New Roman" w:hAnsi="Times New Roman" w:cs="Times New Roman"/>
        </w:rPr>
        <w:t>Although the uniqueness of footprint morphology has not been determined, research relating to two-dimensional footprints has suggested strong individuality can be identified by the shape of a person’s footprint (Kennedy et al, 2005). Research published by Kennedy et al, (2005) determined a probability of 1 in 1.27 billion in terms of two people sharing the same shaped foot, from a database of 24,000 footprints. However, determining this level of individuality is based on comparison of clear fully detai</w:t>
      </w:r>
      <w:r w:rsidR="00053B03">
        <w:rPr>
          <w:rFonts w:ascii="Times New Roman" w:hAnsi="Times New Roman" w:cs="Times New Roman"/>
        </w:rPr>
        <w:t>led two-dimensional footprints. S</w:t>
      </w:r>
      <w:r w:rsidRPr="00EE3851">
        <w:rPr>
          <w:rFonts w:ascii="Times New Roman" w:hAnsi="Times New Roman" w:cs="Times New Roman"/>
        </w:rPr>
        <w:t>uch clarity is rarely found in crime scene prints, this reduces the detail of the print and the strength of evidence. Where there are three-dimensional foot impressions at a crime scene consideration must be given to these limitations when making comparisons of this nature. Two-dimensional footprint analysis and comparison techni</w:t>
      </w:r>
      <w:r w:rsidR="00D7086B">
        <w:rPr>
          <w:rFonts w:ascii="Times New Roman" w:hAnsi="Times New Roman" w:cs="Times New Roman"/>
        </w:rPr>
        <w:t xml:space="preserve">ques are far more successful.  </w:t>
      </w:r>
    </w:p>
    <w:p w:rsidR="00EE3851" w:rsidRPr="00EE3851" w:rsidRDefault="00EE3851" w:rsidP="00EE3851">
      <w:pPr>
        <w:rPr>
          <w:rFonts w:ascii="Times New Roman" w:hAnsi="Times New Roman" w:cs="Times New Roman"/>
        </w:rPr>
      </w:pPr>
      <w:r w:rsidRPr="00EE3851">
        <w:rPr>
          <w:rFonts w:ascii="Times New Roman" w:hAnsi="Times New Roman" w:cs="Times New Roman"/>
        </w:rPr>
        <w:t xml:space="preserve">Footwear and footprint analysis is a vital established technique used in Policing. The results obtained can be contributed to the National Intelligence Model. Footwear marks are obtained in accordance with the footwear Marks Recovery Manual, NPIA (2007).  </w:t>
      </w:r>
    </w:p>
    <w:p w:rsidR="00EE3851" w:rsidRPr="00EE3851" w:rsidRDefault="00EE3851" w:rsidP="00EE3851">
      <w:pPr>
        <w:rPr>
          <w:rFonts w:ascii="Times New Roman" w:hAnsi="Times New Roman" w:cs="Times New Roman"/>
        </w:rPr>
      </w:pPr>
      <w:r w:rsidRPr="00EE3851">
        <w:rPr>
          <w:rFonts w:ascii="Times New Roman" w:hAnsi="Times New Roman" w:cs="Times New Roman"/>
        </w:rPr>
        <w:t xml:space="preserve">I considered all techniques available and decided to employ the use of the Footprint expert in Court as I believed that this evidence would be easily understood. The decision was made that the evidence provide by the Biomechanics expert could become overly complicated and technical.  </w:t>
      </w:r>
    </w:p>
    <w:p w:rsidR="00EE3851" w:rsidRDefault="00EE3851" w:rsidP="00EE3851">
      <w:pPr>
        <w:rPr>
          <w:u w:val="single"/>
        </w:rPr>
      </w:pPr>
      <w:r>
        <w:rPr>
          <w:u w:val="single"/>
        </w:rPr>
        <w:lastRenderedPageBreak/>
        <w:t xml:space="preserve">Word Count - </w:t>
      </w:r>
      <w:r w:rsidRPr="00EE3851">
        <w:rPr>
          <w:u w:val="single"/>
        </w:rPr>
        <w:t>1996</w:t>
      </w:r>
    </w:p>
    <w:p w:rsidR="00E11FD7" w:rsidRDefault="00E11FD7" w:rsidP="00E11FD7">
      <w:pPr>
        <w:rPr>
          <w:u w:val="single"/>
        </w:rPr>
      </w:pPr>
    </w:p>
    <w:p w:rsidR="00D7086B" w:rsidRPr="00D7086B" w:rsidRDefault="00D7086B" w:rsidP="00D7086B">
      <w:pPr>
        <w:rPr>
          <w:u w:val="single"/>
        </w:rPr>
      </w:pPr>
      <w:r w:rsidRPr="00D7086B">
        <w:rPr>
          <w:u w:val="single"/>
        </w:rPr>
        <w:t xml:space="preserve">References – Question 3 </w:t>
      </w:r>
    </w:p>
    <w:p w:rsidR="00D7086B" w:rsidRPr="00D7086B" w:rsidRDefault="00D7086B" w:rsidP="00D7086B">
      <w:r w:rsidRPr="00D7086B">
        <w:t xml:space="preserve">Aquila, I; Sacco, M;Aquila, G, Raffaele, R; Manca,A; Capoccia,G; Cordasco,F &amp; Ricci, P (2019) </w:t>
      </w:r>
      <w:r w:rsidR="00673DF1">
        <w:t>`</w:t>
      </w:r>
      <w:r w:rsidRPr="00D7086B">
        <w:t>The Reconstruction of the Dynamic of a Murder Using 3D Motion Capture and 3D Model Buildings: The Investigation of a Dubious Forensic Case</w:t>
      </w:r>
      <w:r w:rsidR="00673DF1">
        <w:t>`</w:t>
      </w:r>
      <w:r w:rsidRPr="00D7086B">
        <w:t xml:space="preserve">. </w:t>
      </w:r>
      <w:r w:rsidRPr="00673DF1">
        <w:rPr>
          <w:i/>
        </w:rPr>
        <w:t>Journal of forensic science</w:t>
      </w:r>
      <w:r w:rsidRPr="00D7086B">
        <w:t>, Volume 64. P</w:t>
      </w:r>
      <w:r w:rsidR="00673DF1">
        <w:t xml:space="preserve">p </w:t>
      </w:r>
      <w:r w:rsidRPr="00D7086B">
        <w:t xml:space="preserve">1540 – 1543 </w:t>
      </w:r>
    </w:p>
    <w:p w:rsidR="00D7086B" w:rsidRPr="00D7086B" w:rsidRDefault="00D7086B" w:rsidP="00D7086B"/>
    <w:p w:rsidR="00D7086B" w:rsidRPr="00D7086B" w:rsidRDefault="00D7086B" w:rsidP="00D7086B">
      <w:r w:rsidRPr="00D7086B">
        <w:t xml:space="preserve">Bodziak, W (1999) </w:t>
      </w:r>
      <w:r w:rsidRPr="00673DF1">
        <w:rPr>
          <w:i/>
        </w:rPr>
        <w:t>Footwear Impression Evidence: Detection, Recovery and Examination</w:t>
      </w:r>
      <w:r w:rsidR="00673DF1">
        <w:t>, Second E</w:t>
      </w:r>
      <w:r w:rsidRPr="00D7086B">
        <w:t xml:space="preserve">dition. CRC Press. </w:t>
      </w:r>
    </w:p>
    <w:p w:rsidR="00D7086B" w:rsidRPr="00D7086B" w:rsidRDefault="00D7086B" w:rsidP="00D7086B"/>
    <w:p w:rsidR="00D7086B" w:rsidRPr="00D7086B" w:rsidRDefault="00D7086B" w:rsidP="00D7086B">
      <w:r w:rsidRPr="00D7086B">
        <w:t xml:space="preserve">Borum,R &amp; Fulero,S. (1999). </w:t>
      </w:r>
      <w:r w:rsidR="00673DF1">
        <w:t>`</w:t>
      </w:r>
      <w:r w:rsidRPr="00D7086B">
        <w:t>Empirical research on the insanity defense and attempted reforms: Evidence toward informed policy</w:t>
      </w:r>
      <w:r w:rsidR="00673DF1">
        <w:t>`</w:t>
      </w:r>
      <w:r w:rsidRPr="00D7086B">
        <w:t xml:space="preserve">. </w:t>
      </w:r>
      <w:r w:rsidRPr="00673DF1">
        <w:rPr>
          <w:i/>
        </w:rPr>
        <w:t>Law and human behavior</w:t>
      </w:r>
      <w:r w:rsidRPr="00D7086B">
        <w:t>, Volume 23, p.375-394</w:t>
      </w:r>
    </w:p>
    <w:p w:rsidR="00D7086B" w:rsidRPr="00D7086B" w:rsidRDefault="00D7086B" w:rsidP="00D7086B"/>
    <w:p w:rsidR="00D7086B" w:rsidRPr="00D7086B" w:rsidRDefault="00D7086B" w:rsidP="00D7086B">
      <w:r w:rsidRPr="00D7086B">
        <w:t>Brown, M.</w:t>
      </w:r>
      <w:r w:rsidR="00673DF1">
        <w:t xml:space="preserve"> (2019)</w:t>
      </w:r>
      <w:r w:rsidRPr="00D7086B">
        <w:t xml:space="preserve"> </w:t>
      </w:r>
      <w:r w:rsidRPr="00673DF1">
        <w:rPr>
          <w:i/>
        </w:rPr>
        <w:t>Advanced Simtech</w:t>
      </w:r>
      <w:r w:rsidR="00673DF1">
        <w:rPr>
          <w:i/>
        </w:rPr>
        <w:t xml:space="preserve">. </w:t>
      </w:r>
      <w:r w:rsidR="00673DF1" w:rsidRPr="00673DF1">
        <w:t>Available at</w:t>
      </w:r>
      <w:r w:rsidRPr="00673DF1">
        <w:t>: https://advancedsimtech.com</w:t>
      </w:r>
      <w:r w:rsidRPr="00D7086B">
        <w:t>. (Accessed 23/12/2021)</w:t>
      </w:r>
    </w:p>
    <w:p w:rsidR="00D7086B" w:rsidRPr="00D7086B" w:rsidRDefault="00D7086B" w:rsidP="00D7086B"/>
    <w:p w:rsidR="00D7086B" w:rsidRPr="00D7086B" w:rsidRDefault="00D7086B" w:rsidP="00D7086B">
      <w:r w:rsidRPr="00D7086B">
        <w:t xml:space="preserve">Coroners and Justice Act </w:t>
      </w:r>
      <w:r w:rsidR="00A738B0">
        <w:t>(</w:t>
      </w:r>
      <w:r w:rsidRPr="00D7086B">
        <w:t>2009</w:t>
      </w:r>
      <w:r w:rsidR="00A738B0">
        <w:t>) C</w:t>
      </w:r>
      <w:r w:rsidRPr="00D7086B">
        <w:t xml:space="preserve">hapter 1. </w:t>
      </w:r>
      <w:r w:rsidR="00A738B0" w:rsidRPr="00A738B0">
        <w:rPr>
          <w:i/>
        </w:rPr>
        <w:t>Partial defence to murder – loss of control</w:t>
      </w:r>
      <w:r w:rsidR="00A738B0">
        <w:t xml:space="preserve">. </w:t>
      </w:r>
      <w:r w:rsidRPr="00D7086B">
        <w:t>Available at: https://www.Legislation.gov.uk. (Accessed:</w:t>
      </w:r>
      <w:r w:rsidR="00A738B0">
        <w:t xml:space="preserve"> </w:t>
      </w:r>
      <w:r w:rsidRPr="00D7086B">
        <w:t>23/12/2021)</w:t>
      </w:r>
    </w:p>
    <w:p w:rsidR="00D7086B" w:rsidRPr="00D7086B" w:rsidRDefault="00D7086B" w:rsidP="00D7086B"/>
    <w:p w:rsidR="00D7086B" w:rsidRPr="00D7086B" w:rsidRDefault="00D7086B" w:rsidP="00D7086B">
      <w:r w:rsidRPr="00D7086B">
        <w:t>Crown Prosecution Service Legal guidelines</w:t>
      </w:r>
      <w:r w:rsidR="00A738B0">
        <w:t xml:space="preserve"> (2019)</w:t>
      </w:r>
      <w:r w:rsidRPr="00D7086B">
        <w:t xml:space="preserve">. </w:t>
      </w:r>
      <w:r w:rsidRPr="00A738B0">
        <w:rPr>
          <w:i/>
        </w:rPr>
        <w:t>Homicide: Murder and Manslaughter</w:t>
      </w:r>
      <w:r w:rsidRPr="00D7086B">
        <w:t>. Available at https://www.cps.gov.uk (Accessed:23/12/2021)</w:t>
      </w:r>
    </w:p>
    <w:p w:rsidR="00D7086B" w:rsidRPr="00D7086B" w:rsidRDefault="00D7086B" w:rsidP="00D7086B"/>
    <w:p w:rsidR="00D7086B" w:rsidRPr="00D7086B" w:rsidRDefault="00D7086B" w:rsidP="00D7086B">
      <w:r w:rsidRPr="00D7086B">
        <w:t xml:space="preserve">DiMaggio, J. (2005) </w:t>
      </w:r>
      <w:r w:rsidRPr="00A738B0">
        <w:rPr>
          <w:i/>
        </w:rPr>
        <w:t>The role of feet and footwear in medicolegal investigations. Forensic Medicine of the Lower Extremity</w:t>
      </w:r>
      <w:r w:rsidRPr="00D7086B">
        <w:t>. 1st ed. Totowa, NJ: Humana Press</w:t>
      </w:r>
    </w:p>
    <w:p w:rsidR="00D7086B" w:rsidRPr="00D7086B" w:rsidRDefault="00D7086B" w:rsidP="00D7086B"/>
    <w:p w:rsidR="00D7086B" w:rsidRPr="00D7086B" w:rsidRDefault="00D7086B" w:rsidP="00D7086B">
      <w:r w:rsidRPr="00D7086B">
        <w:t xml:space="preserve">DiMaggio, J &amp; Vernon, W. (2011). </w:t>
      </w:r>
      <w:r w:rsidRPr="00A738B0">
        <w:rPr>
          <w:i/>
        </w:rPr>
        <w:t>Forensic Podiatry: Principles and Methods</w:t>
      </w:r>
      <w:r w:rsidR="00A738B0">
        <w:t>. England,</w:t>
      </w:r>
      <w:r w:rsidRPr="00D7086B">
        <w:t xml:space="preserve"> Humana Press.</w:t>
      </w:r>
    </w:p>
    <w:p w:rsidR="00D7086B" w:rsidRPr="00D7086B" w:rsidRDefault="00D7086B" w:rsidP="00D7086B"/>
    <w:p w:rsidR="00D7086B" w:rsidRPr="00D7086B" w:rsidRDefault="00D7086B" w:rsidP="00D7086B">
      <w:r w:rsidRPr="00D7086B">
        <w:t xml:space="preserve">Edwards, S. (2010) </w:t>
      </w:r>
      <w:r w:rsidR="00A738B0">
        <w:t>`</w:t>
      </w:r>
      <w:r w:rsidRPr="00D7086B">
        <w:t>Anger and Fear ar</w:t>
      </w:r>
      <w:r w:rsidR="00A738B0">
        <w:t>e</w:t>
      </w:r>
      <w:r w:rsidRPr="00D7086B">
        <w:t xml:space="preserve"> Justifiable Preludes for loss of self-control</w:t>
      </w:r>
      <w:r w:rsidR="00A738B0">
        <w:t>`</w:t>
      </w:r>
      <w:r w:rsidRPr="00D7086B">
        <w:t xml:space="preserve">. </w:t>
      </w:r>
      <w:r w:rsidRPr="00A738B0">
        <w:rPr>
          <w:i/>
        </w:rPr>
        <w:t>Journal of criminal law</w:t>
      </w:r>
      <w:r w:rsidR="00A738B0">
        <w:t xml:space="preserve"> (Hertford). Volume 74 Pp</w:t>
      </w:r>
      <w:r w:rsidRPr="00D7086B">
        <w:t xml:space="preserve"> 223-241 </w:t>
      </w:r>
    </w:p>
    <w:p w:rsidR="00D7086B" w:rsidRPr="00D7086B" w:rsidRDefault="00D7086B" w:rsidP="00D7086B"/>
    <w:p w:rsidR="00D7086B" w:rsidRPr="00D7086B" w:rsidRDefault="00D7086B" w:rsidP="00D7086B">
      <w:r w:rsidRPr="00D7086B">
        <w:t>Kennedy, R; Chen, S; Pressman, I &amp; Yamashita</w:t>
      </w:r>
      <w:r w:rsidR="00A738B0">
        <w:t>,</w:t>
      </w:r>
      <w:r w:rsidRPr="00D7086B">
        <w:t xml:space="preserve"> A (2005). </w:t>
      </w:r>
      <w:r w:rsidR="00A738B0">
        <w:t>`</w:t>
      </w:r>
      <w:r w:rsidRPr="00D7086B">
        <w:t>Large-Scale Statistical Analysis of Barefoot Impressions</w:t>
      </w:r>
      <w:r w:rsidR="00A738B0">
        <w:t>`</w:t>
      </w:r>
      <w:r w:rsidRPr="00D7086B">
        <w:t>. J</w:t>
      </w:r>
      <w:r w:rsidRPr="00A738B0">
        <w:rPr>
          <w:i/>
        </w:rPr>
        <w:t>ournal of Forensic Sciences</w:t>
      </w:r>
      <w:r w:rsidRPr="00D7086B">
        <w:t xml:space="preserve">, </w:t>
      </w:r>
      <w:r w:rsidR="00A738B0">
        <w:t xml:space="preserve">Pp </w:t>
      </w:r>
      <w:r w:rsidRPr="00D7086B">
        <w:t xml:space="preserve">1071 - 80 </w:t>
      </w:r>
    </w:p>
    <w:p w:rsidR="00D7086B" w:rsidRPr="00D7086B" w:rsidRDefault="00D7086B" w:rsidP="00D7086B"/>
    <w:p w:rsidR="00D7086B" w:rsidRPr="00D7086B" w:rsidRDefault="00D7086B" w:rsidP="00D7086B">
      <w:r w:rsidRPr="00D7086B">
        <w:t xml:space="preserve">Kunz, S; Graw, M; Adamec, J. (2017) </w:t>
      </w:r>
      <w:r w:rsidR="00A738B0">
        <w:t>`</w:t>
      </w:r>
      <w:r w:rsidRPr="00D7086B">
        <w:t>A proclaimed accidental fall of an infant – an experimental case reconstruction study</w:t>
      </w:r>
      <w:r w:rsidR="00A738B0">
        <w:t>`</w:t>
      </w:r>
      <w:r w:rsidRPr="00D7086B">
        <w:t>.</w:t>
      </w:r>
      <w:r w:rsidRPr="00A738B0">
        <w:rPr>
          <w:i/>
        </w:rPr>
        <w:t xml:space="preserve"> </w:t>
      </w:r>
      <w:r w:rsidR="00A738B0" w:rsidRPr="00A738B0">
        <w:rPr>
          <w:i/>
        </w:rPr>
        <w:t>International</w:t>
      </w:r>
      <w:r w:rsidRPr="00A738B0">
        <w:rPr>
          <w:i/>
        </w:rPr>
        <w:t xml:space="preserve"> journal of legal medicine,</w:t>
      </w:r>
      <w:r w:rsidRPr="00D7086B">
        <w:t xml:space="preserve"> Volume 132</w:t>
      </w:r>
      <w:r w:rsidR="00A738B0">
        <w:t>. Issue 1</w:t>
      </w:r>
      <w:r w:rsidRPr="00D7086B">
        <w:t xml:space="preserve"> </w:t>
      </w:r>
      <w:r w:rsidR="00A738B0">
        <w:t>P</w:t>
      </w:r>
      <w:r w:rsidRPr="00D7086B">
        <w:t xml:space="preserve">p 205-210 </w:t>
      </w:r>
    </w:p>
    <w:p w:rsidR="00D7086B" w:rsidRPr="00D7086B" w:rsidRDefault="00D7086B" w:rsidP="00D7086B"/>
    <w:p w:rsidR="00D7086B" w:rsidRPr="00D7086B" w:rsidRDefault="00D7086B" w:rsidP="00D7086B">
      <w:r w:rsidRPr="00D7086B">
        <w:t xml:space="preserve">National Policing Improvement Agency (2007) </w:t>
      </w:r>
      <w:r w:rsidRPr="00E854DB">
        <w:rPr>
          <w:i/>
        </w:rPr>
        <w:t>Footwear Marks Recovery Manual</w:t>
      </w:r>
      <w:r w:rsidRPr="00D7086B">
        <w:t xml:space="preserve">. Available at: https://library.college.police.uk/docs/appref/NPIA-(2007)-Footwear-Marks-Recovery-Manual.pdf. (Accessed 24/12/2021) </w:t>
      </w:r>
    </w:p>
    <w:p w:rsidR="00D7086B" w:rsidRPr="00D7086B" w:rsidRDefault="00D7086B" w:rsidP="00D7086B"/>
    <w:p w:rsidR="00D7086B" w:rsidRPr="00D7086B" w:rsidRDefault="00D7086B" w:rsidP="00D7086B">
      <w:r w:rsidRPr="00D7086B">
        <w:t xml:space="preserve">MacIntyre,M; Darby,W; Sones,A; Li,J; Leong,G &amp; Weinstock, R (2021) </w:t>
      </w:r>
      <w:r w:rsidR="00E854DB">
        <w:t>`</w:t>
      </w:r>
      <w:r w:rsidRPr="00D7086B">
        <w:t xml:space="preserve">Voluntary intoxication, homicide and </w:t>
      </w:r>
      <w:r w:rsidRPr="00E854DB">
        <w:rPr>
          <w:i/>
        </w:rPr>
        <w:t>mens</w:t>
      </w:r>
      <w:r w:rsidRPr="00D7086B">
        <w:t xml:space="preserve"> rea: Past, present and future</w:t>
      </w:r>
      <w:r w:rsidR="00E854DB">
        <w:t>`</w:t>
      </w:r>
      <w:r w:rsidRPr="00D7086B">
        <w:t xml:space="preserve">. </w:t>
      </w:r>
      <w:r w:rsidRPr="00E854DB">
        <w:rPr>
          <w:i/>
        </w:rPr>
        <w:t>Behavioural sciences and the law</w:t>
      </w:r>
      <w:r w:rsidRPr="00D7086B">
        <w:t xml:space="preserve">. Volume 39 </w:t>
      </w:r>
      <w:r w:rsidR="00E854DB">
        <w:t>P</w:t>
      </w:r>
      <w:r w:rsidRPr="00D7086B">
        <w:t xml:space="preserve">p 150-169 </w:t>
      </w:r>
    </w:p>
    <w:p w:rsidR="00D7086B" w:rsidRPr="00D7086B" w:rsidRDefault="00D7086B" w:rsidP="00D7086B"/>
    <w:p w:rsidR="00D7086B" w:rsidRPr="00D7086B" w:rsidRDefault="00D7086B" w:rsidP="00D7086B">
      <w:r w:rsidRPr="00D7086B">
        <w:t xml:space="preserve">McGorrery, P and McMahon, M. (2019) </w:t>
      </w:r>
      <w:r w:rsidR="00E854DB">
        <w:t>`</w:t>
      </w:r>
      <w:r w:rsidRPr="00D7086B">
        <w:t>Causing someone else to commit suicide: Incitement or manslaughter?</w:t>
      </w:r>
      <w:r w:rsidR="00E854DB">
        <w:t>`</w:t>
      </w:r>
      <w:r w:rsidRPr="00D7086B">
        <w:t xml:space="preserve">. </w:t>
      </w:r>
      <w:r w:rsidRPr="00E854DB">
        <w:rPr>
          <w:i/>
        </w:rPr>
        <w:t>Alternative Law Journal</w:t>
      </w:r>
      <w:r w:rsidRPr="00D7086B">
        <w:t xml:space="preserve">. Volume 44 (10) Pp 23-28 </w:t>
      </w:r>
    </w:p>
    <w:p w:rsidR="00D7086B" w:rsidRPr="00D7086B" w:rsidRDefault="00D7086B" w:rsidP="00D7086B"/>
    <w:p w:rsidR="00D7086B" w:rsidRPr="00D7086B" w:rsidRDefault="00D7086B" w:rsidP="00D7086B">
      <w:r w:rsidRPr="00D7086B">
        <w:t xml:space="preserve">Quirk, H (2005) </w:t>
      </w:r>
      <w:r w:rsidR="00E672EE">
        <w:t>`</w:t>
      </w:r>
      <w:r w:rsidRPr="00D7086B">
        <w:t>Rethinking the Reasonable person: An Egalitarian Reconstruction of the Objective standard, by Mayo Moran</w:t>
      </w:r>
      <w:r w:rsidR="00E672EE">
        <w:t>`</w:t>
      </w:r>
      <w:r w:rsidRPr="00D7086B">
        <w:t xml:space="preserve">. </w:t>
      </w:r>
      <w:r w:rsidRPr="00E672EE">
        <w:rPr>
          <w:i/>
        </w:rPr>
        <w:t>British journal of criminology</w:t>
      </w:r>
      <w:r w:rsidRPr="00D7086B">
        <w:t xml:space="preserve"> Vol</w:t>
      </w:r>
      <w:r w:rsidR="00E672EE">
        <w:t>ume</w:t>
      </w:r>
      <w:r w:rsidRPr="00D7086B">
        <w:t xml:space="preserve"> 45. P 408 – 411  </w:t>
      </w:r>
    </w:p>
    <w:p w:rsidR="00D7086B" w:rsidRPr="00D7086B" w:rsidRDefault="00D7086B" w:rsidP="00D7086B"/>
    <w:p w:rsidR="00D7086B" w:rsidRPr="00D7086B" w:rsidRDefault="00D7086B" w:rsidP="00D7086B">
      <w:r w:rsidRPr="00D7086B">
        <w:t xml:space="preserve">Sayre,F (1932) Mens Rea. Havard law review. Volume 45 (6) Pp 974- 1026 </w:t>
      </w:r>
    </w:p>
    <w:p w:rsidR="00D7086B" w:rsidRPr="00D7086B" w:rsidRDefault="00D7086B" w:rsidP="00D7086B"/>
    <w:p w:rsidR="00D7086B" w:rsidRPr="00D7086B" w:rsidRDefault="00D7086B" w:rsidP="00D7086B">
      <w:r w:rsidRPr="00D7086B">
        <w:t>Taylor,M; Laber,T; Kish,P; Owens,G &amp; Osborne, N</w:t>
      </w:r>
      <w:r w:rsidR="00E672EE">
        <w:t xml:space="preserve"> (2016) `</w:t>
      </w:r>
      <w:r w:rsidRPr="00D7086B">
        <w:t>The Reliability of pattern classification in blood pattern analysis, Part 1. Bloodstain patterns on rigid non-absorbent surfaces</w:t>
      </w:r>
      <w:r w:rsidR="00E672EE">
        <w:t>`</w:t>
      </w:r>
      <w:r w:rsidRPr="00D7086B">
        <w:t xml:space="preserve">. </w:t>
      </w:r>
      <w:r w:rsidRPr="00E672EE">
        <w:rPr>
          <w:i/>
        </w:rPr>
        <w:t>Journal of fore</w:t>
      </w:r>
      <w:r w:rsidR="00E672EE">
        <w:rPr>
          <w:i/>
        </w:rPr>
        <w:t>n</w:t>
      </w:r>
      <w:r w:rsidRPr="00E672EE">
        <w:rPr>
          <w:i/>
        </w:rPr>
        <w:t>sic sciences</w:t>
      </w:r>
      <w:r w:rsidRPr="00D7086B">
        <w:t>, Volume 61. P</w:t>
      </w:r>
      <w:r w:rsidR="00E672EE">
        <w:t>p</w:t>
      </w:r>
      <w:r w:rsidRPr="00D7086B">
        <w:t xml:space="preserve"> 922-927</w:t>
      </w:r>
    </w:p>
    <w:p w:rsidR="00D7086B" w:rsidRPr="00D7086B" w:rsidRDefault="00D7086B" w:rsidP="00D7086B"/>
    <w:p w:rsidR="00D7086B" w:rsidRDefault="00D7086B" w:rsidP="00D7086B">
      <w:r w:rsidRPr="00D7086B">
        <w:t xml:space="preserve">Vernon,W; Borthwick,A; Farndon,L; Nancarrow,S &amp; Walker,J (2005) </w:t>
      </w:r>
      <w:r w:rsidR="00E672EE">
        <w:t>`</w:t>
      </w:r>
      <w:r w:rsidRPr="00D7086B">
        <w:t>Issues of podiatry status in the UK</w:t>
      </w:r>
      <w:r w:rsidR="00E672EE">
        <w:t>`</w:t>
      </w:r>
      <w:r w:rsidRPr="00D7086B">
        <w:t>.</w:t>
      </w:r>
      <w:r w:rsidRPr="00E672EE">
        <w:rPr>
          <w:i/>
        </w:rPr>
        <w:t xml:space="preserve"> British Journal of Podiatry</w:t>
      </w:r>
      <w:r w:rsidRPr="00D7086B">
        <w:t>. Volume 8. P</w:t>
      </w:r>
      <w:r w:rsidR="00E672EE">
        <w:t>p</w:t>
      </w:r>
      <w:r w:rsidRPr="00D7086B">
        <w:t xml:space="preserve"> 6–10 </w:t>
      </w:r>
    </w:p>
    <w:p w:rsidR="00E672EE" w:rsidRPr="00D7086B" w:rsidRDefault="00E672EE" w:rsidP="00D7086B"/>
    <w:p w:rsidR="00D7086B" w:rsidRPr="00D7086B" w:rsidRDefault="00D7086B" w:rsidP="00D7086B">
      <w:r w:rsidRPr="00D7086B">
        <w:t xml:space="preserve">Vernon,W; Reel,S 7 Howsam, N (2020) </w:t>
      </w:r>
      <w:r w:rsidR="00E672EE">
        <w:t>`</w:t>
      </w:r>
      <w:r w:rsidRPr="00D7086B">
        <w:t>Examination and Interpretation of Bare Footprints in Forensic Investigations</w:t>
      </w:r>
      <w:r w:rsidR="00E672EE">
        <w:t>`</w:t>
      </w:r>
      <w:r w:rsidRPr="00D7086B">
        <w:t xml:space="preserve">. </w:t>
      </w:r>
      <w:r w:rsidRPr="00E672EE">
        <w:rPr>
          <w:i/>
        </w:rPr>
        <w:t>Research and Reports in Forensic Medical science</w:t>
      </w:r>
      <w:r w:rsidR="00E672EE">
        <w:t>, Volume 10. Pp</w:t>
      </w:r>
      <w:r w:rsidRPr="00D7086B">
        <w:t xml:space="preserve"> 1</w:t>
      </w:r>
    </w:p>
    <w:p w:rsidR="00D7086B" w:rsidRPr="00D7086B" w:rsidRDefault="00D7086B" w:rsidP="00D7086B"/>
    <w:p w:rsidR="00D7086B" w:rsidRPr="00D7086B" w:rsidRDefault="00D7086B" w:rsidP="00D7086B">
      <w:r w:rsidRPr="00D7086B">
        <w:t xml:space="preserve">Weinstock,R; Leong, G &amp; Silva, J (1996) </w:t>
      </w:r>
      <w:r w:rsidR="00E672EE">
        <w:t>`</w:t>
      </w:r>
      <w:r w:rsidRPr="00D7086B">
        <w:t>California's diminished capacity defense</w:t>
      </w:r>
      <w:r w:rsidR="00E672EE">
        <w:t>`</w:t>
      </w:r>
      <w:r w:rsidRPr="00E672EE">
        <w:rPr>
          <w:i/>
        </w:rPr>
        <w:t xml:space="preserve"> Evolution and transformation</w:t>
      </w:r>
      <w:r w:rsidRPr="00D7086B">
        <w:t xml:space="preserve">. Volume 24. Number 3. </w:t>
      </w:r>
    </w:p>
    <w:p w:rsidR="00D7086B" w:rsidRPr="00D7086B" w:rsidRDefault="00D7086B" w:rsidP="00D7086B">
      <w:pPr>
        <w:rPr>
          <w:u w:val="single"/>
        </w:rPr>
      </w:pPr>
    </w:p>
    <w:p w:rsidR="00D7086B" w:rsidRDefault="00D7086B" w:rsidP="00E11FD7">
      <w:pPr>
        <w:rPr>
          <w:u w:val="single"/>
        </w:rPr>
      </w:pPr>
    </w:p>
    <w:p w:rsidR="00E11FD7" w:rsidRDefault="00E11FD7" w:rsidP="00E11FD7">
      <w:pPr>
        <w:rPr>
          <w:u w:val="single"/>
        </w:rPr>
      </w:pPr>
    </w:p>
    <w:p w:rsidR="00E11FD7" w:rsidRDefault="00E11FD7" w:rsidP="00E11FD7">
      <w:pPr>
        <w:rPr>
          <w:u w:val="single"/>
        </w:rPr>
      </w:pPr>
    </w:p>
    <w:p w:rsidR="00E11FD7" w:rsidRDefault="00E11FD7" w:rsidP="00E11FD7">
      <w:pPr>
        <w:rPr>
          <w:u w:val="single"/>
        </w:rPr>
      </w:pPr>
    </w:p>
    <w:p w:rsidR="00E11FD7" w:rsidRPr="00E11FD7" w:rsidRDefault="00E11FD7" w:rsidP="00E11FD7">
      <w:pPr>
        <w:rPr>
          <w:u w:val="single"/>
        </w:rPr>
      </w:pPr>
      <w:r w:rsidRPr="00E11FD7">
        <w:rPr>
          <w:u w:val="single"/>
        </w:rPr>
        <w:t xml:space="preserve">QUESTION 4  </w:t>
      </w:r>
    </w:p>
    <w:p w:rsidR="00E11FD7" w:rsidRDefault="00E11FD7" w:rsidP="00E11FD7">
      <w:r>
        <w:lastRenderedPageBreak/>
        <w:t xml:space="preserve">Research and critically analyse current theories and methodologies relevant to your own specified area of investigation. (e.g., use of specialist interviewing techniques, crime scene management, </w:t>
      </w:r>
      <w:r>
        <w:t xml:space="preserve">NDM). </w:t>
      </w:r>
    </w:p>
    <w:p w:rsidR="00E11FD7" w:rsidRDefault="00E11FD7" w:rsidP="00E11FD7">
      <w:r>
        <w:t xml:space="preserve">Evaluate the importance of applying skills, knowledge and experience to reach appropriate investigative outcomes.  </w:t>
      </w:r>
    </w:p>
    <w:p w:rsidR="00E11FD7" w:rsidRDefault="00E11FD7" w:rsidP="00E11FD7"/>
    <w:p w:rsidR="00E11FD7" w:rsidRDefault="00E11FD7" w:rsidP="00E11FD7">
      <w:pPr>
        <w:rPr>
          <w:u w:val="single"/>
        </w:rPr>
      </w:pPr>
    </w:p>
    <w:p w:rsidR="00E11FD7" w:rsidRDefault="00E11FD7" w:rsidP="00E11FD7">
      <w:pPr>
        <w:rPr>
          <w:u w:val="single"/>
        </w:rPr>
      </w:pPr>
    </w:p>
    <w:p w:rsidR="00E11FD7" w:rsidRDefault="00E11FD7" w:rsidP="00E11FD7">
      <w:pPr>
        <w:rPr>
          <w:u w:val="single"/>
        </w:rPr>
      </w:pPr>
    </w:p>
    <w:p w:rsidR="00E11FD7" w:rsidRDefault="00E11FD7" w:rsidP="00E11FD7">
      <w:pPr>
        <w:rPr>
          <w:u w:val="single"/>
        </w:rPr>
      </w:pPr>
    </w:p>
    <w:p w:rsidR="00E11FD7" w:rsidRDefault="00E11FD7" w:rsidP="00E11FD7">
      <w:pPr>
        <w:rPr>
          <w:u w:val="single"/>
        </w:rPr>
      </w:pPr>
    </w:p>
    <w:p w:rsidR="00E11FD7" w:rsidRPr="00E11FD7" w:rsidRDefault="00E11FD7" w:rsidP="00E11FD7">
      <w:pPr>
        <w:rPr>
          <w:u w:val="single"/>
        </w:rPr>
      </w:pPr>
      <w:r>
        <w:rPr>
          <w:u w:val="single"/>
        </w:rPr>
        <w:t xml:space="preserve">QUESTION 5  </w:t>
      </w:r>
    </w:p>
    <w:p w:rsidR="00E11FD7" w:rsidRDefault="00E11FD7" w:rsidP="00E11FD7">
      <w:r>
        <w:t>P</w:t>
      </w:r>
      <w:r>
        <w:t xml:space="preserve">ersonal Development Plan (PDP) </w:t>
      </w:r>
    </w:p>
    <w:p w:rsidR="00E11FD7" w:rsidRDefault="00E11FD7" w:rsidP="00E11FD7">
      <w:r>
        <w:t xml:space="preserve">As part of your reflective process, please use this table to aid you in identifying the next steps for development. Consider using SMART as part of your answer. </w:t>
      </w:r>
    </w:p>
    <w:p w:rsidR="00EC55BB" w:rsidRDefault="00EC55BB" w:rsidP="00E11FD7"/>
    <w:p w:rsidR="00EC55BB" w:rsidRPr="00EC55BB" w:rsidRDefault="00EC55BB" w:rsidP="00EC55BB">
      <w:pPr>
        <w:rPr>
          <w:rFonts w:ascii="Times New Roman" w:hAnsi="Times New Roman" w:cs="Times New Roman"/>
        </w:rPr>
      </w:pPr>
      <w:r w:rsidRPr="00EC55BB">
        <w:rPr>
          <w:rFonts w:ascii="Times New Roman" w:hAnsi="Times New Roman" w:cs="Times New Roman"/>
        </w:rPr>
        <w:t xml:space="preserve">I have decided to make three personal developmental plans. They include both short term and long-term goals.    </w:t>
      </w:r>
    </w:p>
    <w:p w:rsidR="00EC55BB" w:rsidRPr="00EC55BB" w:rsidRDefault="00EC55BB" w:rsidP="00EC55BB">
      <w:pPr>
        <w:rPr>
          <w:rFonts w:ascii="Times New Roman" w:hAnsi="Times New Roman" w:cs="Times New Roman"/>
        </w:rPr>
      </w:pPr>
      <w:r w:rsidRPr="00EC55BB">
        <w:rPr>
          <w:rFonts w:ascii="Times New Roman" w:hAnsi="Times New Roman" w:cs="Times New Roman"/>
        </w:rPr>
        <w:t xml:space="preserve">I will use SMART to assist me in developing my plans. The SMART mnemonic was developed by corporate planner George Doran (1981) and is used as a tool to assist with setting goals and objectives. It includes elements such as being specific, focusing on a defined area for improvement and being realistic. Also being measurable, quantifying, or proposing a progress indicator. It is assignable, so you can specify who will do it. Being realistic, indicating what results can realistically be accomplished given the available resources, and finally, being time-related, expressing when the goals can be attained. Focus should not be placed on the objective alone. It is the combination of the objective and action plan that is important. It is worth noting that not all plans have five objectives.  </w:t>
      </w:r>
    </w:p>
    <w:p w:rsidR="00EC55BB" w:rsidRPr="00EC55BB" w:rsidRDefault="00EC55BB" w:rsidP="00EC55BB">
      <w:pPr>
        <w:rPr>
          <w:rFonts w:ascii="Times New Roman" w:hAnsi="Times New Roman" w:cs="Times New Roman"/>
        </w:rPr>
      </w:pPr>
      <w:r w:rsidRPr="00EC55BB">
        <w:rPr>
          <w:rFonts w:ascii="Times New Roman" w:hAnsi="Times New Roman" w:cs="Times New Roman"/>
        </w:rPr>
        <w:t xml:space="preserve">Doran wrote about management objectives and suggested that goals be assigned to a specific person. People still utilise the SMART criteria today, but instead of having the goals set for them, they set themselves their own objectives. Research by Rubin (2002) has suggested that goals should be set based on some representation of these letters. The word assignable is frequently replaced with achievable. After changing the term achievable, the word realistic can be replaced with relevant.  </w:t>
      </w:r>
    </w:p>
    <w:p w:rsidR="00EC55BB" w:rsidRPr="00EC55BB" w:rsidRDefault="00EC55BB" w:rsidP="00EC55BB">
      <w:pPr>
        <w:rPr>
          <w:rFonts w:ascii="Times New Roman" w:hAnsi="Times New Roman" w:cs="Times New Roman"/>
        </w:rPr>
      </w:pPr>
      <w:r w:rsidRPr="00EC55BB">
        <w:rPr>
          <w:rFonts w:ascii="Times New Roman" w:hAnsi="Times New Roman" w:cs="Times New Roman"/>
        </w:rPr>
        <w:t xml:space="preserve">My first plan relates to completing the Welsh Sylfaen course. This is a course that began in January 2021, I set this objective for myself because I wanted to improve my Welsh language skills. I believe that accomplishing this goal will benefit me not only in my personal life, but also in the workplace and for any positions that I may apply for in the future. This was a self-generated objective that I had wanted to undertake for some time but had not had the opportunity to do so. Objectives that are self-generated are more likely to result in greater commitment than goals that are set by others, according to Deci and Ryan's (1985) research on self-determination theory. To achieve this goal, understand that I will need to remain committed and practise whenever possible. When I am thinking about an English sentence, I try to work out how I would phrase it in Welsh instead. Every Thursday, I attend a 3-hour online session and complete the homework and online preparation work beforehand. My </w:t>
      </w:r>
      <w:r w:rsidRPr="00EC55BB">
        <w:rPr>
          <w:rFonts w:ascii="Times New Roman" w:hAnsi="Times New Roman" w:cs="Times New Roman"/>
        </w:rPr>
        <w:lastRenderedPageBreak/>
        <w:t xml:space="preserve">knowledge and understanding is assessed by my Welsh Tutor, who has scheduled termly one-on-one sessions with everyone on the course to discuss our progress. Learners gain from formative feedback that informs them of their progress toward their goals in order for their goals to be realistic (Day and Tosey 2011). I am realistic about this task because I know it will be difficult to commit to. I work full-time, am in the middle of a degree course, and am responsible for two children and a home. I understand that in order to complete the Welsh course successfully, I must commit to attending every Thursday lesson; missing even one lesson would be detrimental. I need to make sure that I complete all assigned work and that I complete the personal goals that I have set for myself, such as doing Duolingo exercises every day, watching YouTube videos, and speaking Welsh to friends, colleagues, and my own children whenever feasible.  </w:t>
      </w:r>
    </w:p>
    <w:p w:rsidR="00EC55BB" w:rsidRPr="00EC55BB" w:rsidRDefault="00EC55BB" w:rsidP="00EC55BB">
      <w:pPr>
        <w:rPr>
          <w:rFonts w:ascii="Times New Roman" w:hAnsi="Times New Roman" w:cs="Times New Roman"/>
        </w:rPr>
      </w:pPr>
      <w:r w:rsidRPr="00EC55BB">
        <w:rPr>
          <w:rFonts w:ascii="Times New Roman" w:hAnsi="Times New Roman" w:cs="Times New Roman"/>
        </w:rPr>
        <w:t xml:space="preserve">The knowledge gained will be measured and assessed, as I will be required to take a WJEC oral and written exam at the end of the year. I will be able to enrol for the Canolradd level if I pass these exams.  Bandura's (1997) research states that progress toward more specific goals is easier to verify. My overall goal is to attend classes as often as possible and to sit the end-of-year exam. I will continue working toward this aim, and hopefully, I will see progress and my Welsh will improve. According to Locke and Latham (1990), research data supports the assumption that goal-setting techniques work and work well.   </w:t>
      </w:r>
    </w:p>
    <w:p w:rsidR="00EC55BB" w:rsidRPr="00EC55BB" w:rsidRDefault="00EC55BB" w:rsidP="00EC55BB">
      <w:pPr>
        <w:rPr>
          <w:rFonts w:ascii="Times New Roman" w:hAnsi="Times New Roman" w:cs="Times New Roman"/>
        </w:rPr>
      </w:pPr>
      <w:r w:rsidRPr="00EC55BB">
        <w:rPr>
          <w:rFonts w:ascii="Times New Roman" w:hAnsi="Times New Roman" w:cs="Times New Roman"/>
        </w:rPr>
        <w:t xml:space="preserve">My second developmental plan is to achieve a work-related goal. Last year, I completed the suspect interview training. My specific aim is to strengthen my interviewing abilities, which I plan to accomplish by volunteering to conduct more suspect interviews. As a result, my confidence will increase, and my knowledge and abilities will improve. Due to other work commitments and my personal availability, I have not had the opportunity to complete many interviews. Volunteering to interview a murder suspect would require me to be available for three to four days in a row, which is not always possible, owing to childcare obligations.  </w:t>
      </w:r>
    </w:p>
    <w:p w:rsidR="00EC55BB" w:rsidRPr="00EC55BB" w:rsidRDefault="00EC55BB" w:rsidP="00EC55BB">
      <w:pPr>
        <w:rPr>
          <w:rFonts w:ascii="Times New Roman" w:hAnsi="Times New Roman" w:cs="Times New Roman"/>
        </w:rPr>
      </w:pPr>
      <w:r w:rsidRPr="00EC55BB">
        <w:rPr>
          <w:rFonts w:ascii="Times New Roman" w:hAnsi="Times New Roman" w:cs="Times New Roman"/>
        </w:rPr>
        <w:t xml:space="preserve">I will be able to measure this goal in two ways: personally, the more interviews I conduct, the more my confidence will grow, and professionally, interview advisors will monitor interviews that I conduct and will be able to go through the interviews with me to provide feedback and will recommend when I will be able to conduct more challenging interviews in the future based on the interview they have assessed. This will allow me to reflect on the interview that I have conducted and would be a good indicator of my progress. In order to engage students in their learning, encouraging reflection and providing feedback are considered highly beneficial (Bullock and Wikeley 2008). My colleagues who have completed the interview course will be able to offer support, knowledge, and experience. I could get guidance from the force interview advisor and interview trainers if necessary.   </w:t>
      </w:r>
    </w:p>
    <w:p w:rsidR="00EC55BB" w:rsidRPr="00EC55BB" w:rsidRDefault="00EC55BB" w:rsidP="00EC55BB">
      <w:pPr>
        <w:rPr>
          <w:rFonts w:ascii="Times New Roman" w:hAnsi="Times New Roman" w:cs="Times New Roman"/>
        </w:rPr>
      </w:pPr>
      <w:r w:rsidRPr="00EC55BB">
        <w:rPr>
          <w:rFonts w:ascii="Times New Roman" w:hAnsi="Times New Roman" w:cs="Times New Roman"/>
        </w:rPr>
        <w:t>I am realistic and recognise that I will not always be available to conduct these interviews; but, in order to improve, I recognise that I must make time or better organise my time in order to provide myself with these opportunities. This year, I completed my Personal Development Review (PDR)</w:t>
      </w:r>
      <w:r>
        <w:rPr>
          <w:rFonts w:ascii="Times New Roman" w:hAnsi="Times New Roman" w:cs="Times New Roman"/>
        </w:rPr>
        <w:t xml:space="preserve"> </w:t>
      </w:r>
      <w:r w:rsidRPr="00EC55BB">
        <w:rPr>
          <w:rFonts w:ascii="Times New Roman" w:hAnsi="Times New Roman" w:cs="Times New Roman"/>
        </w:rPr>
        <w:t xml:space="preserve">and updated it to request that I be considered for any interviewing opportunities that may arise. My supervisors are aware of my plan. Personally, I have spoken to family members and advised them that in order to achieve this objective, I may require childcare support. All the parties with whom I have communicated have shown their willingness to help me achieve my aim. I have established a realistic personal goal for myself: by the time I submit my next PDR, I would like to have performed another suspect interview. This will be my goal for all future PDR submissions. Specific, challenging, realistic, and proximal in time goals, according to Locke and Latham (2002), engage the learner's commitment.  </w:t>
      </w:r>
    </w:p>
    <w:p w:rsidR="00EC55BB" w:rsidRPr="00EC55BB" w:rsidRDefault="00EC55BB" w:rsidP="00EC55BB">
      <w:pPr>
        <w:rPr>
          <w:rFonts w:ascii="Times New Roman" w:hAnsi="Times New Roman" w:cs="Times New Roman"/>
        </w:rPr>
      </w:pPr>
      <w:r w:rsidRPr="00EC55BB">
        <w:rPr>
          <w:rFonts w:ascii="Times New Roman" w:hAnsi="Times New Roman" w:cs="Times New Roman"/>
        </w:rPr>
        <w:t xml:space="preserve">Zimmerman's (2008) Model of Self-Regulated Learning, based on social-cognitive theory and research, is an alternative to SMART. It has proposed 'well-formed outcomes' as a framework for target or goal formulation and action planning that is more rigorous, holistic, and research based. Self-regulation entails students proactively focusing on their behaviours, thoughts, feelings, or strategies in </w:t>
      </w:r>
      <w:r w:rsidRPr="00EC55BB">
        <w:rPr>
          <w:rFonts w:ascii="Times New Roman" w:hAnsi="Times New Roman" w:cs="Times New Roman"/>
        </w:rPr>
        <w:lastRenderedPageBreak/>
        <w:t xml:space="preserve">order to reach self-defined objectives. They rely on affective, cognitive, motivational, and behavioural feedback to change their strategies and behaviours when they are unable to initially attain their goals (Zimmerman, 1989). To achieve self-set goals, the plans are cyclically adapted based on performance feedback. His research shows that Self-regulated learners, are proactive learners who use self-regulation processes like goal setting, self-observation, and self-evaluation in combination with task strategies such as time management, organisational strategies, and self-motivational beliefs. Learners will manage their academic behaviours and beliefs in three cyclical phases: forethought (the processes that occur before any effort to act), performance control (the processes that occur during learning efforts), and self-reflection (the processes that occur afterward). Performance control processes are influenced by foresight processes, which in turn influence the self-reflection phase processes. When self-reflection processes influence the foresight phase processes during future learning attempts, a cycle is complete.   </w:t>
      </w:r>
    </w:p>
    <w:p w:rsidR="00EC55BB" w:rsidRPr="00EC55BB" w:rsidRDefault="00EC55BB" w:rsidP="00EC55BB">
      <w:pPr>
        <w:rPr>
          <w:rFonts w:ascii="Times New Roman" w:hAnsi="Times New Roman" w:cs="Times New Roman"/>
        </w:rPr>
      </w:pPr>
      <w:r w:rsidRPr="00EC55BB">
        <w:rPr>
          <w:rFonts w:ascii="Times New Roman" w:hAnsi="Times New Roman" w:cs="Times New Roman"/>
        </w:rPr>
        <w:t xml:space="preserve">I will consider this criterion to assist me when outlining my third personal development plan. The Forethought phase of the Zimmerman model entails establishing a goal, conducting a task analysis, and strategically planning how to achieve this goal. I have set a goal for myself to finish and pass the Professional Investigators Degree. To do this I need to think about the standards and quality of work I am expected and must achieve, as well as the level of work I want to and would be able to realistically attain. I have not undertaken any formal academic learning in almost 25 years, so I knew this would be a difficult challenge to complete. However, I believe that now is the ideal time to continue my education as my children are older and I will be able to devote more time to studying. This is backed up by (Pintrich &amp; de Groot, 1990), who claim that a student's desired level of performance has an impact on goal setting.   </w:t>
      </w:r>
    </w:p>
    <w:p w:rsidR="00EC55BB" w:rsidRPr="00EC55BB" w:rsidRDefault="00EC55BB" w:rsidP="00EC55BB">
      <w:pPr>
        <w:rPr>
          <w:rFonts w:ascii="Times New Roman" w:hAnsi="Times New Roman" w:cs="Times New Roman"/>
        </w:rPr>
      </w:pPr>
      <w:r w:rsidRPr="00EC55BB">
        <w:rPr>
          <w:rFonts w:ascii="Times New Roman" w:hAnsi="Times New Roman" w:cs="Times New Roman"/>
        </w:rPr>
        <w:t xml:space="preserve">I set a specific goal for myself to return to the learning environment with the goal of acquiring a qualification at the end. This aim would focus on my abilities to improve my writing and encourage me to learn in new ways. According to studies reviewed by Zimmerman (2008), attainable yet challenging goals are the most effective in encouraging educational attainment. Because I have target dates for when the individuals' assessments must be completed, the goal I have set for myself is measurable. I have set personal goals for when I want each piece of work accomplished, allowing myself enough time in case an issue arises that causes me to fall behind schedule. My objective is to submit my work on time, with the goal of passing each module as a measure of success. This is a goal I would like to accomplish. This is a course that I will be taking with other students, I will be attending sessions with them where we will be able to share our progress and assist one another. My university tutor will be able to provide support in assisting me to complete this course.  </w:t>
      </w:r>
    </w:p>
    <w:p w:rsidR="00EC55BB" w:rsidRPr="00EC55BB" w:rsidRDefault="00EC55BB" w:rsidP="00EC55BB">
      <w:pPr>
        <w:rPr>
          <w:rFonts w:ascii="Times New Roman" w:hAnsi="Times New Roman" w:cs="Times New Roman"/>
        </w:rPr>
      </w:pPr>
      <w:r w:rsidRPr="00EC55BB">
        <w:rPr>
          <w:rFonts w:ascii="Times New Roman" w:hAnsi="Times New Roman" w:cs="Times New Roman"/>
        </w:rPr>
        <w:t xml:space="preserve">Again, I am realistic and recognise that this will be a challenging task as I have other obligations that will use some of my time. As a result, I need to successfully prioritise my time and keep to the schedule I have developed; I have set myself deadlines for when I need to complete the various work. I cannot afford to put off any work for fear that other issues may arise, such as being asked to work longer hours due to work demands, illness, or any other child-related commitment. I need to have a reserve of time set aside in case I need it. The course is divided into three sections. The first assignments must be completed by January, the second by May, and the third by the end of the year. I find that focusing on the Goal that needs to be prioritised first works best as thinking about future tasks is overwhelming. According to Zimmerman's (2008) research, it is more successful to track progress toward a goal, receive feedback, and act on it at small time intervals than at long time intervals. Goals should ideally be arranged in a hierarchical order, with lesser goals supporting the achievement of a larger goal.  </w:t>
      </w:r>
    </w:p>
    <w:p w:rsidR="00EC55BB" w:rsidRPr="00EC55BB" w:rsidRDefault="00EC55BB" w:rsidP="00EC55BB">
      <w:pPr>
        <w:rPr>
          <w:rFonts w:ascii="Times New Roman" w:hAnsi="Times New Roman" w:cs="Times New Roman"/>
        </w:rPr>
      </w:pPr>
      <w:r w:rsidRPr="00EC55BB">
        <w:rPr>
          <w:rFonts w:ascii="Times New Roman" w:hAnsi="Times New Roman" w:cs="Times New Roman"/>
        </w:rPr>
        <w:t xml:space="preserve">I am motivated to complete the course. This is helped by the fact that it is relevant and useful to my day-to-day role, I am interested in the subject, and I want to improve my knowledge and skills in this field. These factors will drive me forward toward my aim of obtaining a degree. If the task is useful, </w:t>
      </w:r>
      <w:r w:rsidRPr="00EC55BB">
        <w:rPr>
          <w:rFonts w:ascii="Times New Roman" w:hAnsi="Times New Roman" w:cs="Times New Roman"/>
        </w:rPr>
        <w:lastRenderedPageBreak/>
        <w:t>the individual will be more motivated to complete it and learn from it, and they will employ more learning strategies (Wigfield, Hoa, &amp; Lutz Klauda 2008). Zimmerman discusses behaviour control in his research. This is something I am aware of, and I am conscious that this is something I need to consider. I have a lot of commitments in a variety of areas. I must be careful not to become overwhelmed.  Boekaerts &amp; Corno, (2005) found that students experience emotions while performing academic activities; hence, managing emotions is critical, especially when the tasks may interfere with the students' ability to perform. Zimmerman's self-regulated learning model is crucial because it demonstrates the importance of the relationship between motivation and self-regulation. I have completed the assignments on time because of the short-term goals I set for myself according to my detailed timetable. Whilst doing this I was mindful of my emotional needs. At times, the volume of work was overwhelming, However, I managed it and took time out when needed. Throughout the process, I received feedback that encouraged me and boosted my knowledge and confidence. This has improved my performance and prompted me to reflect on my work thus far and how I may improve it in the next step, when I submit the next bat</w:t>
      </w:r>
      <w:r w:rsidRPr="00EC55BB">
        <w:rPr>
          <w:rFonts w:ascii="Times New Roman" w:hAnsi="Times New Roman" w:cs="Times New Roman"/>
        </w:rPr>
        <w:t xml:space="preserve">ch of assignments.   </w:t>
      </w:r>
    </w:p>
    <w:p w:rsidR="00EC55BB" w:rsidRPr="00EC55BB" w:rsidRDefault="00EC55BB" w:rsidP="00EC55BB">
      <w:pPr>
        <w:rPr>
          <w:rFonts w:ascii="Times New Roman" w:hAnsi="Times New Roman" w:cs="Times New Roman"/>
        </w:rPr>
      </w:pPr>
      <w:r w:rsidRPr="00EC55BB">
        <w:rPr>
          <w:rFonts w:ascii="Times New Roman" w:hAnsi="Times New Roman" w:cs="Times New Roman"/>
        </w:rPr>
        <w:t>I have clear and precise goals and assistance from tutors, colleagues, and family members to support me through the year. I am confident that I will reach the goals that I have set for myself. This is supported by Boekarts (2002), who has proposed that goal planning influences performance and improves achievement. According to Moeller, Theilier, and Wu (2012), the degree of participation of the individual in the identification of learning goals, the personalisation of learning goals, and the use of SMART goals to evaluate the quality of student goals all play a significant role in the degree of achievement of the individual</w:t>
      </w:r>
      <w:r w:rsidRPr="00EC55BB">
        <w:rPr>
          <w:rFonts w:ascii="Times New Roman" w:hAnsi="Times New Roman" w:cs="Times New Roman"/>
        </w:rPr>
        <w:t xml:space="preserve">. </w:t>
      </w:r>
    </w:p>
    <w:p w:rsidR="00EC55BB" w:rsidRDefault="00EC55BB" w:rsidP="00EC55BB"/>
    <w:p w:rsidR="00EC55BB" w:rsidRPr="00EC55BB" w:rsidRDefault="00EC55BB" w:rsidP="00EC55BB">
      <w:pPr>
        <w:rPr>
          <w:u w:val="single"/>
        </w:rPr>
      </w:pPr>
      <w:r w:rsidRPr="00EC55BB">
        <w:rPr>
          <w:u w:val="single"/>
        </w:rPr>
        <w:t xml:space="preserve">References - </w:t>
      </w:r>
      <w:r w:rsidRPr="00EC55BB">
        <w:rPr>
          <w:u w:val="single"/>
        </w:rPr>
        <w:t xml:space="preserve">Personal Development Plan  </w:t>
      </w:r>
    </w:p>
    <w:p w:rsidR="00EC55BB" w:rsidRDefault="00EC55BB" w:rsidP="00EC55BB"/>
    <w:p w:rsidR="00EC55BB" w:rsidRDefault="00EC55BB" w:rsidP="00EC55BB">
      <w:r>
        <w:t xml:space="preserve">Bandura, A (1997) Self-efficacy: </w:t>
      </w:r>
      <w:r w:rsidRPr="00EC55BB">
        <w:rPr>
          <w:i/>
        </w:rPr>
        <w:t>The exercise of control</w:t>
      </w:r>
      <w:r>
        <w:t>. New York: Freeman</w:t>
      </w:r>
    </w:p>
    <w:p w:rsidR="00EC55BB" w:rsidRDefault="00EC55BB" w:rsidP="00EC55BB"/>
    <w:p w:rsidR="00EC55BB" w:rsidRDefault="00EC55BB" w:rsidP="00EC55BB">
      <w:r>
        <w:t xml:space="preserve">Boekaerts, M. (2002). </w:t>
      </w:r>
      <w:r w:rsidRPr="00EC55BB">
        <w:rPr>
          <w:i/>
        </w:rPr>
        <w:t>Motivation to learn. Educational Practice Serie</w:t>
      </w:r>
      <w:r>
        <w:t>s. Geneva: International Bureau of Education</w:t>
      </w:r>
    </w:p>
    <w:p w:rsidR="00EC55BB" w:rsidRDefault="00EC55BB" w:rsidP="00EC55BB"/>
    <w:p w:rsidR="00EC55BB" w:rsidRDefault="00EC55BB" w:rsidP="00EC55BB">
      <w:r>
        <w:t xml:space="preserve">Boekaerts, M &amp; Corno, L (2005). `Self-regulation in the classroom: A perspective on assessment and intervention`. </w:t>
      </w:r>
      <w:r w:rsidRPr="00EC55BB">
        <w:rPr>
          <w:i/>
        </w:rPr>
        <w:t>Applied Psychology</w:t>
      </w:r>
      <w:r>
        <w:t>, Volume 54, issue 2, Pp 199-231</w:t>
      </w:r>
    </w:p>
    <w:p w:rsidR="00EC55BB" w:rsidRDefault="00EC55BB" w:rsidP="00EC55BB"/>
    <w:p w:rsidR="00EC55BB" w:rsidRDefault="00EC55BB" w:rsidP="00EC55BB">
      <w:r>
        <w:t xml:space="preserve">Bullock, K and Wikeley, F (2008) </w:t>
      </w:r>
      <w:r>
        <w:t>`</w:t>
      </w:r>
      <w:r>
        <w:t>Every child should have one: What it means to be a learning guide</w:t>
      </w:r>
      <w:r>
        <w:t>`</w:t>
      </w:r>
      <w:r>
        <w:t xml:space="preserve">. </w:t>
      </w:r>
      <w:r w:rsidRPr="00EC55BB">
        <w:rPr>
          <w:i/>
        </w:rPr>
        <w:t>Improving Schools</w:t>
      </w:r>
      <w:r w:rsidR="00514016">
        <w:t>. Volume 11, issue 1 P</w:t>
      </w:r>
      <w:r>
        <w:t>p 49–60.</w:t>
      </w:r>
    </w:p>
    <w:p w:rsidR="00EC55BB" w:rsidRDefault="00EC55BB" w:rsidP="00EC55BB"/>
    <w:p w:rsidR="00EC55BB" w:rsidRDefault="00EC55BB" w:rsidP="00EC55BB">
      <w:r>
        <w:t xml:space="preserve">Day, T and Tosey, P (2011) `Beyond SMART? A new framework for goal setting`. </w:t>
      </w:r>
      <w:r w:rsidRPr="00514016">
        <w:rPr>
          <w:i/>
        </w:rPr>
        <w:t>The Curriculum Journal</w:t>
      </w:r>
      <w:r>
        <w:t>. Volume 22, Issue 4, 515–534</w:t>
      </w:r>
    </w:p>
    <w:p w:rsidR="00EC55BB" w:rsidRDefault="00EC55BB" w:rsidP="00EC55BB"/>
    <w:p w:rsidR="00514016" w:rsidRDefault="00EC55BB" w:rsidP="00EC55BB">
      <w:r>
        <w:t xml:space="preserve">Deci, E.L., and R.M. Ryan. 1985. </w:t>
      </w:r>
      <w:r w:rsidRPr="00514016">
        <w:rPr>
          <w:i/>
        </w:rPr>
        <w:t>Intrinsic motivation and self-determination in human behavior</w:t>
      </w:r>
      <w:r>
        <w:t>. New York: Plenum.</w:t>
      </w:r>
    </w:p>
    <w:p w:rsidR="00EC55BB" w:rsidRDefault="00EC55BB" w:rsidP="00EC55BB">
      <w:r>
        <w:lastRenderedPageBreak/>
        <w:t xml:space="preserve">Doran, G (1981) `There's a S.M.A.R.T. way to write management's goals and objectives`. </w:t>
      </w:r>
      <w:r w:rsidRPr="00514016">
        <w:rPr>
          <w:i/>
        </w:rPr>
        <w:t>Management Review</w:t>
      </w:r>
      <w:r>
        <w:t xml:space="preserve">. Volume 70. Pp 35 – 36 </w:t>
      </w:r>
    </w:p>
    <w:p w:rsidR="00EC55BB" w:rsidRDefault="00EC55BB" w:rsidP="00EC55BB"/>
    <w:p w:rsidR="00EC55BB" w:rsidRDefault="00EC55BB" w:rsidP="00EC55BB">
      <w:r>
        <w:t xml:space="preserve">Locke, E. A. &amp; Latham, G. P. (1990). </w:t>
      </w:r>
      <w:r w:rsidRPr="00514016">
        <w:rPr>
          <w:i/>
        </w:rPr>
        <w:t>A theory of goal setting and task performance</w:t>
      </w:r>
      <w:r>
        <w:t>. Upper Saddle River, NJ: Prentice-Hall</w:t>
      </w:r>
    </w:p>
    <w:p w:rsidR="00EC55BB" w:rsidRDefault="00EC55BB" w:rsidP="00EC55BB"/>
    <w:p w:rsidR="00EC55BB" w:rsidRDefault="00EC55BB" w:rsidP="00EC55BB">
      <w:r>
        <w:t xml:space="preserve">Locke, E, and Latham, G (2002) `Building a practically useful theory of goal setting and task motivation: A 35-year odyssey`. </w:t>
      </w:r>
      <w:r w:rsidRPr="00514016">
        <w:rPr>
          <w:i/>
        </w:rPr>
        <w:t>American Psychologist</w:t>
      </w:r>
      <w:r>
        <w:t xml:space="preserve"> Volume 57, issue 9 Pp 705–17</w:t>
      </w:r>
    </w:p>
    <w:p w:rsidR="00EC55BB" w:rsidRDefault="00EC55BB" w:rsidP="00EC55BB"/>
    <w:p w:rsidR="00EC55BB" w:rsidRDefault="00EC55BB" w:rsidP="00EC55BB">
      <w:r>
        <w:t xml:space="preserve">Moeller, A; Theiler, J &amp; Wu, C (2012) </w:t>
      </w:r>
      <w:r w:rsidR="00514016">
        <w:t>`</w:t>
      </w:r>
      <w:r>
        <w:t>Goal Setting and Student Achievement: A Longitudinal Study</w:t>
      </w:r>
      <w:r w:rsidR="00514016">
        <w:t>`</w:t>
      </w:r>
      <w:r>
        <w:t xml:space="preserve">. </w:t>
      </w:r>
      <w:r w:rsidRPr="00514016">
        <w:rPr>
          <w:i/>
        </w:rPr>
        <w:t>The Modern Language Journal</w:t>
      </w:r>
      <w:r>
        <w:t>. Volume 96, Issue 2. Pp153 - 169</w:t>
      </w:r>
    </w:p>
    <w:p w:rsidR="00EC55BB" w:rsidRDefault="00EC55BB" w:rsidP="00EC55BB"/>
    <w:p w:rsidR="00EC55BB" w:rsidRDefault="00EC55BB" w:rsidP="00EC55BB">
      <w:r>
        <w:t xml:space="preserve">Panadero, E and Alonso-Tapia, J (2014) </w:t>
      </w:r>
      <w:r w:rsidR="00725653">
        <w:t>`How do students self-regulate?</w:t>
      </w:r>
      <w:r>
        <w:t xml:space="preserve"> </w:t>
      </w:r>
      <w:r w:rsidRPr="00725653">
        <w:t>Review of Zimmerman’s cyclical model of self-regulated learning</w:t>
      </w:r>
      <w:r w:rsidR="00725653">
        <w:t>`</w:t>
      </w:r>
      <w:r>
        <w:t xml:space="preserve">. </w:t>
      </w:r>
      <w:r w:rsidR="00725653" w:rsidRPr="00725653">
        <w:rPr>
          <w:i/>
        </w:rPr>
        <w:t>Annals of Psychology</w:t>
      </w:r>
      <w:r w:rsidR="00725653">
        <w:t xml:space="preserve">. </w:t>
      </w:r>
      <w:r>
        <w:t>Volume 30, Issue 2, Pp 450-462</w:t>
      </w:r>
    </w:p>
    <w:p w:rsidR="00EC55BB" w:rsidRDefault="00EC55BB" w:rsidP="00EC55BB"/>
    <w:p w:rsidR="00EC55BB" w:rsidRDefault="00EC55BB" w:rsidP="00EC55BB">
      <w:r>
        <w:t xml:space="preserve">Pintrich, P &amp; de Groot, E (1990) `Motivational and self-regulated learning components of classroom academic performance`. </w:t>
      </w:r>
      <w:r w:rsidRPr="00725653">
        <w:rPr>
          <w:i/>
        </w:rPr>
        <w:t>Journal of Educational Psychology</w:t>
      </w:r>
      <w:r>
        <w:t>, Volume 82. Issue 1, Pp 33-40.</w:t>
      </w:r>
    </w:p>
    <w:p w:rsidR="00EC55BB" w:rsidRDefault="00EC55BB" w:rsidP="00EC55BB"/>
    <w:p w:rsidR="00EC55BB" w:rsidRDefault="00EC55BB" w:rsidP="00EC55BB">
      <w:r>
        <w:t xml:space="preserve">Rubin, R (2002) `Will the Real SMART Goals Please Stand Up?` </w:t>
      </w:r>
      <w:r w:rsidRPr="00725653">
        <w:rPr>
          <w:i/>
        </w:rPr>
        <w:t>The Industrial-Organizational Psychologist</w:t>
      </w:r>
      <w:r>
        <w:t>. Volume 39. Issue 4.  Saint Louis University</w:t>
      </w:r>
    </w:p>
    <w:p w:rsidR="00EC55BB" w:rsidRDefault="00EC55BB" w:rsidP="00EC55BB"/>
    <w:p w:rsidR="00EC55BB" w:rsidRDefault="00EC55BB" w:rsidP="00EC55BB">
      <w:r>
        <w:t xml:space="preserve">Wigfield, A; Hoa, L &amp; Lutz K (2008). `The role of achievement values in the regulation of achievement behaviors`. </w:t>
      </w:r>
      <w:r w:rsidRPr="00725653">
        <w:rPr>
          <w:i/>
        </w:rPr>
        <w:t>Motivation and self-regulated learning. Theory, research and applications</w:t>
      </w:r>
      <w:r>
        <w:t xml:space="preserve"> Pp. 169-195. </w:t>
      </w:r>
    </w:p>
    <w:p w:rsidR="00EC55BB" w:rsidRDefault="00EC55BB" w:rsidP="00EC55BB"/>
    <w:p w:rsidR="00EC55BB" w:rsidRDefault="00EC55BB" w:rsidP="00EC55BB">
      <w:r>
        <w:t xml:space="preserve">Zimmerman, B (1989). </w:t>
      </w:r>
      <w:r w:rsidR="007A53F7">
        <w:t>`</w:t>
      </w:r>
      <w:r>
        <w:t>A Social Cognitive View of Self-Regulated Academic Learning</w:t>
      </w:r>
      <w:r w:rsidR="007A53F7">
        <w:t>`</w:t>
      </w:r>
      <w:r>
        <w:t xml:space="preserve">. </w:t>
      </w:r>
      <w:r w:rsidR="007A53F7">
        <w:rPr>
          <w:i/>
        </w:rPr>
        <w:t>Journal of education P</w:t>
      </w:r>
      <w:r w:rsidRPr="007A53F7">
        <w:rPr>
          <w:i/>
        </w:rPr>
        <w:t>sychology</w:t>
      </w:r>
      <w:r>
        <w:t xml:space="preserve">. Volume 81. Issue 3 Pp 329 – 339 </w:t>
      </w:r>
    </w:p>
    <w:p w:rsidR="00EC55BB" w:rsidRDefault="00EC55BB" w:rsidP="00EC55BB"/>
    <w:p w:rsidR="00EC55BB" w:rsidRDefault="00EC55BB" w:rsidP="00F73682">
      <w:r>
        <w:t xml:space="preserve">Zimmerman, B.J. (2008) </w:t>
      </w:r>
      <w:r w:rsidR="00F73682">
        <w:t>`</w:t>
      </w:r>
      <w:r w:rsidR="00F73682">
        <w:t xml:space="preserve">Investigating </w:t>
      </w:r>
      <w:r w:rsidR="00F73682">
        <w:t xml:space="preserve">Self-Regulation and Motivation: </w:t>
      </w:r>
      <w:r w:rsidR="00F73682">
        <w:t>Histor</w:t>
      </w:r>
      <w:r w:rsidR="00F73682">
        <w:t>ical Background, Methodological d</w:t>
      </w:r>
      <w:r w:rsidR="00F73682">
        <w:t>evelopments, and Future Prospects</w:t>
      </w:r>
      <w:r w:rsidR="00F73682">
        <w:t xml:space="preserve">`. </w:t>
      </w:r>
      <w:r w:rsidR="00F73682" w:rsidRPr="00F73682">
        <w:rPr>
          <w:i/>
        </w:rPr>
        <w:t>Ameri</w:t>
      </w:r>
      <w:r w:rsidR="00F73682">
        <w:rPr>
          <w:i/>
        </w:rPr>
        <w:t xml:space="preserve">can Educational Research Journal. </w:t>
      </w:r>
      <w:r w:rsidR="00F73682">
        <w:t>Volume 45, Issue 1, P</w:t>
      </w:r>
      <w:bookmarkStart w:id="0" w:name="_GoBack"/>
      <w:bookmarkEnd w:id="0"/>
      <w:r w:rsidR="00F73682">
        <w:t>p. 166 –183</w:t>
      </w:r>
    </w:p>
    <w:p w:rsidR="00EC55BB" w:rsidRDefault="00EC55BB" w:rsidP="00EC55BB"/>
    <w:p w:rsidR="00EC55BB" w:rsidRDefault="00EC55BB" w:rsidP="00EC55BB"/>
    <w:p w:rsidR="00EC55BB" w:rsidRDefault="00EC55BB" w:rsidP="00EC55BB"/>
    <w:p w:rsidR="00EC55BB" w:rsidRDefault="00EC55BB" w:rsidP="00EC55BB"/>
    <w:p w:rsidR="00EC55BB" w:rsidRDefault="00EC55BB" w:rsidP="00EC55BB"/>
    <w:p w:rsidR="00EC55BB" w:rsidRDefault="00EC55BB" w:rsidP="00EC55BB"/>
    <w:p w:rsidR="00E11FD7" w:rsidRDefault="00E11FD7" w:rsidP="00E11FD7"/>
    <w:p w:rsidR="00E11FD7" w:rsidRDefault="00E11FD7" w:rsidP="00E11FD7"/>
    <w:p w:rsidR="00E11FD7" w:rsidRDefault="00E11FD7" w:rsidP="00E11FD7"/>
    <w:p w:rsidR="00E11FD7" w:rsidRDefault="00E11FD7" w:rsidP="00E11FD7"/>
    <w:p w:rsidR="00E11FD7" w:rsidRPr="00E11FD7" w:rsidRDefault="00E11FD7" w:rsidP="00E11FD7"/>
    <w:p w:rsidR="00515ED9" w:rsidRPr="00515ED9" w:rsidRDefault="00515ED9" w:rsidP="00515ED9">
      <w:pPr>
        <w:rPr>
          <w:u w:val="single"/>
        </w:rPr>
      </w:pPr>
    </w:p>
    <w:p w:rsidR="00515ED9" w:rsidRPr="00515ED9" w:rsidRDefault="00515ED9" w:rsidP="00515ED9">
      <w:pPr>
        <w:rPr>
          <w:u w:val="single"/>
        </w:rPr>
      </w:pPr>
    </w:p>
    <w:p w:rsidR="00515ED9" w:rsidRPr="00515ED9" w:rsidRDefault="00515ED9" w:rsidP="00515ED9">
      <w:pPr>
        <w:rPr>
          <w:u w:val="single"/>
        </w:rPr>
      </w:pPr>
    </w:p>
    <w:p w:rsidR="00515ED9" w:rsidRPr="00515ED9" w:rsidRDefault="00515ED9" w:rsidP="00515ED9">
      <w:pPr>
        <w:rPr>
          <w:u w:val="single"/>
        </w:rPr>
      </w:pPr>
    </w:p>
    <w:p w:rsidR="00515ED9" w:rsidRPr="00515ED9" w:rsidRDefault="00515ED9" w:rsidP="00515ED9">
      <w:pPr>
        <w:rPr>
          <w:u w:val="single"/>
        </w:rPr>
      </w:pPr>
    </w:p>
    <w:p w:rsidR="00515ED9" w:rsidRPr="00515ED9" w:rsidRDefault="00515ED9" w:rsidP="00515ED9">
      <w:pPr>
        <w:rPr>
          <w:u w:val="single"/>
        </w:rPr>
      </w:pPr>
    </w:p>
    <w:p w:rsidR="00515ED9" w:rsidRPr="00515ED9" w:rsidRDefault="00515ED9" w:rsidP="00515ED9">
      <w:pPr>
        <w:rPr>
          <w:u w:val="single"/>
        </w:rPr>
      </w:pPr>
    </w:p>
    <w:p w:rsidR="00515ED9" w:rsidRPr="00515ED9" w:rsidRDefault="00515ED9" w:rsidP="00515ED9">
      <w:pPr>
        <w:rPr>
          <w:u w:val="single"/>
        </w:rPr>
      </w:pPr>
    </w:p>
    <w:p w:rsidR="00515ED9" w:rsidRPr="00515ED9" w:rsidRDefault="00515ED9" w:rsidP="00515ED9">
      <w:pPr>
        <w:rPr>
          <w:u w:val="single"/>
        </w:rPr>
      </w:pPr>
    </w:p>
    <w:p w:rsidR="00515ED9" w:rsidRPr="00515ED9" w:rsidRDefault="00515ED9" w:rsidP="00515ED9">
      <w:pPr>
        <w:rPr>
          <w:u w:val="single"/>
        </w:rPr>
      </w:pPr>
    </w:p>
    <w:p w:rsidR="00515ED9" w:rsidRPr="00515ED9" w:rsidRDefault="00515ED9" w:rsidP="00515ED9">
      <w:pPr>
        <w:rPr>
          <w:u w:val="single"/>
        </w:rPr>
      </w:pPr>
    </w:p>
    <w:p w:rsidR="00515ED9" w:rsidRPr="00515ED9" w:rsidRDefault="00515ED9" w:rsidP="00515ED9">
      <w:pPr>
        <w:rPr>
          <w:u w:val="single"/>
        </w:rPr>
      </w:pPr>
    </w:p>
    <w:p w:rsidR="00515ED9" w:rsidRPr="00515ED9" w:rsidRDefault="00515ED9" w:rsidP="00515ED9">
      <w:pPr>
        <w:rPr>
          <w:u w:val="single"/>
        </w:rPr>
      </w:pPr>
    </w:p>
    <w:p w:rsidR="00515ED9" w:rsidRPr="006661B8" w:rsidRDefault="00515ED9" w:rsidP="006661B8">
      <w:pPr>
        <w:rPr>
          <w:u w:val="single"/>
        </w:rPr>
      </w:pPr>
    </w:p>
    <w:p w:rsidR="006661B8" w:rsidRDefault="006661B8" w:rsidP="006661B8"/>
    <w:p w:rsidR="006661B8" w:rsidRDefault="006661B8" w:rsidP="006661B8">
      <w:r>
        <w:t xml:space="preserve"> </w:t>
      </w:r>
    </w:p>
    <w:p w:rsidR="006661B8" w:rsidRDefault="006661B8" w:rsidP="006661B8"/>
    <w:p w:rsidR="006661B8" w:rsidRDefault="006661B8" w:rsidP="006661B8"/>
    <w:p w:rsidR="006661B8" w:rsidRPr="006661B8" w:rsidRDefault="006661B8" w:rsidP="006661B8"/>
    <w:sectPr w:rsidR="006661B8" w:rsidRPr="006661B8" w:rsidSect="006661B8">
      <w:headerReference w:type="even" r:id="rId6"/>
      <w:headerReference w:type="default" r:id="rId7"/>
      <w:footerReference w:type="even" r:id="rId8"/>
      <w:footerReference w:type="default" r:id="rId9"/>
      <w:headerReference w:type="first" r:id="rId10"/>
      <w:footerReference w:type="first" r:id="rId11"/>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6661B8" w:rsidRDefault="006661B8" w:rsidP="006661B8">
      <w:pPr>
        <w:spacing w:after="0" w:line="240" w:lineRule="auto"/>
      </w:pPr>
      <w:r>
        <w:separator/>
      </w:r>
    </w:p>
  </w:endnote>
  <w:endnote w:type="continuationSeparator" w:id="0">
    <w:p w:rsidR="006661B8" w:rsidRDefault="006661B8" w:rsidP="006661B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F10120" w:rsidRDefault="00F73682" w:rsidP="00F73682">
    <w:pPr>
      <w:pStyle w:val="Footer"/>
      <w:rPr>
        <w:color w:val="000000"/>
        <w:sz w:val="17"/>
      </w:rPr>
    </w:pPr>
    <w:bookmarkStart w:id="3" w:name="TITUS1FooterEvenPages"/>
    <w:r>
      <w:rPr>
        <w:color w:val="000000"/>
        <w:sz w:val="17"/>
      </w:rPr>
      <w:t> </w:t>
    </w:r>
  </w:p>
  <w:bookmarkEnd w:id="3"/>
  <w:p w:rsidR="00F10120" w:rsidRDefault="00F10120" w:rsidP="00F10120">
    <w:pPr>
      <w:pStyle w:val="Footer"/>
    </w:pPr>
  </w:p>
  <w:p w:rsidR="006661B8" w:rsidRDefault="006661B8">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6661B8" w:rsidRDefault="00F73682" w:rsidP="00F73682">
    <w:pPr>
      <w:pStyle w:val="Footer"/>
      <w:rPr>
        <w:color w:val="000000"/>
        <w:sz w:val="17"/>
      </w:rPr>
    </w:pPr>
    <w:bookmarkStart w:id="4" w:name="TITUS1FooterPrimary"/>
    <w:r>
      <w:rPr>
        <w:color w:val="000000"/>
        <w:sz w:val="17"/>
      </w:rPr>
      <w:t> </w:t>
    </w:r>
  </w:p>
  <w:bookmarkEnd w:id="4"/>
  <w:p w:rsidR="006661B8" w:rsidRDefault="006661B8">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6661B8" w:rsidRDefault="00F73682" w:rsidP="00F73682">
    <w:pPr>
      <w:pStyle w:val="Footer"/>
      <w:rPr>
        <w:color w:val="000000"/>
        <w:sz w:val="17"/>
      </w:rPr>
    </w:pPr>
    <w:bookmarkStart w:id="6" w:name="TITUS1FooterFirstPage"/>
    <w:r>
      <w:rPr>
        <w:color w:val="000000"/>
        <w:sz w:val="17"/>
      </w:rPr>
      <w:t> </w:t>
    </w:r>
  </w:p>
  <w:bookmarkEnd w:id="6"/>
  <w:p w:rsidR="006661B8" w:rsidRDefault="006661B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6661B8" w:rsidRDefault="006661B8" w:rsidP="006661B8">
      <w:pPr>
        <w:spacing w:after="0" w:line="240" w:lineRule="auto"/>
      </w:pPr>
      <w:r>
        <w:separator/>
      </w:r>
    </w:p>
  </w:footnote>
  <w:footnote w:type="continuationSeparator" w:id="0">
    <w:p w:rsidR="006661B8" w:rsidRDefault="006661B8" w:rsidP="006661B8">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F10120" w:rsidRDefault="00F73682" w:rsidP="00F73682">
    <w:pPr>
      <w:pStyle w:val="Header"/>
      <w:rPr>
        <w:color w:val="000000"/>
        <w:sz w:val="17"/>
      </w:rPr>
    </w:pPr>
    <w:bookmarkStart w:id="1" w:name="TITUS1HeaderEvenPages"/>
    <w:r>
      <w:rPr>
        <w:color w:val="000000"/>
        <w:sz w:val="17"/>
      </w:rPr>
      <w:t> </w:t>
    </w:r>
  </w:p>
  <w:bookmarkEnd w:id="1"/>
  <w:p w:rsidR="00F10120" w:rsidRDefault="00F10120" w:rsidP="00F10120">
    <w:pPr>
      <w:pStyle w:val="Header"/>
    </w:pPr>
  </w:p>
  <w:p w:rsidR="006661B8" w:rsidRDefault="006661B8">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6661B8" w:rsidRDefault="00F73682" w:rsidP="00F73682">
    <w:pPr>
      <w:pStyle w:val="Header"/>
      <w:rPr>
        <w:color w:val="000000"/>
        <w:sz w:val="17"/>
      </w:rPr>
    </w:pPr>
    <w:bookmarkStart w:id="2" w:name="TITUS1HeaderPrimary"/>
    <w:r>
      <w:rPr>
        <w:color w:val="000000"/>
        <w:sz w:val="17"/>
      </w:rPr>
      <w:t> </w:t>
    </w:r>
  </w:p>
  <w:bookmarkEnd w:id="2"/>
  <w:p w:rsidR="006661B8" w:rsidRDefault="006661B8">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6661B8" w:rsidRDefault="00F73682" w:rsidP="00F73682">
    <w:pPr>
      <w:pStyle w:val="Header"/>
      <w:rPr>
        <w:color w:val="000000"/>
        <w:sz w:val="17"/>
      </w:rPr>
    </w:pPr>
    <w:bookmarkStart w:id="5" w:name="TITUS1HeaderFirstPage"/>
    <w:r>
      <w:rPr>
        <w:color w:val="000000"/>
        <w:sz w:val="17"/>
      </w:rPr>
      <w:t> </w:t>
    </w:r>
  </w:p>
  <w:bookmarkEnd w:id="5"/>
  <w:p w:rsidR="006661B8" w:rsidRDefault="006661B8">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212"/>
  <w:defaultTabStop w:val="720"/>
  <w:evenAndOddHeaders/>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6661B8"/>
    <w:rsid w:val="00053B03"/>
    <w:rsid w:val="000F56F1"/>
    <w:rsid w:val="001774DC"/>
    <w:rsid w:val="002821FC"/>
    <w:rsid w:val="003C7CCA"/>
    <w:rsid w:val="00514016"/>
    <w:rsid w:val="00515ED9"/>
    <w:rsid w:val="005C7846"/>
    <w:rsid w:val="006661B8"/>
    <w:rsid w:val="00673DF1"/>
    <w:rsid w:val="006E5958"/>
    <w:rsid w:val="00725653"/>
    <w:rsid w:val="007A53F7"/>
    <w:rsid w:val="007C5A7C"/>
    <w:rsid w:val="00981AE7"/>
    <w:rsid w:val="00A738B0"/>
    <w:rsid w:val="00B201A2"/>
    <w:rsid w:val="00B37959"/>
    <w:rsid w:val="00BD0057"/>
    <w:rsid w:val="00C0016B"/>
    <w:rsid w:val="00D1787C"/>
    <w:rsid w:val="00D3535F"/>
    <w:rsid w:val="00D7086B"/>
    <w:rsid w:val="00E11FD7"/>
    <w:rsid w:val="00E672EE"/>
    <w:rsid w:val="00E854DB"/>
    <w:rsid w:val="00EC55BB"/>
    <w:rsid w:val="00EE3851"/>
    <w:rsid w:val="00F10120"/>
    <w:rsid w:val="00F73682"/>
    <w:rsid w:val="00FE576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B66EA8A"/>
  <w15:chartTrackingRefBased/>
  <w15:docId w15:val="{7E3BB7F4-0521-4B78-886C-A0DEF2CDFB3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6661B8"/>
    <w:pPr>
      <w:tabs>
        <w:tab w:val="center" w:pos="4513"/>
        <w:tab w:val="right" w:pos="9026"/>
      </w:tabs>
      <w:spacing w:after="0" w:line="240" w:lineRule="auto"/>
    </w:pPr>
  </w:style>
  <w:style w:type="character" w:customStyle="1" w:styleId="HeaderChar">
    <w:name w:val="Header Char"/>
    <w:basedOn w:val="DefaultParagraphFont"/>
    <w:link w:val="Header"/>
    <w:uiPriority w:val="99"/>
    <w:rsid w:val="006661B8"/>
  </w:style>
  <w:style w:type="paragraph" w:styleId="Footer">
    <w:name w:val="footer"/>
    <w:basedOn w:val="Normal"/>
    <w:link w:val="FooterChar"/>
    <w:uiPriority w:val="99"/>
    <w:unhideWhenUsed/>
    <w:rsid w:val="006661B8"/>
    <w:pPr>
      <w:tabs>
        <w:tab w:val="center" w:pos="4513"/>
        <w:tab w:val="right" w:pos="9026"/>
      </w:tabs>
      <w:spacing w:after="0" w:line="240" w:lineRule="auto"/>
    </w:pPr>
  </w:style>
  <w:style w:type="character" w:customStyle="1" w:styleId="FooterChar">
    <w:name w:val="Footer Char"/>
    <w:basedOn w:val="DefaultParagraphFont"/>
    <w:link w:val="Footer"/>
    <w:uiPriority w:val="99"/>
    <w:rsid w:val="006661B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13"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header" Target="header2.xml"/><Relationship Id="rId12"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eader" Target="header1.xml"/><Relationship Id="rId11" Type="http://schemas.openxmlformats.org/officeDocument/2006/relationships/footer" Target="footer3.xml"/><Relationship Id="rId5" Type="http://schemas.openxmlformats.org/officeDocument/2006/relationships/endnotes" Target="endnotes.xml"/><Relationship Id="rId10" Type="http://schemas.openxmlformats.org/officeDocument/2006/relationships/header" Target="header3.xml"/><Relationship Id="rId4" Type="http://schemas.openxmlformats.org/officeDocument/2006/relationships/footnotes" Target="footnotes.xml"/><Relationship Id="rId9"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142</TotalTime>
  <Pages>17</Pages>
  <Words>7803</Words>
  <Characters>44480</Characters>
  <Application>Microsoft Office Word</Application>
  <DocSecurity>0</DocSecurity>
  <Lines>370</Lines>
  <Paragraphs>104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52179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Herbert,Sara swp1692</dc:creator>
  <cp:keywords/>
  <dc:description/>
  <cp:lastModifiedBy>Herbert,Sara swp1692</cp:lastModifiedBy>
  <cp:revision>23</cp:revision>
  <dcterms:created xsi:type="dcterms:W3CDTF">2022-01-14T14:02:00Z</dcterms:created>
  <dcterms:modified xsi:type="dcterms:W3CDTF">2022-01-14T17:48:00Z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itusGUID">
    <vt:lpwstr>094d774d-ffdd-4af3-b89f-0add30a7a6fa</vt:lpwstr>
  </property>
  <property fmtid="{D5CDD505-2E9C-101B-9397-08002B2CF9AE}" pid="3" name="Classification">
    <vt:lpwstr>OFFICIAL</vt:lpwstr>
  </property>
  <property fmtid="{D5CDD505-2E9C-101B-9397-08002B2CF9AE}" pid="4" name="Visibility">
    <vt:lpwstr>NOT VISIBLE</vt:lpwstr>
  </property>
</Properties>
</file>