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E117570" w14:textId="059048D6" w:rsidR="00503792" w:rsidRDefault="00503792" w:rsidP="00626F70"/>
    <w:p w14:paraId="7C49F74F" w14:textId="46736EE2" w:rsidR="00047B60" w:rsidRPr="00000298" w:rsidRDefault="00047B60" w:rsidP="00047B60">
      <w:pPr>
        <w:pStyle w:val="Title"/>
        <w:jc w:val="center"/>
        <w:rPr>
          <w:rFonts w:ascii="Arial" w:hAnsi="Arial" w:cs="Arial"/>
          <w:b/>
          <w:bCs/>
          <w:sz w:val="44"/>
          <w:szCs w:val="44"/>
        </w:rPr>
      </w:pPr>
      <w:r w:rsidRPr="00000298">
        <w:rPr>
          <w:rFonts w:ascii="Arial" w:hAnsi="Arial" w:cs="Arial"/>
          <w:b/>
          <w:bCs/>
          <w:sz w:val="44"/>
          <w:szCs w:val="44"/>
        </w:rPr>
        <w:t>BIBLIOGRAPHY AND REPORT</w:t>
      </w:r>
    </w:p>
    <w:p w14:paraId="4282E0AF" w14:textId="153775BD" w:rsidR="00503792" w:rsidRDefault="00503792" w:rsidP="00626F70"/>
    <w:p w14:paraId="3D8D37D1" w14:textId="48599973" w:rsidR="00503792" w:rsidRPr="00503792" w:rsidRDefault="00503792" w:rsidP="00626F70">
      <w:pPr>
        <w:rPr>
          <w:rFonts w:ascii="Arial" w:hAnsi="Arial" w:cs="Arial"/>
          <w:sz w:val="40"/>
          <w:szCs w:val="40"/>
        </w:rPr>
      </w:pPr>
    </w:p>
    <w:p w14:paraId="52D26827" w14:textId="51E4BA36" w:rsidR="00626F70" w:rsidRDefault="00626F70" w:rsidP="00626F70">
      <w:pPr>
        <w:rPr>
          <w:rFonts w:ascii="Arial" w:hAnsi="Arial" w:cs="Arial"/>
          <w:sz w:val="40"/>
          <w:szCs w:val="40"/>
        </w:rPr>
      </w:pPr>
      <w:r w:rsidRPr="00503792">
        <w:rPr>
          <w:rFonts w:ascii="Arial" w:hAnsi="Arial" w:cs="Arial"/>
          <w:sz w:val="40"/>
          <w:szCs w:val="40"/>
        </w:rPr>
        <w:t>STUDENT NAME:  Jenny Hermoso</w:t>
      </w:r>
    </w:p>
    <w:p w14:paraId="5489855A" w14:textId="6F5B13E3" w:rsidR="00C43A14" w:rsidRPr="00503792" w:rsidRDefault="00C43A14" w:rsidP="00626F70">
      <w:pPr>
        <w:rPr>
          <w:rFonts w:ascii="Arial" w:hAnsi="Arial" w:cs="Arial"/>
          <w:sz w:val="40"/>
          <w:szCs w:val="40"/>
        </w:rPr>
      </w:pPr>
    </w:p>
    <w:p w14:paraId="46C66D7C" w14:textId="060AEA85" w:rsidR="00626F70" w:rsidRDefault="00626F70" w:rsidP="00626F70">
      <w:pPr>
        <w:rPr>
          <w:rFonts w:ascii="Arial" w:hAnsi="Arial" w:cs="Arial"/>
          <w:sz w:val="40"/>
          <w:szCs w:val="40"/>
        </w:rPr>
      </w:pPr>
      <w:r w:rsidRPr="00503792">
        <w:rPr>
          <w:rFonts w:ascii="Arial" w:hAnsi="Arial" w:cs="Arial"/>
          <w:sz w:val="40"/>
          <w:szCs w:val="40"/>
        </w:rPr>
        <w:t xml:space="preserve">STUDENT </w:t>
      </w:r>
      <w:r w:rsidR="005473F2" w:rsidRPr="00503792">
        <w:rPr>
          <w:rFonts w:ascii="Arial" w:hAnsi="Arial" w:cs="Arial"/>
          <w:sz w:val="40"/>
          <w:szCs w:val="40"/>
        </w:rPr>
        <w:t>ID: 2436151</w:t>
      </w:r>
    </w:p>
    <w:p w14:paraId="7FBAB7C4" w14:textId="6353CD94" w:rsidR="00C43A14" w:rsidRPr="00503792" w:rsidRDefault="00C43A14" w:rsidP="00626F70">
      <w:pPr>
        <w:rPr>
          <w:rFonts w:ascii="Arial" w:hAnsi="Arial" w:cs="Arial"/>
          <w:sz w:val="40"/>
          <w:szCs w:val="40"/>
        </w:rPr>
      </w:pPr>
    </w:p>
    <w:p w14:paraId="31AF8F60" w14:textId="77AD59D3" w:rsidR="005473F2" w:rsidRDefault="005473F2" w:rsidP="00626F70">
      <w:pPr>
        <w:rPr>
          <w:rFonts w:ascii="Arial" w:hAnsi="Arial" w:cs="Arial"/>
          <w:sz w:val="40"/>
          <w:szCs w:val="40"/>
        </w:rPr>
      </w:pPr>
      <w:r w:rsidRPr="00503792">
        <w:rPr>
          <w:rFonts w:ascii="Arial" w:hAnsi="Arial" w:cs="Arial"/>
          <w:sz w:val="40"/>
          <w:szCs w:val="40"/>
        </w:rPr>
        <w:t>MODULE: Psychology In Health and Social Care</w:t>
      </w:r>
    </w:p>
    <w:p w14:paraId="6C363D38" w14:textId="1DC51722" w:rsidR="00C43A14" w:rsidRPr="00503792" w:rsidRDefault="00C43A14" w:rsidP="00626F70">
      <w:pPr>
        <w:rPr>
          <w:rFonts w:ascii="Arial" w:hAnsi="Arial" w:cs="Arial"/>
          <w:sz w:val="40"/>
          <w:szCs w:val="40"/>
        </w:rPr>
      </w:pPr>
    </w:p>
    <w:p w14:paraId="423EDFD0" w14:textId="16BF4000" w:rsidR="00F15F86" w:rsidRDefault="00F15F86" w:rsidP="00626F70">
      <w:pPr>
        <w:rPr>
          <w:rFonts w:ascii="Arial" w:hAnsi="Arial" w:cs="Arial"/>
          <w:sz w:val="40"/>
          <w:szCs w:val="40"/>
        </w:rPr>
      </w:pPr>
      <w:r w:rsidRPr="00503792">
        <w:rPr>
          <w:rFonts w:ascii="Arial" w:hAnsi="Arial" w:cs="Arial"/>
          <w:sz w:val="40"/>
          <w:szCs w:val="40"/>
        </w:rPr>
        <w:t>MODULE CODE: LCHS4010</w:t>
      </w:r>
    </w:p>
    <w:p w14:paraId="2252B1B6" w14:textId="49087D4C" w:rsidR="00C43A14" w:rsidRPr="00503792" w:rsidRDefault="00C43A14" w:rsidP="00626F70">
      <w:pPr>
        <w:rPr>
          <w:rFonts w:ascii="Arial" w:hAnsi="Arial" w:cs="Arial"/>
          <w:sz w:val="40"/>
          <w:szCs w:val="40"/>
        </w:rPr>
      </w:pPr>
    </w:p>
    <w:p w14:paraId="71A715CF" w14:textId="60743709" w:rsidR="00F15F86" w:rsidRPr="00503792" w:rsidRDefault="00744C2A" w:rsidP="00626F70">
      <w:pPr>
        <w:rPr>
          <w:rFonts w:ascii="Arial" w:hAnsi="Arial" w:cs="Arial"/>
          <w:sz w:val="40"/>
          <w:szCs w:val="40"/>
        </w:rPr>
      </w:pPr>
      <w:r w:rsidRPr="00503792">
        <w:rPr>
          <w:rFonts w:ascii="Arial" w:hAnsi="Arial" w:cs="Arial"/>
          <w:sz w:val="40"/>
          <w:szCs w:val="40"/>
        </w:rPr>
        <w:t>MODULE LECTURER: Dr</w:t>
      </w:r>
      <w:r w:rsidR="001A00AE">
        <w:rPr>
          <w:rFonts w:ascii="Arial" w:hAnsi="Arial" w:cs="Arial"/>
          <w:sz w:val="40"/>
          <w:szCs w:val="40"/>
        </w:rPr>
        <w:t>.</w:t>
      </w:r>
      <w:r w:rsidRPr="00503792">
        <w:rPr>
          <w:rFonts w:ascii="Arial" w:hAnsi="Arial" w:cs="Arial"/>
          <w:sz w:val="40"/>
          <w:szCs w:val="40"/>
        </w:rPr>
        <w:t xml:space="preserve"> </w:t>
      </w:r>
      <w:r w:rsidR="00BC1887" w:rsidRPr="00503792">
        <w:rPr>
          <w:rFonts w:ascii="Arial" w:hAnsi="Arial" w:cs="Arial"/>
          <w:sz w:val="40"/>
          <w:szCs w:val="40"/>
        </w:rPr>
        <w:t>Pascal Navelle</w:t>
      </w:r>
    </w:p>
    <w:p w14:paraId="792E1A53" w14:textId="78DC88E0" w:rsidR="00744C2A" w:rsidRDefault="00744C2A" w:rsidP="00626F70"/>
    <w:p w14:paraId="4C99432F" w14:textId="77777777" w:rsidR="00744C2A" w:rsidRDefault="00744C2A" w:rsidP="00626F70"/>
    <w:p w14:paraId="2E504332" w14:textId="35AB420E" w:rsidR="00744C2A" w:rsidRDefault="00744C2A" w:rsidP="00626F70"/>
    <w:p w14:paraId="11BD4DE2" w14:textId="77777777" w:rsidR="00744C2A" w:rsidRDefault="00744C2A" w:rsidP="00626F70"/>
    <w:p w14:paraId="09138A2A" w14:textId="64914577" w:rsidR="00744C2A" w:rsidRDefault="00744C2A" w:rsidP="00626F70"/>
    <w:p w14:paraId="43FCF4FD" w14:textId="1EDECE95" w:rsidR="00744C2A" w:rsidRDefault="00744C2A" w:rsidP="00626F70"/>
    <w:p w14:paraId="33ECFB2E" w14:textId="77777777" w:rsidR="00744C2A" w:rsidRDefault="00744C2A" w:rsidP="00626F70"/>
    <w:p w14:paraId="5EB9CDB4" w14:textId="77777777" w:rsidR="00744C2A" w:rsidRDefault="00744C2A" w:rsidP="00626F70"/>
    <w:p w14:paraId="63EEA483" w14:textId="77777777" w:rsidR="00744C2A" w:rsidRDefault="00744C2A" w:rsidP="00626F70"/>
    <w:p w14:paraId="4EE5C3D9" w14:textId="77777777" w:rsidR="00744C2A" w:rsidRDefault="00744C2A" w:rsidP="00626F70"/>
    <w:p w14:paraId="49D2B80C" w14:textId="77777777" w:rsidR="00744C2A" w:rsidRDefault="00744C2A" w:rsidP="00626F70"/>
    <w:p w14:paraId="6F23DBDD" w14:textId="77777777" w:rsidR="00744C2A" w:rsidRDefault="00744C2A" w:rsidP="00626F70"/>
    <w:p w14:paraId="74EDDD5C" w14:textId="77777777" w:rsidR="00744C2A" w:rsidRDefault="00744C2A" w:rsidP="00626F70"/>
    <w:p w14:paraId="3ADAFEDF" w14:textId="77777777" w:rsidR="00744C2A" w:rsidRDefault="00744C2A" w:rsidP="00626F70"/>
    <w:p w14:paraId="3D2FCE84" w14:textId="77777777" w:rsidR="00744C2A" w:rsidRDefault="00744C2A" w:rsidP="00626F70"/>
    <w:p w14:paraId="55793931" w14:textId="5C0ACC07" w:rsidR="002B2171" w:rsidRDefault="002B2171" w:rsidP="00626F70"/>
    <w:sdt>
      <w:sdtPr>
        <w:rPr>
          <w:rFonts w:asciiTheme="minorHAnsi" w:eastAsiaTheme="minorHAnsi" w:hAnsiTheme="minorHAnsi" w:cstheme="minorBidi"/>
          <w:color w:val="auto"/>
          <w:kern w:val="2"/>
          <w:sz w:val="24"/>
          <w:szCs w:val="24"/>
          <w:lang w:eastAsia="en-US"/>
          <w14:ligatures w14:val="standardContextual"/>
        </w:rPr>
        <w:id w:val="1059288362"/>
        <w:docPartObj>
          <w:docPartGallery w:val="Table of Contents"/>
          <w:docPartUnique/>
        </w:docPartObj>
      </w:sdtPr>
      <w:sdtEndPr>
        <w:rPr>
          <w:b/>
          <w:bCs/>
        </w:rPr>
      </w:sdtEndPr>
      <w:sdtContent>
        <w:p w14:paraId="6A7BC054" w14:textId="131B7631" w:rsidR="002B2171" w:rsidRPr="00D03F91" w:rsidRDefault="002B2171">
          <w:pPr>
            <w:pStyle w:val="TOCHeading"/>
            <w:rPr>
              <w:b/>
              <w:bCs/>
              <w:sz w:val="28"/>
              <w:szCs w:val="28"/>
            </w:rPr>
          </w:pPr>
          <w:r w:rsidRPr="00D03F91">
            <w:rPr>
              <w:b/>
              <w:bCs/>
              <w:sz w:val="28"/>
              <w:szCs w:val="28"/>
            </w:rPr>
            <w:t>Contents</w:t>
          </w:r>
        </w:p>
        <w:p w14:paraId="7480D0C7" w14:textId="60E404E8" w:rsidR="00427D0A" w:rsidRPr="00D03F91" w:rsidRDefault="0049621D" w:rsidP="00BA523F">
          <w:pPr>
            <w:pStyle w:val="TOC1"/>
            <w:numPr>
              <w:ilvl w:val="0"/>
              <w:numId w:val="8"/>
            </w:numPr>
            <w:tabs>
              <w:tab w:val="right" w:leader="dot" w:pos="9016"/>
            </w:tabs>
            <w:rPr>
              <w:rFonts w:eastAsiaTheme="minorEastAsia"/>
              <w:noProof/>
              <w:sz w:val="22"/>
              <w:szCs w:val="22"/>
              <w:lang w:eastAsia="en-GB"/>
            </w:rPr>
          </w:pPr>
          <w:r w:rsidRPr="00D03F91">
            <w:rPr>
              <w:b/>
              <w:bCs/>
              <w:sz w:val="22"/>
              <w:szCs w:val="22"/>
            </w:rPr>
            <w:t>Part A</w:t>
          </w:r>
          <w:r w:rsidR="001435C7" w:rsidRPr="00D03F91">
            <w:rPr>
              <w:sz w:val="22"/>
              <w:szCs w:val="22"/>
            </w:rPr>
            <w:t>:</w:t>
          </w:r>
          <w:r w:rsidR="00F72E62">
            <w:rPr>
              <w:sz w:val="22"/>
              <w:szCs w:val="22"/>
            </w:rPr>
            <w:t xml:space="preserve"> </w:t>
          </w:r>
          <w:r w:rsidR="002B2171" w:rsidRPr="00D03F91">
            <w:rPr>
              <w:sz w:val="22"/>
              <w:szCs w:val="22"/>
            </w:rPr>
            <w:fldChar w:fldCharType="begin"/>
          </w:r>
          <w:r w:rsidR="002B2171" w:rsidRPr="00D03F91">
            <w:rPr>
              <w:sz w:val="22"/>
              <w:szCs w:val="22"/>
            </w:rPr>
            <w:instrText xml:space="preserve"> TOC \o "1-3" \h \z \u </w:instrText>
          </w:r>
          <w:r w:rsidR="002B2171" w:rsidRPr="00D03F91">
            <w:rPr>
              <w:sz w:val="22"/>
              <w:szCs w:val="22"/>
            </w:rPr>
            <w:fldChar w:fldCharType="separate"/>
          </w:r>
          <w:hyperlink w:anchor="_Toc225679603" w:history="1">
            <w:r w:rsidR="003238D4" w:rsidRPr="00D03F91">
              <w:rPr>
                <w:rStyle w:val="Hyperlink"/>
                <w:b/>
                <w:bCs/>
                <w:noProof/>
                <w:sz w:val="22"/>
                <w:szCs w:val="22"/>
              </w:rPr>
              <w:t xml:space="preserve">Annotated </w:t>
            </w:r>
            <w:r w:rsidR="00427D0A" w:rsidRPr="00D03F91">
              <w:rPr>
                <w:rStyle w:val="Hyperlink"/>
                <w:b/>
                <w:bCs/>
                <w:noProof/>
                <w:sz w:val="22"/>
                <w:szCs w:val="22"/>
              </w:rPr>
              <w:t>Bibliography</w:t>
            </w:r>
            <w:r w:rsidR="00427D0A" w:rsidRPr="00D03F91">
              <w:rPr>
                <w:noProof/>
                <w:webHidden/>
                <w:sz w:val="22"/>
                <w:szCs w:val="22"/>
              </w:rPr>
              <w:tab/>
            </w:r>
            <w:r w:rsidR="00427D0A" w:rsidRPr="00D03F91">
              <w:rPr>
                <w:noProof/>
                <w:webHidden/>
                <w:sz w:val="22"/>
                <w:szCs w:val="22"/>
              </w:rPr>
              <w:fldChar w:fldCharType="begin"/>
            </w:r>
            <w:r w:rsidR="00427D0A" w:rsidRPr="00D03F91">
              <w:rPr>
                <w:noProof/>
                <w:webHidden/>
                <w:sz w:val="22"/>
                <w:szCs w:val="22"/>
              </w:rPr>
              <w:instrText xml:space="preserve"> PAGEREF _Toc225679603 \h </w:instrText>
            </w:r>
            <w:r w:rsidR="00427D0A" w:rsidRPr="00D03F91">
              <w:rPr>
                <w:noProof/>
                <w:webHidden/>
                <w:sz w:val="22"/>
                <w:szCs w:val="22"/>
              </w:rPr>
            </w:r>
            <w:r w:rsidR="00427D0A" w:rsidRPr="00D03F91">
              <w:rPr>
                <w:noProof/>
                <w:webHidden/>
                <w:sz w:val="22"/>
                <w:szCs w:val="22"/>
              </w:rPr>
              <w:fldChar w:fldCharType="separate"/>
            </w:r>
            <w:r w:rsidR="00427D0A" w:rsidRPr="00D03F91">
              <w:rPr>
                <w:noProof/>
                <w:webHidden/>
                <w:sz w:val="22"/>
                <w:szCs w:val="22"/>
              </w:rPr>
              <w:t>3</w:t>
            </w:r>
            <w:r w:rsidR="00427D0A" w:rsidRPr="00D03F91">
              <w:rPr>
                <w:noProof/>
                <w:webHidden/>
                <w:sz w:val="22"/>
                <w:szCs w:val="22"/>
              </w:rPr>
              <w:fldChar w:fldCharType="end"/>
            </w:r>
          </w:hyperlink>
        </w:p>
        <w:p w14:paraId="0CD645BA" w14:textId="5151CF37" w:rsidR="00427D0A" w:rsidRPr="00D03F91" w:rsidRDefault="00427D0A" w:rsidP="00CF25A3">
          <w:pPr>
            <w:pStyle w:val="TOC2"/>
          </w:pPr>
          <w:hyperlink w:anchor="_Toc225679604" w:history="1">
            <w:r w:rsidR="004669E7" w:rsidRPr="00D03F91">
              <w:rPr>
                <w:rStyle w:val="Hyperlink"/>
              </w:rPr>
              <w:t xml:space="preserve">                  </w:t>
            </w:r>
            <w:r w:rsidR="00395D53" w:rsidRPr="00D03F91">
              <w:rPr>
                <w:rStyle w:val="Hyperlink"/>
              </w:rPr>
              <w:t xml:space="preserve"> </w:t>
            </w:r>
            <w:r w:rsidR="00F76999" w:rsidRPr="00D03F91">
              <w:rPr>
                <w:rStyle w:val="Hyperlink"/>
              </w:rPr>
              <w:t>1.1. Introduction</w:t>
            </w:r>
            <w:r w:rsidR="004669E7" w:rsidRPr="00D03F91">
              <w:rPr>
                <w:rStyle w:val="Hyperlink"/>
              </w:rPr>
              <w:t xml:space="preserve"> </w:t>
            </w:r>
            <w:r w:rsidRPr="00D03F91">
              <w:rPr>
                <w:webHidden/>
              </w:rPr>
              <w:tab/>
            </w:r>
            <w:r w:rsidRPr="00D03F91">
              <w:rPr>
                <w:webHidden/>
              </w:rPr>
              <w:fldChar w:fldCharType="begin"/>
            </w:r>
            <w:r w:rsidRPr="00D03F91">
              <w:rPr>
                <w:webHidden/>
              </w:rPr>
              <w:instrText xml:space="preserve"> PAGEREF _Toc225679604 \h </w:instrText>
            </w:r>
            <w:r w:rsidRPr="00D03F91">
              <w:rPr>
                <w:webHidden/>
              </w:rPr>
            </w:r>
            <w:r w:rsidRPr="00D03F91">
              <w:rPr>
                <w:webHidden/>
              </w:rPr>
              <w:fldChar w:fldCharType="separate"/>
            </w:r>
            <w:r w:rsidRPr="00D03F91">
              <w:rPr>
                <w:webHidden/>
              </w:rPr>
              <w:t>3</w:t>
            </w:r>
            <w:r w:rsidRPr="00D03F91">
              <w:rPr>
                <w:webHidden/>
              </w:rPr>
              <w:fldChar w:fldCharType="end"/>
            </w:r>
          </w:hyperlink>
        </w:p>
        <w:p w14:paraId="3F3AE2B6" w14:textId="77777777" w:rsidR="00FB2E1F" w:rsidRPr="00D03F91" w:rsidRDefault="00FB2E1F" w:rsidP="00FB2E1F"/>
        <w:p w14:paraId="133DA58C" w14:textId="01E9548B" w:rsidR="00427D0A" w:rsidRPr="00D03F91" w:rsidRDefault="00F76999" w:rsidP="00CF25A3">
          <w:pPr>
            <w:pStyle w:val="TOC2"/>
            <w:rPr>
              <w:rFonts w:eastAsiaTheme="minorEastAsia"/>
              <w:lang w:eastAsia="en-GB"/>
            </w:rPr>
          </w:pPr>
          <w:r w:rsidRPr="00D03F91">
            <w:t xml:space="preserve"> </w:t>
          </w:r>
          <w:r w:rsidR="00257343" w:rsidRPr="00D03F91">
            <w:t xml:space="preserve">                  </w:t>
          </w:r>
          <w:hyperlink w:anchor="_Toc225679605" w:history="1">
            <w:r w:rsidR="00427D0A" w:rsidRPr="00D03F91">
              <w:rPr>
                <w:rStyle w:val="Hyperlink"/>
              </w:rPr>
              <w:t>1.</w:t>
            </w:r>
            <w:r w:rsidR="005D7E00" w:rsidRPr="00D03F91">
              <w:rPr>
                <w:rStyle w:val="Hyperlink"/>
              </w:rPr>
              <w:t xml:space="preserve">2. </w:t>
            </w:r>
            <w:r w:rsidR="00427D0A" w:rsidRPr="00D03F91">
              <w:rPr>
                <w:rStyle w:val="Hyperlink"/>
              </w:rPr>
              <w:t>Erikson, E.H. (1963). .</w:t>
            </w:r>
            <w:r w:rsidR="00427D0A" w:rsidRPr="00D03F91">
              <w:rPr>
                <w:webHidden/>
              </w:rPr>
              <w:tab/>
            </w:r>
            <w:r w:rsidR="00427D0A" w:rsidRPr="00D03F91">
              <w:rPr>
                <w:webHidden/>
              </w:rPr>
              <w:fldChar w:fldCharType="begin"/>
            </w:r>
            <w:r w:rsidR="00427D0A" w:rsidRPr="00D03F91">
              <w:rPr>
                <w:webHidden/>
              </w:rPr>
              <w:instrText xml:space="preserve"> PAGEREF _Toc225679605 \h </w:instrText>
            </w:r>
            <w:r w:rsidR="00427D0A" w:rsidRPr="00D03F91">
              <w:rPr>
                <w:webHidden/>
              </w:rPr>
            </w:r>
            <w:r w:rsidR="00427D0A" w:rsidRPr="00D03F91">
              <w:rPr>
                <w:webHidden/>
              </w:rPr>
              <w:fldChar w:fldCharType="separate"/>
            </w:r>
            <w:r w:rsidR="00427D0A" w:rsidRPr="00D03F91">
              <w:rPr>
                <w:webHidden/>
              </w:rPr>
              <w:t>3</w:t>
            </w:r>
            <w:r w:rsidR="00427D0A" w:rsidRPr="00D03F91">
              <w:rPr>
                <w:webHidden/>
              </w:rPr>
              <w:fldChar w:fldCharType="end"/>
            </w:r>
          </w:hyperlink>
        </w:p>
        <w:p w14:paraId="31CB7C1C" w14:textId="4495610A" w:rsidR="00427D0A" w:rsidRPr="00D03F91" w:rsidRDefault="005D7E00" w:rsidP="00CF25A3">
          <w:pPr>
            <w:pStyle w:val="TOC2"/>
            <w:rPr>
              <w:rFonts w:eastAsiaTheme="minorEastAsia"/>
              <w:lang w:eastAsia="en-GB"/>
            </w:rPr>
          </w:pPr>
          <w:r w:rsidRPr="00D03F91">
            <w:t xml:space="preserve">                  </w:t>
          </w:r>
        </w:p>
        <w:p w14:paraId="05CC51E0" w14:textId="4FF73A97" w:rsidR="00603905" w:rsidRPr="00D03F91" w:rsidRDefault="00215DF8" w:rsidP="00CF25A3">
          <w:pPr>
            <w:pStyle w:val="TOC2"/>
          </w:pPr>
          <w:r w:rsidRPr="00D03F91">
            <w:t xml:space="preserve">        </w:t>
          </w:r>
          <w:hyperlink w:anchor="_Toc225679608" w:history="1">
            <w:r w:rsidR="00C95F0C" w:rsidRPr="00D03F91">
              <w:rPr>
                <w:rStyle w:val="Hyperlink"/>
              </w:rPr>
              <w:t xml:space="preserve">           </w:t>
            </w:r>
            <w:r w:rsidR="0077649B" w:rsidRPr="00D03F91">
              <w:rPr>
                <w:rStyle w:val="Hyperlink"/>
              </w:rPr>
              <w:t>1.</w:t>
            </w:r>
            <w:r w:rsidR="00EB3356">
              <w:rPr>
                <w:rStyle w:val="Hyperlink"/>
              </w:rPr>
              <w:t>3</w:t>
            </w:r>
            <w:r w:rsidR="00C613C9" w:rsidRPr="00D03F91">
              <w:rPr>
                <w:rStyle w:val="Hyperlink"/>
              </w:rPr>
              <w:t>.</w:t>
            </w:r>
            <w:r w:rsidR="00427D0A" w:rsidRPr="00D03F91">
              <w:rPr>
                <w:rStyle w:val="Hyperlink"/>
              </w:rPr>
              <w:t xml:space="preserve"> </w:t>
            </w:r>
            <w:r w:rsidR="00603905" w:rsidRPr="00D03F91">
              <w:t xml:space="preserve">Bandura, A. (1997). </w:t>
            </w:r>
            <w:r w:rsidR="000C4A81" w:rsidRPr="00D03F91">
              <w:rPr>
                <w:i/>
                <w:iCs/>
              </w:rPr>
              <w:t>.</w:t>
            </w:r>
            <w:r w:rsidR="00427D0A" w:rsidRPr="00D03F91">
              <w:rPr>
                <w:rStyle w:val="Hyperlink"/>
              </w:rPr>
              <w:t>.</w:t>
            </w:r>
            <w:r w:rsidR="00427D0A" w:rsidRPr="00D03F91">
              <w:rPr>
                <w:webHidden/>
              </w:rPr>
              <w:tab/>
            </w:r>
            <w:r w:rsidR="00427D0A" w:rsidRPr="00D03F91">
              <w:rPr>
                <w:webHidden/>
              </w:rPr>
              <w:fldChar w:fldCharType="begin"/>
            </w:r>
            <w:r w:rsidR="00427D0A" w:rsidRPr="00D03F91">
              <w:rPr>
                <w:webHidden/>
              </w:rPr>
              <w:instrText xml:space="preserve"> PAGEREF _Toc225679608 \h </w:instrText>
            </w:r>
            <w:r w:rsidR="00427D0A" w:rsidRPr="00D03F91">
              <w:rPr>
                <w:webHidden/>
              </w:rPr>
            </w:r>
            <w:r w:rsidR="00427D0A" w:rsidRPr="00D03F91">
              <w:rPr>
                <w:webHidden/>
              </w:rPr>
              <w:fldChar w:fldCharType="separate"/>
            </w:r>
            <w:r w:rsidR="00427D0A" w:rsidRPr="00D03F91">
              <w:rPr>
                <w:webHidden/>
              </w:rPr>
              <w:t>4</w:t>
            </w:r>
            <w:r w:rsidR="00427D0A" w:rsidRPr="00D03F91">
              <w:rPr>
                <w:webHidden/>
              </w:rPr>
              <w:fldChar w:fldCharType="end"/>
            </w:r>
          </w:hyperlink>
          <w:r w:rsidR="00603905" w:rsidRPr="00D03F91">
            <w:br/>
          </w:r>
          <w:r w:rsidR="003724F7" w:rsidRPr="00D03F91">
            <w:t xml:space="preserve">                  </w:t>
          </w:r>
        </w:p>
        <w:p w14:paraId="4EB8E3E0" w14:textId="198F2959" w:rsidR="00427D0A" w:rsidRPr="00D03F91" w:rsidRDefault="005C3311">
          <w:pPr>
            <w:pStyle w:val="TOC1"/>
            <w:tabs>
              <w:tab w:val="right" w:leader="dot" w:pos="9016"/>
            </w:tabs>
            <w:rPr>
              <w:b/>
              <w:bCs/>
              <w:sz w:val="22"/>
              <w:szCs w:val="22"/>
            </w:rPr>
          </w:pPr>
          <w:r w:rsidRPr="00D03F91">
            <w:rPr>
              <w:b/>
              <w:bCs/>
              <w:sz w:val="22"/>
              <w:szCs w:val="22"/>
            </w:rPr>
            <w:t xml:space="preserve">                2.</w:t>
          </w:r>
          <w:r w:rsidR="00AB74E8" w:rsidRPr="00D03F91">
            <w:rPr>
              <w:b/>
              <w:bCs/>
              <w:sz w:val="22"/>
              <w:szCs w:val="22"/>
            </w:rPr>
            <w:t xml:space="preserve"> Part B</w:t>
          </w:r>
          <w:r w:rsidR="005C135E" w:rsidRPr="00D03F91">
            <w:rPr>
              <w:b/>
              <w:bCs/>
              <w:sz w:val="22"/>
              <w:szCs w:val="22"/>
            </w:rPr>
            <w:t>:</w:t>
          </w:r>
          <w:r w:rsidRPr="00D03F91">
            <w:rPr>
              <w:b/>
              <w:bCs/>
              <w:sz w:val="22"/>
              <w:szCs w:val="22"/>
            </w:rPr>
            <w:t xml:space="preserve"> </w:t>
          </w:r>
          <w:hyperlink w:anchor="_Toc225679609" w:history="1">
            <w:r w:rsidR="00427D0A" w:rsidRPr="00D03F91">
              <w:rPr>
                <w:rStyle w:val="Hyperlink"/>
                <w:rFonts w:ascii="Arial" w:hAnsi="Arial" w:cs="Arial"/>
                <w:b/>
                <w:bCs/>
                <w:noProof/>
                <w:sz w:val="22"/>
                <w:szCs w:val="22"/>
              </w:rPr>
              <w:t>Short Report</w:t>
            </w:r>
            <w:r w:rsidR="00427D0A" w:rsidRPr="00D03F91">
              <w:rPr>
                <w:b/>
                <w:bCs/>
                <w:noProof/>
                <w:webHidden/>
                <w:sz w:val="22"/>
                <w:szCs w:val="22"/>
              </w:rPr>
              <w:tab/>
            </w:r>
            <w:r w:rsidR="00427D0A" w:rsidRPr="00D03F91">
              <w:rPr>
                <w:b/>
                <w:bCs/>
                <w:noProof/>
                <w:webHidden/>
                <w:sz w:val="22"/>
                <w:szCs w:val="22"/>
              </w:rPr>
              <w:fldChar w:fldCharType="begin"/>
            </w:r>
            <w:r w:rsidR="00427D0A" w:rsidRPr="00D03F91">
              <w:rPr>
                <w:b/>
                <w:bCs/>
                <w:noProof/>
                <w:webHidden/>
                <w:sz w:val="22"/>
                <w:szCs w:val="22"/>
              </w:rPr>
              <w:instrText xml:space="preserve"> PAGEREF _Toc225679609 \h </w:instrText>
            </w:r>
            <w:r w:rsidR="00427D0A" w:rsidRPr="00D03F91">
              <w:rPr>
                <w:b/>
                <w:bCs/>
                <w:noProof/>
                <w:webHidden/>
                <w:sz w:val="22"/>
                <w:szCs w:val="22"/>
              </w:rPr>
            </w:r>
            <w:r w:rsidR="00427D0A" w:rsidRPr="00D03F91">
              <w:rPr>
                <w:b/>
                <w:bCs/>
                <w:noProof/>
                <w:webHidden/>
                <w:sz w:val="22"/>
                <w:szCs w:val="22"/>
              </w:rPr>
              <w:fldChar w:fldCharType="separate"/>
            </w:r>
            <w:r w:rsidR="00427D0A" w:rsidRPr="00D03F91">
              <w:rPr>
                <w:b/>
                <w:bCs/>
                <w:noProof/>
                <w:webHidden/>
                <w:sz w:val="22"/>
                <w:szCs w:val="22"/>
              </w:rPr>
              <w:t>5</w:t>
            </w:r>
            <w:r w:rsidR="00427D0A" w:rsidRPr="00D03F91">
              <w:rPr>
                <w:b/>
                <w:bCs/>
                <w:noProof/>
                <w:webHidden/>
                <w:sz w:val="22"/>
                <w:szCs w:val="22"/>
              </w:rPr>
              <w:fldChar w:fldCharType="end"/>
            </w:r>
          </w:hyperlink>
        </w:p>
        <w:p w14:paraId="27D3706E" w14:textId="77777777" w:rsidR="00FB2E1F" w:rsidRPr="00D03F91" w:rsidRDefault="00FB2E1F" w:rsidP="00FB2E1F"/>
        <w:p w14:paraId="260ADE3F" w14:textId="381D63DB" w:rsidR="00427D0A" w:rsidRPr="00D03F91" w:rsidRDefault="008D4244">
          <w:pPr>
            <w:pStyle w:val="TOC1"/>
            <w:tabs>
              <w:tab w:val="right" w:leader="dot" w:pos="9016"/>
            </w:tabs>
            <w:rPr>
              <w:b/>
              <w:bCs/>
              <w:sz w:val="22"/>
              <w:szCs w:val="22"/>
            </w:rPr>
          </w:pPr>
          <w:r w:rsidRPr="00D03F91">
            <w:rPr>
              <w:b/>
              <w:bCs/>
              <w:sz w:val="22"/>
              <w:szCs w:val="22"/>
            </w:rPr>
            <w:t xml:space="preserve">                    </w:t>
          </w:r>
          <w:hyperlink w:anchor="_Toc225679610" w:history="1">
            <w:r w:rsidR="00427D0A" w:rsidRPr="00D03F91">
              <w:rPr>
                <w:rStyle w:val="Hyperlink"/>
                <w:b/>
                <w:bCs/>
                <w:noProof/>
                <w:sz w:val="22"/>
                <w:szCs w:val="22"/>
              </w:rPr>
              <w:t>Applying Erikson’s Psychosocial Theory</w:t>
            </w:r>
            <w:r w:rsidR="00427D0A" w:rsidRPr="00D03F91">
              <w:rPr>
                <w:b/>
                <w:bCs/>
                <w:noProof/>
                <w:webHidden/>
                <w:sz w:val="22"/>
                <w:szCs w:val="22"/>
              </w:rPr>
              <w:tab/>
            </w:r>
            <w:r w:rsidR="00427D0A" w:rsidRPr="00D03F91">
              <w:rPr>
                <w:b/>
                <w:bCs/>
                <w:noProof/>
                <w:webHidden/>
                <w:sz w:val="22"/>
                <w:szCs w:val="22"/>
              </w:rPr>
              <w:fldChar w:fldCharType="begin"/>
            </w:r>
            <w:r w:rsidR="00427D0A" w:rsidRPr="00D03F91">
              <w:rPr>
                <w:b/>
                <w:bCs/>
                <w:noProof/>
                <w:webHidden/>
                <w:sz w:val="22"/>
                <w:szCs w:val="22"/>
              </w:rPr>
              <w:instrText xml:space="preserve"> PAGEREF _Toc225679610 \h </w:instrText>
            </w:r>
            <w:r w:rsidR="00427D0A" w:rsidRPr="00D03F91">
              <w:rPr>
                <w:b/>
                <w:bCs/>
                <w:noProof/>
                <w:webHidden/>
                <w:sz w:val="22"/>
                <w:szCs w:val="22"/>
              </w:rPr>
            </w:r>
            <w:r w:rsidR="00427D0A" w:rsidRPr="00D03F91">
              <w:rPr>
                <w:b/>
                <w:bCs/>
                <w:noProof/>
                <w:webHidden/>
                <w:sz w:val="22"/>
                <w:szCs w:val="22"/>
              </w:rPr>
              <w:fldChar w:fldCharType="separate"/>
            </w:r>
            <w:r w:rsidR="00427D0A" w:rsidRPr="00D03F91">
              <w:rPr>
                <w:b/>
                <w:bCs/>
                <w:noProof/>
                <w:webHidden/>
                <w:sz w:val="22"/>
                <w:szCs w:val="22"/>
              </w:rPr>
              <w:t>5</w:t>
            </w:r>
            <w:r w:rsidR="00427D0A" w:rsidRPr="00D03F91">
              <w:rPr>
                <w:b/>
                <w:bCs/>
                <w:noProof/>
                <w:webHidden/>
                <w:sz w:val="22"/>
                <w:szCs w:val="22"/>
              </w:rPr>
              <w:fldChar w:fldCharType="end"/>
            </w:r>
          </w:hyperlink>
        </w:p>
        <w:p w14:paraId="3BA357FC" w14:textId="77777777" w:rsidR="00FB2E1F" w:rsidRPr="00D03F91" w:rsidRDefault="00FB2E1F" w:rsidP="00FB2E1F">
          <w:pPr>
            <w:rPr>
              <w:sz w:val="22"/>
              <w:szCs w:val="22"/>
            </w:rPr>
          </w:pPr>
        </w:p>
        <w:p w14:paraId="09FCD083" w14:textId="7B4EDF29" w:rsidR="00427D0A" w:rsidRPr="00D03F91" w:rsidRDefault="00BA3CD1">
          <w:pPr>
            <w:pStyle w:val="TOC1"/>
            <w:tabs>
              <w:tab w:val="right" w:leader="dot" w:pos="9016"/>
            </w:tabs>
            <w:rPr>
              <w:rFonts w:eastAsiaTheme="minorEastAsia"/>
              <w:b/>
              <w:bCs/>
              <w:noProof/>
              <w:sz w:val="22"/>
              <w:szCs w:val="22"/>
              <w:lang w:eastAsia="en-GB"/>
            </w:rPr>
          </w:pPr>
          <w:r w:rsidRPr="00D03F91">
            <w:rPr>
              <w:b/>
              <w:bCs/>
              <w:sz w:val="22"/>
              <w:szCs w:val="22"/>
            </w:rPr>
            <w:t xml:space="preserve">                3.  </w:t>
          </w:r>
          <w:hyperlink w:anchor="_Toc225679611" w:history="1">
            <w:r w:rsidR="00427D0A" w:rsidRPr="00D03F91">
              <w:rPr>
                <w:rStyle w:val="Hyperlink"/>
                <w:b/>
                <w:bCs/>
                <w:noProof/>
                <w:sz w:val="22"/>
                <w:szCs w:val="22"/>
              </w:rPr>
              <w:t>References:</w:t>
            </w:r>
            <w:r w:rsidR="00427D0A" w:rsidRPr="00D03F91">
              <w:rPr>
                <w:b/>
                <w:bCs/>
                <w:noProof/>
                <w:webHidden/>
                <w:sz w:val="22"/>
                <w:szCs w:val="22"/>
              </w:rPr>
              <w:tab/>
            </w:r>
            <w:r w:rsidR="00427D0A" w:rsidRPr="00D03F91">
              <w:rPr>
                <w:b/>
                <w:bCs/>
                <w:noProof/>
                <w:webHidden/>
                <w:sz w:val="22"/>
                <w:szCs w:val="22"/>
              </w:rPr>
              <w:fldChar w:fldCharType="begin"/>
            </w:r>
            <w:r w:rsidR="00427D0A" w:rsidRPr="00D03F91">
              <w:rPr>
                <w:b/>
                <w:bCs/>
                <w:noProof/>
                <w:webHidden/>
                <w:sz w:val="22"/>
                <w:szCs w:val="22"/>
              </w:rPr>
              <w:instrText xml:space="preserve"> PAGEREF _Toc225679611 \h </w:instrText>
            </w:r>
            <w:r w:rsidR="00427D0A" w:rsidRPr="00D03F91">
              <w:rPr>
                <w:b/>
                <w:bCs/>
                <w:noProof/>
                <w:webHidden/>
                <w:sz w:val="22"/>
                <w:szCs w:val="22"/>
              </w:rPr>
            </w:r>
            <w:r w:rsidR="00427D0A" w:rsidRPr="00D03F91">
              <w:rPr>
                <w:b/>
                <w:bCs/>
                <w:noProof/>
                <w:webHidden/>
                <w:sz w:val="22"/>
                <w:szCs w:val="22"/>
              </w:rPr>
              <w:fldChar w:fldCharType="separate"/>
            </w:r>
            <w:r w:rsidR="00427D0A" w:rsidRPr="00D03F91">
              <w:rPr>
                <w:b/>
                <w:bCs/>
                <w:noProof/>
                <w:webHidden/>
                <w:sz w:val="22"/>
                <w:szCs w:val="22"/>
              </w:rPr>
              <w:t>7</w:t>
            </w:r>
            <w:r w:rsidR="00427D0A" w:rsidRPr="00D03F91">
              <w:rPr>
                <w:b/>
                <w:bCs/>
                <w:noProof/>
                <w:webHidden/>
                <w:sz w:val="22"/>
                <w:szCs w:val="22"/>
              </w:rPr>
              <w:fldChar w:fldCharType="end"/>
            </w:r>
          </w:hyperlink>
        </w:p>
        <w:p w14:paraId="288E4A6E" w14:textId="42D7D8DA" w:rsidR="002B2171" w:rsidRDefault="002B2171">
          <w:r w:rsidRPr="00D03F91">
            <w:rPr>
              <w:b/>
              <w:bCs/>
              <w:sz w:val="22"/>
              <w:szCs w:val="22"/>
            </w:rPr>
            <w:fldChar w:fldCharType="end"/>
          </w:r>
        </w:p>
      </w:sdtContent>
    </w:sdt>
    <w:p w14:paraId="25421E68" w14:textId="77777777" w:rsidR="002B2171" w:rsidRDefault="002B2171">
      <w:r>
        <w:br w:type="page"/>
      </w:r>
    </w:p>
    <w:p w14:paraId="316DCAD3" w14:textId="77777777" w:rsidR="00744C2A" w:rsidRDefault="00744C2A" w:rsidP="00626F70"/>
    <w:p w14:paraId="0DB9216D" w14:textId="325DD649" w:rsidR="003F1F81" w:rsidRPr="006B7272" w:rsidRDefault="003F1F81" w:rsidP="002B2171">
      <w:pPr>
        <w:pStyle w:val="Heading1"/>
        <w:jc w:val="center"/>
        <w:rPr>
          <w:rFonts w:ascii="Arial" w:hAnsi="Arial" w:cs="Arial"/>
          <w:sz w:val="22"/>
          <w:szCs w:val="22"/>
        </w:rPr>
      </w:pPr>
      <w:bookmarkStart w:id="0" w:name="_Toc225679603"/>
      <w:r w:rsidRPr="006B7272">
        <w:rPr>
          <w:rFonts w:ascii="Arial" w:hAnsi="Arial" w:cs="Arial"/>
          <w:sz w:val="22"/>
          <w:szCs w:val="22"/>
        </w:rPr>
        <w:t>Annotated Bibliography</w:t>
      </w:r>
      <w:bookmarkEnd w:id="0"/>
    </w:p>
    <w:p w14:paraId="124402C8" w14:textId="77777777" w:rsidR="003F1F81" w:rsidRPr="006B7272" w:rsidRDefault="003F1F81" w:rsidP="00862170">
      <w:pPr>
        <w:pStyle w:val="Heading2"/>
        <w:spacing w:line="360" w:lineRule="auto"/>
        <w:rPr>
          <w:rFonts w:ascii="Arial" w:hAnsi="Arial" w:cs="Arial"/>
          <w:sz w:val="22"/>
          <w:szCs w:val="22"/>
        </w:rPr>
      </w:pPr>
      <w:bookmarkStart w:id="1" w:name="_Toc225679604"/>
      <w:r w:rsidRPr="006B7272">
        <w:rPr>
          <w:rFonts w:ascii="Arial" w:hAnsi="Arial" w:cs="Arial"/>
          <w:sz w:val="22"/>
          <w:szCs w:val="22"/>
        </w:rPr>
        <w:t>Introduction</w:t>
      </w:r>
      <w:bookmarkEnd w:id="1"/>
    </w:p>
    <w:p w14:paraId="4A0965ED" w14:textId="7BB02302" w:rsidR="00EF7EC1" w:rsidRPr="006B7272" w:rsidRDefault="003F1F81" w:rsidP="00EF7EC1">
      <w:pPr>
        <w:spacing w:line="360" w:lineRule="auto"/>
        <w:rPr>
          <w:rFonts w:ascii="Arial" w:hAnsi="Arial" w:cs="Arial"/>
          <w:sz w:val="22"/>
          <w:szCs w:val="22"/>
        </w:rPr>
      </w:pPr>
      <w:r w:rsidRPr="006B7272">
        <w:rPr>
          <w:rFonts w:ascii="Arial" w:hAnsi="Arial" w:cs="Arial"/>
          <w:sz w:val="22"/>
          <w:szCs w:val="22"/>
        </w:rPr>
        <w:t>This annotated bibliography includes four academic sources about psychological theories linked to adult development and well-being. Two sources focus on Erikson’s Psychosocial Theory, and two focus on Bowlby’s Attachment Theory. The list includes both classic texts and recent research to show how these theories were developed and how they are used today in the care of older adults.</w:t>
      </w:r>
    </w:p>
    <w:p w14:paraId="181EB738" w14:textId="7C5256F8" w:rsidR="00407BDC" w:rsidRPr="004B6C74" w:rsidRDefault="00407BDC" w:rsidP="00407BDC">
      <w:pPr>
        <w:spacing w:line="360" w:lineRule="auto"/>
        <w:rPr>
          <w:rFonts w:ascii="Arial" w:hAnsi="Arial" w:cs="Arial"/>
          <w:b/>
          <w:bCs/>
          <w:sz w:val="22"/>
          <w:szCs w:val="22"/>
        </w:rPr>
      </w:pPr>
      <w:r w:rsidRPr="004B6C74">
        <w:rPr>
          <w:rFonts w:ascii="Arial" w:hAnsi="Arial" w:cs="Arial"/>
          <w:b/>
          <w:bCs/>
          <w:sz w:val="22"/>
          <w:szCs w:val="22"/>
        </w:rPr>
        <w:t>Annotated Bibliography: Psychological Theories in Adult Development and Well-being</w:t>
      </w:r>
      <w:r w:rsidR="002E02A2" w:rsidRPr="004B6C74">
        <w:rPr>
          <w:rFonts w:ascii="Arial" w:hAnsi="Arial" w:cs="Arial"/>
          <w:b/>
          <w:bCs/>
          <w:sz w:val="22"/>
          <w:szCs w:val="22"/>
        </w:rPr>
        <w:t xml:space="preserve"> </w:t>
      </w:r>
    </w:p>
    <w:p w14:paraId="54EC8D6F" w14:textId="6531556C" w:rsidR="004B6C74" w:rsidRPr="004B6C74" w:rsidRDefault="004B6C74" w:rsidP="004B6C74">
      <w:pPr>
        <w:spacing w:line="360" w:lineRule="auto"/>
        <w:rPr>
          <w:rFonts w:ascii="Arial" w:hAnsi="Arial" w:cs="Arial"/>
          <w:b/>
          <w:bCs/>
          <w:sz w:val="22"/>
          <w:szCs w:val="22"/>
        </w:rPr>
      </w:pPr>
      <w:bookmarkStart w:id="2" w:name="_Toc225679609"/>
      <w:r w:rsidRPr="004B6C74">
        <w:rPr>
          <w:rFonts w:ascii="Arial" w:hAnsi="Arial" w:cs="Arial"/>
          <w:b/>
          <w:bCs/>
          <w:sz w:val="22"/>
          <w:szCs w:val="22"/>
        </w:rPr>
        <w:t>1. Erikson, E.H. (1950)</w:t>
      </w:r>
    </w:p>
    <w:p w14:paraId="11FAD157" w14:textId="77777777" w:rsidR="004B6C74" w:rsidRPr="004B6C74" w:rsidRDefault="004B6C74" w:rsidP="004B6C74">
      <w:pPr>
        <w:spacing w:line="360" w:lineRule="auto"/>
        <w:rPr>
          <w:rFonts w:ascii="Arial" w:hAnsi="Arial" w:cs="Arial"/>
          <w:b/>
          <w:bCs/>
          <w:sz w:val="22"/>
          <w:szCs w:val="22"/>
        </w:rPr>
      </w:pPr>
      <w:r w:rsidRPr="004B6C74">
        <w:rPr>
          <w:rFonts w:ascii="Arial" w:hAnsi="Arial" w:cs="Arial"/>
          <w:b/>
          <w:bCs/>
          <w:sz w:val="22"/>
          <w:szCs w:val="22"/>
        </w:rPr>
        <w:t>Reference:</w:t>
      </w:r>
    </w:p>
    <w:p w14:paraId="7F2E53BC" w14:textId="5A036289" w:rsidR="004B6C74" w:rsidRPr="004B6C74" w:rsidRDefault="004B6C74" w:rsidP="004B6C74">
      <w:pPr>
        <w:spacing w:line="360" w:lineRule="auto"/>
        <w:rPr>
          <w:rFonts w:ascii="Arial" w:hAnsi="Arial" w:cs="Arial"/>
          <w:sz w:val="22"/>
          <w:szCs w:val="22"/>
        </w:rPr>
      </w:pPr>
      <w:r w:rsidRPr="004B6C74">
        <w:rPr>
          <w:rFonts w:ascii="Arial" w:hAnsi="Arial" w:cs="Arial"/>
          <w:sz w:val="22"/>
          <w:szCs w:val="22"/>
        </w:rPr>
        <w:t>Erikson, E.H. (1950). Childhood and Society. New York: Norton.</w:t>
      </w:r>
    </w:p>
    <w:p w14:paraId="2F4F61A9" w14:textId="77777777" w:rsidR="004B6C74" w:rsidRPr="004B6C74" w:rsidRDefault="004B6C74" w:rsidP="004B6C74">
      <w:pPr>
        <w:spacing w:line="360" w:lineRule="auto"/>
        <w:rPr>
          <w:rFonts w:ascii="Arial" w:hAnsi="Arial" w:cs="Arial"/>
          <w:b/>
          <w:bCs/>
          <w:sz w:val="22"/>
          <w:szCs w:val="22"/>
        </w:rPr>
      </w:pPr>
      <w:r w:rsidRPr="004B6C74">
        <w:rPr>
          <w:rFonts w:ascii="Arial" w:hAnsi="Arial" w:cs="Arial"/>
          <w:b/>
          <w:bCs/>
          <w:sz w:val="22"/>
          <w:szCs w:val="22"/>
        </w:rPr>
        <w:t>Summary:</w:t>
      </w:r>
    </w:p>
    <w:p w14:paraId="423EC9B6" w14:textId="5589B5FE" w:rsidR="004B6C74" w:rsidRPr="004B6C74" w:rsidRDefault="004B6C74" w:rsidP="004B6C74">
      <w:pPr>
        <w:spacing w:line="360" w:lineRule="auto"/>
        <w:rPr>
          <w:rFonts w:ascii="Arial" w:hAnsi="Arial" w:cs="Arial"/>
          <w:sz w:val="22"/>
          <w:szCs w:val="22"/>
        </w:rPr>
      </w:pPr>
      <w:r w:rsidRPr="004B6C74">
        <w:rPr>
          <w:rFonts w:ascii="Arial" w:hAnsi="Arial" w:cs="Arial"/>
          <w:sz w:val="22"/>
          <w:szCs w:val="22"/>
        </w:rPr>
        <w:t>Erik Erikson’s theory of development, explained in Childhood and Society (1950), is about how people grow and change throughout life. He suggested that everyone moves through eight stages, from childhood to old age. At each stage, people face a challenge that shapes how they see themselves and others. How these challenges are managed affects personality, confidence, and emotional well-being.</w:t>
      </w:r>
    </w:p>
    <w:p w14:paraId="7E3C0CEF" w14:textId="4124BF9E" w:rsidR="004B6C74" w:rsidRPr="004B6C74" w:rsidRDefault="004B6C74" w:rsidP="004B6C74">
      <w:pPr>
        <w:spacing w:line="360" w:lineRule="auto"/>
        <w:rPr>
          <w:rFonts w:ascii="Arial" w:hAnsi="Arial" w:cs="Arial"/>
          <w:sz w:val="22"/>
          <w:szCs w:val="22"/>
        </w:rPr>
      </w:pPr>
      <w:r w:rsidRPr="004B6C74">
        <w:rPr>
          <w:rFonts w:ascii="Arial" w:hAnsi="Arial" w:cs="Arial"/>
          <w:sz w:val="22"/>
          <w:szCs w:val="22"/>
        </w:rPr>
        <w:t xml:space="preserve">Erikson believed development continues into adulthood, not just childhood. Two stages are especially important when </w:t>
      </w:r>
      <w:r w:rsidR="006D0E41">
        <w:rPr>
          <w:rFonts w:ascii="Arial" w:hAnsi="Arial" w:cs="Arial"/>
          <w:sz w:val="22"/>
          <w:szCs w:val="22"/>
        </w:rPr>
        <w:t>considering older adults: generativity versus stagnation</w:t>
      </w:r>
      <w:r w:rsidRPr="004B6C74">
        <w:rPr>
          <w:rFonts w:ascii="Arial" w:hAnsi="Arial" w:cs="Arial"/>
          <w:sz w:val="22"/>
          <w:szCs w:val="22"/>
        </w:rPr>
        <w:t xml:space="preserve"> and ego integrity versus despair.</w:t>
      </w:r>
      <w:r>
        <w:rPr>
          <w:rFonts w:ascii="Arial" w:hAnsi="Arial" w:cs="Arial"/>
          <w:sz w:val="22"/>
          <w:szCs w:val="22"/>
        </w:rPr>
        <w:t xml:space="preserve"> </w:t>
      </w:r>
      <w:r w:rsidRPr="004B6C74">
        <w:rPr>
          <w:rFonts w:ascii="Arial" w:hAnsi="Arial" w:cs="Arial"/>
          <w:sz w:val="22"/>
          <w:szCs w:val="22"/>
        </w:rPr>
        <w:t>Generativity versus stagnation usually happens in middle adulthood. Generativity is about feeling useful and giving back, whether through family, work, or helping others. People who experience this often feel valued and have a sense of purpose. In contrast, stagnation can lead to feeling stuck, disconnected, or lacking direction.</w:t>
      </w:r>
    </w:p>
    <w:p w14:paraId="2177EFCB" w14:textId="6C55C676" w:rsidR="004B6C74" w:rsidRPr="004B6C74" w:rsidRDefault="004B6C74" w:rsidP="004B6C74">
      <w:pPr>
        <w:spacing w:line="360" w:lineRule="auto"/>
        <w:rPr>
          <w:rFonts w:ascii="Arial" w:hAnsi="Arial" w:cs="Arial"/>
          <w:sz w:val="22"/>
          <w:szCs w:val="22"/>
        </w:rPr>
      </w:pPr>
      <w:r w:rsidRPr="004B6C74">
        <w:rPr>
          <w:rFonts w:ascii="Arial" w:hAnsi="Arial" w:cs="Arial"/>
          <w:sz w:val="22"/>
          <w:szCs w:val="22"/>
        </w:rPr>
        <w:t xml:space="preserve">The final stage, ego integrity versus despair, happens in later life. This is when people reflect on their lives. Ego integrity means accepting life as it is, including both successes and regrets, and feeling at peace. Despair </w:t>
      </w:r>
      <w:r w:rsidR="00F221AC">
        <w:rPr>
          <w:rFonts w:ascii="Arial" w:hAnsi="Arial" w:cs="Arial"/>
          <w:sz w:val="22"/>
          <w:szCs w:val="22"/>
        </w:rPr>
        <w:t>occurs when someone looks back with regret or feels they have missed out, leading</w:t>
      </w:r>
      <w:r w:rsidRPr="004B6C74">
        <w:rPr>
          <w:rFonts w:ascii="Arial" w:hAnsi="Arial" w:cs="Arial"/>
          <w:sz w:val="22"/>
          <w:szCs w:val="22"/>
        </w:rPr>
        <w:t xml:space="preserve"> to sadness or dissatisfaction.</w:t>
      </w:r>
    </w:p>
    <w:p w14:paraId="1136EFE7" w14:textId="77777777" w:rsidR="004B6C74" w:rsidRPr="004B6C74" w:rsidRDefault="004B6C74" w:rsidP="004B6C74">
      <w:pPr>
        <w:spacing w:line="360" w:lineRule="auto"/>
        <w:rPr>
          <w:rFonts w:ascii="Arial" w:hAnsi="Arial" w:cs="Arial"/>
          <w:sz w:val="22"/>
          <w:szCs w:val="22"/>
        </w:rPr>
      </w:pPr>
      <w:r w:rsidRPr="004B6C74">
        <w:rPr>
          <w:rFonts w:ascii="Arial" w:hAnsi="Arial" w:cs="Arial"/>
          <w:sz w:val="22"/>
          <w:szCs w:val="22"/>
        </w:rPr>
        <w:t xml:space="preserve">Erikson’s theory is helpful because it shows that emotional needs continue throughout life. However, it does not always consider real-life challenges such as poverty, illness, or discrimination, which can affect how people experience these stages. Despite this, it remains </w:t>
      </w:r>
      <w:r w:rsidRPr="004B6C74">
        <w:rPr>
          <w:rFonts w:ascii="Arial" w:hAnsi="Arial" w:cs="Arial"/>
          <w:sz w:val="22"/>
          <w:szCs w:val="22"/>
        </w:rPr>
        <w:lastRenderedPageBreak/>
        <w:t>widely used because it is clear and easy to apply, especially in understanding ageing and well-being.</w:t>
      </w:r>
    </w:p>
    <w:p w14:paraId="039E2A64" w14:textId="77777777" w:rsidR="004B6C74" w:rsidRPr="004B6C74" w:rsidRDefault="004B6C74" w:rsidP="004B6C74">
      <w:pPr>
        <w:spacing w:line="360" w:lineRule="auto"/>
        <w:rPr>
          <w:rFonts w:ascii="Arial" w:hAnsi="Arial" w:cs="Arial"/>
          <w:sz w:val="22"/>
          <w:szCs w:val="22"/>
        </w:rPr>
      </w:pPr>
    </w:p>
    <w:p w14:paraId="65CCFE04" w14:textId="77777777" w:rsidR="004B6C74" w:rsidRPr="004B6C74" w:rsidRDefault="004B6C74" w:rsidP="004B6C74">
      <w:pPr>
        <w:spacing w:line="360" w:lineRule="auto"/>
        <w:rPr>
          <w:rFonts w:ascii="Arial" w:hAnsi="Arial" w:cs="Arial"/>
          <w:b/>
          <w:bCs/>
          <w:sz w:val="22"/>
          <w:szCs w:val="22"/>
        </w:rPr>
      </w:pPr>
      <w:r w:rsidRPr="004B6C74">
        <w:rPr>
          <w:rFonts w:ascii="Arial" w:hAnsi="Arial" w:cs="Arial"/>
          <w:b/>
          <w:bCs/>
          <w:sz w:val="22"/>
          <w:szCs w:val="22"/>
        </w:rPr>
        <w:t>Critical Comment (Relevance to Health and Social Care):</w:t>
      </w:r>
    </w:p>
    <w:p w14:paraId="0439C86E" w14:textId="77777777" w:rsidR="004B6C74" w:rsidRPr="004B6C74" w:rsidRDefault="004B6C74" w:rsidP="004B6C74">
      <w:pPr>
        <w:spacing w:line="360" w:lineRule="auto"/>
        <w:rPr>
          <w:rFonts w:ascii="Arial" w:hAnsi="Arial" w:cs="Arial"/>
          <w:sz w:val="22"/>
          <w:szCs w:val="22"/>
        </w:rPr>
      </w:pPr>
      <w:r w:rsidRPr="004B6C74">
        <w:rPr>
          <w:rFonts w:ascii="Arial" w:hAnsi="Arial" w:cs="Arial"/>
          <w:sz w:val="22"/>
          <w:szCs w:val="22"/>
        </w:rPr>
        <w:t>In health and social care, Erikson’s theory helps professionals understand the emotional needs of older adults. It highlights how important it is for individuals to feel valued, connected, and purposeful, even in later life.</w:t>
      </w:r>
    </w:p>
    <w:p w14:paraId="37CAE9CC" w14:textId="77777777" w:rsidR="004B6C74" w:rsidRPr="004B6C74" w:rsidRDefault="004B6C74" w:rsidP="004B6C74">
      <w:pPr>
        <w:spacing w:line="360" w:lineRule="auto"/>
        <w:rPr>
          <w:rFonts w:ascii="Arial" w:hAnsi="Arial" w:cs="Arial"/>
          <w:sz w:val="22"/>
          <w:szCs w:val="22"/>
        </w:rPr>
      </w:pPr>
    </w:p>
    <w:p w14:paraId="7E77F5AC" w14:textId="77777777" w:rsidR="004B6C74" w:rsidRPr="004B6C74" w:rsidRDefault="004B6C74" w:rsidP="004B6C74">
      <w:pPr>
        <w:spacing w:line="360" w:lineRule="auto"/>
        <w:rPr>
          <w:rFonts w:ascii="Arial" w:hAnsi="Arial" w:cs="Arial"/>
          <w:sz w:val="22"/>
          <w:szCs w:val="22"/>
        </w:rPr>
      </w:pPr>
      <w:r w:rsidRPr="004B6C74">
        <w:rPr>
          <w:rFonts w:ascii="Arial" w:hAnsi="Arial" w:cs="Arial"/>
          <w:sz w:val="22"/>
          <w:szCs w:val="22"/>
        </w:rPr>
        <w:t>For example, encouraging older adults to take part in social activities, volunteering, or sharing their experiences can help them feel useful and included. This supports mental well-being and reduces feelings of loneliness.</w:t>
      </w:r>
    </w:p>
    <w:p w14:paraId="5B18BB06" w14:textId="77777777" w:rsidR="004B6C74" w:rsidRPr="004B6C74" w:rsidRDefault="004B6C74" w:rsidP="004B6C74">
      <w:pPr>
        <w:spacing w:line="360" w:lineRule="auto"/>
        <w:rPr>
          <w:rFonts w:ascii="Arial" w:hAnsi="Arial" w:cs="Arial"/>
          <w:sz w:val="22"/>
          <w:szCs w:val="22"/>
        </w:rPr>
      </w:pPr>
    </w:p>
    <w:p w14:paraId="5ECBB29D" w14:textId="77777777" w:rsidR="004B6C74" w:rsidRPr="004B6C74" w:rsidRDefault="004B6C74" w:rsidP="004B6C74">
      <w:pPr>
        <w:spacing w:line="360" w:lineRule="auto"/>
        <w:rPr>
          <w:rFonts w:ascii="Arial" w:hAnsi="Arial" w:cs="Arial"/>
          <w:sz w:val="22"/>
          <w:szCs w:val="22"/>
        </w:rPr>
      </w:pPr>
      <w:r w:rsidRPr="004B6C74">
        <w:rPr>
          <w:rFonts w:ascii="Arial" w:hAnsi="Arial" w:cs="Arial"/>
          <w:sz w:val="22"/>
          <w:szCs w:val="22"/>
        </w:rPr>
        <w:t>The idea of ego integrity is also very important. Care settings often use reminiscence activities, such as talking about past experiences or looking at photos, to help individuals reflect positively on their lives. This can improve mood, build self-esteem, and help people feel proud of their life story. Feeling listened to and respected also supports dignity and emotional comfort.</w:t>
      </w:r>
    </w:p>
    <w:p w14:paraId="47901E48" w14:textId="77777777" w:rsidR="004B6C74" w:rsidRPr="004B6C74" w:rsidRDefault="004B6C74" w:rsidP="004B6C74">
      <w:pPr>
        <w:spacing w:line="360" w:lineRule="auto"/>
        <w:rPr>
          <w:rFonts w:ascii="Arial" w:hAnsi="Arial" w:cs="Arial"/>
          <w:sz w:val="22"/>
          <w:szCs w:val="22"/>
        </w:rPr>
      </w:pPr>
    </w:p>
    <w:p w14:paraId="7EE6838C" w14:textId="77777777" w:rsidR="004B6C74" w:rsidRPr="004B6C74" w:rsidRDefault="004B6C74" w:rsidP="004B6C74">
      <w:pPr>
        <w:spacing w:line="360" w:lineRule="auto"/>
        <w:rPr>
          <w:rFonts w:ascii="Arial" w:hAnsi="Arial" w:cs="Arial"/>
          <w:sz w:val="22"/>
          <w:szCs w:val="22"/>
        </w:rPr>
      </w:pPr>
      <w:r w:rsidRPr="004B6C74">
        <w:rPr>
          <w:rFonts w:ascii="Arial" w:hAnsi="Arial" w:cs="Arial"/>
          <w:sz w:val="22"/>
          <w:szCs w:val="22"/>
        </w:rPr>
        <w:t>However, the theory has some limits. It assumes people move through fixed stages, but in reality, life is not always so structured. People have different experiences and may face challenges at different times. It is also based mainly on Western ideas, which may not reflect cultures that focus more on family and community than individual identity.</w:t>
      </w:r>
    </w:p>
    <w:p w14:paraId="6C51986E" w14:textId="77777777" w:rsidR="004B6C74" w:rsidRPr="004B6C74" w:rsidRDefault="004B6C74" w:rsidP="004B6C74">
      <w:pPr>
        <w:spacing w:line="360" w:lineRule="auto"/>
        <w:rPr>
          <w:rFonts w:ascii="Arial" w:hAnsi="Arial" w:cs="Arial"/>
          <w:sz w:val="22"/>
          <w:szCs w:val="22"/>
        </w:rPr>
      </w:pPr>
    </w:p>
    <w:p w14:paraId="1151967F" w14:textId="77777777" w:rsidR="004B6C74" w:rsidRPr="004B6C74" w:rsidRDefault="004B6C74" w:rsidP="004B6C74">
      <w:pPr>
        <w:spacing w:line="360" w:lineRule="auto"/>
        <w:rPr>
          <w:rFonts w:ascii="Arial" w:hAnsi="Arial" w:cs="Arial"/>
          <w:sz w:val="22"/>
          <w:szCs w:val="22"/>
        </w:rPr>
      </w:pPr>
      <w:r w:rsidRPr="004B6C74">
        <w:rPr>
          <w:rFonts w:ascii="Arial" w:hAnsi="Arial" w:cs="Arial"/>
          <w:sz w:val="22"/>
          <w:szCs w:val="22"/>
        </w:rPr>
        <w:t>Even so, Erikson’s theory is still useful. It gives a simple way to understand emotional well-being and reminds care professionals to support purpose, dignity, and connection in older adults.</w:t>
      </w:r>
    </w:p>
    <w:p w14:paraId="02073439" w14:textId="77777777" w:rsidR="004B6C74" w:rsidRPr="004B6C74" w:rsidRDefault="004B6C74" w:rsidP="004B6C74">
      <w:pPr>
        <w:spacing w:line="360" w:lineRule="auto"/>
        <w:rPr>
          <w:rFonts w:ascii="Arial" w:hAnsi="Arial" w:cs="Arial"/>
          <w:sz w:val="22"/>
          <w:szCs w:val="22"/>
        </w:rPr>
      </w:pPr>
    </w:p>
    <w:p w14:paraId="696B1704" w14:textId="77777777" w:rsidR="004B6C74" w:rsidRPr="004B6C74" w:rsidRDefault="004B6C74" w:rsidP="004B6C74">
      <w:pPr>
        <w:spacing w:line="360" w:lineRule="auto"/>
        <w:rPr>
          <w:rFonts w:ascii="Arial" w:hAnsi="Arial" w:cs="Arial"/>
          <w:b/>
          <w:bCs/>
          <w:sz w:val="22"/>
          <w:szCs w:val="22"/>
        </w:rPr>
      </w:pPr>
      <w:r w:rsidRPr="004B6C74">
        <w:rPr>
          <w:rFonts w:ascii="Arial" w:hAnsi="Arial" w:cs="Arial"/>
          <w:b/>
          <w:bCs/>
          <w:sz w:val="22"/>
          <w:szCs w:val="22"/>
        </w:rPr>
        <w:t>2. Bandura, A. (1997)</w:t>
      </w:r>
    </w:p>
    <w:p w14:paraId="4C5EEA04" w14:textId="77777777" w:rsidR="004B6C74" w:rsidRPr="004B6C74" w:rsidRDefault="004B6C74" w:rsidP="004B6C74">
      <w:pPr>
        <w:spacing w:line="360" w:lineRule="auto"/>
        <w:rPr>
          <w:rFonts w:ascii="Arial" w:hAnsi="Arial" w:cs="Arial"/>
          <w:b/>
          <w:bCs/>
          <w:sz w:val="22"/>
          <w:szCs w:val="22"/>
        </w:rPr>
      </w:pPr>
    </w:p>
    <w:p w14:paraId="70448C11" w14:textId="77777777" w:rsidR="004B6C74" w:rsidRPr="004B6C74" w:rsidRDefault="004B6C74" w:rsidP="004B6C74">
      <w:pPr>
        <w:spacing w:line="360" w:lineRule="auto"/>
        <w:rPr>
          <w:rFonts w:ascii="Arial" w:hAnsi="Arial" w:cs="Arial"/>
          <w:b/>
          <w:bCs/>
          <w:sz w:val="22"/>
          <w:szCs w:val="22"/>
        </w:rPr>
      </w:pPr>
      <w:r w:rsidRPr="004B6C74">
        <w:rPr>
          <w:rFonts w:ascii="Arial" w:hAnsi="Arial" w:cs="Arial"/>
          <w:b/>
          <w:bCs/>
          <w:sz w:val="22"/>
          <w:szCs w:val="22"/>
        </w:rPr>
        <w:t>Reference:</w:t>
      </w:r>
    </w:p>
    <w:p w14:paraId="73BFC2AB" w14:textId="30E742B4" w:rsidR="004B6C74" w:rsidRPr="004B6C74" w:rsidRDefault="004B6C74" w:rsidP="004B6C74">
      <w:pPr>
        <w:spacing w:line="360" w:lineRule="auto"/>
        <w:rPr>
          <w:rFonts w:ascii="Arial" w:hAnsi="Arial" w:cs="Arial"/>
          <w:sz w:val="22"/>
          <w:szCs w:val="22"/>
        </w:rPr>
      </w:pPr>
      <w:r w:rsidRPr="004B6C74">
        <w:rPr>
          <w:rFonts w:ascii="Arial" w:hAnsi="Arial" w:cs="Arial"/>
          <w:sz w:val="22"/>
          <w:szCs w:val="22"/>
        </w:rPr>
        <w:lastRenderedPageBreak/>
        <w:t>Bandura, A. (1997). Self-efficacy: The Exercise of Control. New York: Freeman.</w:t>
      </w:r>
    </w:p>
    <w:p w14:paraId="1E9C1B73" w14:textId="77777777" w:rsidR="004B6C74" w:rsidRPr="004B6C74" w:rsidRDefault="004B6C74" w:rsidP="004B6C74">
      <w:pPr>
        <w:spacing w:line="360" w:lineRule="auto"/>
        <w:rPr>
          <w:rFonts w:ascii="Arial" w:hAnsi="Arial" w:cs="Arial"/>
          <w:b/>
          <w:bCs/>
          <w:sz w:val="22"/>
          <w:szCs w:val="22"/>
        </w:rPr>
      </w:pPr>
      <w:r w:rsidRPr="004B6C74">
        <w:rPr>
          <w:rFonts w:ascii="Arial" w:hAnsi="Arial" w:cs="Arial"/>
          <w:b/>
          <w:bCs/>
          <w:sz w:val="22"/>
          <w:szCs w:val="22"/>
        </w:rPr>
        <w:t>Summary:</w:t>
      </w:r>
    </w:p>
    <w:p w14:paraId="12427067" w14:textId="2851931D" w:rsidR="004B6C74" w:rsidRPr="004B6C74" w:rsidRDefault="004B6C74" w:rsidP="004B6C74">
      <w:pPr>
        <w:spacing w:line="360" w:lineRule="auto"/>
        <w:rPr>
          <w:rFonts w:ascii="Arial" w:hAnsi="Arial" w:cs="Arial"/>
          <w:sz w:val="22"/>
          <w:szCs w:val="22"/>
        </w:rPr>
      </w:pPr>
      <w:r w:rsidRPr="004B6C74">
        <w:rPr>
          <w:rFonts w:ascii="Arial" w:hAnsi="Arial" w:cs="Arial"/>
          <w:sz w:val="22"/>
          <w:szCs w:val="22"/>
        </w:rPr>
        <w:t>Albert Bandura’s self-efficacy theory is about how much a person believes in their ability to manage everyday tasks and challenges. In Self-Efficacy: The Exercise of Control (1997), he explains that this belief affects how people think, feel, and behave.</w:t>
      </w:r>
      <w:r>
        <w:rPr>
          <w:rFonts w:ascii="Arial" w:hAnsi="Arial" w:cs="Arial"/>
          <w:sz w:val="22"/>
          <w:szCs w:val="22"/>
        </w:rPr>
        <w:t xml:space="preserve"> </w:t>
      </w:r>
      <w:r w:rsidRPr="004B6C74">
        <w:rPr>
          <w:rFonts w:ascii="Arial" w:hAnsi="Arial" w:cs="Arial"/>
          <w:sz w:val="22"/>
          <w:szCs w:val="22"/>
        </w:rPr>
        <w:t>People with strong self-belief are more likely to try new things, set goals, and keep going when things are difficult. They are also more likely to recover from setbacks and stay positive.</w:t>
      </w:r>
    </w:p>
    <w:p w14:paraId="1697D27C" w14:textId="13CFB674" w:rsidR="004B6C74" w:rsidRPr="004B6C74" w:rsidRDefault="004B6C74" w:rsidP="004B6C74">
      <w:pPr>
        <w:spacing w:line="360" w:lineRule="auto"/>
        <w:rPr>
          <w:rFonts w:ascii="Arial" w:hAnsi="Arial" w:cs="Arial"/>
          <w:sz w:val="22"/>
          <w:szCs w:val="22"/>
        </w:rPr>
      </w:pPr>
      <w:r w:rsidRPr="004B6C74">
        <w:rPr>
          <w:rFonts w:ascii="Arial" w:hAnsi="Arial" w:cs="Arial"/>
          <w:sz w:val="22"/>
          <w:szCs w:val="22"/>
        </w:rPr>
        <w:t>Bandura explains that confidence builds in simple ways. Success is key—even small achievements can help people feel more capable. Watching others succeed can also build confidence, as can encouragement from carers, family, or professionals. Emotional and physical feelings also matter. For example, stress or illness can lower confidence, while feeling calm and supported can help it grow.</w:t>
      </w:r>
    </w:p>
    <w:p w14:paraId="5972955E" w14:textId="77777777" w:rsidR="004B6C74" w:rsidRPr="004B6C74" w:rsidRDefault="004B6C74" w:rsidP="004B6C74">
      <w:pPr>
        <w:spacing w:line="360" w:lineRule="auto"/>
        <w:rPr>
          <w:rFonts w:ascii="Arial" w:hAnsi="Arial" w:cs="Arial"/>
          <w:sz w:val="22"/>
          <w:szCs w:val="22"/>
        </w:rPr>
      </w:pPr>
      <w:r w:rsidRPr="004B6C74">
        <w:rPr>
          <w:rFonts w:ascii="Arial" w:hAnsi="Arial" w:cs="Arial"/>
          <w:sz w:val="22"/>
          <w:szCs w:val="22"/>
        </w:rPr>
        <w:t>He also explains that behaviour, thoughts, and the environment are all connected. A supportive environment can help someone feel more confident, which encourages positive actions and better outcomes.</w:t>
      </w:r>
    </w:p>
    <w:p w14:paraId="1BD92B71" w14:textId="77777777" w:rsidR="004B6C74" w:rsidRPr="004B6C74" w:rsidRDefault="004B6C74" w:rsidP="004B6C74">
      <w:pPr>
        <w:spacing w:line="360" w:lineRule="auto"/>
        <w:rPr>
          <w:rFonts w:ascii="Arial" w:hAnsi="Arial" w:cs="Arial"/>
          <w:sz w:val="22"/>
          <w:szCs w:val="22"/>
        </w:rPr>
      </w:pPr>
    </w:p>
    <w:p w14:paraId="75643DED" w14:textId="77777777" w:rsidR="004B6C74" w:rsidRPr="004B6C74" w:rsidRDefault="004B6C74" w:rsidP="004B6C74">
      <w:pPr>
        <w:spacing w:line="360" w:lineRule="auto"/>
        <w:rPr>
          <w:rFonts w:ascii="Arial" w:hAnsi="Arial" w:cs="Arial"/>
          <w:b/>
          <w:bCs/>
          <w:sz w:val="22"/>
          <w:szCs w:val="22"/>
        </w:rPr>
      </w:pPr>
      <w:r w:rsidRPr="004B6C74">
        <w:rPr>
          <w:rFonts w:ascii="Arial" w:hAnsi="Arial" w:cs="Arial"/>
          <w:b/>
          <w:bCs/>
          <w:sz w:val="22"/>
          <w:szCs w:val="22"/>
        </w:rPr>
        <w:t>Critical Comment (Relevance to Health and Social Care):</w:t>
      </w:r>
    </w:p>
    <w:p w14:paraId="21A8AFED" w14:textId="77777777" w:rsidR="004B6C74" w:rsidRPr="004B6C74" w:rsidRDefault="004B6C74" w:rsidP="004B6C74">
      <w:pPr>
        <w:spacing w:line="360" w:lineRule="auto"/>
        <w:rPr>
          <w:rFonts w:ascii="Arial" w:hAnsi="Arial" w:cs="Arial"/>
          <w:sz w:val="22"/>
          <w:szCs w:val="22"/>
        </w:rPr>
      </w:pPr>
      <w:r w:rsidRPr="004B6C74">
        <w:rPr>
          <w:rFonts w:ascii="Arial" w:hAnsi="Arial" w:cs="Arial"/>
          <w:sz w:val="22"/>
          <w:szCs w:val="22"/>
        </w:rPr>
        <w:t>This theory is very useful in health and social care, especially when supporting older adults. It shows that building confidence can help people stay independent and feel more in control of their lives.</w:t>
      </w:r>
    </w:p>
    <w:p w14:paraId="305BC5C1" w14:textId="64EE64F3" w:rsidR="004B6C74" w:rsidRPr="004B6C74" w:rsidRDefault="004B6C74" w:rsidP="004B6C74">
      <w:pPr>
        <w:spacing w:line="360" w:lineRule="auto"/>
        <w:rPr>
          <w:rFonts w:ascii="Arial" w:hAnsi="Arial" w:cs="Arial"/>
          <w:sz w:val="22"/>
          <w:szCs w:val="22"/>
        </w:rPr>
      </w:pPr>
      <w:r w:rsidRPr="004B6C74">
        <w:rPr>
          <w:rFonts w:ascii="Arial" w:hAnsi="Arial" w:cs="Arial"/>
          <w:sz w:val="22"/>
          <w:szCs w:val="22"/>
        </w:rPr>
        <w:t>Simple daily tasks, like getting dressed or making a drink, can help individuals feel capable. These small successes can improve self-esteem and support overall well-being. In rehabilitation, taking small steps after illness or injury can help rebuild both physical ability and confidence.</w:t>
      </w:r>
      <w:r>
        <w:rPr>
          <w:rFonts w:ascii="Arial" w:hAnsi="Arial" w:cs="Arial"/>
          <w:sz w:val="22"/>
          <w:szCs w:val="22"/>
        </w:rPr>
        <w:t xml:space="preserve"> </w:t>
      </w:r>
      <w:r w:rsidRPr="004B6C74">
        <w:rPr>
          <w:rFonts w:ascii="Arial" w:hAnsi="Arial" w:cs="Arial"/>
          <w:sz w:val="22"/>
          <w:szCs w:val="22"/>
        </w:rPr>
        <w:t>Feeling able to do things independently can reduce reliance on others and encourage people to stay active and social. This can improve both mental and physical health.</w:t>
      </w:r>
    </w:p>
    <w:p w14:paraId="5F122C35" w14:textId="7052D597" w:rsidR="004B6C74" w:rsidRPr="004B6C74" w:rsidRDefault="004B6C74" w:rsidP="004B6C74">
      <w:pPr>
        <w:spacing w:line="360" w:lineRule="auto"/>
        <w:rPr>
          <w:rFonts w:ascii="Arial" w:hAnsi="Arial" w:cs="Arial"/>
          <w:sz w:val="22"/>
          <w:szCs w:val="22"/>
        </w:rPr>
      </w:pPr>
      <w:r w:rsidRPr="004B6C74">
        <w:rPr>
          <w:rFonts w:ascii="Arial" w:hAnsi="Arial" w:cs="Arial"/>
          <w:sz w:val="22"/>
          <w:szCs w:val="22"/>
        </w:rPr>
        <w:t>However, confidence alone is not always enough. Older adults may face real challenges such as illness, disability, or lack of support. These can limit what they are able to do, regardless of how confident they feel. Also, confidence can vary—someone may feel capable in one area but unsure in another. This means care should always be personalised.</w:t>
      </w:r>
    </w:p>
    <w:p w14:paraId="3EC94D2F" w14:textId="77777777" w:rsidR="004B6C74" w:rsidRPr="004B6C74" w:rsidRDefault="004B6C74" w:rsidP="004B6C74">
      <w:pPr>
        <w:spacing w:line="360" w:lineRule="auto"/>
        <w:rPr>
          <w:rFonts w:ascii="Arial" w:hAnsi="Arial" w:cs="Arial"/>
          <w:sz w:val="22"/>
          <w:szCs w:val="22"/>
        </w:rPr>
      </w:pPr>
      <w:r w:rsidRPr="004B6C74">
        <w:rPr>
          <w:rFonts w:ascii="Arial" w:hAnsi="Arial" w:cs="Arial"/>
          <w:sz w:val="22"/>
          <w:szCs w:val="22"/>
        </w:rPr>
        <w:lastRenderedPageBreak/>
        <w:t>Despite these limits, Bandura’s theory is widely used because it is practical and easy to apply. It helps professionals focus on what individuals can do, supporting independence, dignity, and a better quality of life for older adults.</w:t>
      </w:r>
    </w:p>
    <w:p w14:paraId="4078FF14" w14:textId="77777777" w:rsidR="004B6C74" w:rsidRDefault="004B6C74" w:rsidP="004B6C74">
      <w:pPr>
        <w:spacing w:line="360" w:lineRule="auto"/>
        <w:rPr>
          <w:rFonts w:ascii="Arial" w:hAnsi="Arial" w:cs="Arial"/>
          <w:b/>
          <w:bCs/>
          <w:sz w:val="22"/>
          <w:szCs w:val="22"/>
        </w:rPr>
      </w:pPr>
    </w:p>
    <w:p w14:paraId="49990DB7" w14:textId="4BA2D2AC" w:rsidR="006B7272" w:rsidRPr="006B7272" w:rsidRDefault="006B7272" w:rsidP="004B6C74">
      <w:pPr>
        <w:spacing w:line="360" w:lineRule="auto"/>
        <w:rPr>
          <w:rFonts w:ascii="Arial" w:hAnsi="Arial" w:cs="Arial"/>
          <w:b/>
          <w:bCs/>
          <w:sz w:val="22"/>
          <w:szCs w:val="22"/>
        </w:rPr>
      </w:pPr>
      <w:r w:rsidRPr="006B7272">
        <w:rPr>
          <w:rFonts w:ascii="Arial" w:hAnsi="Arial" w:cs="Arial"/>
          <w:b/>
          <w:bCs/>
          <w:sz w:val="22"/>
          <w:szCs w:val="22"/>
        </w:rPr>
        <w:t>Conclusion</w:t>
      </w:r>
      <w:r w:rsidR="004724A0">
        <w:rPr>
          <w:rFonts w:ascii="Arial" w:hAnsi="Arial" w:cs="Arial"/>
          <w:b/>
          <w:bCs/>
          <w:sz w:val="22"/>
          <w:szCs w:val="22"/>
        </w:rPr>
        <w:t>:</w:t>
      </w:r>
    </w:p>
    <w:p w14:paraId="6FBFE8FD" w14:textId="17C28B19" w:rsidR="006B7272" w:rsidRPr="006B7272" w:rsidRDefault="006B7272" w:rsidP="006B7272">
      <w:pPr>
        <w:spacing w:line="360" w:lineRule="auto"/>
        <w:rPr>
          <w:rFonts w:ascii="Arial" w:hAnsi="Arial" w:cs="Arial"/>
          <w:sz w:val="22"/>
          <w:szCs w:val="22"/>
        </w:rPr>
      </w:pPr>
      <w:r w:rsidRPr="006B7272">
        <w:rPr>
          <w:rFonts w:ascii="Arial" w:hAnsi="Arial" w:cs="Arial"/>
          <w:sz w:val="22"/>
          <w:szCs w:val="22"/>
        </w:rPr>
        <w:t>Together, these psychological theories help us understand how people grow, think, and feel throughout adulthood. Erik Erikson helps explain how people look for meaning and reflect on their lives as they get older. John Bowlby shows how early relationships can shape how people feel and connect with others later in life. Albert Bandura focuses on confidence and the ability to stay independent, while Abraham Maslow highlights the importance of meeting basic needs and feeling fulfilled.</w:t>
      </w:r>
    </w:p>
    <w:p w14:paraId="56117996" w14:textId="08963EEA" w:rsidR="00C144FA" w:rsidRDefault="006B7272" w:rsidP="006B7272">
      <w:pPr>
        <w:spacing w:line="360" w:lineRule="auto"/>
        <w:rPr>
          <w:rFonts w:ascii="Arial" w:hAnsi="Arial" w:cs="Arial"/>
          <w:sz w:val="22"/>
          <w:szCs w:val="22"/>
        </w:rPr>
      </w:pPr>
      <w:r w:rsidRPr="006B7272">
        <w:rPr>
          <w:rFonts w:ascii="Arial" w:hAnsi="Arial" w:cs="Arial"/>
          <w:sz w:val="22"/>
          <w:szCs w:val="22"/>
        </w:rPr>
        <w:t>In health and social care, these ideas support a more caring and person-centred approach. This means looking at the whole person—not just their physical health, but also their feelings, relationships, and sense of purpose. By using these theories, professionals can give better support that helps older adults feel respected, independent, and valued.</w:t>
      </w:r>
      <w:r w:rsidR="00A00C54">
        <w:rPr>
          <w:rFonts w:ascii="Arial" w:hAnsi="Arial" w:cs="Arial"/>
          <w:sz w:val="22"/>
          <w:szCs w:val="22"/>
        </w:rPr>
        <w:t xml:space="preserve"> </w:t>
      </w:r>
      <w:bookmarkEnd w:id="2"/>
    </w:p>
    <w:p w14:paraId="45C1C21C" w14:textId="77777777" w:rsidR="00887102" w:rsidRDefault="00887102" w:rsidP="006B7272">
      <w:pPr>
        <w:spacing w:line="360" w:lineRule="auto"/>
        <w:rPr>
          <w:rFonts w:ascii="Arial" w:hAnsi="Arial" w:cs="Arial"/>
          <w:sz w:val="22"/>
          <w:szCs w:val="22"/>
        </w:rPr>
      </w:pPr>
    </w:p>
    <w:p w14:paraId="05C12585" w14:textId="77777777" w:rsidR="00887102" w:rsidRDefault="00887102" w:rsidP="006B7272">
      <w:pPr>
        <w:spacing w:line="360" w:lineRule="auto"/>
        <w:rPr>
          <w:rFonts w:ascii="Arial" w:hAnsi="Arial" w:cs="Arial"/>
          <w:sz w:val="22"/>
          <w:szCs w:val="22"/>
        </w:rPr>
      </w:pPr>
    </w:p>
    <w:p w14:paraId="1E13BB35" w14:textId="77777777" w:rsidR="00887102" w:rsidRDefault="00887102" w:rsidP="006B7272">
      <w:pPr>
        <w:spacing w:line="360" w:lineRule="auto"/>
        <w:rPr>
          <w:rFonts w:ascii="Arial" w:hAnsi="Arial" w:cs="Arial"/>
          <w:sz w:val="22"/>
          <w:szCs w:val="22"/>
        </w:rPr>
      </w:pPr>
    </w:p>
    <w:p w14:paraId="46E52453" w14:textId="77777777" w:rsidR="00887102" w:rsidRDefault="00887102" w:rsidP="006B7272">
      <w:pPr>
        <w:spacing w:line="360" w:lineRule="auto"/>
        <w:rPr>
          <w:rFonts w:ascii="Arial" w:hAnsi="Arial" w:cs="Arial"/>
          <w:sz w:val="22"/>
          <w:szCs w:val="22"/>
        </w:rPr>
      </w:pPr>
    </w:p>
    <w:p w14:paraId="2B821758" w14:textId="77777777" w:rsidR="00680A07" w:rsidRDefault="00680A07" w:rsidP="006B7272">
      <w:pPr>
        <w:spacing w:line="360" w:lineRule="auto"/>
        <w:rPr>
          <w:rFonts w:ascii="Arial" w:hAnsi="Arial" w:cs="Arial"/>
          <w:sz w:val="22"/>
          <w:szCs w:val="22"/>
        </w:rPr>
      </w:pPr>
    </w:p>
    <w:p w14:paraId="46B7F84E" w14:textId="7D690A9F" w:rsidR="00680A07" w:rsidRPr="00680A07" w:rsidRDefault="00680A07" w:rsidP="006B7272">
      <w:pPr>
        <w:spacing w:line="360" w:lineRule="auto"/>
        <w:rPr>
          <w:rFonts w:ascii="Arial" w:hAnsi="Arial" w:cs="Arial"/>
          <w:b/>
          <w:bCs/>
          <w:sz w:val="22"/>
          <w:szCs w:val="22"/>
        </w:rPr>
      </w:pPr>
      <w:r w:rsidRPr="00680A07">
        <w:rPr>
          <w:rFonts w:ascii="Arial" w:hAnsi="Arial" w:cs="Arial"/>
          <w:b/>
          <w:bCs/>
          <w:sz w:val="22"/>
          <w:szCs w:val="22"/>
        </w:rPr>
        <w:t>Part B: Short Report</w:t>
      </w:r>
    </w:p>
    <w:p w14:paraId="777258EA" w14:textId="77777777" w:rsidR="00C144FA" w:rsidRPr="00CA21FC" w:rsidRDefault="00C144FA" w:rsidP="00862170">
      <w:pPr>
        <w:pStyle w:val="Heading1"/>
        <w:spacing w:line="360" w:lineRule="auto"/>
        <w:rPr>
          <w:rFonts w:ascii="Arial" w:hAnsi="Arial" w:cs="Arial"/>
          <w:b/>
          <w:bCs/>
          <w:sz w:val="22"/>
          <w:szCs w:val="22"/>
        </w:rPr>
      </w:pPr>
      <w:bookmarkStart w:id="3" w:name="_Toc225679610"/>
      <w:r w:rsidRPr="00CA21FC">
        <w:rPr>
          <w:rFonts w:ascii="Arial" w:hAnsi="Arial" w:cs="Arial"/>
          <w:b/>
          <w:bCs/>
          <w:sz w:val="22"/>
          <w:szCs w:val="22"/>
        </w:rPr>
        <w:t>Applying Erikson’s Psychosocial Theory to Improve Wellbeing in Residential Care</w:t>
      </w:r>
      <w:bookmarkEnd w:id="3"/>
    </w:p>
    <w:p w14:paraId="78C9F8A6" w14:textId="77777777" w:rsidR="00C144FA" w:rsidRPr="006B7272" w:rsidRDefault="00C144FA" w:rsidP="00862170">
      <w:pPr>
        <w:spacing w:line="360" w:lineRule="auto"/>
        <w:rPr>
          <w:rFonts w:ascii="Arial" w:hAnsi="Arial" w:cs="Arial"/>
          <w:sz w:val="22"/>
          <w:szCs w:val="22"/>
        </w:rPr>
      </w:pPr>
      <w:r w:rsidRPr="006B7272">
        <w:rPr>
          <w:rFonts w:ascii="Arial" w:hAnsi="Arial" w:cs="Arial"/>
          <w:b/>
          <w:bCs/>
          <w:sz w:val="22"/>
          <w:szCs w:val="22"/>
        </w:rPr>
        <w:t>Introduction</w:t>
      </w:r>
    </w:p>
    <w:p w14:paraId="7754EB04" w14:textId="45FEBCCD" w:rsidR="00C144FA" w:rsidRPr="006B7272" w:rsidRDefault="00C144FA" w:rsidP="00862170">
      <w:pPr>
        <w:spacing w:line="360" w:lineRule="auto"/>
        <w:rPr>
          <w:rFonts w:ascii="Arial" w:hAnsi="Arial" w:cs="Arial"/>
          <w:sz w:val="22"/>
          <w:szCs w:val="22"/>
        </w:rPr>
      </w:pPr>
      <w:r w:rsidRPr="006B7272">
        <w:rPr>
          <w:rFonts w:ascii="Arial" w:hAnsi="Arial" w:cs="Arial"/>
          <w:sz w:val="22"/>
          <w:szCs w:val="22"/>
        </w:rPr>
        <w:t>Psychological well-being is an important part of good care for older adults. Many residents experience major life changes, such as losing independence or social roles. Erikson’s Psychosocial Theory, especially the Integrity vs Despair stage, helps explain these challenges. This report describes how the theory can be used in care homes, gives a case example, and discusses one challenge and a practical solution.</w:t>
      </w:r>
    </w:p>
    <w:p w14:paraId="1D743612" w14:textId="77777777" w:rsidR="00C144FA" w:rsidRPr="006B7272" w:rsidRDefault="00C144FA" w:rsidP="00862170">
      <w:pPr>
        <w:spacing w:line="360" w:lineRule="auto"/>
        <w:rPr>
          <w:rFonts w:ascii="Arial" w:hAnsi="Arial" w:cs="Arial"/>
          <w:sz w:val="22"/>
          <w:szCs w:val="22"/>
        </w:rPr>
      </w:pPr>
    </w:p>
    <w:p w14:paraId="10C41CF1" w14:textId="77777777" w:rsidR="00C144FA" w:rsidRPr="006B7272" w:rsidRDefault="00C144FA" w:rsidP="00862170">
      <w:pPr>
        <w:spacing w:line="360" w:lineRule="auto"/>
        <w:rPr>
          <w:rFonts w:ascii="Arial" w:hAnsi="Arial" w:cs="Arial"/>
          <w:sz w:val="22"/>
          <w:szCs w:val="22"/>
        </w:rPr>
      </w:pPr>
      <w:r w:rsidRPr="006B7272">
        <w:rPr>
          <w:rFonts w:ascii="Arial" w:hAnsi="Arial" w:cs="Arial"/>
          <w:b/>
          <w:bCs/>
          <w:sz w:val="22"/>
          <w:szCs w:val="22"/>
        </w:rPr>
        <w:t>Using Erikson’s Theory in Care Homes</w:t>
      </w:r>
    </w:p>
    <w:p w14:paraId="4E96F78E" w14:textId="77777777" w:rsidR="00C144FA" w:rsidRPr="006B7272" w:rsidRDefault="00C144FA" w:rsidP="00862170">
      <w:pPr>
        <w:spacing w:line="360" w:lineRule="auto"/>
        <w:rPr>
          <w:rFonts w:ascii="Arial" w:hAnsi="Arial" w:cs="Arial"/>
          <w:sz w:val="22"/>
          <w:szCs w:val="22"/>
        </w:rPr>
      </w:pPr>
      <w:r w:rsidRPr="006B7272">
        <w:rPr>
          <w:rFonts w:ascii="Arial" w:hAnsi="Arial" w:cs="Arial"/>
          <w:sz w:val="22"/>
          <w:szCs w:val="22"/>
        </w:rPr>
        <w:lastRenderedPageBreak/>
        <w:t>Erikson says that older adults need to look back on their lives and make sense of their experiences. If they feel satisfied and accepting, they reach integrity. If they feel regret or disappointment, they may experience despair.</w:t>
      </w:r>
    </w:p>
    <w:p w14:paraId="10A3F0A9" w14:textId="4E103060" w:rsidR="00C144FA" w:rsidRPr="006B7272" w:rsidRDefault="00C144FA" w:rsidP="00862170">
      <w:pPr>
        <w:spacing w:line="360" w:lineRule="auto"/>
        <w:rPr>
          <w:rFonts w:ascii="Arial" w:hAnsi="Arial" w:cs="Arial"/>
          <w:sz w:val="22"/>
          <w:szCs w:val="22"/>
        </w:rPr>
      </w:pPr>
      <w:r w:rsidRPr="006B7272">
        <w:rPr>
          <w:rFonts w:ascii="Arial" w:hAnsi="Arial" w:cs="Arial"/>
          <w:sz w:val="22"/>
          <w:szCs w:val="22"/>
        </w:rPr>
        <w:t>In care homes, residents may feel despair because of health problems, loss of independence, or loneliness. Staff can support residents by helping them reflect on their lives, express their identities, and remain socially engaged.</w:t>
      </w:r>
    </w:p>
    <w:p w14:paraId="7C543059" w14:textId="77777777" w:rsidR="00C144FA" w:rsidRPr="006B7272" w:rsidRDefault="00C144FA" w:rsidP="00862170">
      <w:pPr>
        <w:spacing w:line="360" w:lineRule="auto"/>
        <w:rPr>
          <w:rFonts w:ascii="Arial" w:hAnsi="Arial" w:cs="Arial"/>
          <w:sz w:val="22"/>
          <w:szCs w:val="22"/>
        </w:rPr>
      </w:pPr>
      <w:r w:rsidRPr="006B7272">
        <w:rPr>
          <w:rFonts w:ascii="Arial" w:hAnsi="Arial" w:cs="Arial"/>
          <w:sz w:val="22"/>
          <w:szCs w:val="22"/>
        </w:rPr>
        <w:t>Examples of how staff can apply the theory:</w:t>
      </w:r>
    </w:p>
    <w:p w14:paraId="44CFC5EF" w14:textId="77777777" w:rsidR="00C144FA" w:rsidRPr="006B7272" w:rsidRDefault="00C144FA" w:rsidP="00862170">
      <w:pPr>
        <w:numPr>
          <w:ilvl w:val="0"/>
          <w:numId w:val="1"/>
        </w:numPr>
        <w:spacing w:line="360" w:lineRule="auto"/>
        <w:rPr>
          <w:rFonts w:ascii="Arial" w:hAnsi="Arial" w:cs="Arial"/>
          <w:sz w:val="22"/>
          <w:szCs w:val="22"/>
        </w:rPr>
      </w:pPr>
      <w:r w:rsidRPr="006B7272">
        <w:rPr>
          <w:rFonts w:ascii="Arial" w:hAnsi="Arial" w:cs="Arial"/>
          <w:b/>
          <w:bCs/>
          <w:sz w:val="22"/>
          <w:szCs w:val="22"/>
        </w:rPr>
        <w:t>Life story work</w:t>
      </w:r>
      <w:r w:rsidRPr="006B7272">
        <w:rPr>
          <w:rFonts w:ascii="Arial" w:hAnsi="Arial" w:cs="Arial"/>
          <w:sz w:val="22"/>
          <w:szCs w:val="22"/>
        </w:rPr>
        <w:t xml:space="preserve"> using photos and memories</w:t>
      </w:r>
    </w:p>
    <w:p w14:paraId="71E9488C" w14:textId="77777777" w:rsidR="00C144FA" w:rsidRPr="006B7272" w:rsidRDefault="00C144FA" w:rsidP="00862170">
      <w:pPr>
        <w:numPr>
          <w:ilvl w:val="0"/>
          <w:numId w:val="1"/>
        </w:numPr>
        <w:spacing w:line="360" w:lineRule="auto"/>
        <w:rPr>
          <w:rFonts w:ascii="Arial" w:hAnsi="Arial" w:cs="Arial"/>
          <w:sz w:val="22"/>
          <w:szCs w:val="22"/>
        </w:rPr>
      </w:pPr>
      <w:r w:rsidRPr="006B7272">
        <w:rPr>
          <w:rFonts w:ascii="Arial" w:hAnsi="Arial" w:cs="Arial"/>
          <w:b/>
          <w:bCs/>
          <w:sz w:val="22"/>
          <w:szCs w:val="22"/>
        </w:rPr>
        <w:t>Reminiscence activities</w:t>
      </w:r>
      <w:r w:rsidRPr="006B7272">
        <w:rPr>
          <w:rFonts w:ascii="Arial" w:hAnsi="Arial" w:cs="Arial"/>
          <w:sz w:val="22"/>
          <w:szCs w:val="22"/>
        </w:rPr>
        <w:t xml:space="preserve"> such as music, themed discussions, or memory boxes</w:t>
      </w:r>
    </w:p>
    <w:p w14:paraId="1D912430" w14:textId="77777777" w:rsidR="00C144FA" w:rsidRPr="006B7272" w:rsidRDefault="00C144FA" w:rsidP="00862170">
      <w:pPr>
        <w:numPr>
          <w:ilvl w:val="0"/>
          <w:numId w:val="1"/>
        </w:numPr>
        <w:spacing w:line="360" w:lineRule="auto"/>
        <w:rPr>
          <w:rFonts w:ascii="Arial" w:hAnsi="Arial" w:cs="Arial"/>
          <w:sz w:val="22"/>
          <w:szCs w:val="22"/>
        </w:rPr>
      </w:pPr>
      <w:r w:rsidRPr="006B7272">
        <w:rPr>
          <w:rFonts w:ascii="Arial" w:hAnsi="Arial" w:cs="Arial"/>
          <w:b/>
          <w:bCs/>
          <w:sz w:val="22"/>
          <w:szCs w:val="22"/>
        </w:rPr>
        <w:t>Strength</w:t>
      </w:r>
      <w:r w:rsidRPr="006B7272">
        <w:rPr>
          <w:rFonts w:ascii="Arial" w:hAnsi="Arial" w:cs="Arial"/>
          <w:b/>
          <w:bCs/>
          <w:sz w:val="22"/>
          <w:szCs w:val="22"/>
        </w:rPr>
        <w:noBreakHyphen/>
        <w:t>based conversations</w:t>
      </w:r>
      <w:r w:rsidRPr="006B7272">
        <w:rPr>
          <w:rFonts w:ascii="Arial" w:hAnsi="Arial" w:cs="Arial"/>
          <w:sz w:val="22"/>
          <w:szCs w:val="22"/>
        </w:rPr>
        <w:t xml:space="preserve"> focusing on achievements and personal values</w:t>
      </w:r>
    </w:p>
    <w:p w14:paraId="64260CB1" w14:textId="77777777" w:rsidR="00C144FA" w:rsidRPr="006B7272" w:rsidRDefault="00C144FA" w:rsidP="00862170">
      <w:pPr>
        <w:numPr>
          <w:ilvl w:val="0"/>
          <w:numId w:val="1"/>
        </w:numPr>
        <w:spacing w:line="360" w:lineRule="auto"/>
        <w:rPr>
          <w:rFonts w:ascii="Arial" w:hAnsi="Arial" w:cs="Arial"/>
          <w:sz w:val="22"/>
          <w:szCs w:val="22"/>
        </w:rPr>
      </w:pPr>
      <w:r w:rsidRPr="006B7272">
        <w:rPr>
          <w:rFonts w:ascii="Arial" w:hAnsi="Arial" w:cs="Arial"/>
          <w:b/>
          <w:bCs/>
          <w:sz w:val="22"/>
          <w:szCs w:val="22"/>
        </w:rPr>
        <w:t>Supporting autonomy</w:t>
      </w:r>
      <w:r w:rsidRPr="006B7272">
        <w:rPr>
          <w:rFonts w:ascii="Arial" w:hAnsi="Arial" w:cs="Arial"/>
          <w:sz w:val="22"/>
          <w:szCs w:val="22"/>
        </w:rPr>
        <w:t>, such as offering choices in daily routines</w:t>
      </w:r>
    </w:p>
    <w:p w14:paraId="22C1D88A" w14:textId="77777777" w:rsidR="00C144FA" w:rsidRPr="006B7272" w:rsidRDefault="00C144FA" w:rsidP="00862170">
      <w:pPr>
        <w:numPr>
          <w:ilvl w:val="0"/>
          <w:numId w:val="1"/>
        </w:numPr>
        <w:spacing w:line="360" w:lineRule="auto"/>
        <w:rPr>
          <w:rFonts w:ascii="Arial" w:hAnsi="Arial" w:cs="Arial"/>
          <w:sz w:val="22"/>
          <w:szCs w:val="22"/>
        </w:rPr>
      </w:pPr>
      <w:r w:rsidRPr="006B7272">
        <w:rPr>
          <w:rFonts w:ascii="Arial" w:hAnsi="Arial" w:cs="Arial"/>
          <w:b/>
          <w:bCs/>
          <w:sz w:val="22"/>
          <w:szCs w:val="22"/>
        </w:rPr>
        <w:t>Encouraging social participation</w:t>
      </w:r>
      <w:r w:rsidRPr="006B7272">
        <w:rPr>
          <w:rFonts w:ascii="Arial" w:hAnsi="Arial" w:cs="Arial"/>
          <w:sz w:val="22"/>
          <w:szCs w:val="22"/>
        </w:rPr>
        <w:t xml:space="preserve"> through group activities or meaningful roles</w:t>
      </w:r>
    </w:p>
    <w:p w14:paraId="71F69BD1" w14:textId="4AF80711" w:rsidR="00C144FA" w:rsidRPr="006B7272" w:rsidRDefault="00C144FA" w:rsidP="00862170">
      <w:pPr>
        <w:spacing w:line="360" w:lineRule="auto"/>
        <w:rPr>
          <w:rFonts w:ascii="Arial" w:hAnsi="Arial" w:cs="Arial"/>
          <w:sz w:val="22"/>
          <w:szCs w:val="22"/>
        </w:rPr>
      </w:pPr>
      <w:r w:rsidRPr="006B7272">
        <w:rPr>
          <w:rFonts w:ascii="Arial" w:hAnsi="Arial" w:cs="Arial"/>
          <w:sz w:val="22"/>
          <w:szCs w:val="22"/>
        </w:rPr>
        <w:t>These approaches help residents feel valued and connected to their identity.</w:t>
      </w:r>
    </w:p>
    <w:p w14:paraId="284F12E6" w14:textId="77777777" w:rsidR="002B2FC0" w:rsidRPr="006B7272" w:rsidRDefault="002B2FC0" w:rsidP="00862170">
      <w:pPr>
        <w:spacing w:line="360" w:lineRule="auto"/>
        <w:rPr>
          <w:rFonts w:ascii="Arial" w:hAnsi="Arial" w:cs="Arial"/>
          <w:sz w:val="22"/>
          <w:szCs w:val="22"/>
        </w:rPr>
      </w:pPr>
    </w:p>
    <w:p w14:paraId="67E23BBD" w14:textId="77777777" w:rsidR="00975F0F" w:rsidRPr="006B7272" w:rsidRDefault="00975F0F" w:rsidP="00862170">
      <w:pPr>
        <w:spacing w:line="360" w:lineRule="auto"/>
        <w:rPr>
          <w:rFonts w:ascii="Arial" w:hAnsi="Arial" w:cs="Arial"/>
          <w:sz w:val="22"/>
          <w:szCs w:val="22"/>
        </w:rPr>
      </w:pPr>
      <w:r w:rsidRPr="006B7272">
        <w:rPr>
          <w:rFonts w:ascii="Arial" w:hAnsi="Arial" w:cs="Arial"/>
          <w:b/>
          <w:bCs/>
          <w:sz w:val="22"/>
          <w:szCs w:val="22"/>
        </w:rPr>
        <w:t>Case Example</w:t>
      </w:r>
    </w:p>
    <w:p w14:paraId="6D1AA769" w14:textId="2F06483E" w:rsidR="00975F0F" w:rsidRPr="006B7272" w:rsidRDefault="00975F0F" w:rsidP="00862170">
      <w:pPr>
        <w:spacing w:line="360" w:lineRule="auto"/>
        <w:rPr>
          <w:rFonts w:ascii="Arial" w:hAnsi="Arial" w:cs="Arial"/>
          <w:sz w:val="22"/>
          <w:szCs w:val="22"/>
        </w:rPr>
      </w:pPr>
      <w:r w:rsidRPr="006B7272">
        <w:rPr>
          <w:rFonts w:ascii="Arial" w:hAnsi="Arial" w:cs="Arial"/>
          <w:sz w:val="22"/>
          <w:szCs w:val="22"/>
        </w:rPr>
        <w:t xml:space="preserve">Mrs </w:t>
      </w:r>
      <w:r w:rsidR="00471E51" w:rsidRPr="006B7272">
        <w:rPr>
          <w:rFonts w:ascii="Arial" w:hAnsi="Arial" w:cs="Arial"/>
          <w:sz w:val="22"/>
          <w:szCs w:val="22"/>
        </w:rPr>
        <w:t>Harghardon</w:t>
      </w:r>
      <w:r w:rsidRPr="006B7272">
        <w:rPr>
          <w:rFonts w:ascii="Arial" w:hAnsi="Arial" w:cs="Arial"/>
          <w:sz w:val="22"/>
          <w:szCs w:val="22"/>
        </w:rPr>
        <w:t xml:space="preserve">, aged 84, </w:t>
      </w:r>
      <w:r w:rsidR="005E708F" w:rsidRPr="006B7272">
        <w:rPr>
          <w:rFonts w:ascii="Arial" w:hAnsi="Arial" w:cs="Arial"/>
          <w:sz w:val="22"/>
          <w:szCs w:val="22"/>
        </w:rPr>
        <w:t>has been moved</w:t>
      </w:r>
      <w:r w:rsidRPr="006B7272">
        <w:rPr>
          <w:rFonts w:ascii="Arial" w:hAnsi="Arial" w:cs="Arial"/>
          <w:sz w:val="22"/>
          <w:szCs w:val="22"/>
        </w:rPr>
        <w:t xml:space="preserve"> into the care home after a fall. She felt sad, withdrawn, and said she was “a burden.” She often talked about her teaching career but avoided discussing her later years</w:t>
      </w:r>
      <w:r w:rsidR="00853B6A" w:rsidRPr="006B7272">
        <w:rPr>
          <w:rFonts w:ascii="Arial" w:hAnsi="Arial" w:cs="Arial"/>
          <w:sz w:val="22"/>
          <w:szCs w:val="22"/>
        </w:rPr>
        <w:t xml:space="preserve">, possibly </w:t>
      </w:r>
      <w:r w:rsidR="000838E4" w:rsidRPr="006B7272">
        <w:rPr>
          <w:rFonts w:ascii="Arial" w:hAnsi="Arial" w:cs="Arial"/>
          <w:sz w:val="22"/>
          <w:szCs w:val="22"/>
        </w:rPr>
        <w:t>out of shame about her reliance on others</w:t>
      </w:r>
      <w:r w:rsidRPr="006B7272">
        <w:rPr>
          <w:rFonts w:ascii="Arial" w:hAnsi="Arial" w:cs="Arial"/>
          <w:sz w:val="22"/>
          <w:szCs w:val="22"/>
        </w:rPr>
        <w:t>.</w:t>
      </w:r>
    </w:p>
    <w:p w14:paraId="32955A9C" w14:textId="1A1EFF1E" w:rsidR="00975F0F" w:rsidRPr="006B7272" w:rsidRDefault="00975F0F" w:rsidP="00862170">
      <w:pPr>
        <w:spacing w:line="360" w:lineRule="auto"/>
        <w:rPr>
          <w:rFonts w:ascii="Arial" w:hAnsi="Arial" w:cs="Arial"/>
          <w:sz w:val="22"/>
          <w:szCs w:val="22"/>
        </w:rPr>
      </w:pPr>
      <w:r w:rsidRPr="006B7272">
        <w:rPr>
          <w:rFonts w:ascii="Arial" w:hAnsi="Arial" w:cs="Arial"/>
          <w:sz w:val="22"/>
          <w:szCs w:val="22"/>
        </w:rPr>
        <w:t xml:space="preserve">Staff </w:t>
      </w:r>
      <w:r w:rsidR="002B2FC0" w:rsidRPr="006B7272">
        <w:rPr>
          <w:rFonts w:ascii="Arial" w:hAnsi="Arial" w:cs="Arial"/>
          <w:sz w:val="22"/>
          <w:szCs w:val="22"/>
        </w:rPr>
        <w:t xml:space="preserve">ended up </w:t>
      </w:r>
      <w:r w:rsidR="00CA57A2" w:rsidRPr="006B7272">
        <w:rPr>
          <w:rFonts w:ascii="Arial" w:hAnsi="Arial" w:cs="Arial"/>
          <w:sz w:val="22"/>
          <w:szCs w:val="22"/>
        </w:rPr>
        <w:t>utilising</w:t>
      </w:r>
      <w:r w:rsidR="002B2FC0" w:rsidRPr="006B7272">
        <w:rPr>
          <w:rFonts w:ascii="Arial" w:hAnsi="Arial" w:cs="Arial"/>
          <w:sz w:val="22"/>
          <w:szCs w:val="22"/>
        </w:rPr>
        <w:t xml:space="preserve"> </w:t>
      </w:r>
      <w:r w:rsidRPr="006B7272">
        <w:rPr>
          <w:rFonts w:ascii="Arial" w:hAnsi="Arial" w:cs="Arial"/>
          <w:sz w:val="22"/>
          <w:szCs w:val="22"/>
        </w:rPr>
        <w:t xml:space="preserve">Erikson’s theory to guide life story sessions. Mrs </w:t>
      </w:r>
      <w:r w:rsidR="002B2FC0" w:rsidRPr="006B7272">
        <w:rPr>
          <w:rFonts w:ascii="Arial" w:hAnsi="Arial" w:cs="Arial"/>
          <w:sz w:val="22"/>
          <w:szCs w:val="22"/>
        </w:rPr>
        <w:t xml:space="preserve">Harghardon </w:t>
      </w:r>
      <w:r w:rsidRPr="006B7272">
        <w:rPr>
          <w:rFonts w:ascii="Arial" w:hAnsi="Arial" w:cs="Arial"/>
          <w:sz w:val="22"/>
          <w:szCs w:val="22"/>
        </w:rPr>
        <w:t>shared photos and stories from her teaching days</w:t>
      </w:r>
      <w:r w:rsidR="0020343C" w:rsidRPr="006B7272">
        <w:rPr>
          <w:rFonts w:ascii="Arial" w:hAnsi="Arial" w:cs="Arial"/>
          <w:sz w:val="22"/>
          <w:szCs w:val="22"/>
        </w:rPr>
        <w:t>, which opened her up to the people around her</w:t>
      </w:r>
      <w:r w:rsidRPr="006B7272">
        <w:rPr>
          <w:rFonts w:ascii="Arial" w:hAnsi="Arial" w:cs="Arial"/>
          <w:sz w:val="22"/>
          <w:szCs w:val="22"/>
        </w:rPr>
        <w:t xml:space="preserve">. Staff </w:t>
      </w:r>
      <w:r w:rsidR="0020343C" w:rsidRPr="006B7272">
        <w:rPr>
          <w:rFonts w:ascii="Arial" w:hAnsi="Arial" w:cs="Arial"/>
          <w:sz w:val="22"/>
          <w:szCs w:val="22"/>
        </w:rPr>
        <w:t xml:space="preserve">then </w:t>
      </w:r>
      <w:r w:rsidRPr="006B7272">
        <w:rPr>
          <w:rFonts w:ascii="Arial" w:hAnsi="Arial" w:cs="Arial"/>
          <w:sz w:val="22"/>
          <w:szCs w:val="22"/>
        </w:rPr>
        <w:t>encouraged her to reflect on both positive and difficult experiences. They also supported her in leading a weekly reading group, using her skills as a former teacher.</w:t>
      </w:r>
    </w:p>
    <w:p w14:paraId="765ADEF5" w14:textId="351CFB88" w:rsidR="00975F0F" w:rsidRPr="006B7272" w:rsidRDefault="00975F0F" w:rsidP="00862170">
      <w:pPr>
        <w:spacing w:line="360" w:lineRule="auto"/>
        <w:rPr>
          <w:rFonts w:ascii="Arial" w:hAnsi="Arial" w:cs="Arial"/>
          <w:sz w:val="22"/>
          <w:szCs w:val="22"/>
        </w:rPr>
      </w:pPr>
      <w:r w:rsidRPr="006B7272">
        <w:rPr>
          <w:rFonts w:ascii="Arial" w:hAnsi="Arial" w:cs="Arial"/>
          <w:sz w:val="22"/>
          <w:szCs w:val="22"/>
        </w:rPr>
        <w:t>After several weeks, she became more engaged and confident</w:t>
      </w:r>
      <w:r w:rsidR="0020343C" w:rsidRPr="006B7272">
        <w:rPr>
          <w:rFonts w:ascii="Arial" w:hAnsi="Arial" w:cs="Arial"/>
          <w:sz w:val="22"/>
          <w:szCs w:val="22"/>
        </w:rPr>
        <w:t>, claiming that</w:t>
      </w:r>
      <w:r w:rsidRPr="006B7272">
        <w:rPr>
          <w:rFonts w:ascii="Arial" w:hAnsi="Arial" w:cs="Arial"/>
          <w:sz w:val="22"/>
          <w:szCs w:val="22"/>
        </w:rPr>
        <w:t xml:space="preserve"> she felt “more like myself again.” This shows how supporting integrity</w:t>
      </w:r>
      <w:r w:rsidR="0020343C" w:rsidRPr="006B7272">
        <w:rPr>
          <w:rFonts w:ascii="Arial" w:hAnsi="Arial" w:cs="Arial"/>
          <w:sz w:val="22"/>
          <w:szCs w:val="22"/>
        </w:rPr>
        <w:t xml:space="preserve">, encouraging reflection on life, and </w:t>
      </w:r>
      <w:r w:rsidR="005243D1" w:rsidRPr="006B7272">
        <w:rPr>
          <w:rFonts w:ascii="Arial" w:hAnsi="Arial" w:cs="Arial"/>
          <w:sz w:val="22"/>
          <w:szCs w:val="22"/>
        </w:rPr>
        <w:t>encouraging her t</w:t>
      </w:r>
      <w:r w:rsidR="00853B6A" w:rsidRPr="006B7272">
        <w:rPr>
          <w:rFonts w:ascii="Arial" w:hAnsi="Arial" w:cs="Arial"/>
          <w:sz w:val="22"/>
          <w:szCs w:val="22"/>
        </w:rPr>
        <w:t>o open up and share</w:t>
      </w:r>
      <w:r w:rsidRPr="006B7272">
        <w:rPr>
          <w:rFonts w:ascii="Arial" w:hAnsi="Arial" w:cs="Arial"/>
          <w:sz w:val="22"/>
          <w:szCs w:val="22"/>
        </w:rPr>
        <w:t xml:space="preserve"> can improve well-being and identity.</w:t>
      </w:r>
    </w:p>
    <w:p w14:paraId="16E28646" w14:textId="77777777" w:rsidR="00975F0F" w:rsidRPr="006B7272" w:rsidRDefault="00975F0F" w:rsidP="00862170">
      <w:pPr>
        <w:spacing w:line="360" w:lineRule="auto"/>
        <w:rPr>
          <w:rFonts w:ascii="Arial" w:hAnsi="Arial" w:cs="Arial"/>
          <w:sz w:val="22"/>
          <w:szCs w:val="22"/>
        </w:rPr>
      </w:pPr>
      <w:r w:rsidRPr="006B7272">
        <w:rPr>
          <w:rFonts w:ascii="Arial" w:hAnsi="Arial" w:cs="Arial"/>
          <w:b/>
          <w:bCs/>
          <w:sz w:val="22"/>
          <w:szCs w:val="22"/>
        </w:rPr>
        <w:t>Challenge and Solution</w:t>
      </w:r>
    </w:p>
    <w:p w14:paraId="0B45D9AA" w14:textId="601DE2EF" w:rsidR="00975F0F" w:rsidRDefault="00975F0F" w:rsidP="00862170">
      <w:pPr>
        <w:spacing w:line="360" w:lineRule="auto"/>
        <w:rPr>
          <w:rFonts w:ascii="Arial" w:hAnsi="Arial" w:cs="Arial"/>
          <w:sz w:val="22"/>
          <w:szCs w:val="22"/>
        </w:rPr>
      </w:pPr>
      <w:r w:rsidRPr="006B7272">
        <w:rPr>
          <w:rFonts w:ascii="Arial" w:hAnsi="Arial" w:cs="Arial"/>
          <w:b/>
          <w:bCs/>
          <w:sz w:val="22"/>
          <w:szCs w:val="22"/>
        </w:rPr>
        <w:t>Challenge:</w:t>
      </w:r>
      <w:r w:rsidRPr="006B7272">
        <w:rPr>
          <w:rFonts w:ascii="Arial" w:hAnsi="Arial" w:cs="Arial"/>
          <w:sz w:val="22"/>
          <w:szCs w:val="22"/>
        </w:rPr>
        <w:br/>
      </w:r>
      <w:r w:rsidR="00826D6F" w:rsidRPr="006B7272">
        <w:rPr>
          <w:rFonts w:ascii="Arial" w:hAnsi="Arial" w:cs="Arial"/>
          <w:sz w:val="22"/>
          <w:szCs w:val="22"/>
        </w:rPr>
        <w:t xml:space="preserve">Staff </w:t>
      </w:r>
      <w:r w:rsidR="009B5368" w:rsidRPr="006B7272">
        <w:rPr>
          <w:rFonts w:ascii="Arial" w:hAnsi="Arial" w:cs="Arial"/>
          <w:sz w:val="22"/>
          <w:szCs w:val="22"/>
        </w:rPr>
        <w:t xml:space="preserve">may face a few challenges when supporting residents in this way, particularly when </w:t>
      </w:r>
      <w:r w:rsidR="00826D6F" w:rsidRPr="006B7272">
        <w:rPr>
          <w:rFonts w:ascii="Arial" w:hAnsi="Arial" w:cs="Arial"/>
          <w:sz w:val="22"/>
          <w:szCs w:val="22"/>
        </w:rPr>
        <w:t xml:space="preserve">using Erikson’s Psychosocial Theory. Some residents may not want to join in at first, especially if talking about the past brings up difficult memories. This means staff need to be </w:t>
      </w:r>
      <w:r w:rsidR="00826D6F" w:rsidRPr="006B7272">
        <w:rPr>
          <w:rFonts w:ascii="Arial" w:hAnsi="Arial" w:cs="Arial"/>
          <w:sz w:val="22"/>
          <w:szCs w:val="22"/>
        </w:rPr>
        <w:lastRenderedPageBreak/>
        <w:t xml:space="preserve">patient, as it can take time. These conversations can also make people feel upset or emotional, so staff need to handle them gently. Another issue is that some staff may not feel confident using these methods. Lastly, problems </w:t>
      </w:r>
      <w:r w:rsidR="00316014" w:rsidRPr="006B7272">
        <w:rPr>
          <w:rFonts w:ascii="Arial" w:hAnsi="Arial" w:cs="Arial"/>
          <w:sz w:val="22"/>
          <w:szCs w:val="22"/>
        </w:rPr>
        <w:t>such as poor memory, hearing loss, or fatigue can make it harder for residents to participate</w:t>
      </w:r>
      <w:r w:rsidR="00826D6F" w:rsidRPr="006B7272">
        <w:rPr>
          <w:rFonts w:ascii="Arial" w:hAnsi="Arial" w:cs="Arial"/>
          <w:sz w:val="22"/>
          <w:szCs w:val="22"/>
        </w:rPr>
        <w:t>.</w:t>
      </w:r>
    </w:p>
    <w:p w14:paraId="38E7CFEC" w14:textId="77777777" w:rsidR="0064635A" w:rsidRPr="006B7272" w:rsidRDefault="0064635A" w:rsidP="00862170">
      <w:pPr>
        <w:spacing w:line="360" w:lineRule="auto"/>
        <w:rPr>
          <w:rFonts w:ascii="Arial" w:hAnsi="Arial" w:cs="Arial"/>
          <w:sz w:val="22"/>
          <w:szCs w:val="22"/>
        </w:rPr>
      </w:pPr>
    </w:p>
    <w:p w14:paraId="11BC0502" w14:textId="05C46583" w:rsidR="00975F0F" w:rsidRPr="00C033F1" w:rsidRDefault="00975F0F" w:rsidP="00862170">
      <w:pPr>
        <w:spacing w:line="360" w:lineRule="auto"/>
        <w:rPr>
          <w:rFonts w:ascii="Arial" w:hAnsi="Arial" w:cs="Arial"/>
          <w:b/>
          <w:bCs/>
          <w:sz w:val="22"/>
          <w:szCs w:val="22"/>
        </w:rPr>
      </w:pPr>
      <w:r w:rsidRPr="006B7272">
        <w:rPr>
          <w:rFonts w:ascii="Arial" w:hAnsi="Arial" w:cs="Arial"/>
          <w:b/>
          <w:bCs/>
          <w:sz w:val="22"/>
          <w:szCs w:val="22"/>
        </w:rPr>
        <w:t>Solution:</w:t>
      </w:r>
      <w:r w:rsidRPr="006B7272">
        <w:rPr>
          <w:rFonts w:ascii="Arial" w:hAnsi="Arial" w:cs="Arial"/>
          <w:sz w:val="22"/>
          <w:szCs w:val="22"/>
        </w:rPr>
        <w:br/>
        <w:t>Staff can use short, meaningful interactions during daily routines. For example, asking about past hobbies during meals or talking about memories during personal care. Training in person</w:t>
      </w:r>
      <w:r w:rsidRPr="006B7272">
        <w:rPr>
          <w:rFonts w:ascii="Arial" w:hAnsi="Arial" w:cs="Arial"/>
          <w:sz w:val="22"/>
          <w:szCs w:val="22"/>
        </w:rPr>
        <w:noBreakHyphen/>
        <w:t>centred communication can help staff recognise opportunities for these small but meaningful conversations. This makes the approach practical even with limited time.</w:t>
      </w:r>
    </w:p>
    <w:p w14:paraId="3FA0ABE7" w14:textId="4FB56745" w:rsidR="00846A1E" w:rsidRPr="006B7272" w:rsidRDefault="00846A1E" w:rsidP="00846A1E">
      <w:pPr>
        <w:spacing w:line="360" w:lineRule="auto"/>
        <w:rPr>
          <w:rFonts w:ascii="Arial" w:hAnsi="Arial" w:cs="Arial"/>
          <w:sz w:val="22"/>
          <w:szCs w:val="22"/>
        </w:rPr>
      </w:pPr>
      <w:r w:rsidRPr="006B7272">
        <w:rPr>
          <w:rFonts w:ascii="Arial" w:hAnsi="Arial" w:cs="Arial"/>
          <w:sz w:val="22"/>
          <w:szCs w:val="22"/>
        </w:rPr>
        <w:t>The staff</w:t>
      </w:r>
      <w:r w:rsidR="00AC1D16" w:rsidRPr="006B7272">
        <w:rPr>
          <w:rFonts w:ascii="Arial" w:hAnsi="Arial" w:cs="Arial"/>
          <w:sz w:val="22"/>
          <w:szCs w:val="22"/>
        </w:rPr>
        <w:t xml:space="preserve">, by using life story sessions, helped Mrs Harghardon </w:t>
      </w:r>
      <w:r w:rsidRPr="006B7272">
        <w:rPr>
          <w:rFonts w:ascii="Arial" w:hAnsi="Arial" w:cs="Arial"/>
          <w:sz w:val="22"/>
          <w:szCs w:val="22"/>
        </w:rPr>
        <w:t>talk about her past. Focusing on her career as a teacher helped her reconnect with something she was proud of. This is important because remembering positive experiences can help people feel more confident and remind them of their value, which allowed her to begin opening up more and feeling more comfortable around others.</w:t>
      </w:r>
    </w:p>
    <w:p w14:paraId="2BB4C1CE" w14:textId="32168453" w:rsidR="00846A1E" w:rsidRPr="006B7272" w:rsidRDefault="00846A1E" w:rsidP="00846A1E">
      <w:pPr>
        <w:spacing w:line="360" w:lineRule="auto"/>
        <w:rPr>
          <w:rFonts w:ascii="Arial" w:hAnsi="Arial" w:cs="Arial"/>
          <w:sz w:val="22"/>
          <w:szCs w:val="22"/>
        </w:rPr>
      </w:pPr>
      <w:r w:rsidRPr="006B7272">
        <w:rPr>
          <w:rFonts w:ascii="Arial" w:hAnsi="Arial" w:cs="Arial"/>
          <w:sz w:val="22"/>
          <w:szCs w:val="22"/>
        </w:rPr>
        <w:t>It was also helpful that the staff gently encouraged her to talk about more difficult times, not just the good ones. Being able to accept both the happy and challenging parts of life can help a person feel more at peace. In Mrs Harghardon’s case, this may have helped her deal with feelings of shame about needing help from others.</w:t>
      </w:r>
    </w:p>
    <w:p w14:paraId="507BD47A" w14:textId="77777777" w:rsidR="00846A1E" w:rsidRPr="006B7272" w:rsidRDefault="00846A1E" w:rsidP="00846A1E">
      <w:pPr>
        <w:spacing w:line="360" w:lineRule="auto"/>
        <w:rPr>
          <w:rFonts w:ascii="Arial" w:hAnsi="Arial" w:cs="Arial"/>
          <w:sz w:val="22"/>
          <w:szCs w:val="22"/>
        </w:rPr>
      </w:pPr>
      <w:r w:rsidRPr="006B7272">
        <w:rPr>
          <w:rFonts w:ascii="Arial" w:hAnsi="Arial" w:cs="Arial"/>
          <w:sz w:val="22"/>
          <w:szCs w:val="22"/>
        </w:rPr>
        <w:t>Letting her lead a weekly reading group was another positive step. It gave her a sense of purpose again and allowed her to use her skills as a teacher. Additionally, these activities also helped her become more social, showing how important it is to create opportunities for people in care homes to connect, as it can reduce loneliness and improve mood.</w:t>
      </w:r>
    </w:p>
    <w:p w14:paraId="03500336" w14:textId="77777777" w:rsidR="00975F0F" w:rsidRPr="006B7272" w:rsidRDefault="00975F0F" w:rsidP="00862170">
      <w:pPr>
        <w:spacing w:line="360" w:lineRule="auto"/>
        <w:rPr>
          <w:rFonts w:ascii="Arial" w:hAnsi="Arial" w:cs="Arial"/>
          <w:sz w:val="22"/>
          <w:szCs w:val="22"/>
        </w:rPr>
      </w:pPr>
    </w:p>
    <w:p w14:paraId="335402E9" w14:textId="77777777" w:rsidR="00975F0F" w:rsidRPr="006B7272" w:rsidRDefault="00975F0F" w:rsidP="00862170">
      <w:pPr>
        <w:spacing w:line="360" w:lineRule="auto"/>
        <w:rPr>
          <w:rFonts w:ascii="Arial" w:hAnsi="Arial" w:cs="Arial"/>
          <w:sz w:val="22"/>
          <w:szCs w:val="22"/>
        </w:rPr>
      </w:pPr>
      <w:r w:rsidRPr="006B7272">
        <w:rPr>
          <w:rFonts w:ascii="Arial" w:hAnsi="Arial" w:cs="Arial"/>
          <w:b/>
          <w:bCs/>
          <w:sz w:val="22"/>
          <w:szCs w:val="22"/>
        </w:rPr>
        <w:t>Conclusion</w:t>
      </w:r>
    </w:p>
    <w:p w14:paraId="009842B1" w14:textId="7431DD5A" w:rsidR="00975F0F" w:rsidRPr="006B7272" w:rsidRDefault="00746B95" w:rsidP="00862170">
      <w:pPr>
        <w:spacing w:line="360" w:lineRule="auto"/>
        <w:rPr>
          <w:rFonts w:ascii="Arial" w:hAnsi="Arial" w:cs="Arial"/>
          <w:sz w:val="22"/>
          <w:szCs w:val="22"/>
        </w:rPr>
      </w:pPr>
      <w:r w:rsidRPr="006B7272">
        <w:rPr>
          <w:rFonts w:ascii="Arial" w:hAnsi="Arial" w:cs="Arial"/>
          <w:sz w:val="22"/>
          <w:szCs w:val="22"/>
        </w:rPr>
        <w:t xml:space="preserve">Applying Erikson’s psychosocial theory to Mrs Harghardon’s situation shows how the right emotional and social support can really improve someone’s wellbeing in a care home. At 84, she is in the final stage of Erikson’s Psychosocial Theory, </w:t>
      </w:r>
      <w:r w:rsidR="005A6FFF" w:rsidRPr="006B7272">
        <w:rPr>
          <w:rFonts w:ascii="Arial" w:hAnsi="Arial" w:cs="Arial"/>
          <w:sz w:val="22"/>
          <w:szCs w:val="22"/>
        </w:rPr>
        <w:t>focusing</w:t>
      </w:r>
      <w:r w:rsidRPr="006B7272">
        <w:rPr>
          <w:rFonts w:ascii="Arial" w:hAnsi="Arial" w:cs="Arial"/>
          <w:sz w:val="22"/>
          <w:szCs w:val="22"/>
        </w:rPr>
        <w:t xml:space="preserve"> on looking back over life and deciding whether you feel satisfied or full of regret. At first, her behaviour—feeling sad, withdrawn, and calling herself “a burden”—suggests she was struggling to feel positive about her life and current situation.</w:t>
      </w:r>
      <w:r w:rsidR="00FC3507" w:rsidRPr="006B7272">
        <w:rPr>
          <w:rFonts w:ascii="Arial" w:hAnsi="Arial" w:cs="Arial"/>
          <w:sz w:val="22"/>
          <w:szCs w:val="22"/>
        </w:rPr>
        <w:br/>
      </w:r>
      <w:r w:rsidR="00FC3507" w:rsidRPr="006B7272">
        <w:rPr>
          <w:rFonts w:ascii="Arial" w:hAnsi="Arial" w:cs="Arial"/>
          <w:sz w:val="22"/>
          <w:szCs w:val="22"/>
        </w:rPr>
        <w:br/>
      </w:r>
      <w:r w:rsidR="00FC3507" w:rsidRPr="006B7272">
        <w:rPr>
          <w:rFonts w:ascii="Arial" w:hAnsi="Arial" w:cs="Arial"/>
          <w:sz w:val="22"/>
          <w:szCs w:val="22"/>
        </w:rPr>
        <w:t xml:space="preserve">In conclusion, using Erikson’s Psychosocial Theory in care homes can truly improve a </w:t>
      </w:r>
      <w:r w:rsidR="00FC3507" w:rsidRPr="006B7272">
        <w:rPr>
          <w:rFonts w:ascii="Arial" w:hAnsi="Arial" w:cs="Arial"/>
          <w:sz w:val="22"/>
          <w:szCs w:val="22"/>
        </w:rPr>
        <w:lastRenderedPageBreak/>
        <w:t>person’s quality of life. Mrs Harghardon’s experience shows how giving someone time to talk, reflect, and feel heard can help rebuild their confidence and sense of self. Simple things like sharing memories or taking part in meaningful activities can have a big impact. Although staff may face challenges, being patient, kind, and understanding can make all the difference. When care focuses on the whole person, residents are more likely to feel valued, comfortable, and genuinely at home.</w:t>
      </w:r>
    </w:p>
    <w:p w14:paraId="7D529EDB" w14:textId="77777777" w:rsidR="00975F0F" w:rsidRPr="006B7272" w:rsidRDefault="00975F0F" w:rsidP="00862170">
      <w:pPr>
        <w:spacing w:line="360" w:lineRule="auto"/>
        <w:rPr>
          <w:rFonts w:ascii="Arial" w:hAnsi="Arial" w:cs="Arial"/>
          <w:sz w:val="22"/>
          <w:szCs w:val="22"/>
        </w:rPr>
      </w:pPr>
    </w:p>
    <w:p w14:paraId="0B56A840" w14:textId="77777777" w:rsidR="00975F0F" w:rsidRPr="006B7272" w:rsidRDefault="00975F0F" w:rsidP="00862170">
      <w:pPr>
        <w:spacing w:line="360" w:lineRule="auto"/>
        <w:rPr>
          <w:rFonts w:ascii="Arial" w:hAnsi="Arial" w:cs="Arial"/>
          <w:sz w:val="22"/>
          <w:szCs w:val="22"/>
        </w:rPr>
      </w:pPr>
    </w:p>
    <w:p w14:paraId="44F2D625" w14:textId="5459A2F9" w:rsidR="00B10807" w:rsidRPr="006B7272" w:rsidRDefault="00975F0F" w:rsidP="00CC7F8E">
      <w:pPr>
        <w:pStyle w:val="Heading1"/>
        <w:spacing w:line="360" w:lineRule="auto"/>
        <w:rPr>
          <w:rFonts w:ascii="Arial" w:hAnsi="Arial" w:cs="Arial"/>
          <w:sz w:val="22"/>
          <w:szCs w:val="22"/>
        </w:rPr>
      </w:pPr>
      <w:bookmarkStart w:id="4" w:name="_Toc225679611"/>
      <w:r w:rsidRPr="006B7272">
        <w:rPr>
          <w:rFonts w:ascii="Arial" w:hAnsi="Arial" w:cs="Arial"/>
          <w:sz w:val="22"/>
          <w:szCs w:val="22"/>
        </w:rPr>
        <w:t>References:</w:t>
      </w:r>
      <w:bookmarkEnd w:id="4"/>
      <w:r w:rsidR="00107173" w:rsidRPr="006B7272">
        <w:rPr>
          <w:rFonts w:ascii="Arial" w:hAnsi="Arial" w:cs="Arial"/>
          <w:sz w:val="22"/>
          <w:szCs w:val="22"/>
        </w:rPr>
        <w:t xml:space="preserve"> </w:t>
      </w:r>
      <w:r w:rsidR="00030C6C" w:rsidRPr="006B7272">
        <w:rPr>
          <w:rFonts w:ascii="Arial" w:hAnsi="Arial" w:cs="Arial"/>
          <w:sz w:val="22"/>
          <w:szCs w:val="22"/>
        </w:rPr>
        <w:t xml:space="preserve"> </w:t>
      </w:r>
      <w:r w:rsidR="00D002FA" w:rsidRPr="006B7272">
        <w:rPr>
          <w:rFonts w:ascii="Arial" w:hAnsi="Arial" w:cs="Arial"/>
          <w:sz w:val="22"/>
          <w:szCs w:val="22"/>
        </w:rPr>
        <w:br/>
        <w:t>Bandura, A. (1997). Self-efficacy</w:t>
      </w:r>
      <w:r w:rsidR="00D002FA" w:rsidRPr="006B7272">
        <w:rPr>
          <w:rFonts w:ascii="Arial" w:hAnsi="Arial" w:cs="Arial"/>
          <w:i/>
          <w:iCs/>
          <w:sz w:val="22"/>
          <w:szCs w:val="22"/>
        </w:rPr>
        <w:t xml:space="preserve">: </w:t>
      </w:r>
      <w:r w:rsidR="00D002FA" w:rsidRPr="006B7272">
        <w:rPr>
          <w:rFonts w:ascii="Arial" w:hAnsi="Arial" w:cs="Arial"/>
          <w:sz w:val="22"/>
          <w:szCs w:val="22"/>
        </w:rPr>
        <w:t>The Exercise of Control. New York: Freeman.</w:t>
      </w:r>
    </w:p>
    <w:p w14:paraId="3D879FA1" w14:textId="77777777" w:rsidR="008C7190" w:rsidRPr="006B7272" w:rsidRDefault="008C7190" w:rsidP="008C7190">
      <w:pPr>
        <w:spacing w:line="360" w:lineRule="auto"/>
        <w:rPr>
          <w:rFonts w:ascii="Arial" w:hAnsi="Arial" w:cs="Arial"/>
          <w:sz w:val="22"/>
          <w:szCs w:val="22"/>
        </w:rPr>
      </w:pPr>
      <w:r w:rsidRPr="006B7272">
        <w:rPr>
          <w:rFonts w:ascii="Arial" w:hAnsi="Arial" w:cs="Arial"/>
          <w:sz w:val="22"/>
          <w:szCs w:val="22"/>
        </w:rPr>
        <w:t>Bowlby, J. (1969). Attachment and Loss: Volume 1 Attachment</w:t>
      </w:r>
    </w:p>
    <w:p w14:paraId="0F90B54A" w14:textId="0DCE08CC" w:rsidR="008C7190" w:rsidRPr="006B7272" w:rsidRDefault="008C7190" w:rsidP="008C7190">
      <w:pPr>
        <w:spacing w:line="360" w:lineRule="auto"/>
        <w:rPr>
          <w:rFonts w:ascii="Arial" w:hAnsi="Arial" w:cs="Arial"/>
          <w:sz w:val="22"/>
          <w:szCs w:val="22"/>
        </w:rPr>
      </w:pPr>
      <w:r w:rsidRPr="006B7272">
        <w:rPr>
          <w:rFonts w:ascii="Arial" w:hAnsi="Arial" w:cs="Arial"/>
          <w:sz w:val="22"/>
          <w:szCs w:val="22"/>
        </w:rPr>
        <w:t xml:space="preserve"> systematic review of qualitative studies’, Age and Ageing, 41(4), pp. 429–440.</w:t>
      </w:r>
    </w:p>
    <w:p w14:paraId="72E33014" w14:textId="100FCD62" w:rsidR="00975F0F" w:rsidRPr="006B7272" w:rsidRDefault="00E23E82" w:rsidP="00862170">
      <w:pPr>
        <w:spacing w:line="360" w:lineRule="auto"/>
        <w:rPr>
          <w:rFonts w:ascii="Arial" w:hAnsi="Arial" w:cs="Arial"/>
          <w:sz w:val="22"/>
          <w:szCs w:val="22"/>
        </w:rPr>
      </w:pPr>
      <w:r w:rsidRPr="006B7272">
        <w:rPr>
          <w:rFonts w:ascii="Arial" w:hAnsi="Arial" w:cs="Arial"/>
          <w:sz w:val="22"/>
          <w:szCs w:val="22"/>
        </w:rPr>
        <w:t>Erikson, E. H. (1963). Childhood and Society. New York: Norton.</w:t>
      </w:r>
    </w:p>
    <w:p w14:paraId="10B87611" w14:textId="3724E3D7" w:rsidR="00975F0F" w:rsidRPr="006B7272" w:rsidRDefault="00B72981" w:rsidP="005A357A">
      <w:pPr>
        <w:spacing w:line="360" w:lineRule="auto"/>
        <w:rPr>
          <w:rFonts w:ascii="Arial" w:hAnsi="Arial" w:cs="Arial"/>
          <w:sz w:val="22"/>
          <w:szCs w:val="22"/>
        </w:rPr>
      </w:pPr>
      <w:r w:rsidRPr="006B7272">
        <w:rPr>
          <w:rFonts w:ascii="Arial" w:hAnsi="Arial" w:cs="Arial"/>
          <w:sz w:val="22"/>
          <w:szCs w:val="22"/>
        </w:rPr>
        <w:t>Maslow, A.H. (1943). ‘A theory of human motivation’, Psychological Review, 50(4), pp. 370–396.</w:t>
      </w:r>
    </w:p>
    <w:p w14:paraId="75CCCA9E" w14:textId="4689B21E" w:rsidR="00C02985" w:rsidRPr="006B7272" w:rsidRDefault="00C02985" w:rsidP="00862170">
      <w:pPr>
        <w:spacing w:line="360" w:lineRule="auto"/>
        <w:rPr>
          <w:rFonts w:ascii="Arial" w:hAnsi="Arial" w:cs="Arial"/>
          <w:sz w:val="22"/>
          <w:szCs w:val="22"/>
        </w:rPr>
      </w:pPr>
      <w:r w:rsidRPr="006B7272">
        <w:rPr>
          <w:rFonts w:ascii="Arial" w:hAnsi="Arial" w:cs="Arial"/>
          <w:sz w:val="22"/>
          <w:szCs w:val="22"/>
        </w:rPr>
        <w:t xml:space="preserve">  </w:t>
      </w:r>
    </w:p>
    <w:sectPr w:rsidR="00C02985" w:rsidRPr="006B7272">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2A8E0BE" w14:textId="77777777" w:rsidR="00FB7F0D" w:rsidRDefault="00FB7F0D" w:rsidP="00B0048E">
      <w:pPr>
        <w:spacing w:after="0" w:line="240" w:lineRule="auto"/>
      </w:pPr>
      <w:r>
        <w:separator/>
      </w:r>
    </w:p>
  </w:endnote>
  <w:endnote w:type="continuationSeparator" w:id="0">
    <w:p w14:paraId="09587EE4" w14:textId="77777777" w:rsidR="00FB7F0D" w:rsidRDefault="00FB7F0D" w:rsidP="00B0048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244BE6A" w14:textId="77777777" w:rsidR="00FB7F0D" w:rsidRDefault="00FB7F0D" w:rsidP="00B0048E">
      <w:pPr>
        <w:spacing w:after="0" w:line="240" w:lineRule="auto"/>
      </w:pPr>
      <w:r>
        <w:separator/>
      </w:r>
    </w:p>
  </w:footnote>
  <w:footnote w:type="continuationSeparator" w:id="0">
    <w:p w14:paraId="65ED7CC2" w14:textId="77777777" w:rsidR="00FB7F0D" w:rsidRDefault="00FB7F0D" w:rsidP="00B0048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2A08A4D" w14:textId="44952BE0" w:rsidR="00D03F91" w:rsidRDefault="00D03F91">
    <w:pPr>
      <w:pStyle w:val="Header"/>
    </w:pPr>
    <w:r>
      <w:rPr>
        <w:noProof/>
      </w:rPr>
      <w:drawing>
        <wp:anchor distT="0" distB="0" distL="114300" distR="114300" simplePos="0" relativeHeight="251659264" behindDoc="1" locked="0" layoutInCell="1" allowOverlap="1" wp14:anchorId="29C0FB88" wp14:editId="095D8E02">
          <wp:simplePos x="0" y="0"/>
          <wp:positionH relativeFrom="margin">
            <wp:posOffset>-788641</wp:posOffset>
          </wp:positionH>
          <wp:positionV relativeFrom="paragraph">
            <wp:posOffset>-286337</wp:posOffset>
          </wp:positionV>
          <wp:extent cx="1353820" cy="751840"/>
          <wp:effectExtent l="0" t="0" r="0" b="0"/>
          <wp:wrapTight wrapText="bothSides">
            <wp:wrapPolygon edited="0">
              <wp:start x="0" y="0"/>
              <wp:lineTo x="0" y="20797"/>
              <wp:lineTo x="21276" y="20797"/>
              <wp:lineTo x="21276" y="0"/>
              <wp:lineTo x="0" y="0"/>
            </wp:wrapPolygon>
          </wp:wrapTight>
          <wp:docPr id="3725518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353820" cy="751840"/>
                  </a:xfrm>
                  <a:prstGeom prst="rect">
                    <a:avLst/>
                  </a:prstGeom>
                  <a:noFill/>
                </pic:spPr>
              </pic:pic>
            </a:graphicData>
          </a:graphic>
          <wp14:sizeRelH relativeFrom="margin">
            <wp14:pctWidth>0</wp14:pctWidth>
          </wp14:sizeRelH>
          <wp14:sizeRelV relativeFrom="margin">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683285"/>
    <w:multiLevelType w:val="hybridMultilevel"/>
    <w:tmpl w:val="140C8ADE"/>
    <w:lvl w:ilvl="0" w:tplc="8EE0BD1A">
      <w:start w:val="1"/>
      <w:numFmt w:val="decimal"/>
      <w:lvlText w:val="%1."/>
      <w:lvlJc w:val="left"/>
      <w:pPr>
        <w:ind w:left="1440" w:hanging="360"/>
      </w:pPr>
      <w:rPr>
        <w:rFonts w:eastAsiaTheme="minorHAnsi"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 w15:restartNumberingAfterBreak="0">
    <w:nsid w:val="35E3152C"/>
    <w:multiLevelType w:val="hybridMultilevel"/>
    <w:tmpl w:val="06B80D3A"/>
    <w:lvl w:ilvl="0" w:tplc="96DAD250">
      <w:start w:val="1"/>
      <w:numFmt w:val="decimal"/>
      <w:lvlText w:val="%1."/>
      <w:lvlJc w:val="left"/>
      <w:pPr>
        <w:ind w:left="1215" w:hanging="360"/>
      </w:pPr>
      <w:rPr>
        <w:rFonts w:eastAsiaTheme="minorHAnsi" w:hint="default"/>
        <w:b/>
      </w:rPr>
    </w:lvl>
    <w:lvl w:ilvl="1" w:tplc="08090019" w:tentative="1">
      <w:start w:val="1"/>
      <w:numFmt w:val="lowerLetter"/>
      <w:lvlText w:val="%2."/>
      <w:lvlJc w:val="left"/>
      <w:pPr>
        <w:ind w:left="1935" w:hanging="360"/>
      </w:pPr>
    </w:lvl>
    <w:lvl w:ilvl="2" w:tplc="0809001B" w:tentative="1">
      <w:start w:val="1"/>
      <w:numFmt w:val="lowerRoman"/>
      <w:lvlText w:val="%3."/>
      <w:lvlJc w:val="right"/>
      <w:pPr>
        <w:ind w:left="2655" w:hanging="180"/>
      </w:pPr>
    </w:lvl>
    <w:lvl w:ilvl="3" w:tplc="0809000F" w:tentative="1">
      <w:start w:val="1"/>
      <w:numFmt w:val="decimal"/>
      <w:lvlText w:val="%4."/>
      <w:lvlJc w:val="left"/>
      <w:pPr>
        <w:ind w:left="3375" w:hanging="360"/>
      </w:pPr>
    </w:lvl>
    <w:lvl w:ilvl="4" w:tplc="08090019" w:tentative="1">
      <w:start w:val="1"/>
      <w:numFmt w:val="lowerLetter"/>
      <w:lvlText w:val="%5."/>
      <w:lvlJc w:val="left"/>
      <w:pPr>
        <w:ind w:left="4095" w:hanging="360"/>
      </w:pPr>
    </w:lvl>
    <w:lvl w:ilvl="5" w:tplc="0809001B" w:tentative="1">
      <w:start w:val="1"/>
      <w:numFmt w:val="lowerRoman"/>
      <w:lvlText w:val="%6."/>
      <w:lvlJc w:val="right"/>
      <w:pPr>
        <w:ind w:left="4815" w:hanging="180"/>
      </w:pPr>
    </w:lvl>
    <w:lvl w:ilvl="6" w:tplc="0809000F" w:tentative="1">
      <w:start w:val="1"/>
      <w:numFmt w:val="decimal"/>
      <w:lvlText w:val="%7."/>
      <w:lvlJc w:val="left"/>
      <w:pPr>
        <w:ind w:left="5535" w:hanging="360"/>
      </w:pPr>
    </w:lvl>
    <w:lvl w:ilvl="7" w:tplc="08090019" w:tentative="1">
      <w:start w:val="1"/>
      <w:numFmt w:val="lowerLetter"/>
      <w:lvlText w:val="%8."/>
      <w:lvlJc w:val="left"/>
      <w:pPr>
        <w:ind w:left="6255" w:hanging="360"/>
      </w:pPr>
    </w:lvl>
    <w:lvl w:ilvl="8" w:tplc="0809001B" w:tentative="1">
      <w:start w:val="1"/>
      <w:numFmt w:val="lowerRoman"/>
      <w:lvlText w:val="%9."/>
      <w:lvlJc w:val="right"/>
      <w:pPr>
        <w:ind w:left="6975" w:hanging="180"/>
      </w:pPr>
    </w:lvl>
  </w:abstractNum>
  <w:abstractNum w:abstractNumId="2" w15:restartNumberingAfterBreak="0">
    <w:nsid w:val="365E60A3"/>
    <w:multiLevelType w:val="hybridMultilevel"/>
    <w:tmpl w:val="32DEB6FA"/>
    <w:lvl w:ilvl="0" w:tplc="90E89AC6">
      <w:start w:val="1"/>
      <w:numFmt w:val="decimal"/>
      <w:lvlText w:val="%1."/>
      <w:lvlJc w:val="left"/>
      <w:pPr>
        <w:ind w:left="720" w:hanging="360"/>
      </w:pPr>
      <w:rPr>
        <w:rFonts w:eastAsiaTheme="minorHAnsi" w:hint="default"/>
        <w:b/>
        <w:color w:val="467886" w:themeColor="hyperlink"/>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D496B52"/>
    <w:multiLevelType w:val="hybridMultilevel"/>
    <w:tmpl w:val="F4DC3642"/>
    <w:lvl w:ilvl="0" w:tplc="6040DD30">
      <w:start w:val="1"/>
      <w:numFmt w:val="decimal"/>
      <w:lvlText w:val="%1."/>
      <w:lvlJc w:val="left"/>
      <w:pPr>
        <w:ind w:left="720" w:hanging="360"/>
      </w:pPr>
      <w:rPr>
        <w:rFonts w:eastAsiaTheme="minorHAnsi"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C620354"/>
    <w:multiLevelType w:val="hybridMultilevel"/>
    <w:tmpl w:val="BA2CC9C0"/>
    <w:lvl w:ilvl="0" w:tplc="BE46FD86">
      <w:start w:val="1"/>
      <w:numFmt w:val="decimal"/>
      <w:lvlText w:val="%1."/>
      <w:lvlJc w:val="left"/>
      <w:pPr>
        <w:ind w:left="1080" w:hanging="360"/>
      </w:pPr>
      <w:rPr>
        <w:rFonts w:eastAsiaTheme="minorHAnsi" w:hint="default"/>
        <w:b/>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69FD6863"/>
    <w:multiLevelType w:val="hybridMultilevel"/>
    <w:tmpl w:val="7D4AFA56"/>
    <w:lvl w:ilvl="0" w:tplc="9B2E9E68">
      <w:start w:val="1"/>
      <w:numFmt w:val="decimal"/>
      <w:lvlText w:val="%1."/>
      <w:lvlJc w:val="left"/>
      <w:pPr>
        <w:ind w:left="855" w:hanging="360"/>
      </w:pPr>
      <w:rPr>
        <w:rFonts w:eastAsiaTheme="minorHAnsi" w:hint="default"/>
      </w:rPr>
    </w:lvl>
    <w:lvl w:ilvl="1" w:tplc="08090019" w:tentative="1">
      <w:start w:val="1"/>
      <w:numFmt w:val="lowerLetter"/>
      <w:lvlText w:val="%2."/>
      <w:lvlJc w:val="left"/>
      <w:pPr>
        <w:ind w:left="1575" w:hanging="360"/>
      </w:pPr>
    </w:lvl>
    <w:lvl w:ilvl="2" w:tplc="0809001B" w:tentative="1">
      <w:start w:val="1"/>
      <w:numFmt w:val="lowerRoman"/>
      <w:lvlText w:val="%3."/>
      <w:lvlJc w:val="right"/>
      <w:pPr>
        <w:ind w:left="2295" w:hanging="180"/>
      </w:pPr>
    </w:lvl>
    <w:lvl w:ilvl="3" w:tplc="0809000F" w:tentative="1">
      <w:start w:val="1"/>
      <w:numFmt w:val="decimal"/>
      <w:lvlText w:val="%4."/>
      <w:lvlJc w:val="left"/>
      <w:pPr>
        <w:ind w:left="3015" w:hanging="360"/>
      </w:pPr>
    </w:lvl>
    <w:lvl w:ilvl="4" w:tplc="08090019" w:tentative="1">
      <w:start w:val="1"/>
      <w:numFmt w:val="lowerLetter"/>
      <w:lvlText w:val="%5."/>
      <w:lvlJc w:val="left"/>
      <w:pPr>
        <w:ind w:left="3735" w:hanging="360"/>
      </w:pPr>
    </w:lvl>
    <w:lvl w:ilvl="5" w:tplc="0809001B" w:tentative="1">
      <w:start w:val="1"/>
      <w:numFmt w:val="lowerRoman"/>
      <w:lvlText w:val="%6."/>
      <w:lvlJc w:val="right"/>
      <w:pPr>
        <w:ind w:left="4455" w:hanging="180"/>
      </w:pPr>
    </w:lvl>
    <w:lvl w:ilvl="6" w:tplc="0809000F" w:tentative="1">
      <w:start w:val="1"/>
      <w:numFmt w:val="decimal"/>
      <w:lvlText w:val="%7."/>
      <w:lvlJc w:val="left"/>
      <w:pPr>
        <w:ind w:left="5175" w:hanging="360"/>
      </w:pPr>
    </w:lvl>
    <w:lvl w:ilvl="7" w:tplc="08090019" w:tentative="1">
      <w:start w:val="1"/>
      <w:numFmt w:val="lowerLetter"/>
      <w:lvlText w:val="%8."/>
      <w:lvlJc w:val="left"/>
      <w:pPr>
        <w:ind w:left="5895" w:hanging="360"/>
      </w:pPr>
    </w:lvl>
    <w:lvl w:ilvl="8" w:tplc="0809001B" w:tentative="1">
      <w:start w:val="1"/>
      <w:numFmt w:val="lowerRoman"/>
      <w:lvlText w:val="%9."/>
      <w:lvlJc w:val="right"/>
      <w:pPr>
        <w:ind w:left="6615" w:hanging="180"/>
      </w:pPr>
    </w:lvl>
  </w:abstractNum>
  <w:abstractNum w:abstractNumId="6" w15:restartNumberingAfterBreak="0">
    <w:nsid w:val="6DE670BA"/>
    <w:multiLevelType w:val="multilevel"/>
    <w:tmpl w:val="BFD87C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F6D083B"/>
    <w:multiLevelType w:val="hybridMultilevel"/>
    <w:tmpl w:val="D166BB9A"/>
    <w:lvl w:ilvl="0" w:tplc="C8FAD640">
      <w:start w:val="1"/>
      <w:numFmt w:val="decimal"/>
      <w:lvlText w:val="%1."/>
      <w:lvlJc w:val="left"/>
      <w:pPr>
        <w:ind w:left="990" w:hanging="360"/>
      </w:pPr>
      <w:rPr>
        <w:rFonts w:eastAsiaTheme="minorHAnsi" w:hint="default"/>
        <w:b/>
      </w:rPr>
    </w:lvl>
    <w:lvl w:ilvl="1" w:tplc="08090019" w:tentative="1">
      <w:start w:val="1"/>
      <w:numFmt w:val="lowerLetter"/>
      <w:lvlText w:val="%2."/>
      <w:lvlJc w:val="left"/>
      <w:pPr>
        <w:ind w:left="1710" w:hanging="360"/>
      </w:pPr>
    </w:lvl>
    <w:lvl w:ilvl="2" w:tplc="0809001B" w:tentative="1">
      <w:start w:val="1"/>
      <w:numFmt w:val="lowerRoman"/>
      <w:lvlText w:val="%3."/>
      <w:lvlJc w:val="right"/>
      <w:pPr>
        <w:ind w:left="2430" w:hanging="180"/>
      </w:pPr>
    </w:lvl>
    <w:lvl w:ilvl="3" w:tplc="0809000F" w:tentative="1">
      <w:start w:val="1"/>
      <w:numFmt w:val="decimal"/>
      <w:lvlText w:val="%4."/>
      <w:lvlJc w:val="left"/>
      <w:pPr>
        <w:ind w:left="3150" w:hanging="360"/>
      </w:pPr>
    </w:lvl>
    <w:lvl w:ilvl="4" w:tplc="08090019" w:tentative="1">
      <w:start w:val="1"/>
      <w:numFmt w:val="lowerLetter"/>
      <w:lvlText w:val="%5."/>
      <w:lvlJc w:val="left"/>
      <w:pPr>
        <w:ind w:left="3870" w:hanging="360"/>
      </w:pPr>
    </w:lvl>
    <w:lvl w:ilvl="5" w:tplc="0809001B" w:tentative="1">
      <w:start w:val="1"/>
      <w:numFmt w:val="lowerRoman"/>
      <w:lvlText w:val="%6."/>
      <w:lvlJc w:val="right"/>
      <w:pPr>
        <w:ind w:left="4590" w:hanging="180"/>
      </w:pPr>
    </w:lvl>
    <w:lvl w:ilvl="6" w:tplc="0809000F" w:tentative="1">
      <w:start w:val="1"/>
      <w:numFmt w:val="decimal"/>
      <w:lvlText w:val="%7."/>
      <w:lvlJc w:val="left"/>
      <w:pPr>
        <w:ind w:left="5310" w:hanging="360"/>
      </w:pPr>
    </w:lvl>
    <w:lvl w:ilvl="7" w:tplc="08090019" w:tentative="1">
      <w:start w:val="1"/>
      <w:numFmt w:val="lowerLetter"/>
      <w:lvlText w:val="%8."/>
      <w:lvlJc w:val="left"/>
      <w:pPr>
        <w:ind w:left="6030" w:hanging="360"/>
      </w:pPr>
    </w:lvl>
    <w:lvl w:ilvl="8" w:tplc="0809001B" w:tentative="1">
      <w:start w:val="1"/>
      <w:numFmt w:val="lowerRoman"/>
      <w:lvlText w:val="%9."/>
      <w:lvlJc w:val="right"/>
      <w:pPr>
        <w:ind w:left="6750" w:hanging="180"/>
      </w:pPr>
    </w:lvl>
  </w:abstractNum>
  <w:num w:numId="1" w16cid:durableId="710499277">
    <w:abstractNumId w:val="6"/>
  </w:num>
  <w:num w:numId="2" w16cid:durableId="717777818">
    <w:abstractNumId w:val="3"/>
  </w:num>
  <w:num w:numId="3" w16cid:durableId="154032085">
    <w:abstractNumId w:val="2"/>
  </w:num>
  <w:num w:numId="4" w16cid:durableId="1443839962">
    <w:abstractNumId w:val="4"/>
  </w:num>
  <w:num w:numId="5" w16cid:durableId="292641969">
    <w:abstractNumId w:val="0"/>
  </w:num>
  <w:num w:numId="6" w16cid:durableId="325208123">
    <w:abstractNumId w:val="5"/>
  </w:num>
  <w:num w:numId="7" w16cid:durableId="510338296">
    <w:abstractNumId w:val="7"/>
  </w:num>
  <w:num w:numId="8" w16cid:durableId="89662365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6"/>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6F70"/>
    <w:rsid w:val="00000298"/>
    <w:rsid w:val="000232EC"/>
    <w:rsid w:val="00030C6C"/>
    <w:rsid w:val="00043CEA"/>
    <w:rsid w:val="00047B60"/>
    <w:rsid w:val="0007240B"/>
    <w:rsid w:val="000725EE"/>
    <w:rsid w:val="000838E4"/>
    <w:rsid w:val="000852D1"/>
    <w:rsid w:val="000916F5"/>
    <w:rsid w:val="000C4A81"/>
    <w:rsid w:val="000C5401"/>
    <w:rsid w:val="00107173"/>
    <w:rsid w:val="00121045"/>
    <w:rsid w:val="001252EA"/>
    <w:rsid w:val="00140BC6"/>
    <w:rsid w:val="00141B39"/>
    <w:rsid w:val="001435C7"/>
    <w:rsid w:val="00144F67"/>
    <w:rsid w:val="00153737"/>
    <w:rsid w:val="0016420E"/>
    <w:rsid w:val="00181424"/>
    <w:rsid w:val="00195B5D"/>
    <w:rsid w:val="00195B8F"/>
    <w:rsid w:val="001A00AE"/>
    <w:rsid w:val="001A0E0A"/>
    <w:rsid w:val="001A0E8C"/>
    <w:rsid w:val="001A4AEF"/>
    <w:rsid w:val="001C61D9"/>
    <w:rsid w:val="0020343C"/>
    <w:rsid w:val="00215DF8"/>
    <w:rsid w:val="002302C2"/>
    <w:rsid w:val="002470EF"/>
    <w:rsid w:val="00257343"/>
    <w:rsid w:val="00260AD8"/>
    <w:rsid w:val="002621A5"/>
    <w:rsid w:val="002A677C"/>
    <w:rsid w:val="002B2171"/>
    <w:rsid w:val="002B2C74"/>
    <w:rsid w:val="002B2FC0"/>
    <w:rsid w:val="002C316A"/>
    <w:rsid w:val="002E02A2"/>
    <w:rsid w:val="002E4350"/>
    <w:rsid w:val="00310412"/>
    <w:rsid w:val="003154C9"/>
    <w:rsid w:val="00316014"/>
    <w:rsid w:val="003238D4"/>
    <w:rsid w:val="00324F0D"/>
    <w:rsid w:val="00335D4F"/>
    <w:rsid w:val="003724F7"/>
    <w:rsid w:val="003906FB"/>
    <w:rsid w:val="0039491A"/>
    <w:rsid w:val="00395D53"/>
    <w:rsid w:val="003B009F"/>
    <w:rsid w:val="003B3D30"/>
    <w:rsid w:val="003C2227"/>
    <w:rsid w:val="003C4CA5"/>
    <w:rsid w:val="003F1F81"/>
    <w:rsid w:val="003F6F08"/>
    <w:rsid w:val="00406EDB"/>
    <w:rsid w:val="00407AF3"/>
    <w:rsid w:val="00407BDC"/>
    <w:rsid w:val="0042176F"/>
    <w:rsid w:val="00427D0A"/>
    <w:rsid w:val="00452EB3"/>
    <w:rsid w:val="00454310"/>
    <w:rsid w:val="004657A5"/>
    <w:rsid w:val="004669E7"/>
    <w:rsid w:val="00471E51"/>
    <w:rsid w:val="004724A0"/>
    <w:rsid w:val="00495309"/>
    <w:rsid w:val="0049621D"/>
    <w:rsid w:val="004A144D"/>
    <w:rsid w:val="004A2D3A"/>
    <w:rsid w:val="004B6C74"/>
    <w:rsid w:val="004C40E4"/>
    <w:rsid w:val="004C5215"/>
    <w:rsid w:val="00503128"/>
    <w:rsid w:val="00503792"/>
    <w:rsid w:val="005044BE"/>
    <w:rsid w:val="00506D54"/>
    <w:rsid w:val="00507790"/>
    <w:rsid w:val="00514FAF"/>
    <w:rsid w:val="00515F93"/>
    <w:rsid w:val="0052096F"/>
    <w:rsid w:val="005243D1"/>
    <w:rsid w:val="0052468E"/>
    <w:rsid w:val="005344CC"/>
    <w:rsid w:val="005473F2"/>
    <w:rsid w:val="005574E2"/>
    <w:rsid w:val="0057425F"/>
    <w:rsid w:val="00581059"/>
    <w:rsid w:val="00586DE5"/>
    <w:rsid w:val="005A357A"/>
    <w:rsid w:val="005A3707"/>
    <w:rsid w:val="005A6FFF"/>
    <w:rsid w:val="005C135E"/>
    <w:rsid w:val="005C3311"/>
    <w:rsid w:val="005D7E00"/>
    <w:rsid w:val="005E708F"/>
    <w:rsid w:val="00603905"/>
    <w:rsid w:val="00622716"/>
    <w:rsid w:val="00626F70"/>
    <w:rsid w:val="006318FC"/>
    <w:rsid w:val="006341FB"/>
    <w:rsid w:val="0064635A"/>
    <w:rsid w:val="00652AAB"/>
    <w:rsid w:val="00661662"/>
    <w:rsid w:val="00680A07"/>
    <w:rsid w:val="006B7272"/>
    <w:rsid w:val="006C287A"/>
    <w:rsid w:val="006C48A5"/>
    <w:rsid w:val="006D0E41"/>
    <w:rsid w:val="006D79A8"/>
    <w:rsid w:val="006F6780"/>
    <w:rsid w:val="00712263"/>
    <w:rsid w:val="007236F6"/>
    <w:rsid w:val="0072672D"/>
    <w:rsid w:val="00731176"/>
    <w:rsid w:val="00733633"/>
    <w:rsid w:val="00734836"/>
    <w:rsid w:val="00744C2A"/>
    <w:rsid w:val="00746B95"/>
    <w:rsid w:val="00762A21"/>
    <w:rsid w:val="00764F3A"/>
    <w:rsid w:val="00772E0C"/>
    <w:rsid w:val="0077649B"/>
    <w:rsid w:val="0078051A"/>
    <w:rsid w:val="00783147"/>
    <w:rsid w:val="007A40C2"/>
    <w:rsid w:val="007E115D"/>
    <w:rsid w:val="007F6467"/>
    <w:rsid w:val="00826D6F"/>
    <w:rsid w:val="00846A1E"/>
    <w:rsid w:val="00850547"/>
    <w:rsid w:val="00853B6A"/>
    <w:rsid w:val="00862170"/>
    <w:rsid w:val="008641A6"/>
    <w:rsid w:val="00877D63"/>
    <w:rsid w:val="0088273B"/>
    <w:rsid w:val="00887102"/>
    <w:rsid w:val="008B01A3"/>
    <w:rsid w:val="008C042E"/>
    <w:rsid w:val="008C1A63"/>
    <w:rsid w:val="008C7190"/>
    <w:rsid w:val="008D10C3"/>
    <w:rsid w:val="008D4244"/>
    <w:rsid w:val="008F4314"/>
    <w:rsid w:val="008F4E0D"/>
    <w:rsid w:val="0090024B"/>
    <w:rsid w:val="00900799"/>
    <w:rsid w:val="00904BCD"/>
    <w:rsid w:val="00907416"/>
    <w:rsid w:val="00975F0F"/>
    <w:rsid w:val="00981285"/>
    <w:rsid w:val="0098248C"/>
    <w:rsid w:val="00994F41"/>
    <w:rsid w:val="009B17F1"/>
    <w:rsid w:val="009B4D7A"/>
    <w:rsid w:val="009B5368"/>
    <w:rsid w:val="009C0C37"/>
    <w:rsid w:val="009C3E56"/>
    <w:rsid w:val="009F04C8"/>
    <w:rsid w:val="00A00C54"/>
    <w:rsid w:val="00A81E86"/>
    <w:rsid w:val="00A94353"/>
    <w:rsid w:val="00AB077F"/>
    <w:rsid w:val="00AB554B"/>
    <w:rsid w:val="00AB74E8"/>
    <w:rsid w:val="00AC1D16"/>
    <w:rsid w:val="00AD4F8F"/>
    <w:rsid w:val="00AD5786"/>
    <w:rsid w:val="00AE352B"/>
    <w:rsid w:val="00AE5F34"/>
    <w:rsid w:val="00B0048E"/>
    <w:rsid w:val="00B10807"/>
    <w:rsid w:val="00B1527F"/>
    <w:rsid w:val="00B20921"/>
    <w:rsid w:val="00B277AF"/>
    <w:rsid w:val="00B60A46"/>
    <w:rsid w:val="00B64632"/>
    <w:rsid w:val="00B67F19"/>
    <w:rsid w:val="00B72981"/>
    <w:rsid w:val="00B7319E"/>
    <w:rsid w:val="00B831A3"/>
    <w:rsid w:val="00BA25DC"/>
    <w:rsid w:val="00BA3CD1"/>
    <w:rsid w:val="00BA4391"/>
    <w:rsid w:val="00BA523F"/>
    <w:rsid w:val="00BB77BC"/>
    <w:rsid w:val="00BC1887"/>
    <w:rsid w:val="00BC3E60"/>
    <w:rsid w:val="00BD3D13"/>
    <w:rsid w:val="00BE0C37"/>
    <w:rsid w:val="00C02985"/>
    <w:rsid w:val="00C033F1"/>
    <w:rsid w:val="00C144FA"/>
    <w:rsid w:val="00C161E3"/>
    <w:rsid w:val="00C168A7"/>
    <w:rsid w:val="00C43A14"/>
    <w:rsid w:val="00C613C9"/>
    <w:rsid w:val="00C752E8"/>
    <w:rsid w:val="00C95F0C"/>
    <w:rsid w:val="00CA1871"/>
    <w:rsid w:val="00CA21FC"/>
    <w:rsid w:val="00CA57A2"/>
    <w:rsid w:val="00CA7FFD"/>
    <w:rsid w:val="00CB5068"/>
    <w:rsid w:val="00CC7F8E"/>
    <w:rsid w:val="00CF25A3"/>
    <w:rsid w:val="00D002FA"/>
    <w:rsid w:val="00D03F91"/>
    <w:rsid w:val="00D12958"/>
    <w:rsid w:val="00D47187"/>
    <w:rsid w:val="00DB55F4"/>
    <w:rsid w:val="00DB7397"/>
    <w:rsid w:val="00DE45A9"/>
    <w:rsid w:val="00DF5985"/>
    <w:rsid w:val="00E151F6"/>
    <w:rsid w:val="00E16C28"/>
    <w:rsid w:val="00E23E82"/>
    <w:rsid w:val="00E276B3"/>
    <w:rsid w:val="00E35BF8"/>
    <w:rsid w:val="00E3600D"/>
    <w:rsid w:val="00E46AAE"/>
    <w:rsid w:val="00E841FB"/>
    <w:rsid w:val="00E857D9"/>
    <w:rsid w:val="00EA3F13"/>
    <w:rsid w:val="00EB3356"/>
    <w:rsid w:val="00EC2F85"/>
    <w:rsid w:val="00ED70A9"/>
    <w:rsid w:val="00EE1652"/>
    <w:rsid w:val="00EE2732"/>
    <w:rsid w:val="00EE4595"/>
    <w:rsid w:val="00EF4A1C"/>
    <w:rsid w:val="00EF7EC1"/>
    <w:rsid w:val="00F04773"/>
    <w:rsid w:val="00F15F86"/>
    <w:rsid w:val="00F221AC"/>
    <w:rsid w:val="00F2258B"/>
    <w:rsid w:val="00F34717"/>
    <w:rsid w:val="00F60465"/>
    <w:rsid w:val="00F72E62"/>
    <w:rsid w:val="00F76999"/>
    <w:rsid w:val="00F7738F"/>
    <w:rsid w:val="00F90460"/>
    <w:rsid w:val="00F92276"/>
    <w:rsid w:val="00F9463A"/>
    <w:rsid w:val="00FA602A"/>
    <w:rsid w:val="00FA7256"/>
    <w:rsid w:val="00FB0A6D"/>
    <w:rsid w:val="00FB2E1F"/>
    <w:rsid w:val="00FB77A1"/>
    <w:rsid w:val="00FB7F0D"/>
    <w:rsid w:val="00FC3507"/>
    <w:rsid w:val="00FE7C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5C75E0"/>
  <w15:chartTrackingRefBased/>
  <w15:docId w15:val="{E9AD290C-6DEA-4517-A3B9-4332828591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26F7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26F7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26F7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26F7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26F7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26F7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26F7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26F7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26F7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26F7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626F7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26F7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26F7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26F7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26F7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26F7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26F7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26F70"/>
    <w:rPr>
      <w:rFonts w:eastAsiaTheme="majorEastAsia" w:cstheme="majorBidi"/>
      <w:color w:val="272727" w:themeColor="text1" w:themeTint="D8"/>
    </w:rPr>
  </w:style>
  <w:style w:type="paragraph" w:styleId="Title">
    <w:name w:val="Title"/>
    <w:basedOn w:val="Normal"/>
    <w:next w:val="Normal"/>
    <w:link w:val="TitleChar"/>
    <w:uiPriority w:val="10"/>
    <w:qFormat/>
    <w:rsid w:val="00626F7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26F7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26F7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26F7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26F70"/>
    <w:pPr>
      <w:spacing w:before="160"/>
      <w:jc w:val="center"/>
    </w:pPr>
    <w:rPr>
      <w:i/>
      <w:iCs/>
      <w:color w:val="404040" w:themeColor="text1" w:themeTint="BF"/>
    </w:rPr>
  </w:style>
  <w:style w:type="character" w:customStyle="1" w:styleId="QuoteChar">
    <w:name w:val="Quote Char"/>
    <w:basedOn w:val="DefaultParagraphFont"/>
    <w:link w:val="Quote"/>
    <w:uiPriority w:val="29"/>
    <w:rsid w:val="00626F70"/>
    <w:rPr>
      <w:i/>
      <w:iCs/>
      <w:color w:val="404040" w:themeColor="text1" w:themeTint="BF"/>
    </w:rPr>
  </w:style>
  <w:style w:type="paragraph" w:styleId="ListParagraph">
    <w:name w:val="List Paragraph"/>
    <w:basedOn w:val="Normal"/>
    <w:uiPriority w:val="34"/>
    <w:qFormat/>
    <w:rsid w:val="00626F70"/>
    <w:pPr>
      <w:ind w:left="720"/>
      <w:contextualSpacing/>
    </w:pPr>
  </w:style>
  <w:style w:type="character" w:styleId="IntenseEmphasis">
    <w:name w:val="Intense Emphasis"/>
    <w:basedOn w:val="DefaultParagraphFont"/>
    <w:uiPriority w:val="21"/>
    <w:qFormat/>
    <w:rsid w:val="00626F70"/>
    <w:rPr>
      <w:i/>
      <w:iCs/>
      <w:color w:val="0F4761" w:themeColor="accent1" w:themeShade="BF"/>
    </w:rPr>
  </w:style>
  <w:style w:type="paragraph" w:styleId="IntenseQuote">
    <w:name w:val="Intense Quote"/>
    <w:basedOn w:val="Normal"/>
    <w:next w:val="Normal"/>
    <w:link w:val="IntenseQuoteChar"/>
    <w:uiPriority w:val="30"/>
    <w:qFormat/>
    <w:rsid w:val="00626F7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26F70"/>
    <w:rPr>
      <w:i/>
      <w:iCs/>
      <w:color w:val="0F4761" w:themeColor="accent1" w:themeShade="BF"/>
    </w:rPr>
  </w:style>
  <w:style w:type="character" w:styleId="IntenseReference">
    <w:name w:val="Intense Reference"/>
    <w:basedOn w:val="DefaultParagraphFont"/>
    <w:uiPriority w:val="32"/>
    <w:qFormat/>
    <w:rsid w:val="00626F70"/>
    <w:rPr>
      <w:b/>
      <w:bCs/>
      <w:smallCaps/>
      <w:color w:val="0F4761" w:themeColor="accent1" w:themeShade="BF"/>
      <w:spacing w:val="5"/>
    </w:rPr>
  </w:style>
  <w:style w:type="paragraph" w:styleId="TOCHeading">
    <w:name w:val="TOC Heading"/>
    <w:basedOn w:val="Heading1"/>
    <w:next w:val="Normal"/>
    <w:uiPriority w:val="39"/>
    <w:unhideWhenUsed/>
    <w:qFormat/>
    <w:rsid w:val="002B2171"/>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427D0A"/>
    <w:pPr>
      <w:spacing w:after="100"/>
    </w:pPr>
  </w:style>
  <w:style w:type="paragraph" w:styleId="TOC2">
    <w:name w:val="toc 2"/>
    <w:basedOn w:val="Normal"/>
    <w:next w:val="Normal"/>
    <w:autoRedefine/>
    <w:uiPriority w:val="39"/>
    <w:unhideWhenUsed/>
    <w:rsid w:val="00CF25A3"/>
    <w:pPr>
      <w:tabs>
        <w:tab w:val="right" w:leader="dot" w:pos="9016"/>
      </w:tabs>
      <w:spacing w:after="100"/>
      <w:ind w:left="240"/>
    </w:pPr>
    <w:rPr>
      <w:rFonts w:ascii="Arial" w:hAnsi="Arial" w:cs="Arial"/>
      <w:noProof/>
      <w:sz w:val="22"/>
      <w:szCs w:val="22"/>
    </w:rPr>
  </w:style>
  <w:style w:type="character" w:styleId="Hyperlink">
    <w:name w:val="Hyperlink"/>
    <w:basedOn w:val="DefaultParagraphFont"/>
    <w:uiPriority w:val="99"/>
    <w:unhideWhenUsed/>
    <w:rsid w:val="00427D0A"/>
    <w:rPr>
      <w:color w:val="467886" w:themeColor="hyperlink"/>
      <w:u w:val="single"/>
    </w:rPr>
  </w:style>
  <w:style w:type="paragraph" w:styleId="Header">
    <w:name w:val="header"/>
    <w:basedOn w:val="Normal"/>
    <w:link w:val="HeaderChar"/>
    <w:uiPriority w:val="99"/>
    <w:unhideWhenUsed/>
    <w:rsid w:val="00B0048E"/>
    <w:pPr>
      <w:tabs>
        <w:tab w:val="center" w:pos="4513"/>
        <w:tab w:val="right" w:pos="9026"/>
      </w:tabs>
      <w:spacing w:after="0" w:line="240" w:lineRule="auto"/>
    </w:pPr>
  </w:style>
  <w:style w:type="character" w:customStyle="1" w:styleId="HeaderChar">
    <w:name w:val="Header Char"/>
    <w:basedOn w:val="DefaultParagraphFont"/>
    <w:link w:val="Header"/>
    <w:uiPriority w:val="99"/>
    <w:rsid w:val="00B0048E"/>
  </w:style>
  <w:style w:type="paragraph" w:styleId="Footer">
    <w:name w:val="footer"/>
    <w:basedOn w:val="Normal"/>
    <w:link w:val="FooterChar"/>
    <w:uiPriority w:val="99"/>
    <w:unhideWhenUsed/>
    <w:rsid w:val="00B0048E"/>
    <w:pPr>
      <w:tabs>
        <w:tab w:val="center" w:pos="4513"/>
        <w:tab w:val="right" w:pos="9026"/>
      </w:tabs>
      <w:spacing w:after="0" w:line="240" w:lineRule="auto"/>
    </w:pPr>
  </w:style>
  <w:style w:type="character" w:customStyle="1" w:styleId="FooterChar">
    <w:name w:val="Footer Char"/>
    <w:basedOn w:val="DefaultParagraphFont"/>
    <w:link w:val="Footer"/>
    <w:uiPriority w:val="99"/>
    <w:rsid w:val="00B0048E"/>
  </w:style>
  <w:style w:type="paragraph" w:styleId="NormalWeb">
    <w:name w:val="Normal (Web)"/>
    <w:basedOn w:val="Normal"/>
    <w:uiPriority w:val="99"/>
    <w:semiHidden/>
    <w:unhideWhenUsed/>
    <w:rsid w:val="00FC3507"/>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5A82F62-E2A7-4274-81F4-042694E5E78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13188</TotalTime>
  <Pages>9</Pages>
  <Words>2082</Words>
  <Characters>11871</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Jenny Hermoso</dc:creator>
  <cp:keywords/>
  <dc:description/>
  <cp:lastModifiedBy>Jenny Hermoso</cp:lastModifiedBy>
  <cp:revision>234</cp:revision>
  <dcterms:created xsi:type="dcterms:W3CDTF">2026-03-26T21:20:00Z</dcterms:created>
  <dcterms:modified xsi:type="dcterms:W3CDTF">2026-04-18T22:01:00Z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f782815e-2385-41e3-b285-76c61682e640</vt:lpwstr>
  </property>
</Properties>
</file>