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5247D" w:rsidRDefault="0075247D" w:rsidP="0075247D">
      <w:bookmarkStart w:id="0" w:name="_Toc224915777"/>
      <w:r>
        <w:rPr>
          <w:noProof/>
          <w:lang w:eastAsia="en-GB"/>
        </w:rPr>
        <w:drawing>
          <wp:inline distT="0" distB="0" distL="0" distR="0" wp14:anchorId="1480CC07" wp14:editId="2C1FEDDA">
            <wp:extent cx="2526030" cy="1403350"/>
            <wp:effectExtent l="0" t="0" r="762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26030" cy="1403350"/>
                    </a:xfrm>
                    <a:prstGeom prst="rect">
                      <a:avLst/>
                    </a:prstGeom>
                  </pic:spPr>
                </pic:pic>
              </a:graphicData>
            </a:graphic>
          </wp:inline>
        </w:drawing>
      </w:r>
    </w:p>
    <w:p w:rsidR="0075247D" w:rsidRPr="0075247D" w:rsidRDefault="0075247D" w:rsidP="0075247D">
      <w:r w:rsidRPr="0075247D">
        <w:t xml:space="preserve">Student Name: </w:t>
      </w:r>
      <w:r>
        <w:tab/>
      </w:r>
      <w:r>
        <w:tab/>
      </w:r>
      <w:proofErr w:type="spellStart"/>
      <w:r w:rsidRPr="0075247D">
        <w:t>Aysha</w:t>
      </w:r>
      <w:proofErr w:type="spellEnd"/>
      <w:r w:rsidRPr="0075247D">
        <w:t xml:space="preserve"> Bi</w:t>
      </w:r>
    </w:p>
    <w:p w:rsidR="0075247D" w:rsidRPr="0075247D" w:rsidRDefault="0075247D" w:rsidP="0075247D">
      <w:r w:rsidRPr="0075247D">
        <w:t xml:space="preserve">Student ID: </w:t>
      </w:r>
      <w:r>
        <w:tab/>
      </w:r>
      <w:r>
        <w:tab/>
      </w:r>
      <w:r w:rsidRPr="0075247D">
        <w:t>2318967</w:t>
      </w:r>
    </w:p>
    <w:p w:rsidR="0075247D" w:rsidRPr="0075247D" w:rsidRDefault="0075247D" w:rsidP="0075247D">
      <w:r w:rsidRPr="0075247D">
        <w:t>Module Name:</w:t>
      </w:r>
      <w:r>
        <w:tab/>
      </w:r>
      <w:r>
        <w:tab/>
        <w:t>Psychopathological</w:t>
      </w:r>
      <w:r w:rsidRPr="0075247D">
        <w:t xml:space="preserve"> Classification and Provisions</w:t>
      </w:r>
    </w:p>
    <w:p w:rsidR="0075247D" w:rsidRPr="0075247D" w:rsidRDefault="0075247D" w:rsidP="0075247D">
      <w:r w:rsidRPr="0075247D">
        <w:t>Module Code:</w:t>
      </w:r>
      <w:r>
        <w:tab/>
      </w:r>
      <w:r>
        <w:tab/>
        <w:t>BMHP6029</w:t>
      </w:r>
    </w:p>
    <w:p w:rsidR="0075247D" w:rsidRPr="0075247D" w:rsidRDefault="0075247D" w:rsidP="0075247D">
      <w:pPr>
        <w:ind w:left="2160" w:hanging="2160"/>
      </w:pPr>
      <w:r w:rsidRPr="0075247D">
        <w:t>Ass</w:t>
      </w:r>
      <w:r>
        <w:t>ignment Title:</w:t>
      </w:r>
      <w:r>
        <w:tab/>
      </w:r>
      <w:r w:rsidRPr="0075247D">
        <w:t>Major Depressive Disorder: Classification, Diagnosis, Treatment and Contemporary Issues</w:t>
      </w:r>
    </w:p>
    <w:p w:rsidR="0075247D" w:rsidRDefault="0075247D" w:rsidP="0075247D">
      <w:pPr>
        <w:spacing w:before="100" w:beforeAutospacing="1" w:after="100" w:afterAutospacing="1" w:line="360" w:lineRule="auto"/>
        <w:jc w:val="both"/>
        <w:outlineLvl w:val="0"/>
        <w:rPr>
          <w:rFonts w:ascii="Arial" w:eastAsia="Times New Roman" w:hAnsi="Arial" w:cs="Arial"/>
          <w:b/>
          <w:bCs/>
          <w:kern w:val="36"/>
          <w:sz w:val="32"/>
          <w:u w:val="single"/>
        </w:rPr>
      </w:pPr>
    </w:p>
    <w:p w:rsidR="0075247D" w:rsidRDefault="0075247D" w:rsidP="0075247D">
      <w:pPr>
        <w:spacing w:before="100" w:beforeAutospacing="1" w:after="100" w:afterAutospacing="1" w:line="360" w:lineRule="auto"/>
        <w:jc w:val="both"/>
        <w:outlineLvl w:val="0"/>
        <w:rPr>
          <w:rFonts w:ascii="Arial" w:eastAsia="Times New Roman" w:hAnsi="Arial" w:cs="Arial"/>
          <w:b/>
          <w:bCs/>
          <w:kern w:val="36"/>
          <w:sz w:val="32"/>
          <w:u w:val="single"/>
        </w:rPr>
      </w:pPr>
    </w:p>
    <w:p w:rsidR="0075247D" w:rsidRDefault="0075247D" w:rsidP="00A67768">
      <w:pPr>
        <w:spacing w:before="100" w:beforeAutospacing="1" w:after="100" w:afterAutospacing="1" w:line="360" w:lineRule="auto"/>
        <w:jc w:val="center"/>
        <w:outlineLvl w:val="0"/>
        <w:rPr>
          <w:rFonts w:ascii="Arial" w:eastAsia="Times New Roman" w:hAnsi="Arial" w:cs="Arial"/>
          <w:b/>
          <w:bCs/>
          <w:kern w:val="36"/>
          <w:sz w:val="32"/>
          <w:u w:val="single"/>
        </w:rPr>
      </w:pPr>
    </w:p>
    <w:p w:rsidR="0075247D" w:rsidRDefault="0075247D" w:rsidP="00A67768">
      <w:pPr>
        <w:spacing w:before="100" w:beforeAutospacing="1" w:after="100" w:afterAutospacing="1" w:line="360" w:lineRule="auto"/>
        <w:jc w:val="center"/>
        <w:outlineLvl w:val="0"/>
        <w:rPr>
          <w:rFonts w:ascii="Arial" w:eastAsia="Times New Roman" w:hAnsi="Arial" w:cs="Arial"/>
          <w:b/>
          <w:bCs/>
          <w:kern w:val="36"/>
          <w:sz w:val="32"/>
          <w:u w:val="single"/>
        </w:rPr>
      </w:pPr>
    </w:p>
    <w:bookmarkEnd w:id="0"/>
    <w:p w:rsidR="00A024AF" w:rsidRPr="00A67768" w:rsidRDefault="00BD49F4" w:rsidP="00A67768">
      <w:pPr>
        <w:spacing w:line="360" w:lineRule="auto"/>
        <w:jc w:val="both"/>
        <w:rPr>
          <w:rFonts w:ascii="Arial" w:eastAsia="Times New Roman" w:hAnsi="Arial" w:cs="Arial"/>
          <w:b/>
          <w:bCs/>
        </w:rPr>
      </w:pPr>
      <w:r w:rsidRPr="00A67768">
        <w:rPr>
          <w:rFonts w:ascii="Arial" w:eastAsia="Times New Roman" w:hAnsi="Arial" w:cs="Arial"/>
          <w:b/>
          <w:bCs/>
        </w:rPr>
        <w:br w:type="page"/>
      </w:r>
    </w:p>
    <w:sdt>
      <w:sdtPr>
        <w:rPr>
          <w:rFonts w:asciiTheme="minorHAnsi" w:eastAsiaTheme="minorHAnsi" w:hAnsiTheme="minorHAnsi" w:cstheme="minorBidi"/>
          <w:color w:val="auto"/>
          <w:sz w:val="22"/>
          <w:szCs w:val="22"/>
        </w:rPr>
        <w:id w:val="936792631"/>
        <w:docPartObj>
          <w:docPartGallery w:val="Table of Contents"/>
          <w:docPartUnique/>
        </w:docPartObj>
      </w:sdtPr>
      <w:sdtEndPr>
        <w:rPr>
          <w:b/>
          <w:bCs/>
          <w:noProof/>
        </w:rPr>
      </w:sdtEndPr>
      <w:sdtContent>
        <w:p w:rsidR="0075247D" w:rsidRDefault="0075247D">
          <w:pPr>
            <w:pStyle w:val="TOCHeading"/>
          </w:pPr>
          <w:r>
            <w:t>Table of Contents</w:t>
          </w:r>
        </w:p>
        <w:p w:rsidR="0075247D" w:rsidRDefault="0075247D">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918574" w:history="1">
            <w:r w:rsidRPr="00105677">
              <w:rPr>
                <w:rStyle w:val="Hyperlink"/>
                <w:noProof/>
              </w:rPr>
              <w:t>1. Introduction</w:t>
            </w:r>
            <w:r>
              <w:rPr>
                <w:noProof/>
                <w:webHidden/>
              </w:rPr>
              <w:tab/>
            </w:r>
            <w:r>
              <w:rPr>
                <w:noProof/>
                <w:webHidden/>
              </w:rPr>
              <w:fldChar w:fldCharType="begin"/>
            </w:r>
            <w:r>
              <w:rPr>
                <w:noProof/>
                <w:webHidden/>
              </w:rPr>
              <w:instrText xml:space="preserve"> PAGEREF _Toc224918574 \h </w:instrText>
            </w:r>
            <w:r>
              <w:rPr>
                <w:noProof/>
                <w:webHidden/>
              </w:rPr>
            </w:r>
            <w:r>
              <w:rPr>
                <w:noProof/>
                <w:webHidden/>
              </w:rPr>
              <w:fldChar w:fldCharType="separate"/>
            </w:r>
            <w:r>
              <w:rPr>
                <w:noProof/>
                <w:webHidden/>
              </w:rPr>
              <w:t>3</w:t>
            </w:r>
            <w:r>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75" w:history="1">
            <w:r w:rsidR="0075247D" w:rsidRPr="00105677">
              <w:rPr>
                <w:rStyle w:val="Hyperlink"/>
                <w:noProof/>
              </w:rPr>
              <w:t>2. Classification and Diagnosis</w:t>
            </w:r>
            <w:r w:rsidR="0075247D">
              <w:rPr>
                <w:noProof/>
                <w:webHidden/>
              </w:rPr>
              <w:tab/>
            </w:r>
            <w:r w:rsidR="0075247D">
              <w:rPr>
                <w:noProof/>
                <w:webHidden/>
              </w:rPr>
              <w:fldChar w:fldCharType="begin"/>
            </w:r>
            <w:r w:rsidR="0075247D">
              <w:rPr>
                <w:noProof/>
                <w:webHidden/>
              </w:rPr>
              <w:instrText xml:space="preserve"> PAGEREF _Toc224918575 \h </w:instrText>
            </w:r>
            <w:r w:rsidR="0075247D">
              <w:rPr>
                <w:noProof/>
                <w:webHidden/>
              </w:rPr>
            </w:r>
            <w:r w:rsidR="0075247D">
              <w:rPr>
                <w:noProof/>
                <w:webHidden/>
              </w:rPr>
              <w:fldChar w:fldCharType="separate"/>
            </w:r>
            <w:r w:rsidR="0075247D">
              <w:rPr>
                <w:noProof/>
                <w:webHidden/>
              </w:rPr>
              <w:t>3</w:t>
            </w:r>
            <w:r w:rsidR="0075247D">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76" w:history="1">
            <w:r w:rsidR="0075247D" w:rsidRPr="00105677">
              <w:rPr>
                <w:rStyle w:val="Hyperlink"/>
                <w:noProof/>
              </w:rPr>
              <w:t>3. Treatment and Rehabilitation</w:t>
            </w:r>
            <w:r w:rsidR="0075247D">
              <w:rPr>
                <w:noProof/>
                <w:webHidden/>
              </w:rPr>
              <w:tab/>
            </w:r>
            <w:r w:rsidR="0075247D">
              <w:rPr>
                <w:noProof/>
                <w:webHidden/>
              </w:rPr>
              <w:fldChar w:fldCharType="begin"/>
            </w:r>
            <w:r w:rsidR="0075247D">
              <w:rPr>
                <w:noProof/>
                <w:webHidden/>
              </w:rPr>
              <w:instrText xml:space="preserve"> PAGEREF _Toc224918576 \h </w:instrText>
            </w:r>
            <w:r w:rsidR="0075247D">
              <w:rPr>
                <w:noProof/>
                <w:webHidden/>
              </w:rPr>
            </w:r>
            <w:r w:rsidR="0075247D">
              <w:rPr>
                <w:noProof/>
                <w:webHidden/>
              </w:rPr>
              <w:fldChar w:fldCharType="separate"/>
            </w:r>
            <w:r w:rsidR="0075247D">
              <w:rPr>
                <w:noProof/>
                <w:webHidden/>
              </w:rPr>
              <w:t>4</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77" w:history="1">
            <w:r w:rsidR="0075247D" w:rsidRPr="00105677">
              <w:rPr>
                <w:rStyle w:val="Hyperlink"/>
                <w:rFonts w:cs="Arial"/>
                <w:noProof/>
              </w:rPr>
              <w:t xml:space="preserve">3.1 Standard Treatment </w:t>
            </w:r>
            <w:r w:rsidR="0075247D" w:rsidRPr="00105677">
              <w:rPr>
                <w:rStyle w:val="Hyperlink"/>
                <w:noProof/>
              </w:rPr>
              <w:t>Approaches</w:t>
            </w:r>
            <w:r w:rsidR="0075247D">
              <w:rPr>
                <w:noProof/>
                <w:webHidden/>
              </w:rPr>
              <w:tab/>
            </w:r>
            <w:r w:rsidR="0075247D">
              <w:rPr>
                <w:noProof/>
                <w:webHidden/>
              </w:rPr>
              <w:fldChar w:fldCharType="begin"/>
            </w:r>
            <w:r w:rsidR="0075247D">
              <w:rPr>
                <w:noProof/>
                <w:webHidden/>
              </w:rPr>
              <w:instrText xml:space="preserve"> PAGEREF _Toc224918577 \h </w:instrText>
            </w:r>
            <w:r w:rsidR="0075247D">
              <w:rPr>
                <w:noProof/>
                <w:webHidden/>
              </w:rPr>
            </w:r>
            <w:r w:rsidR="0075247D">
              <w:rPr>
                <w:noProof/>
                <w:webHidden/>
              </w:rPr>
              <w:fldChar w:fldCharType="separate"/>
            </w:r>
            <w:r w:rsidR="0075247D">
              <w:rPr>
                <w:noProof/>
                <w:webHidden/>
              </w:rPr>
              <w:t>4</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78" w:history="1">
            <w:r w:rsidR="0075247D" w:rsidRPr="00105677">
              <w:rPr>
                <w:rStyle w:val="Hyperlink"/>
                <w:rFonts w:cs="Arial"/>
                <w:noProof/>
              </w:rPr>
              <w:t xml:space="preserve">3.2 </w:t>
            </w:r>
            <w:r w:rsidR="0075247D" w:rsidRPr="00105677">
              <w:rPr>
                <w:rStyle w:val="Hyperlink"/>
                <w:noProof/>
              </w:rPr>
              <w:t>Rehabilitation</w:t>
            </w:r>
            <w:r w:rsidR="0075247D" w:rsidRPr="00105677">
              <w:rPr>
                <w:rStyle w:val="Hyperlink"/>
                <w:rFonts w:cs="Arial"/>
                <w:noProof/>
              </w:rPr>
              <w:t xml:space="preserve"> Approaches</w:t>
            </w:r>
            <w:r w:rsidR="0075247D">
              <w:rPr>
                <w:noProof/>
                <w:webHidden/>
              </w:rPr>
              <w:tab/>
            </w:r>
            <w:r w:rsidR="0075247D">
              <w:rPr>
                <w:noProof/>
                <w:webHidden/>
              </w:rPr>
              <w:fldChar w:fldCharType="begin"/>
            </w:r>
            <w:r w:rsidR="0075247D">
              <w:rPr>
                <w:noProof/>
                <w:webHidden/>
              </w:rPr>
              <w:instrText xml:space="preserve"> PAGEREF _Toc224918578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79" w:history="1">
            <w:r w:rsidR="0075247D" w:rsidRPr="00105677">
              <w:rPr>
                <w:rStyle w:val="Hyperlink"/>
                <w:rFonts w:cs="Arial"/>
                <w:noProof/>
              </w:rPr>
              <w:t xml:space="preserve">3.3 </w:t>
            </w:r>
            <w:r w:rsidR="0075247D" w:rsidRPr="00105677">
              <w:rPr>
                <w:rStyle w:val="Hyperlink"/>
                <w:noProof/>
              </w:rPr>
              <w:t>Effectiveness</w:t>
            </w:r>
            <w:r w:rsidR="0075247D" w:rsidRPr="00105677">
              <w:rPr>
                <w:rStyle w:val="Hyperlink"/>
                <w:rFonts w:cs="Arial"/>
                <w:noProof/>
              </w:rPr>
              <w:t xml:space="preserve"> and Limitations</w:t>
            </w:r>
            <w:r w:rsidR="0075247D">
              <w:rPr>
                <w:noProof/>
                <w:webHidden/>
              </w:rPr>
              <w:tab/>
            </w:r>
            <w:r w:rsidR="0075247D">
              <w:rPr>
                <w:noProof/>
                <w:webHidden/>
              </w:rPr>
              <w:fldChar w:fldCharType="begin"/>
            </w:r>
            <w:r w:rsidR="0075247D">
              <w:rPr>
                <w:noProof/>
                <w:webHidden/>
              </w:rPr>
              <w:instrText xml:space="preserve"> PAGEREF _Toc224918579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0" w:history="1">
            <w:r w:rsidR="0075247D" w:rsidRPr="00105677">
              <w:rPr>
                <w:rStyle w:val="Hyperlink"/>
                <w:rFonts w:cs="Arial"/>
                <w:noProof/>
              </w:rPr>
              <w:t>3.4 International Comparison</w:t>
            </w:r>
            <w:r w:rsidR="0075247D">
              <w:rPr>
                <w:noProof/>
                <w:webHidden/>
              </w:rPr>
              <w:tab/>
            </w:r>
            <w:r w:rsidR="0075247D">
              <w:rPr>
                <w:noProof/>
                <w:webHidden/>
              </w:rPr>
              <w:fldChar w:fldCharType="begin"/>
            </w:r>
            <w:r w:rsidR="0075247D">
              <w:rPr>
                <w:noProof/>
                <w:webHidden/>
              </w:rPr>
              <w:instrText xml:space="preserve"> PAGEREF _Toc224918580 \h </w:instrText>
            </w:r>
            <w:r w:rsidR="0075247D">
              <w:rPr>
                <w:noProof/>
                <w:webHidden/>
              </w:rPr>
            </w:r>
            <w:r w:rsidR="0075247D">
              <w:rPr>
                <w:noProof/>
                <w:webHidden/>
              </w:rPr>
              <w:fldChar w:fldCharType="separate"/>
            </w:r>
            <w:r w:rsidR="0075247D">
              <w:rPr>
                <w:noProof/>
                <w:webHidden/>
              </w:rPr>
              <w:t>5</w:t>
            </w:r>
            <w:r w:rsidR="0075247D">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81" w:history="1">
            <w:r w:rsidR="0075247D" w:rsidRPr="00105677">
              <w:rPr>
                <w:rStyle w:val="Hyperlink"/>
                <w:noProof/>
              </w:rPr>
              <w:t>4. Current Debates and Emerging Issues</w:t>
            </w:r>
            <w:r w:rsidR="0075247D">
              <w:rPr>
                <w:noProof/>
                <w:webHidden/>
              </w:rPr>
              <w:tab/>
            </w:r>
            <w:r w:rsidR="0075247D">
              <w:rPr>
                <w:noProof/>
                <w:webHidden/>
              </w:rPr>
              <w:fldChar w:fldCharType="begin"/>
            </w:r>
            <w:r w:rsidR="0075247D">
              <w:rPr>
                <w:noProof/>
                <w:webHidden/>
              </w:rPr>
              <w:instrText xml:space="preserve"> PAGEREF _Toc224918581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2" w:history="1">
            <w:r w:rsidR="0075247D" w:rsidRPr="00105677">
              <w:rPr>
                <w:rStyle w:val="Hyperlink"/>
                <w:rFonts w:cs="Arial"/>
                <w:noProof/>
              </w:rPr>
              <w:t>4.1 Overdiagnosis and Medicalisation</w:t>
            </w:r>
            <w:r w:rsidR="0075247D">
              <w:rPr>
                <w:noProof/>
                <w:webHidden/>
              </w:rPr>
              <w:tab/>
            </w:r>
            <w:r w:rsidR="0075247D">
              <w:rPr>
                <w:noProof/>
                <w:webHidden/>
              </w:rPr>
              <w:fldChar w:fldCharType="begin"/>
            </w:r>
            <w:r w:rsidR="0075247D">
              <w:rPr>
                <w:noProof/>
                <w:webHidden/>
              </w:rPr>
              <w:instrText xml:space="preserve"> PAGEREF _Toc224918582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3" w:history="1">
            <w:r w:rsidR="0075247D" w:rsidRPr="00105677">
              <w:rPr>
                <w:rStyle w:val="Hyperlink"/>
                <w:rFonts w:cs="Arial"/>
                <w:noProof/>
              </w:rPr>
              <w:t>4.2 Neurodivergence and Reclassification</w:t>
            </w:r>
            <w:r w:rsidR="0075247D">
              <w:rPr>
                <w:noProof/>
                <w:webHidden/>
              </w:rPr>
              <w:tab/>
            </w:r>
            <w:r w:rsidR="0075247D">
              <w:rPr>
                <w:noProof/>
                <w:webHidden/>
              </w:rPr>
              <w:fldChar w:fldCharType="begin"/>
            </w:r>
            <w:r w:rsidR="0075247D">
              <w:rPr>
                <w:noProof/>
                <w:webHidden/>
              </w:rPr>
              <w:instrText xml:space="preserve"> PAGEREF _Toc224918583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4" w:history="1">
            <w:r w:rsidR="0075247D" w:rsidRPr="00105677">
              <w:rPr>
                <w:rStyle w:val="Hyperlink"/>
                <w:rFonts w:cs="Arial"/>
                <w:noProof/>
              </w:rPr>
              <w:t>4.3 Impact of Changing Diagnostic Criteria</w:t>
            </w:r>
            <w:r w:rsidR="0075247D">
              <w:rPr>
                <w:noProof/>
                <w:webHidden/>
              </w:rPr>
              <w:tab/>
            </w:r>
            <w:r w:rsidR="0075247D">
              <w:rPr>
                <w:noProof/>
                <w:webHidden/>
              </w:rPr>
              <w:fldChar w:fldCharType="begin"/>
            </w:r>
            <w:r w:rsidR="0075247D">
              <w:rPr>
                <w:noProof/>
                <w:webHidden/>
              </w:rPr>
              <w:instrText xml:space="preserve"> PAGEREF _Toc224918584 \h </w:instrText>
            </w:r>
            <w:r w:rsidR="0075247D">
              <w:rPr>
                <w:noProof/>
                <w:webHidden/>
              </w:rPr>
            </w:r>
            <w:r w:rsidR="0075247D">
              <w:rPr>
                <w:noProof/>
                <w:webHidden/>
              </w:rPr>
              <w:fldChar w:fldCharType="separate"/>
            </w:r>
            <w:r w:rsidR="0075247D">
              <w:rPr>
                <w:noProof/>
                <w:webHidden/>
              </w:rPr>
              <w:t>6</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5" w:history="1">
            <w:r w:rsidR="0075247D" w:rsidRPr="00105677">
              <w:rPr>
                <w:rStyle w:val="Hyperlink"/>
                <w:rFonts w:cs="Arial"/>
                <w:noProof/>
              </w:rPr>
              <w:t>4.4 UK Policy and Legal Framework</w:t>
            </w:r>
            <w:r w:rsidR="0075247D">
              <w:rPr>
                <w:noProof/>
                <w:webHidden/>
              </w:rPr>
              <w:tab/>
            </w:r>
            <w:r w:rsidR="0075247D">
              <w:rPr>
                <w:noProof/>
                <w:webHidden/>
              </w:rPr>
              <w:fldChar w:fldCharType="begin"/>
            </w:r>
            <w:r w:rsidR="0075247D">
              <w:rPr>
                <w:noProof/>
                <w:webHidden/>
              </w:rPr>
              <w:instrText xml:space="preserve"> PAGEREF _Toc224918585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351B47">
          <w:pPr>
            <w:pStyle w:val="TOC2"/>
            <w:tabs>
              <w:tab w:val="right" w:leader="dot" w:pos="9350"/>
            </w:tabs>
            <w:rPr>
              <w:rFonts w:eastAsiaTheme="minorEastAsia"/>
              <w:noProof/>
              <w:lang w:eastAsia="en-GB"/>
            </w:rPr>
          </w:pPr>
          <w:hyperlink w:anchor="_Toc224918586" w:history="1">
            <w:r w:rsidR="0075247D" w:rsidRPr="00105677">
              <w:rPr>
                <w:rStyle w:val="Hyperlink"/>
                <w:rFonts w:cs="Arial"/>
                <w:noProof/>
              </w:rPr>
              <w:t>4.5 Social and Cultural Influences</w:t>
            </w:r>
            <w:r w:rsidR="0075247D">
              <w:rPr>
                <w:noProof/>
                <w:webHidden/>
              </w:rPr>
              <w:tab/>
            </w:r>
            <w:r w:rsidR="0075247D">
              <w:rPr>
                <w:noProof/>
                <w:webHidden/>
              </w:rPr>
              <w:fldChar w:fldCharType="begin"/>
            </w:r>
            <w:r w:rsidR="0075247D">
              <w:rPr>
                <w:noProof/>
                <w:webHidden/>
              </w:rPr>
              <w:instrText xml:space="preserve"> PAGEREF _Toc224918586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87" w:history="1">
            <w:r w:rsidR="0075247D" w:rsidRPr="00105677">
              <w:rPr>
                <w:rStyle w:val="Hyperlink"/>
                <w:noProof/>
              </w:rPr>
              <w:t>5. Recommendations</w:t>
            </w:r>
            <w:r w:rsidR="0075247D">
              <w:rPr>
                <w:noProof/>
                <w:webHidden/>
              </w:rPr>
              <w:tab/>
            </w:r>
            <w:r w:rsidR="0075247D">
              <w:rPr>
                <w:noProof/>
                <w:webHidden/>
              </w:rPr>
              <w:fldChar w:fldCharType="begin"/>
            </w:r>
            <w:r w:rsidR="0075247D">
              <w:rPr>
                <w:noProof/>
                <w:webHidden/>
              </w:rPr>
              <w:instrText xml:space="preserve"> PAGEREF _Toc224918587 \h </w:instrText>
            </w:r>
            <w:r w:rsidR="0075247D">
              <w:rPr>
                <w:noProof/>
                <w:webHidden/>
              </w:rPr>
            </w:r>
            <w:r w:rsidR="0075247D">
              <w:rPr>
                <w:noProof/>
                <w:webHidden/>
              </w:rPr>
              <w:fldChar w:fldCharType="separate"/>
            </w:r>
            <w:r w:rsidR="0075247D">
              <w:rPr>
                <w:noProof/>
                <w:webHidden/>
              </w:rPr>
              <w:t>7</w:t>
            </w:r>
            <w:r w:rsidR="0075247D">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88" w:history="1">
            <w:r w:rsidR="0075247D" w:rsidRPr="00105677">
              <w:rPr>
                <w:rStyle w:val="Hyperlink"/>
                <w:noProof/>
              </w:rPr>
              <w:t>6. Conclusion</w:t>
            </w:r>
            <w:r w:rsidR="0075247D">
              <w:rPr>
                <w:noProof/>
                <w:webHidden/>
              </w:rPr>
              <w:tab/>
            </w:r>
            <w:r w:rsidR="0075247D">
              <w:rPr>
                <w:noProof/>
                <w:webHidden/>
              </w:rPr>
              <w:fldChar w:fldCharType="begin"/>
            </w:r>
            <w:r w:rsidR="0075247D">
              <w:rPr>
                <w:noProof/>
                <w:webHidden/>
              </w:rPr>
              <w:instrText xml:space="preserve"> PAGEREF _Toc224918588 \h </w:instrText>
            </w:r>
            <w:r w:rsidR="0075247D">
              <w:rPr>
                <w:noProof/>
                <w:webHidden/>
              </w:rPr>
            </w:r>
            <w:r w:rsidR="0075247D">
              <w:rPr>
                <w:noProof/>
                <w:webHidden/>
              </w:rPr>
              <w:fldChar w:fldCharType="separate"/>
            </w:r>
            <w:r w:rsidR="0075247D">
              <w:rPr>
                <w:noProof/>
                <w:webHidden/>
              </w:rPr>
              <w:t>8</w:t>
            </w:r>
            <w:r w:rsidR="0075247D">
              <w:rPr>
                <w:noProof/>
                <w:webHidden/>
              </w:rPr>
              <w:fldChar w:fldCharType="end"/>
            </w:r>
          </w:hyperlink>
        </w:p>
        <w:p w:rsidR="0075247D" w:rsidRDefault="00351B47">
          <w:pPr>
            <w:pStyle w:val="TOC1"/>
            <w:tabs>
              <w:tab w:val="right" w:leader="dot" w:pos="9350"/>
            </w:tabs>
            <w:rPr>
              <w:rFonts w:eastAsiaTheme="minorEastAsia"/>
              <w:noProof/>
              <w:lang w:eastAsia="en-GB"/>
            </w:rPr>
          </w:pPr>
          <w:hyperlink w:anchor="_Toc224918589" w:history="1">
            <w:r w:rsidR="0075247D" w:rsidRPr="00105677">
              <w:rPr>
                <w:rStyle w:val="Hyperlink"/>
                <w:rFonts w:cs="Arial"/>
                <w:noProof/>
              </w:rPr>
              <w:t>References</w:t>
            </w:r>
            <w:r w:rsidR="0075247D">
              <w:rPr>
                <w:noProof/>
                <w:webHidden/>
              </w:rPr>
              <w:tab/>
            </w:r>
            <w:r w:rsidR="0075247D">
              <w:rPr>
                <w:noProof/>
                <w:webHidden/>
              </w:rPr>
              <w:fldChar w:fldCharType="begin"/>
            </w:r>
            <w:r w:rsidR="0075247D">
              <w:rPr>
                <w:noProof/>
                <w:webHidden/>
              </w:rPr>
              <w:instrText xml:space="preserve"> PAGEREF _Toc224918589 \h </w:instrText>
            </w:r>
            <w:r w:rsidR="0075247D">
              <w:rPr>
                <w:noProof/>
                <w:webHidden/>
              </w:rPr>
            </w:r>
            <w:r w:rsidR="0075247D">
              <w:rPr>
                <w:noProof/>
                <w:webHidden/>
              </w:rPr>
              <w:fldChar w:fldCharType="separate"/>
            </w:r>
            <w:r w:rsidR="0075247D">
              <w:rPr>
                <w:noProof/>
                <w:webHidden/>
              </w:rPr>
              <w:t>9</w:t>
            </w:r>
            <w:r w:rsidR="0075247D">
              <w:rPr>
                <w:noProof/>
                <w:webHidden/>
              </w:rPr>
              <w:fldChar w:fldCharType="end"/>
            </w:r>
          </w:hyperlink>
        </w:p>
        <w:p w:rsidR="0075247D" w:rsidRDefault="0075247D">
          <w:r>
            <w:rPr>
              <w:b/>
              <w:bCs/>
              <w:noProof/>
            </w:rPr>
            <w:fldChar w:fldCharType="end"/>
          </w:r>
        </w:p>
      </w:sdtContent>
    </w:sdt>
    <w:p w:rsidR="00BD49F4" w:rsidRPr="00A67768" w:rsidRDefault="00A67768" w:rsidP="00A67768">
      <w:pPr>
        <w:spacing w:line="360" w:lineRule="auto"/>
        <w:jc w:val="both"/>
        <w:rPr>
          <w:rFonts w:ascii="Arial" w:eastAsia="Times New Roman" w:hAnsi="Arial" w:cs="Arial"/>
          <w:b/>
          <w:bCs/>
        </w:rPr>
      </w:pPr>
      <w:r w:rsidRPr="00A67768">
        <w:rPr>
          <w:rFonts w:ascii="Arial" w:eastAsia="Times New Roman" w:hAnsi="Arial" w:cs="Arial"/>
          <w:b/>
          <w:bCs/>
        </w:rPr>
        <w:br w:type="page"/>
      </w:r>
    </w:p>
    <w:p w:rsidR="00BD49F4" w:rsidRPr="00BD49F4" w:rsidRDefault="00BD49F4" w:rsidP="00FC19C0">
      <w:pPr>
        <w:pStyle w:val="Heading1"/>
      </w:pPr>
      <w:bookmarkStart w:id="1" w:name="_Toc224915778"/>
      <w:bookmarkStart w:id="2" w:name="_Toc224918574"/>
      <w:r w:rsidRPr="00A67768">
        <w:lastRenderedPageBreak/>
        <w:t>1. Introduction</w:t>
      </w:r>
      <w:bookmarkEnd w:id="1"/>
      <w:bookmarkEnd w:id="2"/>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Mental health disorders are a major public health </w:t>
      </w:r>
      <w:r w:rsidR="00236A2A">
        <w:rPr>
          <w:rFonts w:ascii="Arial" w:eastAsia="Times New Roman" w:hAnsi="Arial" w:cs="Arial"/>
        </w:rPr>
        <w:t>global issue</w:t>
      </w:r>
      <w:r w:rsidRPr="00BD49F4">
        <w:rPr>
          <w:rFonts w:ascii="Arial" w:eastAsia="Times New Roman" w:hAnsi="Arial" w:cs="Arial"/>
        </w:rPr>
        <w:t xml:space="preserve">, including in the United Kingdom. One of the most common and serious conditions is </w:t>
      </w:r>
      <w:r w:rsidRPr="00A67768">
        <w:rPr>
          <w:rFonts w:ascii="Arial" w:eastAsia="Times New Roman" w:hAnsi="Arial" w:cs="Arial"/>
          <w:bCs/>
        </w:rPr>
        <w:t>Major Depressive Disorder (MDD)</w:t>
      </w:r>
      <w:r w:rsidRPr="00BD49F4">
        <w:rPr>
          <w:rFonts w:ascii="Arial" w:eastAsia="Times New Roman" w:hAnsi="Arial" w:cs="Arial"/>
        </w:rPr>
        <w:t xml:space="preserve">, which is classified in the ICD-11 as a </w:t>
      </w:r>
      <w:r w:rsidRPr="00A67768">
        <w:rPr>
          <w:rFonts w:ascii="Arial" w:eastAsia="Times New Roman" w:hAnsi="Arial" w:cs="Arial"/>
          <w:bCs/>
        </w:rPr>
        <w:t>Depressive Episode</w:t>
      </w:r>
      <w:r w:rsidRPr="00BD49F4">
        <w:rPr>
          <w:rFonts w:ascii="Arial" w:eastAsia="Times New Roman" w:hAnsi="Arial" w:cs="Arial"/>
        </w:rPr>
        <w:t xml:space="preserve">. This disorder affects millions of people each year and can have a strong impact on daily life. People with depression may struggle with constant sadness, low energy, and a loss of interest in activities they once enjoyed. According to data from the NHS, depression is one of the leading causes of disability in the UK. It not only affects individuals’ quality of life but also increases </w:t>
      </w:r>
      <w:r w:rsidR="00FC19C0">
        <w:rPr>
          <w:rFonts w:ascii="Arial" w:eastAsia="Times New Roman" w:hAnsi="Arial" w:cs="Arial"/>
        </w:rPr>
        <w:t>healthcare service utilisation</w:t>
      </w:r>
      <w:r w:rsidRPr="00BD49F4">
        <w:rPr>
          <w:rFonts w:ascii="Arial" w:eastAsia="Times New Roman" w:hAnsi="Arial" w:cs="Arial"/>
        </w:rPr>
        <w:t xml:space="preserve"> and creates economi</w:t>
      </w:r>
      <w:r w:rsidR="00FC19C0">
        <w:rPr>
          <w:rFonts w:ascii="Arial" w:eastAsia="Times New Roman" w:hAnsi="Arial" w:cs="Arial"/>
        </w:rPr>
        <w:t>c challenges for society</w:t>
      </w:r>
      <w:r w:rsidR="00A67768">
        <w:rPr>
          <w:rFonts w:ascii="Arial" w:eastAsia="Times New Roman" w:hAnsi="Arial" w:cs="Arial"/>
        </w:rPr>
        <w:t xml:space="preserve"> </w:t>
      </w:r>
      <w:r w:rsidR="00FC19C0">
        <w:rPr>
          <w:rFonts w:ascii="Arial" w:eastAsia="Times New Roman" w:hAnsi="Arial" w:cs="Arial"/>
          <w:noProof/>
        </w:rPr>
        <w:t>(NICE</w:t>
      </w:r>
      <w:r w:rsidR="00FC19C0" w:rsidRPr="00A67768">
        <w:rPr>
          <w:rFonts w:ascii="Arial" w:eastAsia="Times New Roman" w:hAnsi="Arial" w:cs="Arial"/>
          <w:noProof/>
        </w:rPr>
        <w:t>, 2022)</w:t>
      </w:r>
      <w:r w:rsidR="00FC19C0">
        <w:rPr>
          <w:rFonts w:ascii="Arial" w:eastAsia="Times New Roman" w:hAnsi="Arial" w:cs="Arial"/>
          <w:noProof/>
        </w:rPr>
        <w:t>.</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This disorder has been chosen for this report because it is very common and affects people of all ages, backgrounds, and lifestyles. It is also complex to diagnose, as symptoms can vary from person to person and may overlap with other mental health conditions. In addition, there are ongoing debates about how depression should be classified and treated. Some experts believe it is </w:t>
      </w:r>
      <w:r w:rsidR="00FC19C0">
        <w:rPr>
          <w:rFonts w:ascii="Arial" w:eastAsia="Times New Roman" w:hAnsi="Arial" w:cs="Arial"/>
        </w:rPr>
        <w:t>over-diagnosed</w:t>
      </w:r>
      <w:r w:rsidRPr="00BD49F4">
        <w:rPr>
          <w:rFonts w:ascii="Arial" w:eastAsia="Times New Roman" w:hAnsi="Arial" w:cs="Arial"/>
        </w:rPr>
        <w:t>, while others argue that many people still do not receive the help they need. The number of depression cases has also increased in recent years, especially after the COVID-19 pandemic, making it an important and timely topic to study.</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This report will examine Major Depressive Disorder using the ICD-11 framework. It will first explain how the condition is classified and diagnosed. Then, it will discuss the different treatment and rehabilitation methods used to support individuals. The report will also explore current debates, such as </w:t>
      </w:r>
      <w:r w:rsidR="00FC19C0">
        <w:rPr>
          <w:rFonts w:ascii="Arial" w:eastAsia="Times New Roman" w:hAnsi="Arial" w:cs="Arial"/>
        </w:rPr>
        <w:t>medicalisation</w:t>
      </w:r>
      <w:r w:rsidRPr="00BD49F4">
        <w:rPr>
          <w:rFonts w:ascii="Arial" w:eastAsia="Times New Roman" w:hAnsi="Arial" w:cs="Arial"/>
        </w:rPr>
        <w:t xml:space="preserve">, neurodiversity, and the influence of UK policies. Finally, it will provide </w:t>
      </w:r>
      <w:r w:rsidR="00FC19C0">
        <w:rPr>
          <w:rFonts w:ascii="Arial" w:eastAsia="Times New Roman" w:hAnsi="Arial" w:cs="Arial"/>
        </w:rPr>
        <w:t>research-based recommendations</w:t>
      </w:r>
      <w:r w:rsidRPr="00BD49F4">
        <w:rPr>
          <w:rFonts w:ascii="Arial" w:eastAsia="Times New Roman" w:hAnsi="Arial" w:cs="Arial"/>
        </w:rPr>
        <w:t xml:space="preserve"> to impro</w:t>
      </w:r>
      <w:r w:rsidR="00FC19C0">
        <w:rPr>
          <w:rFonts w:ascii="Arial" w:eastAsia="Times New Roman" w:hAnsi="Arial" w:cs="Arial"/>
        </w:rPr>
        <w:t xml:space="preserve">ve mental health care in the UK </w:t>
      </w:r>
      <w:r w:rsidR="00FC19C0">
        <w:rPr>
          <w:rFonts w:ascii="Arial" w:eastAsia="Times New Roman" w:hAnsi="Arial" w:cs="Arial"/>
          <w:noProof/>
        </w:rPr>
        <w:t>(NICE</w:t>
      </w:r>
      <w:r w:rsidR="00FC19C0" w:rsidRPr="00A67768">
        <w:rPr>
          <w:rFonts w:ascii="Arial" w:eastAsia="Times New Roman" w:hAnsi="Arial" w:cs="Arial"/>
          <w:noProof/>
        </w:rPr>
        <w:t>, 2022)</w:t>
      </w:r>
      <w:r w:rsidR="00FC19C0">
        <w:rPr>
          <w:rFonts w:ascii="Arial" w:eastAsia="Times New Roman" w:hAnsi="Arial" w:cs="Arial"/>
          <w:noProof/>
        </w:rPr>
        <w:t>.</w:t>
      </w:r>
    </w:p>
    <w:p w:rsidR="00BD49F4" w:rsidRPr="00BD49F4" w:rsidRDefault="00BD49F4" w:rsidP="00A67768">
      <w:pPr>
        <w:pStyle w:val="Heading1"/>
      </w:pPr>
      <w:bookmarkStart w:id="3" w:name="_Toc224915779"/>
      <w:bookmarkStart w:id="4" w:name="_Toc224918575"/>
      <w:r w:rsidRPr="00A67768">
        <w:t>2. Classification and Diagnosis</w:t>
      </w:r>
      <w:bookmarkEnd w:id="3"/>
      <w:bookmarkEnd w:id="4"/>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ICD-11 (Chapter 6: Mental, </w:t>
      </w:r>
      <w:r w:rsidR="00FC19C0">
        <w:rPr>
          <w:rFonts w:ascii="Arial" w:hAnsi="Arial" w:cs="Arial"/>
          <w:sz w:val="22"/>
          <w:szCs w:val="22"/>
        </w:rPr>
        <w:t>Behavioural</w:t>
      </w:r>
      <w:r w:rsidRPr="00A67768">
        <w:rPr>
          <w:rFonts w:ascii="Arial" w:hAnsi="Arial" w:cs="Arial"/>
          <w:sz w:val="22"/>
          <w:szCs w:val="22"/>
        </w:rPr>
        <w:t xml:space="preserve"> or Neurodevelopmental Disorders), depression is classified as a depressive disorder under two main categories. These are </w:t>
      </w:r>
      <w:r w:rsidRPr="00A67768">
        <w:rPr>
          <w:rFonts w:ascii="Arial" w:hAnsi="Arial" w:cs="Arial"/>
          <w:bCs/>
          <w:sz w:val="22"/>
          <w:szCs w:val="22"/>
        </w:rPr>
        <w:t>Code 6A70 – Single Episode Depressive Disorder</w:t>
      </w:r>
      <w:r w:rsidRPr="00A67768">
        <w:rPr>
          <w:rFonts w:ascii="Arial" w:hAnsi="Arial" w:cs="Arial"/>
          <w:sz w:val="22"/>
          <w:szCs w:val="22"/>
        </w:rPr>
        <w:t xml:space="preserve">, which refers to a person experiencing depression for the first time, and </w:t>
      </w:r>
      <w:r w:rsidRPr="00A67768">
        <w:rPr>
          <w:rFonts w:ascii="Arial" w:hAnsi="Arial" w:cs="Arial"/>
          <w:bCs/>
          <w:sz w:val="22"/>
          <w:szCs w:val="22"/>
        </w:rPr>
        <w:t>Code 6A71 – Recurrent Depressive Disorder</w:t>
      </w:r>
      <w:r w:rsidRPr="00A67768">
        <w:rPr>
          <w:rFonts w:ascii="Arial" w:hAnsi="Arial" w:cs="Arial"/>
          <w:sz w:val="22"/>
          <w:szCs w:val="22"/>
        </w:rPr>
        <w:t>, which is used when a person has repeated episodes of depression over time. This classification helps healthcare professionals understand the pattern of the illness and decide the most suitable treatment.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ICD-11 also classifies depression based on how severe the symptoms are. It can be described as mild, moderate, or severe. In severe cases, a person may also experience psychotic symptoms </w:t>
      </w:r>
      <w:r w:rsidRPr="00A67768">
        <w:rPr>
          <w:rFonts w:ascii="Arial" w:hAnsi="Arial" w:cs="Arial"/>
          <w:sz w:val="22"/>
          <w:szCs w:val="22"/>
        </w:rPr>
        <w:lastRenderedPageBreak/>
        <w:t>such as hallucinations or delusions. This system focuses on three important aspects: how long the symptoms last, how intense they are, and how much they affect a person’s daily life, such as wor</w:t>
      </w:r>
      <w:r w:rsidR="00E57E1B">
        <w:rPr>
          <w:rFonts w:ascii="Arial" w:hAnsi="Arial" w:cs="Arial"/>
          <w:sz w:val="22"/>
          <w:szCs w:val="22"/>
        </w:rPr>
        <w:t>k, relationships, and self-care</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To diagnose depression, ICD-11 states that a person must experience key symptoms such as persistent sadness, loss of interest in activities (also called anhedonia), and low energy or fatigue. In addition, they may have other symptoms like changes in sleep or appetite, feelings of worthlessness, difficulty concentrating, or thoughts of self-harm. These symptoms must last for at least two weeks and must significantly affect the person’s ability to function normally.</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Doctors usually diagnose depression through clinical interviews, where they talk to the patient about their feelings and experiences. They may also use structured tools</w:t>
      </w:r>
      <w:r w:rsidR="00E57E1B">
        <w:rPr>
          <w:rFonts w:ascii="Arial" w:hAnsi="Arial" w:cs="Arial"/>
          <w:sz w:val="22"/>
          <w:szCs w:val="22"/>
        </w:rPr>
        <w:t>, such as the PHQ-9 questionnaire, especially in NHS settings, alongside</w:t>
      </w:r>
      <w:r w:rsidRPr="00A67768">
        <w:rPr>
          <w:rFonts w:ascii="Arial" w:hAnsi="Arial" w:cs="Arial"/>
          <w:sz w:val="22"/>
          <w:szCs w:val="22"/>
        </w:rPr>
        <w:t xml:space="preserve"> observing </w:t>
      </w:r>
      <w:r w:rsidR="00A67768" w:rsidRPr="00A67768">
        <w:rPr>
          <w:rFonts w:ascii="Arial" w:hAnsi="Arial" w:cs="Arial"/>
          <w:sz w:val="22"/>
          <w:szCs w:val="22"/>
        </w:rPr>
        <w:t>behavio</w:t>
      </w:r>
      <w:r w:rsidR="00E57E1B">
        <w:rPr>
          <w:rFonts w:ascii="Arial" w:hAnsi="Arial" w:cs="Arial"/>
          <w:sz w:val="22"/>
          <w:szCs w:val="22"/>
        </w:rPr>
        <w:t>u</w:t>
      </w:r>
      <w:r w:rsidR="00A67768" w:rsidRPr="00A67768">
        <w:rPr>
          <w:rFonts w:ascii="Arial" w:hAnsi="Arial" w:cs="Arial"/>
          <w:sz w:val="22"/>
          <w:szCs w:val="22"/>
        </w:rPr>
        <w:t>r</w:t>
      </w:r>
      <w:r w:rsidRPr="00A67768">
        <w:rPr>
          <w:rFonts w:ascii="Arial" w:hAnsi="Arial" w:cs="Arial"/>
          <w:sz w:val="22"/>
          <w:szCs w:val="22"/>
        </w:rPr>
        <w:t xml:space="preserve"> and </w:t>
      </w:r>
      <w:r w:rsidR="00E57E1B">
        <w:rPr>
          <w:rFonts w:ascii="Arial" w:hAnsi="Arial" w:cs="Arial"/>
          <w:sz w:val="22"/>
          <w:szCs w:val="22"/>
        </w:rPr>
        <w:t>reviewing the patient’s history</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Compared to ICD-10, ICD-11 is more flexible. It does not require a strict number of symptoms and </w:t>
      </w:r>
      <w:r w:rsidR="00E57E1B">
        <w:rPr>
          <w:rFonts w:ascii="Arial" w:hAnsi="Arial" w:cs="Arial"/>
          <w:sz w:val="22"/>
          <w:szCs w:val="22"/>
        </w:rPr>
        <w:t xml:space="preserve">takes cultural differences </w:t>
      </w:r>
      <w:r w:rsidR="003426F0">
        <w:rPr>
          <w:rFonts w:ascii="Arial" w:hAnsi="Arial" w:cs="Arial"/>
          <w:sz w:val="22"/>
          <w:szCs w:val="22"/>
        </w:rPr>
        <w:t>into account more carefully</w:t>
      </w:r>
      <w:r w:rsidRPr="00A67768">
        <w:rPr>
          <w:rFonts w:ascii="Arial" w:hAnsi="Arial" w:cs="Arial"/>
          <w:sz w:val="22"/>
          <w:szCs w:val="22"/>
        </w:rPr>
        <w:t>. The use of the term “disorder” instead of “illness” reflects a broader understanding that depression is influenced by biological, psychological, and social factors, and this helps reduce stigma and improve patient engagement.</w:t>
      </w:r>
    </w:p>
    <w:p w:rsidR="00BD49F4" w:rsidRPr="00BD49F4" w:rsidRDefault="00BD49F4" w:rsidP="00A67768">
      <w:pPr>
        <w:pStyle w:val="Heading1"/>
      </w:pPr>
      <w:bookmarkStart w:id="5" w:name="_Toc224915780"/>
      <w:bookmarkStart w:id="6" w:name="_Toc224918576"/>
      <w:r w:rsidRPr="00A67768">
        <w:t>3. Treatment and Rehabilitation</w:t>
      </w:r>
      <w:bookmarkEnd w:id="5"/>
      <w:bookmarkEnd w:id="6"/>
    </w:p>
    <w:p w:rsidR="00BD49F4" w:rsidRPr="00A67768" w:rsidRDefault="00BD49F4" w:rsidP="00A67768">
      <w:pPr>
        <w:pStyle w:val="Heading2"/>
      </w:pPr>
      <w:bookmarkStart w:id="7" w:name="_Toc224915781"/>
      <w:bookmarkStart w:id="8" w:name="_Toc224918577"/>
      <w:r w:rsidRPr="00A67768">
        <w:rPr>
          <w:rStyle w:val="Strong"/>
          <w:rFonts w:cs="Arial"/>
          <w:b/>
          <w:bCs/>
          <w:szCs w:val="22"/>
        </w:rPr>
        <w:t xml:space="preserve">3.1 Standard Treatment </w:t>
      </w:r>
      <w:r w:rsidRPr="00A67768">
        <w:rPr>
          <w:rStyle w:val="Strong"/>
          <w:b/>
          <w:bCs/>
        </w:rPr>
        <w:t>Approaches</w:t>
      </w:r>
      <w:bookmarkEnd w:id="7"/>
      <w:bookmarkEnd w:id="8"/>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UK, treatment for depression is guided by the </w:t>
      </w:r>
      <w:r w:rsidRPr="00A67768">
        <w:rPr>
          <w:rStyle w:val="Strong"/>
          <w:rFonts w:ascii="Arial" w:hAnsi="Arial" w:cs="Arial"/>
          <w:b w:val="0"/>
          <w:sz w:val="22"/>
          <w:szCs w:val="22"/>
        </w:rPr>
        <w:t>National Institute for Health and Care Excellence (NICE)</w:t>
      </w:r>
      <w:r w:rsidRPr="00A67768">
        <w:rPr>
          <w:rFonts w:ascii="Arial" w:hAnsi="Arial" w:cs="Arial"/>
          <w:sz w:val="22"/>
          <w:szCs w:val="22"/>
        </w:rPr>
        <w:t>. These guidelines help doctors and mental health professionals choose the best treatments based on how severe the depression is.</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One of the most common approaches is </w:t>
      </w:r>
      <w:r w:rsidRPr="00A67768">
        <w:rPr>
          <w:rStyle w:val="Strong"/>
          <w:rFonts w:ascii="Arial" w:hAnsi="Arial" w:cs="Arial"/>
          <w:b w:val="0"/>
          <w:sz w:val="22"/>
          <w:szCs w:val="22"/>
        </w:rPr>
        <w:t>psychological therapy</w:t>
      </w:r>
      <w:r w:rsidRPr="00A67768">
        <w:rPr>
          <w:rFonts w:ascii="Arial" w:hAnsi="Arial" w:cs="Arial"/>
          <w:sz w:val="22"/>
          <w:szCs w:val="22"/>
        </w:rPr>
        <w:t xml:space="preserve">. This includes treatments like Cognitive </w:t>
      </w:r>
      <w:r w:rsidR="00E57E1B" w:rsidRPr="00A67768">
        <w:rPr>
          <w:rFonts w:ascii="Arial" w:hAnsi="Arial" w:cs="Arial"/>
          <w:sz w:val="22"/>
          <w:szCs w:val="22"/>
        </w:rPr>
        <w:t>Behavioural</w:t>
      </w:r>
      <w:r w:rsidRPr="00A67768">
        <w:rPr>
          <w:rFonts w:ascii="Arial" w:hAnsi="Arial" w:cs="Arial"/>
          <w:sz w:val="22"/>
          <w:szCs w:val="22"/>
        </w:rPr>
        <w:t xml:space="preserve"> Therapy (CBT), Interpersonal Therapy (IPT), and </w:t>
      </w:r>
      <w:r w:rsidR="00E57E1B" w:rsidRPr="00A67768">
        <w:rPr>
          <w:rFonts w:ascii="Arial" w:hAnsi="Arial" w:cs="Arial"/>
          <w:sz w:val="22"/>
          <w:szCs w:val="22"/>
        </w:rPr>
        <w:t>behavioural</w:t>
      </w:r>
      <w:r w:rsidRPr="00A67768">
        <w:rPr>
          <w:rFonts w:ascii="Arial" w:hAnsi="Arial" w:cs="Arial"/>
          <w:sz w:val="22"/>
          <w:szCs w:val="22"/>
        </w:rPr>
        <w:t xml:space="preserve"> activation. CBT is especially popular and is widely offered through NHS services such as </w:t>
      </w:r>
      <w:r w:rsidRPr="00A67768">
        <w:rPr>
          <w:rStyle w:val="Strong"/>
          <w:rFonts w:ascii="Arial" w:hAnsi="Arial" w:cs="Arial"/>
          <w:b w:val="0"/>
          <w:sz w:val="22"/>
          <w:szCs w:val="22"/>
        </w:rPr>
        <w:t>Improving Access to Psychological Therapies (IAPT)</w:t>
      </w:r>
      <w:r w:rsidRPr="00A67768">
        <w:rPr>
          <w:rFonts w:ascii="Arial" w:hAnsi="Arial" w:cs="Arial"/>
          <w:b/>
          <w:sz w:val="22"/>
          <w:szCs w:val="22"/>
        </w:rPr>
        <w:t>.</w:t>
      </w:r>
      <w:r w:rsidRPr="00A67768">
        <w:rPr>
          <w:rFonts w:ascii="Arial" w:hAnsi="Arial" w:cs="Arial"/>
          <w:sz w:val="22"/>
          <w:szCs w:val="22"/>
        </w:rPr>
        <w:t xml:space="preserve"> CBT helps people understand and change negative thinking patterns, which can improve mood and </w:t>
      </w:r>
      <w:r w:rsidR="00A67768" w:rsidRPr="00A67768">
        <w:rPr>
          <w:rFonts w:ascii="Arial" w:hAnsi="Arial" w:cs="Arial"/>
          <w:sz w:val="22"/>
          <w:szCs w:val="22"/>
        </w:rPr>
        <w:t>behavio</w:t>
      </w:r>
      <w:r w:rsidR="00E57E1B">
        <w:rPr>
          <w:rFonts w:ascii="Arial" w:hAnsi="Arial" w:cs="Arial"/>
          <w:sz w:val="22"/>
          <w:szCs w:val="22"/>
        </w:rPr>
        <w:t>u</w:t>
      </w:r>
      <w:r w:rsidR="00A67768" w:rsidRPr="00A67768">
        <w:rPr>
          <w:rFonts w:ascii="Arial" w:hAnsi="Arial" w:cs="Arial"/>
          <w:sz w:val="22"/>
          <w:szCs w:val="22"/>
        </w:rPr>
        <w:t>r</w:t>
      </w:r>
      <w:r w:rsidR="00A67768">
        <w:rPr>
          <w:rFonts w:ascii="Arial" w:hAnsi="Arial" w:cs="Arial"/>
          <w:sz w:val="22"/>
          <w:szCs w:val="22"/>
        </w:rPr>
        <w:t xml:space="preserve"> </w:t>
      </w:r>
      <w:r w:rsidR="00E57E1B">
        <w:rPr>
          <w:rFonts w:ascii="Arial" w:hAnsi="Arial" w:cs="Arial"/>
          <w:noProof/>
          <w:sz w:val="22"/>
          <w:szCs w:val="22"/>
        </w:rPr>
        <w:t>(Cipriani</w:t>
      </w:r>
      <w:r w:rsidR="00E57E1B" w:rsidRPr="00A67768">
        <w:rPr>
          <w:rFonts w:ascii="Arial" w:hAnsi="Arial" w:cs="Arial"/>
          <w:noProof/>
          <w:sz w:val="22"/>
          <w:szCs w:val="22"/>
        </w:rPr>
        <w:t xml:space="preserve"> et al., 2018)</w:t>
      </w:r>
      <w:r w:rsidR="00E57E1B">
        <w:rPr>
          <w:rFonts w:ascii="Arial" w:hAnsi="Arial" w:cs="Arial"/>
          <w:noProof/>
          <w:sz w:val="22"/>
          <w:szCs w:val="22"/>
        </w:rPr>
        <w:t>.</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Another important approach is </w:t>
      </w:r>
      <w:r w:rsidRPr="00A67768">
        <w:rPr>
          <w:rStyle w:val="Strong"/>
          <w:rFonts w:ascii="Arial" w:hAnsi="Arial" w:cs="Arial"/>
          <w:b w:val="0"/>
          <w:sz w:val="22"/>
          <w:szCs w:val="22"/>
        </w:rPr>
        <w:t>medication</w:t>
      </w:r>
      <w:r w:rsidRPr="00A67768">
        <w:rPr>
          <w:rFonts w:ascii="Arial" w:hAnsi="Arial" w:cs="Arial"/>
          <w:sz w:val="22"/>
          <w:szCs w:val="22"/>
        </w:rPr>
        <w:t>, also known as pharmacological treatment. Doctors may prescribe antidepressants such as Selective Serotonin Reuptake Inhibitors (SSRIs), for example</w:t>
      </w:r>
      <w:r w:rsidR="00E57E1B">
        <w:rPr>
          <w:rFonts w:ascii="Arial" w:hAnsi="Arial" w:cs="Arial"/>
          <w:sz w:val="22"/>
          <w:szCs w:val="22"/>
        </w:rPr>
        <w:t>,</w:t>
      </w:r>
      <w:r w:rsidRPr="00A67768">
        <w:rPr>
          <w:rFonts w:ascii="Arial" w:hAnsi="Arial" w:cs="Arial"/>
          <w:sz w:val="22"/>
          <w:szCs w:val="22"/>
        </w:rPr>
        <w:t xml:space="preserve"> </w:t>
      </w:r>
      <w:r w:rsidRPr="00A67768">
        <w:rPr>
          <w:rStyle w:val="Strong"/>
          <w:rFonts w:ascii="Arial" w:hAnsi="Arial" w:cs="Arial"/>
          <w:b w:val="0"/>
          <w:sz w:val="22"/>
          <w:szCs w:val="22"/>
        </w:rPr>
        <w:t>Fluoxetine</w:t>
      </w:r>
      <w:r w:rsidRPr="00A67768">
        <w:rPr>
          <w:rFonts w:ascii="Arial" w:hAnsi="Arial" w:cs="Arial"/>
          <w:sz w:val="22"/>
          <w:szCs w:val="22"/>
        </w:rPr>
        <w:t xml:space="preserve">, or Serotonin-Norepinephrine Reuptake Inhibitors (SNRIs). These medicines </w:t>
      </w:r>
      <w:r w:rsidRPr="00A67768">
        <w:rPr>
          <w:rFonts w:ascii="Arial" w:hAnsi="Arial" w:cs="Arial"/>
          <w:sz w:val="22"/>
          <w:szCs w:val="22"/>
        </w:rPr>
        <w:lastRenderedPageBreak/>
        <w:t xml:space="preserve">work by balancing </w:t>
      </w:r>
      <w:r w:rsidR="00E57E1B">
        <w:rPr>
          <w:rFonts w:ascii="Arial" w:hAnsi="Arial" w:cs="Arial"/>
          <w:sz w:val="22"/>
          <w:szCs w:val="22"/>
        </w:rPr>
        <w:t xml:space="preserve">brain chemicals </w:t>
      </w:r>
      <w:r w:rsidRPr="00A67768">
        <w:rPr>
          <w:rFonts w:ascii="Arial" w:hAnsi="Arial" w:cs="Arial"/>
          <w:sz w:val="22"/>
          <w:szCs w:val="22"/>
        </w:rPr>
        <w:t>that affect mood. Medication is usually recommended for people with moderate to severe depression.</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many cases, </w:t>
      </w:r>
      <w:r w:rsidR="00A67768">
        <w:rPr>
          <w:rFonts w:ascii="Arial" w:hAnsi="Arial" w:cs="Arial"/>
          <w:sz w:val="22"/>
          <w:szCs w:val="22"/>
        </w:rPr>
        <w:t xml:space="preserve">a </w:t>
      </w:r>
      <w:r w:rsidRPr="00A67768">
        <w:rPr>
          <w:rStyle w:val="Strong"/>
          <w:rFonts w:ascii="Arial" w:hAnsi="Arial" w:cs="Arial"/>
          <w:b w:val="0"/>
          <w:sz w:val="22"/>
          <w:szCs w:val="22"/>
        </w:rPr>
        <w:t xml:space="preserve">combined </w:t>
      </w:r>
      <w:r w:rsidR="003426F0">
        <w:rPr>
          <w:rStyle w:val="Strong"/>
          <w:rFonts w:ascii="Arial" w:hAnsi="Arial" w:cs="Arial"/>
          <w:b w:val="0"/>
          <w:sz w:val="22"/>
          <w:szCs w:val="22"/>
        </w:rPr>
        <w:t xml:space="preserve">therapy and medication treatment </w:t>
      </w:r>
      <w:r w:rsidRPr="00A67768">
        <w:rPr>
          <w:rFonts w:ascii="Arial" w:hAnsi="Arial" w:cs="Arial"/>
          <w:sz w:val="22"/>
          <w:szCs w:val="22"/>
        </w:rPr>
        <w:t>is used. Research shows that this combination often works better, especially for people with more severe symptoms.</w:t>
      </w:r>
    </w:p>
    <w:p w:rsidR="00BD49F4" w:rsidRPr="00A67768" w:rsidRDefault="00BD49F4" w:rsidP="00A67768">
      <w:pPr>
        <w:pStyle w:val="Heading2"/>
      </w:pPr>
      <w:bookmarkStart w:id="9" w:name="_Toc224915782"/>
      <w:bookmarkStart w:id="10" w:name="_Toc224918578"/>
      <w:r w:rsidRPr="00A67768">
        <w:rPr>
          <w:rStyle w:val="Strong"/>
          <w:rFonts w:cs="Arial"/>
          <w:b/>
          <w:bCs/>
          <w:szCs w:val="22"/>
        </w:rPr>
        <w:t xml:space="preserve">3.2 </w:t>
      </w:r>
      <w:r w:rsidRPr="00A67768">
        <w:rPr>
          <w:rStyle w:val="Strong"/>
          <w:b/>
          <w:bCs/>
        </w:rPr>
        <w:t>Rehabilitation</w:t>
      </w:r>
      <w:r w:rsidRPr="00A67768">
        <w:rPr>
          <w:rStyle w:val="Strong"/>
          <w:rFonts w:cs="Arial"/>
          <w:b/>
          <w:bCs/>
          <w:szCs w:val="22"/>
        </w:rPr>
        <w:t xml:space="preserve"> Approaches</w:t>
      </w:r>
      <w:bookmarkEnd w:id="9"/>
      <w:bookmarkEnd w:id="10"/>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Rehabilitation focuses on helping people recover and return to normal life. In the UK, the NHS uses a recovery-based approach that encourages independence and improves quality of life.</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This includes helping individuals reconnect socially, return to work, and prevent future episodes of depression. Services such as community mental health teams, supported employment </w:t>
      </w:r>
      <w:r w:rsidR="00A67768" w:rsidRPr="00A67768">
        <w:rPr>
          <w:rFonts w:ascii="Arial" w:hAnsi="Arial" w:cs="Arial"/>
          <w:sz w:val="22"/>
          <w:szCs w:val="22"/>
        </w:rPr>
        <w:t>programs</w:t>
      </w:r>
      <w:r w:rsidRPr="00A67768">
        <w:rPr>
          <w:rFonts w:ascii="Arial" w:hAnsi="Arial" w:cs="Arial"/>
          <w:sz w:val="22"/>
          <w:szCs w:val="22"/>
        </w:rPr>
        <w:t>, and peer support groups play an important role. These services provide ongoing support and help individuals bui</w:t>
      </w:r>
      <w:r w:rsidR="00E57E1B">
        <w:rPr>
          <w:rFonts w:ascii="Arial" w:hAnsi="Arial" w:cs="Arial"/>
          <w:sz w:val="22"/>
          <w:szCs w:val="22"/>
        </w:rPr>
        <w:t>ld confidence and coping skills</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BD49F4" w:rsidRPr="00A67768" w:rsidRDefault="00BD49F4" w:rsidP="00A67768">
      <w:pPr>
        <w:pStyle w:val="Heading2"/>
      </w:pPr>
      <w:bookmarkStart w:id="11" w:name="_Toc224915783"/>
      <w:bookmarkStart w:id="12" w:name="_Toc224918579"/>
      <w:r w:rsidRPr="00A67768">
        <w:rPr>
          <w:rStyle w:val="Strong"/>
          <w:rFonts w:cs="Arial"/>
          <w:b/>
          <w:bCs/>
          <w:szCs w:val="22"/>
        </w:rPr>
        <w:t xml:space="preserve">3.3 </w:t>
      </w:r>
      <w:r w:rsidRPr="00A67768">
        <w:rPr>
          <w:rStyle w:val="Strong"/>
          <w:b/>
          <w:bCs/>
        </w:rPr>
        <w:t>Effectiveness</w:t>
      </w:r>
      <w:r w:rsidRPr="00A67768">
        <w:rPr>
          <w:rStyle w:val="Strong"/>
          <w:rFonts w:cs="Arial"/>
          <w:b/>
          <w:bCs/>
          <w:szCs w:val="22"/>
        </w:rPr>
        <w:t xml:space="preserve"> and Limitations</w:t>
      </w:r>
      <w:bookmarkEnd w:id="11"/>
      <w:bookmarkEnd w:id="12"/>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Treatments for depression can be very effective, but they also have some limitations. For example, CBT has strong evidence showing it can reduce the chances of depression returning. Similarly, antidepressants like SSRIs are helpful in reducing symptoms.</w:t>
      </w:r>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However, not all patients respond to treatment in the same way. Some people may experience side effects from medication, and relapse rates can be high. In the UK, long waiting times for therapy can also delay treatment. Factors such as income, access to services, and cultural background can also </w:t>
      </w:r>
      <w:r w:rsidR="00E57E1B">
        <w:rPr>
          <w:rFonts w:ascii="Arial" w:hAnsi="Arial" w:cs="Arial"/>
          <w:sz w:val="22"/>
          <w:szCs w:val="22"/>
        </w:rPr>
        <w:t>affect the effectiveness of treatment</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BD49F4" w:rsidRPr="00A67768" w:rsidRDefault="00BD49F4" w:rsidP="00A67768">
      <w:pPr>
        <w:pStyle w:val="Heading2"/>
      </w:pPr>
      <w:bookmarkStart w:id="13" w:name="_Toc224915784"/>
      <w:bookmarkStart w:id="14" w:name="_Toc224918580"/>
      <w:r w:rsidRPr="00A67768">
        <w:rPr>
          <w:rStyle w:val="Strong"/>
          <w:rFonts w:cs="Arial"/>
          <w:b/>
          <w:bCs/>
          <w:szCs w:val="22"/>
        </w:rPr>
        <w:t>3.4 International Comparison</w:t>
      </w:r>
      <w:bookmarkEnd w:id="13"/>
      <w:bookmarkEnd w:id="14"/>
    </w:p>
    <w:p w:rsidR="00BD49F4" w:rsidRPr="00A67768"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Treatment approaches vary across countries. The UK places a strong focus on psychological therapies, while countries like the United States often rely more on medication. In low-income countries, limited resources mean that medication is used more than therapy.</w:t>
      </w:r>
    </w:p>
    <w:p w:rsidR="00BD49F4" w:rsidRDefault="00BD49F4"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The UK’s NHS system aims to provide fair access to treatment for everyone. However, challenges such as staff shortages and waiting lists still affect </w:t>
      </w:r>
      <w:r w:rsidR="00E57E1B">
        <w:rPr>
          <w:rFonts w:ascii="Arial" w:hAnsi="Arial" w:cs="Arial"/>
          <w:sz w:val="22"/>
          <w:szCs w:val="22"/>
        </w:rPr>
        <w:t>the quality of service delivery</w:t>
      </w:r>
      <w:r w:rsidR="00A67768">
        <w:rPr>
          <w:rFonts w:ascii="Arial" w:hAnsi="Arial" w:cs="Arial"/>
          <w:sz w:val="22"/>
          <w:szCs w:val="22"/>
        </w:rPr>
        <w:t xml:space="preserve"> </w:t>
      </w:r>
      <w:r w:rsidR="00E57E1B">
        <w:rPr>
          <w:rFonts w:ascii="Arial" w:hAnsi="Arial" w:cs="Arial"/>
          <w:noProof/>
          <w:sz w:val="22"/>
          <w:szCs w:val="22"/>
        </w:rPr>
        <w:t>(Cuijpers</w:t>
      </w:r>
      <w:r w:rsidR="00E57E1B" w:rsidRPr="00A67768">
        <w:rPr>
          <w:rFonts w:ascii="Arial" w:hAnsi="Arial" w:cs="Arial"/>
          <w:noProof/>
          <w:sz w:val="22"/>
          <w:szCs w:val="22"/>
        </w:rPr>
        <w:t xml:space="preserve"> et al., 2008)</w:t>
      </w:r>
      <w:r w:rsidR="00E57E1B">
        <w:rPr>
          <w:rFonts w:ascii="Arial" w:hAnsi="Arial" w:cs="Arial"/>
          <w:noProof/>
          <w:sz w:val="22"/>
          <w:szCs w:val="22"/>
        </w:rPr>
        <w:t>.</w:t>
      </w:r>
    </w:p>
    <w:p w:rsidR="00A67768" w:rsidRPr="00BD49F4" w:rsidRDefault="00A67768" w:rsidP="00A67768">
      <w:pPr>
        <w:pStyle w:val="NormalWeb"/>
        <w:spacing w:line="360" w:lineRule="auto"/>
        <w:jc w:val="both"/>
        <w:rPr>
          <w:rFonts w:ascii="Arial" w:hAnsi="Arial" w:cs="Arial"/>
          <w:sz w:val="22"/>
          <w:szCs w:val="22"/>
        </w:rPr>
      </w:pPr>
    </w:p>
    <w:p w:rsidR="00BD49F4" w:rsidRPr="00BD49F4" w:rsidRDefault="00BD49F4" w:rsidP="00A67768">
      <w:pPr>
        <w:pStyle w:val="Heading1"/>
      </w:pPr>
      <w:bookmarkStart w:id="15" w:name="_Toc224915785"/>
      <w:bookmarkStart w:id="16" w:name="_Toc224918581"/>
      <w:r w:rsidRPr="00A67768">
        <w:lastRenderedPageBreak/>
        <w:t>4. Current Debates and Emerging Issues</w:t>
      </w:r>
      <w:bookmarkEnd w:id="15"/>
      <w:bookmarkEnd w:id="16"/>
    </w:p>
    <w:p w:rsidR="0045383E" w:rsidRPr="00A67768" w:rsidRDefault="0045383E" w:rsidP="00A67768">
      <w:pPr>
        <w:pStyle w:val="Heading2"/>
      </w:pPr>
      <w:bookmarkStart w:id="17" w:name="_Toc224915786"/>
      <w:bookmarkStart w:id="18" w:name="_Toc224918582"/>
      <w:r w:rsidRPr="00A67768">
        <w:rPr>
          <w:rStyle w:val="Strong"/>
          <w:rFonts w:cs="Arial"/>
          <w:b/>
          <w:bCs/>
          <w:szCs w:val="22"/>
        </w:rPr>
        <w:t xml:space="preserve">4.1 </w:t>
      </w:r>
      <w:proofErr w:type="spellStart"/>
      <w:r w:rsidR="00E57E1B">
        <w:rPr>
          <w:rStyle w:val="Strong"/>
          <w:rFonts w:cs="Arial"/>
          <w:b/>
          <w:bCs/>
          <w:szCs w:val="22"/>
        </w:rPr>
        <w:t>Overdiagnosis</w:t>
      </w:r>
      <w:proofErr w:type="spellEnd"/>
      <w:r w:rsidRPr="00A67768">
        <w:rPr>
          <w:rStyle w:val="Strong"/>
          <w:rFonts w:cs="Arial"/>
          <w:b/>
          <w:bCs/>
          <w:szCs w:val="22"/>
        </w:rPr>
        <w:t xml:space="preserve"> and </w:t>
      </w:r>
      <w:bookmarkEnd w:id="17"/>
      <w:r w:rsidR="00E57E1B">
        <w:rPr>
          <w:rStyle w:val="Strong"/>
          <w:rFonts w:cs="Arial"/>
          <w:b/>
          <w:bCs/>
          <w:szCs w:val="22"/>
        </w:rPr>
        <w:t>Medicalisation</w:t>
      </w:r>
      <w:bookmarkEnd w:id="18"/>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One important debate about depression is whether it is being </w:t>
      </w:r>
      <w:proofErr w:type="spellStart"/>
      <w:r w:rsidR="00E57E1B">
        <w:rPr>
          <w:rFonts w:ascii="Arial" w:hAnsi="Arial" w:cs="Arial"/>
          <w:sz w:val="22"/>
          <w:szCs w:val="22"/>
        </w:rPr>
        <w:t>overdiagnosed</w:t>
      </w:r>
      <w:proofErr w:type="spellEnd"/>
      <w:r w:rsidRPr="00A67768">
        <w:rPr>
          <w:rFonts w:ascii="Arial" w:hAnsi="Arial" w:cs="Arial"/>
          <w:sz w:val="22"/>
          <w:szCs w:val="22"/>
        </w:rPr>
        <w:t xml:space="preserve"> in modern healthcare systems. Some experts argue that normal human emotions, such as sadness, stress, or grief, are sometimes labelled as a mental disorder. This is called </w:t>
      </w:r>
      <w:r w:rsidR="00E57E1B">
        <w:rPr>
          <w:rStyle w:val="Emphasis"/>
          <w:rFonts w:ascii="Arial" w:hAnsi="Arial" w:cs="Arial"/>
          <w:sz w:val="22"/>
          <w:szCs w:val="22"/>
        </w:rPr>
        <w:t>medicalisation</w:t>
      </w:r>
      <w:r w:rsidRPr="00A67768">
        <w:rPr>
          <w:rFonts w:ascii="Arial" w:hAnsi="Arial" w:cs="Arial"/>
          <w:sz w:val="22"/>
          <w:szCs w:val="22"/>
        </w:rPr>
        <w:t>, where everyday feelings are treated as medical problems. Critics believe that the diagnostic criteria may be too broad, meaning that people with mild or temporary symptoms could be diagnose</w:t>
      </w:r>
      <w:r w:rsidR="00E57E1B">
        <w:rPr>
          <w:rFonts w:ascii="Arial" w:hAnsi="Arial" w:cs="Arial"/>
          <w:sz w:val="22"/>
          <w:szCs w:val="22"/>
        </w:rPr>
        <w:t>d with depression unnecessarily</w:t>
      </w:r>
      <w:r w:rsidR="00A67768">
        <w:rPr>
          <w:rFonts w:ascii="Arial" w:hAnsi="Arial" w:cs="Arial"/>
          <w:sz w:val="22"/>
          <w:szCs w:val="22"/>
        </w:rPr>
        <w:t xml:space="preserve"> </w:t>
      </w:r>
      <w:r w:rsidR="00E57E1B" w:rsidRPr="00A67768">
        <w:rPr>
          <w:rFonts w:ascii="Arial" w:hAnsi="Arial" w:cs="Arial"/>
          <w:noProof/>
          <w:sz w:val="22"/>
          <w:szCs w:val="22"/>
        </w:rPr>
        <w:t>(</w:t>
      </w:r>
      <w:r w:rsidR="00614F85">
        <w:rPr>
          <w:rFonts w:ascii="Arial" w:hAnsi="Arial" w:cs="Arial"/>
          <w:noProof/>
          <w:sz w:val="22"/>
          <w:szCs w:val="22"/>
        </w:rPr>
        <w:t xml:space="preserve">NHS </w:t>
      </w:r>
      <w:r w:rsidR="00E57E1B" w:rsidRPr="00A67768">
        <w:rPr>
          <w:rFonts w:ascii="Arial" w:hAnsi="Arial" w:cs="Arial"/>
          <w:noProof/>
          <w:sz w:val="22"/>
          <w:szCs w:val="22"/>
        </w:rPr>
        <w:t>England, 2023)</w:t>
      </w:r>
      <w:r w:rsidR="00E57E1B">
        <w:rPr>
          <w:rFonts w:ascii="Arial" w:hAnsi="Arial" w:cs="Arial"/>
          <w:noProof/>
          <w:sz w:val="22"/>
          <w:szCs w:val="22"/>
        </w:rPr>
        <w:t>.</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However, others argue the opposite. They believe that many people with depression are still not diagnosed, especially individuals from minority or disadvantaged groups. This means that some people who genuinely need help may not receive it. Therefore, the debate continues between the </w:t>
      </w:r>
      <w:r w:rsidR="00E57E1B">
        <w:rPr>
          <w:rFonts w:ascii="Arial" w:hAnsi="Arial" w:cs="Arial"/>
          <w:sz w:val="22"/>
          <w:szCs w:val="22"/>
        </w:rPr>
        <w:t xml:space="preserve">risks of </w:t>
      </w:r>
      <w:proofErr w:type="spellStart"/>
      <w:r w:rsidR="00E57E1B">
        <w:rPr>
          <w:rFonts w:ascii="Arial" w:hAnsi="Arial" w:cs="Arial"/>
          <w:sz w:val="22"/>
          <w:szCs w:val="22"/>
        </w:rPr>
        <w:t>overdiagnosis</w:t>
      </w:r>
      <w:proofErr w:type="spellEnd"/>
      <w:r w:rsidR="00E57E1B">
        <w:rPr>
          <w:rFonts w:ascii="Arial" w:hAnsi="Arial" w:cs="Arial"/>
          <w:sz w:val="22"/>
          <w:szCs w:val="22"/>
        </w:rPr>
        <w:t xml:space="preserve"> and </w:t>
      </w:r>
      <w:proofErr w:type="spellStart"/>
      <w:r w:rsidR="00E57E1B">
        <w:rPr>
          <w:rFonts w:ascii="Arial" w:hAnsi="Arial" w:cs="Arial"/>
          <w:sz w:val="22"/>
          <w:szCs w:val="22"/>
        </w:rPr>
        <w:t>underdiagnosis</w:t>
      </w:r>
      <w:proofErr w:type="spellEnd"/>
      <w:r w:rsidRPr="00A67768">
        <w:rPr>
          <w:rFonts w:ascii="Arial" w:hAnsi="Arial" w:cs="Arial"/>
          <w:sz w:val="22"/>
          <w:szCs w:val="22"/>
        </w:rPr>
        <w:t>.</w:t>
      </w:r>
    </w:p>
    <w:p w:rsidR="0045383E" w:rsidRPr="00A67768" w:rsidRDefault="0045383E" w:rsidP="00A67768">
      <w:pPr>
        <w:pStyle w:val="Heading2"/>
      </w:pPr>
      <w:bookmarkStart w:id="19" w:name="_Toc224915787"/>
      <w:bookmarkStart w:id="20" w:name="_Toc224918583"/>
      <w:r w:rsidRPr="00A67768">
        <w:rPr>
          <w:rStyle w:val="Strong"/>
          <w:rFonts w:cs="Arial"/>
          <w:b/>
          <w:bCs/>
          <w:szCs w:val="22"/>
        </w:rPr>
        <w:t xml:space="preserve">4.2 </w:t>
      </w:r>
      <w:proofErr w:type="spellStart"/>
      <w:r w:rsidRPr="00A67768">
        <w:rPr>
          <w:rStyle w:val="Strong"/>
          <w:rFonts w:cs="Arial"/>
          <w:b/>
          <w:bCs/>
          <w:szCs w:val="22"/>
        </w:rPr>
        <w:t>Neurodivergence</w:t>
      </w:r>
      <w:proofErr w:type="spellEnd"/>
      <w:r w:rsidRPr="00A67768">
        <w:rPr>
          <w:rStyle w:val="Strong"/>
          <w:rFonts w:cs="Arial"/>
          <w:b/>
          <w:bCs/>
          <w:szCs w:val="22"/>
        </w:rPr>
        <w:t xml:space="preserve"> and Reclassification</w:t>
      </w:r>
      <w:bookmarkEnd w:id="19"/>
      <w:bookmarkEnd w:id="20"/>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Another important discussion is about </w:t>
      </w:r>
      <w:proofErr w:type="spellStart"/>
      <w:r w:rsidRPr="00A67768">
        <w:rPr>
          <w:rFonts w:ascii="Arial" w:hAnsi="Arial" w:cs="Arial"/>
          <w:sz w:val="22"/>
          <w:szCs w:val="22"/>
        </w:rPr>
        <w:t>neurodivergence</w:t>
      </w:r>
      <w:proofErr w:type="spellEnd"/>
      <w:r w:rsidRPr="00A67768">
        <w:rPr>
          <w:rFonts w:ascii="Arial" w:hAnsi="Arial" w:cs="Arial"/>
          <w:sz w:val="22"/>
          <w:szCs w:val="22"/>
        </w:rPr>
        <w:t>. This approach suggests that differences in thinking and feeling should not always be seen as illnesses but as natural variations in the human brain. From this perspective, depression may not always be viewed purely as a disorder but as part of a wider range of human emotional experiences.</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The ICD-11 has tried to address this issue by using a more flexible diagnostic system. This means it allows healthcare professionals to consider </w:t>
      </w:r>
      <w:r w:rsidR="003426F0">
        <w:rPr>
          <w:rFonts w:ascii="Arial" w:hAnsi="Arial" w:cs="Arial"/>
          <w:sz w:val="22"/>
          <w:szCs w:val="22"/>
        </w:rPr>
        <w:t>a range of</w:t>
      </w:r>
      <w:r w:rsidRPr="00A67768">
        <w:rPr>
          <w:rFonts w:ascii="Arial" w:hAnsi="Arial" w:cs="Arial"/>
          <w:sz w:val="22"/>
          <w:szCs w:val="22"/>
        </w:rPr>
        <w:t xml:space="preserve"> experiences and symptoms rather than following very strict rules. This approach helps to </w:t>
      </w:r>
      <w:r w:rsidR="003426F0">
        <w:rPr>
          <w:rFonts w:ascii="Arial" w:hAnsi="Arial" w:cs="Arial"/>
          <w:sz w:val="22"/>
          <w:szCs w:val="22"/>
        </w:rPr>
        <w:t>recognise that people experience depression in different ways, making diagnosis more personalised</w:t>
      </w:r>
      <w:r w:rsidR="00A67768">
        <w:rPr>
          <w:rFonts w:ascii="Arial" w:hAnsi="Arial" w:cs="Arial"/>
          <w:sz w:val="22"/>
          <w:szCs w:val="22"/>
        </w:rPr>
        <w:t xml:space="preserve"> </w:t>
      </w:r>
      <w:r w:rsidR="003426F0" w:rsidRPr="00A67768">
        <w:rPr>
          <w:rFonts w:ascii="Arial" w:hAnsi="Arial" w:cs="Arial"/>
          <w:noProof/>
          <w:sz w:val="22"/>
          <w:szCs w:val="22"/>
        </w:rPr>
        <w:t>(</w:t>
      </w:r>
      <w:r w:rsidR="00614F85">
        <w:rPr>
          <w:rFonts w:ascii="Arial" w:hAnsi="Arial" w:cs="Arial"/>
          <w:noProof/>
          <w:sz w:val="22"/>
          <w:szCs w:val="22"/>
        </w:rPr>
        <w:t xml:space="preserve">NHS </w:t>
      </w:r>
      <w:r w:rsidR="003426F0" w:rsidRPr="00A67768">
        <w:rPr>
          <w:rFonts w:ascii="Arial" w:hAnsi="Arial" w:cs="Arial"/>
          <w:noProof/>
          <w:sz w:val="22"/>
          <w:szCs w:val="22"/>
        </w:rPr>
        <w:t>England, 2023)</w:t>
      </w:r>
      <w:r w:rsidR="003426F0">
        <w:rPr>
          <w:rFonts w:ascii="Arial" w:hAnsi="Arial" w:cs="Arial"/>
          <w:noProof/>
          <w:sz w:val="22"/>
          <w:szCs w:val="22"/>
        </w:rPr>
        <w:t>.</w:t>
      </w:r>
    </w:p>
    <w:p w:rsidR="0045383E" w:rsidRPr="00A67768" w:rsidRDefault="0045383E" w:rsidP="00A67768">
      <w:pPr>
        <w:pStyle w:val="Heading2"/>
      </w:pPr>
      <w:bookmarkStart w:id="21" w:name="_Toc224915788"/>
      <w:bookmarkStart w:id="22" w:name="_Toc224918584"/>
      <w:r w:rsidRPr="00A67768">
        <w:rPr>
          <w:rStyle w:val="Strong"/>
          <w:rFonts w:cs="Arial"/>
          <w:b/>
          <w:bCs/>
          <w:szCs w:val="22"/>
        </w:rPr>
        <w:t>4.3 Impact of Changing Diagnostic Criteria</w:t>
      </w:r>
      <w:bookmarkEnd w:id="21"/>
      <w:bookmarkEnd w:id="22"/>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Changes in diagnostic systems like ICD-11 can have a big impact on healthcare. For example, they affect how doctors diagnose patients, how treatments are provided, and how mental health services are funded.</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If the criteria for depression are broadened, more people may be diagnosed. This can help individuals receive early support. However, it can also put pressure on healthcare systems, especially the NHS, which may struggle to meet increased demand. On the other hand, stricter </w:t>
      </w:r>
      <w:r w:rsidRPr="00A67768">
        <w:rPr>
          <w:rFonts w:ascii="Arial" w:hAnsi="Arial" w:cs="Arial"/>
          <w:sz w:val="22"/>
          <w:szCs w:val="22"/>
        </w:rPr>
        <w:lastRenderedPageBreak/>
        <w:t>criteria might reduce the number of diagnoses but could also result in some people not receiving the help they need.</w:t>
      </w:r>
    </w:p>
    <w:p w:rsidR="0045383E" w:rsidRPr="00A67768" w:rsidRDefault="0045383E" w:rsidP="00A67768">
      <w:pPr>
        <w:pStyle w:val="Heading2"/>
      </w:pPr>
      <w:bookmarkStart w:id="23" w:name="_Toc224915789"/>
      <w:bookmarkStart w:id="24" w:name="_Toc224918585"/>
      <w:r w:rsidRPr="00A67768">
        <w:rPr>
          <w:rStyle w:val="Strong"/>
          <w:rFonts w:cs="Arial"/>
          <w:b/>
          <w:bCs/>
          <w:szCs w:val="22"/>
        </w:rPr>
        <w:t>4.4 UK Policy and Legal Framework</w:t>
      </w:r>
      <w:bookmarkEnd w:id="23"/>
      <w:bookmarkEnd w:id="24"/>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In the UK, mental health care is guided by important laws and policies. The </w:t>
      </w:r>
      <w:r w:rsidRPr="00A67768">
        <w:rPr>
          <w:rStyle w:val="Strong"/>
          <w:rFonts w:ascii="Arial" w:hAnsi="Arial" w:cs="Arial"/>
          <w:b w:val="0"/>
          <w:sz w:val="22"/>
          <w:szCs w:val="22"/>
        </w:rPr>
        <w:t>Mental Health Act 1983</w:t>
      </w:r>
      <w:r w:rsidRPr="00A67768">
        <w:rPr>
          <w:rFonts w:ascii="Arial" w:hAnsi="Arial" w:cs="Arial"/>
          <w:sz w:val="22"/>
          <w:szCs w:val="22"/>
        </w:rPr>
        <w:t xml:space="preserve"> allows people with severe mental health conditions to receive treatment even without their consent in certain situations. The </w:t>
      </w:r>
      <w:r w:rsidRPr="00A67768">
        <w:rPr>
          <w:rStyle w:val="Strong"/>
          <w:rFonts w:ascii="Arial" w:hAnsi="Arial" w:cs="Arial"/>
          <w:b w:val="0"/>
          <w:sz w:val="22"/>
          <w:szCs w:val="22"/>
        </w:rPr>
        <w:t>Mental Capacity Act 2005</w:t>
      </w:r>
      <w:r w:rsidRPr="00A67768">
        <w:rPr>
          <w:rFonts w:ascii="Arial" w:hAnsi="Arial" w:cs="Arial"/>
          <w:sz w:val="22"/>
          <w:szCs w:val="22"/>
        </w:rPr>
        <w:t xml:space="preserve"> protects individuals by ensuring they can make their own decisions whenever possible. The </w:t>
      </w:r>
      <w:r w:rsidRPr="00A67768">
        <w:rPr>
          <w:rStyle w:val="Strong"/>
          <w:rFonts w:ascii="Arial" w:hAnsi="Arial" w:cs="Arial"/>
          <w:b w:val="0"/>
          <w:sz w:val="22"/>
          <w:szCs w:val="22"/>
        </w:rPr>
        <w:t>Equality Act 2010</w:t>
      </w:r>
      <w:r w:rsidRPr="00A67768">
        <w:rPr>
          <w:rFonts w:ascii="Arial" w:hAnsi="Arial" w:cs="Arial"/>
          <w:sz w:val="22"/>
          <w:szCs w:val="22"/>
        </w:rPr>
        <w:t xml:space="preserve"> ensures that people with mental health cond</w:t>
      </w:r>
      <w:r w:rsidR="003426F0">
        <w:rPr>
          <w:rFonts w:ascii="Arial" w:hAnsi="Arial" w:cs="Arial"/>
          <w:sz w:val="22"/>
          <w:szCs w:val="22"/>
        </w:rPr>
        <w:t>itions are not treated unfairly</w:t>
      </w:r>
      <w:r w:rsidR="00A67768">
        <w:rPr>
          <w:rFonts w:ascii="Arial" w:hAnsi="Arial" w:cs="Arial"/>
          <w:sz w:val="22"/>
          <w:szCs w:val="22"/>
        </w:rPr>
        <w:t xml:space="preserve"> </w:t>
      </w:r>
      <w:r w:rsidR="003426F0" w:rsidRPr="00A67768">
        <w:rPr>
          <w:rFonts w:ascii="Arial" w:hAnsi="Arial" w:cs="Arial"/>
          <w:noProof/>
          <w:sz w:val="22"/>
          <w:szCs w:val="22"/>
        </w:rPr>
        <w:t>(Layard, 2006)</w:t>
      </w:r>
      <w:r w:rsidR="003426F0">
        <w:rPr>
          <w:rFonts w:ascii="Arial" w:hAnsi="Arial" w:cs="Arial"/>
          <w:noProof/>
          <w:sz w:val="22"/>
          <w:szCs w:val="22"/>
        </w:rPr>
        <w:t>.</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The NHS also focuses on early intervention, community-based care, and reducing stigma around mental illness. However, there are still inequalities in access to care, especially among ethnic minorities and people from lower socioeconomic backgrounds.</w:t>
      </w:r>
    </w:p>
    <w:p w:rsidR="0045383E" w:rsidRPr="00A67768" w:rsidRDefault="0045383E" w:rsidP="00A67768">
      <w:pPr>
        <w:pStyle w:val="Heading2"/>
      </w:pPr>
      <w:bookmarkStart w:id="25" w:name="_Toc224915790"/>
      <w:bookmarkStart w:id="26" w:name="_Toc224918586"/>
      <w:r w:rsidRPr="00A67768">
        <w:rPr>
          <w:rStyle w:val="Strong"/>
          <w:rFonts w:cs="Arial"/>
          <w:b/>
          <w:bCs/>
          <w:szCs w:val="22"/>
        </w:rPr>
        <w:t>4.5 Social and Cultural Influences</w:t>
      </w:r>
      <w:bookmarkEnd w:id="25"/>
      <w:bookmarkEnd w:id="26"/>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 xml:space="preserve">Depression is not only a medical issue but </w:t>
      </w:r>
      <w:r w:rsidR="003426F0">
        <w:rPr>
          <w:rFonts w:ascii="Arial" w:hAnsi="Arial" w:cs="Arial"/>
          <w:sz w:val="22"/>
          <w:szCs w:val="22"/>
        </w:rPr>
        <w:t xml:space="preserve">is </w:t>
      </w:r>
      <w:r w:rsidRPr="00A67768">
        <w:rPr>
          <w:rFonts w:ascii="Arial" w:hAnsi="Arial" w:cs="Arial"/>
          <w:sz w:val="22"/>
          <w:szCs w:val="22"/>
        </w:rPr>
        <w:t>also influenced by social and cultural factors. For example, a person’s income, education, and living conditions can affect their mental health. Cultural beliefs may also influence how people understand and respond to depression. In some cultures, mental health problems are still seen as a sign of weakness, which can prevent people from seeking help.</w:t>
      </w:r>
    </w:p>
    <w:p w:rsidR="0045383E" w:rsidRPr="00A67768" w:rsidRDefault="0045383E" w:rsidP="00A67768">
      <w:pPr>
        <w:pStyle w:val="NormalWeb"/>
        <w:spacing w:line="360" w:lineRule="auto"/>
        <w:jc w:val="both"/>
        <w:rPr>
          <w:rFonts w:ascii="Arial" w:hAnsi="Arial" w:cs="Arial"/>
          <w:sz w:val="22"/>
          <w:szCs w:val="22"/>
        </w:rPr>
      </w:pPr>
      <w:r w:rsidRPr="00A67768">
        <w:rPr>
          <w:rFonts w:ascii="Arial" w:hAnsi="Arial" w:cs="Arial"/>
          <w:sz w:val="22"/>
          <w:szCs w:val="22"/>
        </w:rPr>
        <w:t>In the UK, recent challenges such as the rising cost of living, job insecurity, and social pressures have contributed to increasing rates of depression. These factors show that mental health is closely conne</w:t>
      </w:r>
      <w:r w:rsidR="003426F0">
        <w:rPr>
          <w:rFonts w:ascii="Arial" w:hAnsi="Arial" w:cs="Arial"/>
          <w:sz w:val="22"/>
          <w:szCs w:val="22"/>
        </w:rPr>
        <w:t>cted to wider social conditions</w:t>
      </w:r>
      <w:r w:rsidR="00A67768">
        <w:rPr>
          <w:rFonts w:ascii="Arial" w:hAnsi="Arial" w:cs="Arial"/>
          <w:sz w:val="22"/>
          <w:szCs w:val="22"/>
        </w:rPr>
        <w:t xml:space="preserve"> </w:t>
      </w:r>
      <w:r w:rsidR="003426F0" w:rsidRPr="00A67768">
        <w:rPr>
          <w:rFonts w:ascii="Arial" w:hAnsi="Arial" w:cs="Arial"/>
          <w:noProof/>
          <w:sz w:val="22"/>
          <w:szCs w:val="22"/>
        </w:rPr>
        <w:t>(Layard, 2006)</w:t>
      </w:r>
      <w:r w:rsidR="003426F0">
        <w:rPr>
          <w:rFonts w:ascii="Arial" w:hAnsi="Arial" w:cs="Arial"/>
          <w:noProof/>
          <w:sz w:val="22"/>
          <w:szCs w:val="22"/>
        </w:rPr>
        <w:t>.</w:t>
      </w:r>
    </w:p>
    <w:p w:rsidR="00BD49F4" w:rsidRPr="00BD49F4" w:rsidRDefault="00BD49F4" w:rsidP="00A67768">
      <w:pPr>
        <w:pStyle w:val="Heading1"/>
      </w:pPr>
      <w:bookmarkStart w:id="27" w:name="_Toc224915791"/>
      <w:bookmarkStart w:id="28" w:name="_Toc224918587"/>
      <w:r w:rsidRPr="00A67768">
        <w:t>5. Recommendations</w:t>
      </w:r>
      <w:bookmarkEnd w:id="27"/>
      <w:bookmarkEnd w:id="28"/>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Based on the analysis, several important recommendations can help improve mental health care for people with depression in the UK. First, early diagnosis should be improved. This can be done by increasing mental health screening in primary care settings such as GP clinics, where patients are often seen first. Using digital tools </w:t>
      </w:r>
      <w:r w:rsidR="003426F0">
        <w:rPr>
          <w:rFonts w:ascii="Arial" w:eastAsia="Times New Roman" w:hAnsi="Arial" w:cs="Arial"/>
        </w:rPr>
        <w:t>such as online questionnaires and mental health apps can also help identify symptoms early</w:t>
      </w:r>
      <w:r w:rsidRPr="00246BA4">
        <w:rPr>
          <w:rFonts w:ascii="Arial" w:eastAsia="Times New Roman" w:hAnsi="Arial" w:cs="Arial"/>
        </w:rPr>
        <w:t>, allowing p</w:t>
      </w:r>
      <w:r w:rsidR="003426F0">
        <w:rPr>
          <w:rFonts w:ascii="Arial" w:eastAsia="Times New Roman" w:hAnsi="Arial" w:cs="Arial"/>
        </w:rPr>
        <w:t>eople to receive support sooner</w:t>
      </w:r>
      <w:r w:rsidR="00A67768">
        <w:rPr>
          <w:rFonts w:ascii="Arial" w:eastAsia="Times New Roman" w:hAnsi="Arial" w:cs="Arial"/>
        </w:rPr>
        <w:t xml:space="preserve"> </w:t>
      </w:r>
      <w:r w:rsidR="003426F0" w:rsidRPr="00A67768">
        <w:rPr>
          <w:rFonts w:ascii="Arial" w:eastAsia="Times New Roman" w:hAnsi="Arial" w:cs="Arial"/>
          <w:noProof/>
        </w:rPr>
        <w:t>(Layard, 2006)</w:t>
      </w:r>
      <w:r w:rsidR="003426F0">
        <w:rPr>
          <w:rFonts w:ascii="Arial" w:eastAsia="Times New Roman" w:hAnsi="Arial" w:cs="Arial"/>
          <w:noProof/>
        </w:rPr>
        <w:t>.</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Second, waiting times for treatment need to be reduced. Many patients currently face long delays before accessing therapy. Expanding the NHS mental health workforce by training and hiring </w:t>
      </w:r>
      <w:r w:rsidRPr="00246BA4">
        <w:rPr>
          <w:rFonts w:ascii="Arial" w:eastAsia="Times New Roman" w:hAnsi="Arial" w:cs="Arial"/>
        </w:rPr>
        <w:lastRenderedPageBreak/>
        <w:t>more professionals, along with increasing funding for services like Improving Access to Psychological Therapies (IAPT), can help address this issue.</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Third, treatment approaches should be more </w:t>
      </w:r>
      <w:r w:rsidR="003426F0">
        <w:rPr>
          <w:rFonts w:ascii="Arial" w:eastAsia="Times New Roman" w:hAnsi="Arial" w:cs="Arial"/>
        </w:rPr>
        <w:t>personalised</w:t>
      </w:r>
      <w:r w:rsidRPr="00246BA4">
        <w:rPr>
          <w:rFonts w:ascii="Arial" w:eastAsia="Times New Roman" w:hAnsi="Arial" w:cs="Arial"/>
        </w:rPr>
        <w:t xml:space="preserve">. Every individual experiences depression differently, so care should be tailored to meet their specific needs. It is also important to consider cultural differences to ensure that treatment is respectful and effective for people from </w:t>
      </w:r>
      <w:r w:rsidR="003426F0">
        <w:rPr>
          <w:rFonts w:ascii="Arial" w:eastAsia="Times New Roman" w:hAnsi="Arial" w:cs="Arial"/>
        </w:rPr>
        <w:t>diverse backgrounds</w:t>
      </w:r>
      <w:r w:rsidR="00A67768">
        <w:rPr>
          <w:rFonts w:ascii="Arial" w:eastAsia="Times New Roman" w:hAnsi="Arial" w:cs="Arial"/>
        </w:rPr>
        <w:t xml:space="preserve"> </w:t>
      </w:r>
      <w:r w:rsidR="003426F0" w:rsidRPr="00A67768">
        <w:rPr>
          <w:rFonts w:ascii="Arial" w:eastAsia="Times New Roman" w:hAnsi="Arial" w:cs="Arial"/>
          <w:noProof/>
        </w:rPr>
        <w:t>(McManus et al., 2016)</w:t>
      </w:r>
      <w:r w:rsidR="003426F0">
        <w:rPr>
          <w:rFonts w:ascii="Arial" w:eastAsia="Times New Roman" w:hAnsi="Arial" w:cs="Arial"/>
          <w:noProof/>
        </w:rPr>
        <w:t>.</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 xml:space="preserve">Fourth, community rehabilitation should be strengthened. Peer support </w:t>
      </w:r>
      <w:r w:rsidR="00A67768" w:rsidRPr="00A67768">
        <w:rPr>
          <w:rFonts w:ascii="Arial" w:eastAsia="Times New Roman" w:hAnsi="Arial" w:cs="Arial"/>
        </w:rPr>
        <w:t>programs</w:t>
      </w:r>
      <w:r w:rsidRPr="00246BA4">
        <w:rPr>
          <w:rFonts w:ascii="Arial" w:eastAsia="Times New Roman" w:hAnsi="Arial" w:cs="Arial"/>
        </w:rPr>
        <w:t xml:space="preserve">, </w:t>
      </w:r>
      <w:r w:rsidR="003426F0">
        <w:rPr>
          <w:rFonts w:ascii="Arial" w:eastAsia="Times New Roman" w:hAnsi="Arial" w:cs="Arial"/>
        </w:rPr>
        <w:t>in which individuals with shared experiences support one another</w:t>
      </w:r>
      <w:r w:rsidRPr="00246BA4">
        <w:rPr>
          <w:rFonts w:ascii="Arial" w:eastAsia="Times New Roman" w:hAnsi="Arial" w:cs="Arial"/>
        </w:rPr>
        <w:t>, can be highly beneficial. Additionally, providing better employment support can help individuals regain independence and confidence.</w:t>
      </w:r>
    </w:p>
    <w:p w:rsidR="00246BA4" w:rsidRPr="00246BA4" w:rsidRDefault="00246BA4" w:rsidP="00A67768">
      <w:pPr>
        <w:spacing w:before="100" w:beforeAutospacing="1" w:after="100" w:afterAutospacing="1" w:line="360" w:lineRule="auto"/>
        <w:jc w:val="both"/>
        <w:rPr>
          <w:rFonts w:ascii="Arial" w:eastAsia="Times New Roman" w:hAnsi="Arial" w:cs="Arial"/>
        </w:rPr>
      </w:pPr>
      <w:r w:rsidRPr="00246BA4">
        <w:rPr>
          <w:rFonts w:ascii="Arial" w:eastAsia="Times New Roman" w:hAnsi="Arial" w:cs="Arial"/>
        </w:rPr>
        <w:t>Finally, more research and better data collection are needed. Long-term studies can improve understanding of depression, while exploring neurodiversity perspectives can lead to more inclusive approaches. Overall, these improvements could lead to better outcomes for patients and reduce press</w:t>
      </w:r>
      <w:r w:rsidR="003426F0">
        <w:rPr>
          <w:rFonts w:ascii="Arial" w:eastAsia="Times New Roman" w:hAnsi="Arial" w:cs="Arial"/>
        </w:rPr>
        <w:t>ure on the UK healthcare system</w:t>
      </w:r>
      <w:r w:rsidR="00A67768">
        <w:rPr>
          <w:rFonts w:ascii="Arial" w:eastAsia="Times New Roman" w:hAnsi="Arial" w:cs="Arial"/>
        </w:rPr>
        <w:t xml:space="preserve"> </w:t>
      </w:r>
      <w:r w:rsidR="003426F0">
        <w:rPr>
          <w:rFonts w:ascii="Arial" w:eastAsia="Times New Roman" w:hAnsi="Arial" w:cs="Arial"/>
          <w:noProof/>
        </w:rPr>
        <w:t>(McManus</w:t>
      </w:r>
      <w:r w:rsidR="003426F0" w:rsidRPr="00A67768">
        <w:rPr>
          <w:rFonts w:ascii="Arial" w:eastAsia="Times New Roman" w:hAnsi="Arial" w:cs="Arial"/>
          <w:noProof/>
        </w:rPr>
        <w:t xml:space="preserve"> et al., 2016)</w:t>
      </w:r>
    </w:p>
    <w:p w:rsidR="00BD49F4" w:rsidRPr="00BD49F4" w:rsidRDefault="00BD49F4" w:rsidP="00A024AF">
      <w:pPr>
        <w:pStyle w:val="Heading1"/>
      </w:pPr>
      <w:bookmarkStart w:id="29" w:name="_Toc224915792"/>
      <w:bookmarkStart w:id="30" w:name="_Toc224918588"/>
      <w:r w:rsidRPr="00A67768">
        <w:t>6. Conclusion</w:t>
      </w:r>
      <w:bookmarkEnd w:id="29"/>
      <w:bookmarkEnd w:id="30"/>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Major Depressive Disorder remains a complex and multifaceted mental health condition with significant implications for individuals and healthcare systems. The ICD-11 provides a more flexible and inclusive framework for classification and diagnosis, reflecting advances in understa</w:t>
      </w:r>
      <w:r w:rsidR="003426F0">
        <w:rPr>
          <w:rFonts w:ascii="Arial" w:eastAsia="Times New Roman" w:hAnsi="Arial" w:cs="Arial"/>
        </w:rPr>
        <w:t>nding depression</w:t>
      </w:r>
      <w:r w:rsidR="00A024AF">
        <w:rPr>
          <w:rFonts w:ascii="Arial" w:eastAsia="Times New Roman" w:hAnsi="Arial" w:cs="Arial"/>
        </w:rPr>
        <w:t xml:space="preserve"> </w:t>
      </w:r>
      <w:r w:rsidR="003426F0" w:rsidRPr="00A024AF">
        <w:rPr>
          <w:rFonts w:ascii="Arial" w:eastAsia="Times New Roman" w:hAnsi="Arial" w:cs="Arial"/>
          <w:noProof/>
        </w:rPr>
        <w:t>(</w:t>
      </w:r>
      <w:r w:rsidR="007D2AE5">
        <w:rPr>
          <w:rFonts w:ascii="Arial" w:eastAsia="Times New Roman" w:hAnsi="Arial" w:cs="Arial"/>
          <w:noProof/>
        </w:rPr>
        <w:t>Harrison et al., 2021</w:t>
      </w:r>
      <w:r w:rsidR="003426F0" w:rsidRPr="00A024AF">
        <w:rPr>
          <w:rFonts w:ascii="Arial" w:eastAsia="Times New Roman" w:hAnsi="Arial" w:cs="Arial"/>
          <w:noProof/>
        </w:rPr>
        <w:t>)</w:t>
      </w:r>
      <w:r w:rsidR="003426F0">
        <w:rPr>
          <w:rFonts w:ascii="Arial" w:eastAsia="Times New Roman" w:hAnsi="Arial" w:cs="Arial"/>
          <w:noProof/>
        </w:rPr>
        <w:t>.</w:t>
      </w:r>
    </w:p>
    <w:p w:rsidR="00BD49F4" w:rsidRPr="00BD49F4"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 xml:space="preserve">While effective treatments exist, challenges such as relapse rates, service accessibility, and social inequalities persist. Current debates highlight the need to balance medical and social perspectives, particularly in relation to neurodiversity and </w:t>
      </w:r>
      <w:proofErr w:type="spellStart"/>
      <w:r w:rsidR="003426F0">
        <w:rPr>
          <w:rFonts w:ascii="Arial" w:eastAsia="Times New Roman" w:hAnsi="Arial" w:cs="Arial"/>
        </w:rPr>
        <w:t>overdiagnosis</w:t>
      </w:r>
      <w:proofErr w:type="spellEnd"/>
      <w:r w:rsidRPr="00BD49F4">
        <w:rPr>
          <w:rFonts w:ascii="Arial" w:eastAsia="Times New Roman" w:hAnsi="Arial" w:cs="Arial"/>
        </w:rPr>
        <w:t>.</w:t>
      </w:r>
      <w:r w:rsidR="00A024AF">
        <w:rPr>
          <w:rFonts w:ascii="Arial" w:eastAsia="Times New Roman" w:hAnsi="Arial" w:cs="Arial"/>
        </w:rPr>
        <w:t xml:space="preserve"> </w:t>
      </w:r>
    </w:p>
    <w:p w:rsidR="00BD49F4" w:rsidRPr="00A67768" w:rsidRDefault="00BD49F4" w:rsidP="00A67768">
      <w:pPr>
        <w:spacing w:before="100" w:beforeAutospacing="1" w:after="100" w:afterAutospacing="1" w:line="360" w:lineRule="auto"/>
        <w:jc w:val="both"/>
        <w:rPr>
          <w:rFonts w:ascii="Arial" w:eastAsia="Times New Roman" w:hAnsi="Arial" w:cs="Arial"/>
        </w:rPr>
      </w:pPr>
      <w:r w:rsidRPr="00BD49F4">
        <w:rPr>
          <w:rFonts w:ascii="Arial" w:eastAsia="Times New Roman" w:hAnsi="Arial" w:cs="Arial"/>
        </w:rPr>
        <w:t>UK-specific policies and legislation play a crucial role in shaping mental health care, yet further improvements are required to ensure equitable access and effective treatment. By implementing evidence-based recommendations, the UK healthcare system can better address the growing burden of depressi</w:t>
      </w:r>
      <w:r w:rsidR="003426F0">
        <w:rPr>
          <w:rFonts w:ascii="Arial" w:eastAsia="Times New Roman" w:hAnsi="Arial" w:cs="Arial"/>
        </w:rPr>
        <w:t>on and improve patient outcomes</w:t>
      </w:r>
      <w:r w:rsidR="00A024AF">
        <w:rPr>
          <w:rFonts w:ascii="Arial" w:eastAsia="Times New Roman" w:hAnsi="Arial" w:cs="Arial"/>
        </w:rPr>
        <w:t xml:space="preserve"> </w:t>
      </w:r>
      <w:r w:rsidR="003426F0" w:rsidRPr="00A024AF">
        <w:rPr>
          <w:rFonts w:ascii="Arial" w:eastAsia="Times New Roman" w:hAnsi="Arial" w:cs="Arial"/>
          <w:noProof/>
        </w:rPr>
        <w:t>(</w:t>
      </w:r>
      <w:r w:rsidR="007D2AE5">
        <w:rPr>
          <w:rFonts w:ascii="Arial" w:eastAsia="Times New Roman" w:hAnsi="Arial" w:cs="Arial"/>
          <w:noProof/>
        </w:rPr>
        <w:t>Harrison et al., 2021</w:t>
      </w:r>
      <w:r w:rsidR="003426F0" w:rsidRPr="00A024AF">
        <w:rPr>
          <w:rFonts w:ascii="Arial" w:eastAsia="Times New Roman" w:hAnsi="Arial" w:cs="Arial"/>
          <w:noProof/>
        </w:rPr>
        <w:t>)</w:t>
      </w:r>
    </w:p>
    <w:p w:rsidR="00BD49F4" w:rsidRPr="00A67768" w:rsidRDefault="00BD49F4" w:rsidP="00A67768">
      <w:pPr>
        <w:spacing w:line="360" w:lineRule="auto"/>
        <w:jc w:val="both"/>
        <w:rPr>
          <w:rFonts w:ascii="Arial" w:eastAsia="Times New Roman" w:hAnsi="Arial" w:cs="Arial"/>
        </w:rPr>
      </w:pPr>
      <w:r w:rsidRPr="00A67768">
        <w:rPr>
          <w:rFonts w:ascii="Arial" w:eastAsia="Times New Roman" w:hAnsi="Arial" w:cs="Arial"/>
        </w:rPr>
        <w:br w:type="page"/>
      </w:r>
    </w:p>
    <w:p w:rsidR="005447D0" w:rsidRDefault="00246BA4" w:rsidP="005447D0">
      <w:pPr>
        <w:pStyle w:val="Heading1"/>
        <w:jc w:val="both"/>
        <w:rPr>
          <w:rFonts w:cs="Arial"/>
        </w:rPr>
      </w:pPr>
      <w:r w:rsidRPr="00A67768">
        <w:rPr>
          <w:rFonts w:cs="Arial"/>
        </w:rPr>
        <w:lastRenderedPageBreak/>
        <w:t xml:space="preserve"> </w:t>
      </w:r>
      <w:r w:rsidRPr="00246BA4">
        <w:rPr>
          <w:rFonts w:cs="Arial"/>
        </w:rPr>
        <w:t xml:space="preserve">  </w:t>
      </w:r>
      <w:bookmarkStart w:id="31" w:name="_Toc224918589"/>
      <w:bookmarkStart w:id="32" w:name="_Toc224915793"/>
    </w:p>
    <w:sdt>
      <w:sdtPr>
        <w:rPr>
          <w:rFonts w:asciiTheme="minorHAnsi" w:eastAsiaTheme="minorHAnsi" w:hAnsiTheme="minorHAnsi" w:cs="Arial"/>
          <w:b w:val="0"/>
          <w:bCs w:val="0"/>
          <w:color w:val="auto"/>
          <w:kern w:val="0"/>
          <w:szCs w:val="22"/>
        </w:rPr>
        <w:id w:val="-816874904"/>
        <w:docPartObj>
          <w:docPartGallery w:val="Bibliographies"/>
          <w:docPartUnique/>
        </w:docPartObj>
      </w:sdtPr>
      <w:sdtContent>
        <w:p w:rsidR="005447D0" w:rsidRPr="00A67768" w:rsidRDefault="005447D0" w:rsidP="005447D0">
          <w:pPr>
            <w:pStyle w:val="Heading1"/>
            <w:jc w:val="both"/>
            <w:rPr>
              <w:rFonts w:cs="Arial"/>
              <w:szCs w:val="22"/>
            </w:rPr>
          </w:pPr>
          <w:r w:rsidRPr="00A67768">
            <w:rPr>
              <w:rFonts w:cs="Arial"/>
              <w:szCs w:val="22"/>
            </w:rPr>
            <w:t>References</w:t>
          </w:r>
          <w:bookmarkEnd w:id="31"/>
          <w:bookmarkEnd w:id="32"/>
        </w:p>
        <w:p w:rsidR="005447D0" w:rsidRPr="00A67768" w:rsidRDefault="005447D0" w:rsidP="005447D0">
          <w:pPr>
            <w:pStyle w:val="Bibliography"/>
            <w:spacing w:line="360" w:lineRule="auto"/>
            <w:jc w:val="both"/>
            <w:rPr>
              <w:rFonts w:ascii="Arial" w:hAnsi="Arial" w:cs="Arial"/>
              <w:noProof/>
            </w:rPr>
          </w:pPr>
          <w:r>
            <w:rPr>
              <w:rFonts w:ascii="Arial" w:hAnsi="Arial" w:cs="Arial"/>
              <w:noProof/>
            </w:rPr>
            <w:t>NICE</w:t>
          </w:r>
          <w:r w:rsidRPr="00A67768">
            <w:rPr>
              <w:rFonts w:ascii="Arial" w:hAnsi="Arial" w:cs="Arial"/>
              <w:noProof/>
            </w:rPr>
            <w:t xml:space="preserve"> </w:t>
          </w:r>
          <w:r>
            <w:rPr>
              <w:rFonts w:ascii="Arial" w:hAnsi="Arial" w:cs="Arial"/>
              <w:noProof/>
            </w:rPr>
            <w:t>(</w:t>
          </w:r>
          <w:r w:rsidRPr="00A67768">
            <w:rPr>
              <w:rFonts w:ascii="Arial" w:hAnsi="Arial" w:cs="Arial"/>
              <w:noProof/>
            </w:rPr>
            <w:t>2022</w:t>
          </w:r>
          <w:r>
            <w:rPr>
              <w:rFonts w:ascii="Arial" w:hAnsi="Arial" w:cs="Arial"/>
              <w:noProof/>
            </w:rPr>
            <w:t>)</w:t>
          </w:r>
          <w:r w:rsidRPr="00A67768">
            <w:rPr>
              <w:rFonts w:ascii="Arial" w:hAnsi="Arial" w:cs="Arial"/>
              <w:noProof/>
            </w:rPr>
            <w:t xml:space="preserve"> </w:t>
          </w:r>
          <w:r w:rsidRPr="00A67768">
            <w:rPr>
              <w:rFonts w:ascii="Arial" w:hAnsi="Arial" w:cs="Arial"/>
              <w:i/>
              <w:iCs/>
              <w:noProof/>
            </w:rPr>
            <w:t xml:space="preserve">Depression in adults: treatment and management. </w:t>
          </w:r>
          <w:r>
            <w:rPr>
              <w:rFonts w:ascii="Arial" w:hAnsi="Arial" w:cs="Arial"/>
              <w:iCs/>
              <w:noProof/>
            </w:rPr>
            <w:t>NICE Guideline NG22.</w:t>
          </w:r>
          <w:r w:rsidRPr="00A67768">
            <w:rPr>
              <w:rFonts w:ascii="Arial" w:hAnsi="Arial" w:cs="Arial"/>
              <w:noProof/>
            </w:rPr>
            <w:t xml:space="preserve"> </w:t>
          </w:r>
          <w:r w:rsidRPr="00A67768">
            <w:rPr>
              <w:rFonts w:ascii="Arial" w:hAnsi="Arial" w:cs="Arial"/>
              <w:noProof/>
            </w:rPr>
            <w:br/>
            <w:t xml:space="preserve">Available at: </w:t>
          </w:r>
          <w:hyperlink r:id="rId9" w:history="1">
            <w:r w:rsidRPr="006A4515">
              <w:rPr>
                <w:rStyle w:val="Hyperlink"/>
                <w:rFonts w:ascii="Arial" w:hAnsi="Arial" w:cs="Arial"/>
                <w:noProof/>
                <w:u w:val="none"/>
              </w:rPr>
              <w:t>https://www.nice.org.uk/guidance/ng222</w:t>
            </w:r>
          </w:hyperlink>
          <w:r w:rsidRPr="006A4515">
            <w:rPr>
              <w:rFonts w:ascii="Arial" w:hAnsi="Arial" w:cs="Arial"/>
              <w:noProof/>
            </w:rPr>
            <w:t xml:space="preserve"> (Accessed: 18 March 2026).</w:t>
          </w:r>
        </w:p>
        <w:p w:rsidR="005447D0" w:rsidRPr="00A67768" w:rsidRDefault="005447D0" w:rsidP="005447D0">
          <w:pPr>
            <w:pStyle w:val="Bibliography"/>
            <w:spacing w:line="360" w:lineRule="auto"/>
            <w:jc w:val="both"/>
            <w:rPr>
              <w:rFonts w:ascii="Arial" w:hAnsi="Arial" w:cs="Arial"/>
              <w:noProof/>
            </w:rPr>
          </w:pPr>
          <w:r>
            <w:rPr>
              <w:rFonts w:ascii="Arial" w:hAnsi="Arial" w:cs="Arial"/>
              <w:noProof/>
            </w:rPr>
            <w:t>Cipriani, A. et al.</w:t>
          </w:r>
          <w:r w:rsidRPr="00A67768">
            <w:rPr>
              <w:rFonts w:ascii="Arial" w:hAnsi="Arial" w:cs="Arial"/>
              <w:noProof/>
            </w:rPr>
            <w:t xml:space="preserve"> </w:t>
          </w:r>
          <w:r>
            <w:rPr>
              <w:rFonts w:ascii="Arial" w:hAnsi="Arial" w:cs="Arial"/>
              <w:noProof/>
            </w:rPr>
            <w:t>(2018)</w:t>
          </w:r>
          <w:r w:rsidRPr="00FE6972">
            <w:rPr>
              <w:rFonts w:ascii="Arial" w:hAnsi="Arial" w:cs="Arial"/>
              <w:noProof/>
            </w:rPr>
            <w:t xml:space="preserve"> </w:t>
          </w:r>
          <w:r>
            <w:rPr>
              <w:rFonts w:ascii="Arial" w:hAnsi="Arial" w:cs="Arial"/>
              <w:noProof/>
            </w:rPr>
            <w:t>‘</w:t>
          </w:r>
          <w:r w:rsidRPr="00FE6972">
            <w:rPr>
              <w:rFonts w:ascii="Arial" w:hAnsi="Arial" w:cs="Arial"/>
              <w:noProof/>
            </w:rPr>
            <w:t>Antidepressants might work for people with major depres</w:t>
          </w:r>
          <w:r>
            <w:rPr>
              <w:rFonts w:ascii="Arial" w:hAnsi="Arial" w:cs="Arial"/>
              <w:noProof/>
            </w:rPr>
            <w:t>sion: where do we go from here?’,</w:t>
          </w:r>
          <w:r w:rsidRPr="00FE6972">
            <w:rPr>
              <w:rFonts w:ascii="Arial" w:hAnsi="Arial" w:cs="Arial"/>
              <w:noProof/>
            </w:rPr>
            <w:t xml:space="preserve"> </w:t>
          </w:r>
          <w:r w:rsidRPr="00AB7C99">
            <w:rPr>
              <w:rFonts w:ascii="Arial" w:hAnsi="Arial" w:cs="Arial"/>
              <w:i/>
              <w:noProof/>
            </w:rPr>
            <w:t>The lancet. Psychiatry</w:t>
          </w:r>
          <w:r>
            <w:rPr>
              <w:rFonts w:ascii="Arial" w:hAnsi="Arial" w:cs="Arial"/>
              <w:noProof/>
            </w:rPr>
            <w:t>, 5(6), 461–463</w:t>
          </w:r>
          <w:r w:rsidRPr="00A67768">
            <w:rPr>
              <w:rFonts w:ascii="Arial" w:hAnsi="Arial" w:cs="Arial"/>
              <w:noProof/>
            </w:rPr>
            <w:t>.</w:t>
          </w:r>
        </w:p>
        <w:p w:rsidR="005447D0" w:rsidRPr="00A67768" w:rsidRDefault="005447D0" w:rsidP="005447D0">
          <w:pPr>
            <w:pStyle w:val="Bibliography"/>
            <w:spacing w:line="360" w:lineRule="auto"/>
            <w:jc w:val="both"/>
            <w:rPr>
              <w:rFonts w:ascii="Arial" w:hAnsi="Arial" w:cs="Arial"/>
              <w:noProof/>
            </w:rPr>
          </w:pPr>
          <w:r>
            <w:rPr>
              <w:rFonts w:ascii="Arial" w:hAnsi="Arial" w:cs="Arial"/>
              <w:noProof/>
            </w:rPr>
            <w:t>Cuijpers, P.</w:t>
          </w:r>
          <w:r w:rsidRPr="000B5113">
            <w:rPr>
              <w:rFonts w:ascii="Arial" w:hAnsi="Arial" w:cs="Arial"/>
              <w:noProof/>
            </w:rPr>
            <w:t xml:space="preserve"> </w:t>
          </w:r>
          <w:r>
            <w:rPr>
              <w:rFonts w:ascii="Arial" w:hAnsi="Arial" w:cs="Arial"/>
              <w:noProof/>
            </w:rPr>
            <w:t>et al. (2008)</w:t>
          </w:r>
          <w:r w:rsidRPr="000B5113">
            <w:rPr>
              <w:rFonts w:ascii="Arial" w:hAnsi="Arial" w:cs="Arial"/>
              <w:noProof/>
            </w:rPr>
            <w:t xml:space="preserve"> </w:t>
          </w:r>
          <w:r>
            <w:rPr>
              <w:rFonts w:ascii="Arial" w:hAnsi="Arial" w:cs="Arial"/>
              <w:noProof/>
            </w:rPr>
            <w:t>‘</w:t>
          </w:r>
          <w:r w:rsidRPr="000B5113">
            <w:rPr>
              <w:rFonts w:ascii="Arial" w:hAnsi="Arial" w:cs="Arial"/>
              <w:noProof/>
            </w:rPr>
            <w:t>Psychotherapy for depression in adults: a meta-analysis of comparative outcome studies</w:t>
          </w:r>
          <w:r>
            <w:rPr>
              <w:rFonts w:ascii="Arial" w:hAnsi="Arial" w:cs="Arial"/>
              <w:noProof/>
            </w:rPr>
            <w:t>’,</w:t>
          </w:r>
          <w:r w:rsidRPr="000B5113">
            <w:rPr>
              <w:rFonts w:ascii="Arial" w:hAnsi="Arial" w:cs="Arial"/>
              <w:noProof/>
            </w:rPr>
            <w:t xml:space="preserve"> </w:t>
          </w:r>
          <w:r w:rsidRPr="000B5113">
            <w:rPr>
              <w:rFonts w:ascii="Arial" w:hAnsi="Arial" w:cs="Arial"/>
              <w:i/>
              <w:noProof/>
            </w:rPr>
            <w:t>Journal of consulting and clinical psychology</w:t>
          </w:r>
          <w:r w:rsidRPr="000B5113">
            <w:rPr>
              <w:rFonts w:ascii="Arial" w:hAnsi="Arial" w:cs="Arial"/>
              <w:noProof/>
            </w:rPr>
            <w:t>, 76(6), 909–922.</w:t>
          </w:r>
        </w:p>
        <w:p w:rsidR="005447D0" w:rsidRPr="00A67768" w:rsidRDefault="005447D0" w:rsidP="005447D0">
          <w:pPr>
            <w:spacing w:line="360" w:lineRule="auto"/>
            <w:jc w:val="both"/>
            <w:rPr>
              <w:rFonts w:ascii="Arial" w:hAnsi="Arial" w:cs="Arial"/>
            </w:rPr>
          </w:pPr>
          <w:r>
            <w:rPr>
              <w:rFonts w:ascii="Arial" w:hAnsi="Arial" w:cs="Arial"/>
              <w:noProof/>
            </w:rPr>
            <w:t>Harrison, J. E. et al. (2021)</w:t>
          </w:r>
          <w:r w:rsidRPr="001433B0">
            <w:rPr>
              <w:rFonts w:ascii="Arial" w:hAnsi="Arial" w:cs="Arial"/>
              <w:noProof/>
            </w:rPr>
            <w:t xml:space="preserve"> </w:t>
          </w:r>
          <w:r>
            <w:rPr>
              <w:rFonts w:ascii="Arial" w:hAnsi="Arial" w:cs="Arial"/>
              <w:noProof/>
            </w:rPr>
            <w:t>‘</w:t>
          </w:r>
          <w:r w:rsidRPr="001433B0">
            <w:rPr>
              <w:rFonts w:ascii="Arial" w:hAnsi="Arial" w:cs="Arial"/>
              <w:noProof/>
            </w:rPr>
            <w:t>ICD-11: an international classification of diseases for the twenty-first century</w:t>
          </w:r>
          <w:r>
            <w:rPr>
              <w:rFonts w:ascii="Arial" w:hAnsi="Arial" w:cs="Arial"/>
              <w:noProof/>
            </w:rPr>
            <w:t>’,</w:t>
          </w:r>
          <w:r w:rsidRPr="001433B0">
            <w:rPr>
              <w:rFonts w:ascii="Arial" w:hAnsi="Arial" w:cs="Arial"/>
              <w:noProof/>
            </w:rPr>
            <w:t xml:space="preserve"> </w:t>
          </w:r>
          <w:r w:rsidRPr="001433B0">
            <w:rPr>
              <w:rFonts w:ascii="Arial" w:hAnsi="Arial" w:cs="Arial"/>
              <w:i/>
              <w:noProof/>
            </w:rPr>
            <w:t>BMC medical informatics and decision making</w:t>
          </w:r>
          <w:r w:rsidRPr="001433B0">
            <w:rPr>
              <w:rFonts w:ascii="Arial" w:hAnsi="Arial" w:cs="Arial"/>
              <w:noProof/>
            </w:rPr>
            <w:t>, 21(Suppl 6), 206.</w:t>
          </w:r>
        </w:p>
        <w:p w:rsidR="005447D0" w:rsidRPr="00614F85" w:rsidRDefault="005447D0" w:rsidP="005447D0">
          <w:pPr>
            <w:pStyle w:val="Bibliography"/>
            <w:spacing w:line="360" w:lineRule="auto"/>
            <w:jc w:val="both"/>
            <w:rPr>
              <w:rFonts w:ascii="Arial" w:hAnsi="Arial" w:cs="Arial"/>
              <w:noProof/>
            </w:rPr>
          </w:pPr>
          <w:r>
            <w:rPr>
              <w:rFonts w:ascii="Arial" w:hAnsi="Arial" w:cs="Arial"/>
              <w:noProof/>
            </w:rPr>
            <w:t xml:space="preserve">NHS </w:t>
          </w:r>
          <w:r w:rsidRPr="00A67768">
            <w:rPr>
              <w:rFonts w:ascii="Arial" w:hAnsi="Arial" w:cs="Arial"/>
              <w:noProof/>
            </w:rPr>
            <w:t xml:space="preserve">England, </w:t>
          </w:r>
          <w:r>
            <w:rPr>
              <w:rFonts w:ascii="Arial" w:hAnsi="Arial" w:cs="Arial"/>
              <w:noProof/>
            </w:rPr>
            <w:t>(</w:t>
          </w:r>
          <w:r w:rsidRPr="00A67768">
            <w:rPr>
              <w:rFonts w:ascii="Arial" w:hAnsi="Arial" w:cs="Arial"/>
              <w:noProof/>
            </w:rPr>
            <w:t>2023</w:t>
          </w:r>
          <w:r>
            <w:rPr>
              <w:rFonts w:ascii="Arial" w:hAnsi="Arial" w:cs="Arial"/>
              <w:noProof/>
            </w:rPr>
            <w:t>)</w:t>
          </w:r>
          <w:r w:rsidRPr="00A67768">
            <w:rPr>
              <w:rFonts w:ascii="Arial" w:hAnsi="Arial" w:cs="Arial"/>
              <w:noProof/>
            </w:rPr>
            <w:t xml:space="preserve"> </w:t>
          </w:r>
          <w:r w:rsidRPr="00A67768">
            <w:rPr>
              <w:rFonts w:ascii="Arial" w:hAnsi="Arial" w:cs="Arial"/>
              <w:i/>
              <w:iCs/>
              <w:noProof/>
            </w:rPr>
            <w:t xml:space="preserve">Mental Health of Children and Young People in England, 2023 – wave </w:t>
          </w:r>
          <w:r>
            <w:rPr>
              <w:rFonts w:ascii="Arial" w:hAnsi="Arial" w:cs="Arial"/>
              <w:i/>
              <w:iCs/>
              <w:noProof/>
            </w:rPr>
            <w:t xml:space="preserve">4 follow up to the 2017 survey. </w:t>
          </w:r>
          <w:r>
            <w:rPr>
              <w:rFonts w:ascii="Arial" w:hAnsi="Arial" w:cs="Arial"/>
              <w:iCs/>
              <w:noProof/>
            </w:rPr>
            <w:t xml:space="preserve">Available at: </w:t>
          </w:r>
          <w:hyperlink r:id="rId10" w:history="1">
            <w:r w:rsidRPr="009823BA">
              <w:rPr>
                <w:rStyle w:val="Hyperlink"/>
                <w:rFonts w:ascii="Arial" w:hAnsi="Arial" w:cs="Arial"/>
                <w:iCs/>
                <w:noProof/>
              </w:rPr>
              <w:t>https://digital.nhs.uk/data-and-information/publications/statistical/mental-health-of-children-and-young-people-in-england/2023-wave-4-follow-up</w:t>
            </w:r>
          </w:hyperlink>
          <w:r>
            <w:rPr>
              <w:rFonts w:ascii="Arial" w:hAnsi="Arial" w:cs="Arial"/>
              <w:iCs/>
              <w:noProof/>
            </w:rPr>
            <w:t xml:space="preserve"> (Accessed: 19 March 2026).</w:t>
          </w:r>
        </w:p>
        <w:p w:rsidR="005447D0" w:rsidRPr="00A67768" w:rsidRDefault="005447D0" w:rsidP="005447D0">
          <w:pPr>
            <w:pStyle w:val="Bibliography"/>
            <w:spacing w:line="360" w:lineRule="auto"/>
            <w:jc w:val="both"/>
            <w:rPr>
              <w:rFonts w:ascii="Arial" w:hAnsi="Arial" w:cs="Arial"/>
              <w:noProof/>
            </w:rPr>
          </w:pPr>
          <w:r>
            <w:rPr>
              <w:rFonts w:ascii="Arial" w:hAnsi="Arial" w:cs="Arial"/>
              <w:noProof/>
            </w:rPr>
            <w:t>Layard R. (2006)</w:t>
          </w:r>
          <w:r w:rsidRPr="00444C2B">
            <w:rPr>
              <w:rFonts w:ascii="Arial" w:hAnsi="Arial" w:cs="Arial"/>
              <w:noProof/>
            </w:rPr>
            <w:t xml:space="preserve"> </w:t>
          </w:r>
          <w:r>
            <w:rPr>
              <w:rFonts w:ascii="Arial" w:hAnsi="Arial" w:cs="Arial"/>
              <w:noProof/>
            </w:rPr>
            <w:t>‘</w:t>
          </w:r>
          <w:r w:rsidRPr="00444C2B">
            <w:rPr>
              <w:rFonts w:ascii="Arial" w:hAnsi="Arial" w:cs="Arial"/>
              <w:noProof/>
            </w:rPr>
            <w:t>The case for psychological treatment centres</w:t>
          </w:r>
          <w:r>
            <w:rPr>
              <w:rFonts w:ascii="Arial" w:hAnsi="Arial" w:cs="Arial"/>
              <w:noProof/>
            </w:rPr>
            <w:t>’,</w:t>
          </w:r>
          <w:r w:rsidRPr="00444C2B">
            <w:rPr>
              <w:rFonts w:ascii="Arial" w:hAnsi="Arial" w:cs="Arial"/>
              <w:noProof/>
            </w:rPr>
            <w:t xml:space="preserve"> </w:t>
          </w:r>
          <w:r w:rsidRPr="00444C2B">
            <w:rPr>
              <w:rFonts w:ascii="Arial" w:hAnsi="Arial" w:cs="Arial"/>
              <w:i/>
              <w:noProof/>
            </w:rPr>
            <w:t>BMJ (Clinical research ed.), 332(7548)</w:t>
          </w:r>
          <w:r>
            <w:rPr>
              <w:rFonts w:ascii="Arial" w:hAnsi="Arial" w:cs="Arial"/>
              <w:noProof/>
            </w:rPr>
            <w:t>, 1030–1032</w:t>
          </w:r>
          <w:r w:rsidRPr="00A67768">
            <w:rPr>
              <w:rFonts w:ascii="Arial" w:hAnsi="Arial" w:cs="Arial"/>
              <w:noProof/>
            </w:rPr>
            <w:t>.</w:t>
          </w:r>
        </w:p>
        <w:p w:rsidR="005447D0" w:rsidRPr="00A67768" w:rsidRDefault="005447D0" w:rsidP="005447D0">
          <w:pPr>
            <w:pStyle w:val="Bibliography"/>
            <w:spacing w:line="360" w:lineRule="auto"/>
            <w:jc w:val="both"/>
            <w:rPr>
              <w:rFonts w:ascii="Arial" w:hAnsi="Arial" w:cs="Arial"/>
              <w:noProof/>
            </w:rPr>
          </w:pPr>
          <w:r>
            <w:rPr>
              <w:rFonts w:ascii="Verdana" w:hAnsi="Verdana"/>
              <w:color w:val="232323"/>
              <w:sz w:val="21"/>
              <w:szCs w:val="21"/>
              <w:shd w:val="clear" w:color="auto" w:fill="FFFFFF"/>
            </w:rPr>
            <w:t xml:space="preserve">McManus, S. et al. (2016) </w:t>
          </w:r>
          <w:r w:rsidRPr="00930121">
            <w:rPr>
              <w:rFonts w:ascii="Verdana" w:hAnsi="Verdana"/>
              <w:i/>
              <w:color w:val="232323"/>
              <w:sz w:val="21"/>
              <w:szCs w:val="21"/>
              <w:shd w:val="clear" w:color="auto" w:fill="FFFFFF"/>
            </w:rPr>
            <w:t>Mental Health and Wellbeing in England: Adult Psychiatric Morbidity Survey 2014.</w:t>
          </w:r>
          <w:r>
            <w:rPr>
              <w:rFonts w:ascii="Verdana" w:hAnsi="Verdana"/>
              <w:color w:val="232323"/>
              <w:sz w:val="21"/>
              <w:szCs w:val="21"/>
              <w:shd w:val="clear" w:color="auto" w:fill="FFFFFF"/>
            </w:rPr>
            <w:t xml:space="preserve"> Available at:</w:t>
          </w:r>
          <w:r>
            <w:rPr>
              <w:rFonts w:ascii="Verdana" w:hAnsi="Verdana"/>
              <w:color w:val="232323"/>
              <w:sz w:val="21"/>
              <w:szCs w:val="21"/>
            </w:rPr>
            <w:br/>
          </w:r>
          <w:hyperlink r:id="rId11" w:history="1">
            <w:r w:rsidRPr="009823BA">
              <w:rPr>
                <w:rStyle w:val="Hyperlink"/>
                <w:rFonts w:ascii="Verdana" w:hAnsi="Verdana"/>
                <w:sz w:val="21"/>
                <w:szCs w:val="21"/>
                <w:shd w:val="clear" w:color="auto" w:fill="FFFFFF"/>
              </w:rPr>
              <w:t>https://assets.publishing.service.gov.uk/government/uploads/system/uploads/attachment_data/file/556596/apms-2014-full-rpt.pdf</w:t>
            </w:r>
          </w:hyperlink>
          <w:r>
            <w:rPr>
              <w:rFonts w:ascii="Verdana" w:hAnsi="Verdana"/>
              <w:color w:val="232323"/>
              <w:sz w:val="21"/>
              <w:szCs w:val="21"/>
              <w:shd w:val="clear" w:color="auto" w:fill="FFFFFF"/>
            </w:rPr>
            <w:t xml:space="preserve"> </w:t>
          </w:r>
          <w:r>
            <w:rPr>
              <w:rFonts w:ascii="Arial" w:hAnsi="Arial" w:cs="Arial"/>
              <w:iCs/>
              <w:noProof/>
            </w:rPr>
            <w:t>(Accessed: 17 March 2026).</w:t>
          </w:r>
          <w:r>
            <w:rPr>
              <w:rFonts w:ascii="Verdana" w:hAnsi="Verdana"/>
              <w:color w:val="232323"/>
              <w:sz w:val="21"/>
              <w:szCs w:val="21"/>
              <w:shd w:val="clear" w:color="auto" w:fill="FFFFFF"/>
            </w:rPr>
            <w:t xml:space="preserve">  </w:t>
          </w:r>
        </w:p>
      </w:sdtContent>
    </w:sdt>
    <w:p w:rsidR="00246BA4" w:rsidRPr="00A67768" w:rsidRDefault="00246BA4" w:rsidP="00A67768">
      <w:pPr>
        <w:spacing w:before="100" w:beforeAutospacing="1" w:after="100" w:afterAutospacing="1" w:line="360" w:lineRule="auto"/>
        <w:jc w:val="both"/>
        <w:rPr>
          <w:rFonts w:ascii="Arial" w:eastAsia="Times New Roman" w:hAnsi="Arial" w:cs="Arial"/>
        </w:rPr>
      </w:pPr>
      <w:bookmarkStart w:id="33" w:name="_GoBack"/>
      <w:bookmarkEnd w:id="33"/>
    </w:p>
    <w:p w:rsidR="00151A03" w:rsidRPr="00A67768" w:rsidRDefault="00351B47" w:rsidP="00A67768">
      <w:pPr>
        <w:spacing w:line="360" w:lineRule="auto"/>
        <w:jc w:val="both"/>
        <w:rPr>
          <w:rFonts w:ascii="Arial" w:eastAsia="Times New Roman" w:hAnsi="Arial" w:cs="Arial"/>
        </w:rPr>
      </w:pPr>
    </w:p>
    <w:sectPr w:rsidR="00151A03" w:rsidRPr="00A67768" w:rsidSect="001C68F2">
      <w:headerReference w:type="default" r:id="rId12"/>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351B47" w:rsidRDefault="00351B47" w:rsidP="00A67768">
      <w:pPr>
        <w:spacing w:after="0" w:line="240" w:lineRule="auto"/>
      </w:pPr>
      <w:r>
        <w:separator/>
      </w:r>
    </w:p>
  </w:endnote>
  <w:endnote w:type="continuationSeparator" w:id="0">
    <w:p w:rsidR="00351B47" w:rsidRDefault="00351B47" w:rsidP="00A67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351B47" w:rsidRDefault="00351B47" w:rsidP="00A67768">
      <w:pPr>
        <w:spacing w:after="0" w:line="240" w:lineRule="auto"/>
      </w:pPr>
      <w:r>
        <w:separator/>
      </w:r>
    </w:p>
  </w:footnote>
  <w:footnote w:type="continuationSeparator" w:id="0">
    <w:p w:rsidR="00351B47" w:rsidRDefault="00351B47" w:rsidP="00A6776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29454936"/>
      <w:docPartObj>
        <w:docPartGallery w:val="Page Numbers (Top of Page)"/>
        <w:docPartUnique/>
      </w:docPartObj>
    </w:sdtPr>
    <w:sdtEndPr>
      <w:rPr>
        <w:noProof/>
      </w:rPr>
    </w:sdtEndPr>
    <w:sdtContent>
      <w:p w:rsidR="001C68F2" w:rsidRDefault="001C68F2">
        <w:pPr>
          <w:pStyle w:val="Header"/>
          <w:jc w:val="right"/>
        </w:pPr>
        <w:r>
          <w:fldChar w:fldCharType="begin"/>
        </w:r>
        <w:r>
          <w:instrText xml:space="preserve"> PAGE   \* MERGEFORMAT </w:instrText>
        </w:r>
        <w:r>
          <w:fldChar w:fldCharType="separate"/>
        </w:r>
        <w:r w:rsidR="005447D0">
          <w:rPr>
            <w:noProof/>
          </w:rPr>
          <w:t>9</w:t>
        </w:r>
        <w:r>
          <w:rPr>
            <w:noProof/>
          </w:rPr>
          <w:fldChar w:fldCharType="end"/>
        </w:r>
      </w:p>
    </w:sdtContent>
  </w:sdt>
  <w:p w:rsidR="001C68F2" w:rsidRDefault="001C68F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A72233"/>
    <w:multiLevelType w:val="multilevel"/>
    <w:tmpl w:val="8334E5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A124CC"/>
    <w:multiLevelType w:val="multilevel"/>
    <w:tmpl w:val="CDFCD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1A12AC3"/>
    <w:multiLevelType w:val="multilevel"/>
    <w:tmpl w:val="67C8D2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0806BF"/>
    <w:multiLevelType w:val="multilevel"/>
    <w:tmpl w:val="D96A48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605D99"/>
    <w:multiLevelType w:val="multilevel"/>
    <w:tmpl w:val="DB7490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940FE4"/>
    <w:multiLevelType w:val="multilevel"/>
    <w:tmpl w:val="A52C0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E521076"/>
    <w:multiLevelType w:val="multilevel"/>
    <w:tmpl w:val="68423C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3B64F2D"/>
    <w:multiLevelType w:val="multilevel"/>
    <w:tmpl w:val="8FD41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C366731"/>
    <w:multiLevelType w:val="multilevel"/>
    <w:tmpl w:val="0B8C6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685EFD"/>
    <w:multiLevelType w:val="multilevel"/>
    <w:tmpl w:val="D6228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68F6CC9"/>
    <w:multiLevelType w:val="multilevel"/>
    <w:tmpl w:val="6DFE1D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8020168"/>
    <w:multiLevelType w:val="multilevel"/>
    <w:tmpl w:val="62DAC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FC439C8"/>
    <w:multiLevelType w:val="multilevel"/>
    <w:tmpl w:val="C75A6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2204188"/>
    <w:multiLevelType w:val="multilevel"/>
    <w:tmpl w:val="7F489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14183E"/>
    <w:multiLevelType w:val="multilevel"/>
    <w:tmpl w:val="85CECF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9536F55"/>
    <w:multiLevelType w:val="multilevel"/>
    <w:tmpl w:val="E2AA38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B766199"/>
    <w:multiLevelType w:val="multilevel"/>
    <w:tmpl w:val="0B925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F224FAD"/>
    <w:multiLevelType w:val="multilevel"/>
    <w:tmpl w:val="F0BE73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9B016BC"/>
    <w:multiLevelType w:val="multilevel"/>
    <w:tmpl w:val="C928A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CAB12E9"/>
    <w:multiLevelType w:val="multilevel"/>
    <w:tmpl w:val="572E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EF85596"/>
    <w:multiLevelType w:val="multilevel"/>
    <w:tmpl w:val="53520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F8617C3"/>
    <w:multiLevelType w:val="multilevel"/>
    <w:tmpl w:val="83D88C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193135D"/>
    <w:multiLevelType w:val="multilevel"/>
    <w:tmpl w:val="1DDE3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9DD19E5"/>
    <w:multiLevelType w:val="multilevel"/>
    <w:tmpl w:val="2A742D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33C10C1"/>
    <w:multiLevelType w:val="multilevel"/>
    <w:tmpl w:val="EE3C3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FB494B"/>
    <w:multiLevelType w:val="multilevel"/>
    <w:tmpl w:val="E75A0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3D0348"/>
    <w:multiLevelType w:val="multilevel"/>
    <w:tmpl w:val="1D665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6"/>
  </w:num>
  <w:num w:numId="2">
    <w:abstractNumId w:val="2"/>
  </w:num>
  <w:num w:numId="3">
    <w:abstractNumId w:val="15"/>
  </w:num>
  <w:num w:numId="4">
    <w:abstractNumId w:val="5"/>
  </w:num>
  <w:num w:numId="5">
    <w:abstractNumId w:val="11"/>
  </w:num>
  <w:num w:numId="6">
    <w:abstractNumId w:val="13"/>
  </w:num>
  <w:num w:numId="7">
    <w:abstractNumId w:val="7"/>
  </w:num>
  <w:num w:numId="8">
    <w:abstractNumId w:val="16"/>
  </w:num>
  <w:num w:numId="9">
    <w:abstractNumId w:val="6"/>
  </w:num>
  <w:num w:numId="10">
    <w:abstractNumId w:val="3"/>
  </w:num>
  <w:num w:numId="11">
    <w:abstractNumId w:val="1"/>
  </w:num>
  <w:num w:numId="12">
    <w:abstractNumId w:val="10"/>
  </w:num>
  <w:num w:numId="13">
    <w:abstractNumId w:val="25"/>
  </w:num>
  <w:num w:numId="14">
    <w:abstractNumId w:val="9"/>
  </w:num>
  <w:num w:numId="15">
    <w:abstractNumId w:val="21"/>
  </w:num>
  <w:num w:numId="16">
    <w:abstractNumId w:val="4"/>
  </w:num>
  <w:num w:numId="17">
    <w:abstractNumId w:val="23"/>
  </w:num>
  <w:num w:numId="18">
    <w:abstractNumId w:val="8"/>
  </w:num>
  <w:num w:numId="19">
    <w:abstractNumId w:val="12"/>
  </w:num>
  <w:num w:numId="20">
    <w:abstractNumId w:val="14"/>
  </w:num>
  <w:num w:numId="21">
    <w:abstractNumId w:val="18"/>
  </w:num>
  <w:num w:numId="22">
    <w:abstractNumId w:val="22"/>
  </w:num>
  <w:num w:numId="23">
    <w:abstractNumId w:val="17"/>
  </w:num>
  <w:num w:numId="24">
    <w:abstractNumId w:val="19"/>
  </w:num>
  <w:num w:numId="25">
    <w:abstractNumId w:val="0"/>
  </w:num>
  <w:num w:numId="26">
    <w:abstractNumId w:val="20"/>
  </w:num>
  <w:num w:numId="27">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9F4"/>
    <w:rsid w:val="000B5113"/>
    <w:rsid w:val="001433B0"/>
    <w:rsid w:val="001C68F2"/>
    <w:rsid w:val="00236A2A"/>
    <w:rsid w:val="00246BA4"/>
    <w:rsid w:val="003426F0"/>
    <w:rsid w:val="00351B47"/>
    <w:rsid w:val="00444C2B"/>
    <w:rsid w:val="0045383E"/>
    <w:rsid w:val="005447D0"/>
    <w:rsid w:val="00614F85"/>
    <w:rsid w:val="006A4515"/>
    <w:rsid w:val="007165A1"/>
    <w:rsid w:val="0075247D"/>
    <w:rsid w:val="007D2AE5"/>
    <w:rsid w:val="0081124F"/>
    <w:rsid w:val="00911AC2"/>
    <w:rsid w:val="009263ED"/>
    <w:rsid w:val="00930121"/>
    <w:rsid w:val="00A024AF"/>
    <w:rsid w:val="00A238F6"/>
    <w:rsid w:val="00A67768"/>
    <w:rsid w:val="00AB7C99"/>
    <w:rsid w:val="00B6774D"/>
    <w:rsid w:val="00BD49F4"/>
    <w:rsid w:val="00D36635"/>
    <w:rsid w:val="00E57E1B"/>
    <w:rsid w:val="00F15375"/>
    <w:rsid w:val="00FC19C0"/>
    <w:rsid w:val="00FE6972"/>
    <w:rsid w:val="00FF34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E93DBA9-9B7A-4EAF-B613-E29404C7C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A67768"/>
    <w:pPr>
      <w:spacing w:before="100" w:beforeAutospacing="1" w:after="100" w:afterAutospacing="1" w:line="240" w:lineRule="auto"/>
      <w:outlineLvl w:val="0"/>
    </w:pPr>
    <w:rPr>
      <w:rFonts w:ascii="Arial" w:eastAsia="Times New Roman" w:hAnsi="Arial" w:cs="Times New Roman"/>
      <w:b/>
      <w:bCs/>
      <w:color w:val="000000" w:themeColor="text1"/>
      <w:kern w:val="36"/>
      <w:szCs w:val="48"/>
    </w:rPr>
  </w:style>
  <w:style w:type="paragraph" w:styleId="Heading2">
    <w:name w:val="heading 2"/>
    <w:basedOn w:val="Normal"/>
    <w:link w:val="Heading2Char"/>
    <w:uiPriority w:val="9"/>
    <w:qFormat/>
    <w:rsid w:val="00A67768"/>
    <w:pPr>
      <w:spacing w:before="100" w:beforeAutospacing="1" w:after="100" w:afterAutospacing="1" w:line="240" w:lineRule="auto"/>
      <w:outlineLvl w:val="1"/>
    </w:pPr>
    <w:rPr>
      <w:rFonts w:ascii="Arial" w:eastAsia="Times New Roman" w:hAnsi="Arial" w:cs="Times New Roman"/>
      <w:b/>
      <w:bCs/>
      <w:color w:val="000000" w:themeColor="text1"/>
      <w:szCs w:val="36"/>
    </w:rPr>
  </w:style>
  <w:style w:type="paragraph" w:styleId="Heading3">
    <w:name w:val="heading 3"/>
    <w:basedOn w:val="Normal"/>
    <w:link w:val="Heading3Char"/>
    <w:uiPriority w:val="9"/>
    <w:qFormat/>
    <w:rsid w:val="00BD49F4"/>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BD49F4"/>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768"/>
    <w:rPr>
      <w:rFonts w:ascii="Arial" w:eastAsia="Times New Roman" w:hAnsi="Arial" w:cs="Times New Roman"/>
      <w:b/>
      <w:bCs/>
      <w:color w:val="000000" w:themeColor="text1"/>
      <w:kern w:val="36"/>
      <w:szCs w:val="48"/>
    </w:rPr>
  </w:style>
  <w:style w:type="character" w:customStyle="1" w:styleId="Heading2Char">
    <w:name w:val="Heading 2 Char"/>
    <w:basedOn w:val="DefaultParagraphFont"/>
    <w:link w:val="Heading2"/>
    <w:uiPriority w:val="9"/>
    <w:rsid w:val="00A67768"/>
    <w:rPr>
      <w:rFonts w:ascii="Arial" w:eastAsia="Times New Roman" w:hAnsi="Arial" w:cs="Times New Roman"/>
      <w:b/>
      <w:bCs/>
      <w:color w:val="000000" w:themeColor="text1"/>
      <w:szCs w:val="36"/>
    </w:rPr>
  </w:style>
  <w:style w:type="character" w:customStyle="1" w:styleId="Heading3Char">
    <w:name w:val="Heading 3 Char"/>
    <w:basedOn w:val="DefaultParagraphFont"/>
    <w:link w:val="Heading3"/>
    <w:uiPriority w:val="9"/>
    <w:rsid w:val="00BD49F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BD49F4"/>
    <w:rPr>
      <w:rFonts w:ascii="Times New Roman" w:eastAsia="Times New Roman" w:hAnsi="Times New Roman" w:cs="Times New Roman"/>
      <w:b/>
      <w:bCs/>
      <w:sz w:val="24"/>
      <w:szCs w:val="24"/>
    </w:rPr>
  </w:style>
  <w:style w:type="paragraph" w:styleId="NormalWeb">
    <w:name w:val="Normal (Web)"/>
    <w:basedOn w:val="Normal"/>
    <w:uiPriority w:val="99"/>
    <w:unhideWhenUsed/>
    <w:rsid w:val="00BD49F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D49F4"/>
    <w:rPr>
      <w:b/>
      <w:bCs/>
    </w:rPr>
  </w:style>
  <w:style w:type="character" w:styleId="Emphasis">
    <w:name w:val="Emphasis"/>
    <w:basedOn w:val="DefaultParagraphFont"/>
    <w:uiPriority w:val="20"/>
    <w:qFormat/>
    <w:rsid w:val="00BD49F4"/>
    <w:rPr>
      <w:i/>
      <w:iCs/>
    </w:rPr>
  </w:style>
  <w:style w:type="character" w:styleId="Hyperlink">
    <w:name w:val="Hyperlink"/>
    <w:basedOn w:val="DefaultParagraphFont"/>
    <w:uiPriority w:val="99"/>
    <w:unhideWhenUsed/>
    <w:rsid w:val="00BD49F4"/>
    <w:rPr>
      <w:color w:val="0000FF"/>
      <w:u w:val="single"/>
    </w:rPr>
  </w:style>
  <w:style w:type="paragraph" w:styleId="Bibliography">
    <w:name w:val="Bibliography"/>
    <w:basedOn w:val="Normal"/>
    <w:next w:val="Normal"/>
    <w:uiPriority w:val="37"/>
    <w:unhideWhenUsed/>
    <w:rsid w:val="00A67768"/>
  </w:style>
  <w:style w:type="paragraph" w:styleId="Header">
    <w:name w:val="header"/>
    <w:basedOn w:val="Normal"/>
    <w:link w:val="HeaderChar"/>
    <w:uiPriority w:val="99"/>
    <w:unhideWhenUsed/>
    <w:rsid w:val="00A677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67768"/>
  </w:style>
  <w:style w:type="paragraph" w:styleId="Footer">
    <w:name w:val="footer"/>
    <w:basedOn w:val="Normal"/>
    <w:link w:val="FooterChar"/>
    <w:uiPriority w:val="99"/>
    <w:unhideWhenUsed/>
    <w:rsid w:val="00A677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67768"/>
  </w:style>
  <w:style w:type="paragraph" w:styleId="TOCHeading">
    <w:name w:val="TOC Heading"/>
    <w:basedOn w:val="Heading1"/>
    <w:next w:val="Normal"/>
    <w:uiPriority w:val="39"/>
    <w:unhideWhenUsed/>
    <w:qFormat/>
    <w:rsid w:val="00A024AF"/>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A024AF"/>
    <w:pPr>
      <w:spacing w:after="100"/>
    </w:pPr>
  </w:style>
  <w:style w:type="paragraph" w:styleId="TOC2">
    <w:name w:val="toc 2"/>
    <w:basedOn w:val="Normal"/>
    <w:next w:val="Normal"/>
    <w:autoRedefine/>
    <w:uiPriority w:val="39"/>
    <w:unhideWhenUsed/>
    <w:rsid w:val="00A024AF"/>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4132126">
      <w:bodyDiv w:val="1"/>
      <w:marLeft w:val="0"/>
      <w:marRight w:val="0"/>
      <w:marTop w:val="0"/>
      <w:marBottom w:val="0"/>
      <w:divBdr>
        <w:top w:val="none" w:sz="0" w:space="0" w:color="auto"/>
        <w:left w:val="none" w:sz="0" w:space="0" w:color="auto"/>
        <w:bottom w:val="none" w:sz="0" w:space="0" w:color="auto"/>
        <w:right w:val="none" w:sz="0" w:space="0" w:color="auto"/>
      </w:divBdr>
    </w:div>
    <w:div w:id="149905385">
      <w:bodyDiv w:val="1"/>
      <w:marLeft w:val="0"/>
      <w:marRight w:val="0"/>
      <w:marTop w:val="0"/>
      <w:marBottom w:val="0"/>
      <w:divBdr>
        <w:top w:val="none" w:sz="0" w:space="0" w:color="auto"/>
        <w:left w:val="none" w:sz="0" w:space="0" w:color="auto"/>
        <w:bottom w:val="none" w:sz="0" w:space="0" w:color="auto"/>
        <w:right w:val="none" w:sz="0" w:space="0" w:color="auto"/>
      </w:divBdr>
    </w:div>
    <w:div w:id="379284841">
      <w:bodyDiv w:val="1"/>
      <w:marLeft w:val="0"/>
      <w:marRight w:val="0"/>
      <w:marTop w:val="0"/>
      <w:marBottom w:val="0"/>
      <w:divBdr>
        <w:top w:val="none" w:sz="0" w:space="0" w:color="auto"/>
        <w:left w:val="none" w:sz="0" w:space="0" w:color="auto"/>
        <w:bottom w:val="none" w:sz="0" w:space="0" w:color="auto"/>
        <w:right w:val="none" w:sz="0" w:space="0" w:color="auto"/>
      </w:divBdr>
    </w:div>
    <w:div w:id="610670848">
      <w:bodyDiv w:val="1"/>
      <w:marLeft w:val="0"/>
      <w:marRight w:val="0"/>
      <w:marTop w:val="0"/>
      <w:marBottom w:val="0"/>
      <w:divBdr>
        <w:top w:val="none" w:sz="0" w:space="0" w:color="auto"/>
        <w:left w:val="none" w:sz="0" w:space="0" w:color="auto"/>
        <w:bottom w:val="none" w:sz="0" w:space="0" w:color="auto"/>
        <w:right w:val="none" w:sz="0" w:space="0" w:color="auto"/>
      </w:divBdr>
    </w:div>
    <w:div w:id="768238499">
      <w:bodyDiv w:val="1"/>
      <w:marLeft w:val="0"/>
      <w:marRight w:val="0"/>
      <w:marTop w:val="0"/>
      <w:marBottom w:val="0"/>
      <w:divBdr>
        <w:top w:val="none" w:sz="0" w:space="0" w:color="auto"/>
        <w:left w:val="none" w:sz="0" w:space="0" w:color="auto"/>
        <w:bottom w:val="none" w:sz="0" w:space="0" w:color="auto"/>
        <w:right w:val="none" w:sz="0" w:space="0" w:color="auto"/>
      </w:divBdr>
    </w:div>
    <w:div w:id="830024429">
      <w:bodyDiv w:val="1"/>
      <w:marLeft w:val="0"/>
      <w:marRight w:val="0"/>
      <w:marTop w:val="0"/>
      <w:marBottom w:val="0"/>
      <w:divBdr>
        <w:top w:val="none" w:sz="0" w:space="0" w:color="auto"/>
        <w:left w:val="none" w:sz="0" w:space="0" w:color="auto"/>
        <w:bottom w:val="none" w:sz="0" w:space="0" w:color="auto"/>
        <w:right w:val="none" w:sz="0" w:space="0" w:color="auto"/>
      </w:divBdr>
    </w:div>
    <w:div w:id="917639023">
      <w:bodyDiv w:val="1"/>
      <w:marLeft w:val="0"/>
      <w:marRight w:val="0"/>
      <w:marTop w:val="0"/>
      <w:marBottom w:val="0"/>
      <w:divBdr>
        <w:top w:val="none" w:sz="0" w:space="0" w:color="auto"/>
        <w:left w:val="none" w:sz="0" w:space="0" w:color="auto"/>
        <w:bottom w:val="none" w:sz="0" w:space="0" w:color="auto"/>
        <w:right w:val="none" w:sz="0" w:space="0" w:color="auto"/>
      </w:divBdr>
    </w:div>
    <w:div w:id="919488235">
      <w:bodyDiv w:val="1"/>
      <w:marLeft w:val="0"/>
      <w:marRight w:val="0"/>
      <w:marTop w:val="0"/>
      <w:marBottom w:val="0"/>
      <w:divBdr>
        <w:top w:val="none" w:sz="0" w:space="0" w:color="auto"/>
        <w:left w:val="none" w:sz="0" w:space="0" w:color="auto"/>
        <w:bottom w:val="none" w:sz="0" w:space="0" w:color="auto"/>
        <w:right w:val="none" w:sz="0" w:space="0" w:color="auto"/>
      </w:divBdr>
    </w:div>
    <w:div w:id="1011448921">
      <w:bodyDiv w:val="1"/>
      <w:marLeft w:val="0"/>
      <w:marRight w:val="0"/>
      <w:marTop w:val="0"/>
      <w:marBottom w:val="0"/>
      <w:divBdr>
        <w:top w:val="none" w:sz="0" w:space="0" w:color="auto"/>
        <w:left w:val="none" w:sz="0" w:space="0" w:color="auto"/>
        <w:bottom w:val="none" w:sz="0" w:space="0" w:color="auto"/>
        <w:right w:val="none" w:sz="0" w:space="0" w:color="auto"/>
      </w:divBdr>
    </w:div>
    <w:div w:id="1035697964">
      <w:bodyDiv w:val="1"/>
      <w:marLeft w:val="0"/>
      <w:marRight w:val="0"/>
      <w:marTop w:val="0"/>
      <w:marBottom w:val="0"/>
      <w:divBdr>
        <w:top w:val="none" w:sz="0" w:space="0" w:color="auto"/>
        <w:left w:val="none" w:sz="0" w:space="0" w:color="auto"/>
        <w:bottom w:val="none" w:sz="0" w:space="0" w:color="auto"/>
        <w:right w:val="none" w:sz="0" w:space="0" w:color="auto"/>
      </w:divBdr>
    </w:div>
    <w:div w:id="1067848452">
      <w:bodyDiv w:val="1"/>
      <w:marLeft w:val="0"/>
      <w:marRight w:val="0"/>
      <w:marTop w:val="0"/>
      <w:marBottom w:val="0"/>
      <w:divBdr>
        <w:top w:val="none" w:sz="0" w:space="0" w:color="auto"/>
        <w:left w:val="none" w:sz="0" w:space="0" w:color="auto"/>
        <w:bottom w:val="none" w:sz="0" w:space="0" w:color="auto"/>
        <w:right w:val="none" w:sz="0" w:space="0" w:color="auto"/>
      </w:divBdr>
    </w:div>
    <w:div w:id="1078867241">
      <w:bodyDiv w:val="1"/>
      <w:marLeft w:val="0"/>
      <w:marRight w:val="0"/>
      <w:marTop w:val="0"/>
      <w:marBottom w:val="0"/>
      <w:divBdr>
        <w:top w:val="none" w:sz="0" w:space="0" w:color="auto"/>
        <w:left w:val="none" w:sz="0" w:space="0" w:color="auto"/>
        <w:bottom w:val="none" w:sz="0" w:space="0" w:color="auto"/>
        <w:right w:val="none" w:sz="0" w:space="0" w:color="auto"/>
      </w:divBdr>
    </w:div>
    <w:div w:id="1090590045">
      <w:bodyDiv w:val="1"/>
      <w:marLeft w:val="0"/>
      <w:marRight w:val="0"/>
      <w:marTop w:val="0"/>
      <w:marBottom w:val="0"/>
      <w:divBdr>
        <w:top w:val="none" w:sz="0" w:space="0" w:color="auto"/>
        <w:left w:val="none" w:sz="0" w:space="0" w:color="auto"/>
        <w:bottom w:val="none" w:sz="0" w:space="0" w:color="auto"/>
        <w:right w:val="none" w:sz="0" w:space="0" w:color="auto"/>
      </w:divBdr>
    </w:div>
    <w:div w:id="1095125732">
      <w:bodyDiv w:val="1"/>
      <w:marLeft w:val="0"/>
      <w:marRight w:val="0"/>
      <w:marTop w:val="0"/>
      <w:marBottom w:val="0"/>
      <w:divBdr>
        <w:top w:val="none" w:sz="0" w:space="0" w:color="auto"/>
        <w:left w:val="none" w:sz="0" w:space="0" w:color="auto"/>
        <w:bottom w:val="none" w:sz="0" w:space="0" w:color="auto"/>
        <w:right w:val="none" w:sz="0" w:space="0" w:color="auto"/>
      </w:divBdr>
    </w:div>
    <w:div w:id="1160385396">
      <w:bodyDiv w:val="1"/>
      <w:marLeft w:val="0"/>
      <w:marRight w:val="0"/>
      <w:marTop w:val="0"/>
      <w:marBottom w:val="0"/>
      <w:divBdr>
        <w:top w:val="none" w:sz="0" w:space="0" w:color="auto"/>
        <w:left w:val="none" w:sz="0" w:space="0" w:color="auto"/>
        <w:bottom w:val="none" w:sz="0" w:space="0" w:color="auto"/>
        <w:right w:val="none" w:sz="0" w:space="0" w:color="auto"/>
      </w:divBdr>
    </w:div>
    <w:div w:id="1180002494">
      <w:bodyDiv w:val="1"/>
      <w:marLeft w:val="0"/>
      <w:marRight w:val="0"/>
      <w:marTop w:val="0"/>
      <w:marBottom w:val="0"/>
      <w:divBdr>
        <w:top w:val="none" w:sz="0" w:space="0" w:color="auto"/>
        <w:left w:val="none" w:sz="0" w:space="0" w:color="auto"/>
        <w:bottom w:val="none" w:sz="0" w:space="0" w:color="auto"/>
        <w:right w:val="none" w:sz="0" w:space="0" w:color="auto"/>
      </w:divBdr>
    </w:div>
    <w:div w:id="1344160624">
      <w:bodyDiv w:val="1"/>
      <w:marLeft w:val="0"/>
      <w:marRight w:val="0"/>
      <w:marTop w:val="0"/>
      <w:marBottom w:val="0"/>
      <w:divBdr>
        <w:top w:val="none" w:sz="0" w:space="0" w:color="auto"/>
        <w:left w:val="none" w:sz="0" w:space="0" w:color="auto"/>
        <w:bottom w:val="none" w:sz="0" w:space="0" w:color="auto"/>
        <w:right w:val="none" w:sz="0" w:space="0" w:color="auto"/>
      </w:divBdr>
    </w:div>
    <w:div w:id="1436628926">
      <w:bodyDiv w:val="1"/>
      <w:marLeft w:val="0"/>
      <w:marRight w:val="0"/>
      <w:marTop w:val="0"/>
      <w:marBottom w:val="0"/>
      <w:divBdr>
        <w:top w:val="none" w:sz="0" w:space="0" w:color="auto"/>
        <w:left w:val="none" w:sz="0" w:space="0" w:color="auto"/>
        <w:bottom w:val="none" w:sz="0" w:space="0" w:color="auto"/>
        <w:right w:val="none" w:sz="0" w:space="0" w:color="auto"/>
      </w:divBdr>
    </w:div>
    <w:div w:id="1444694163">
      <w:bodyDiv w:val="1"/>
      <w:marLeft w:val="0"/>
      <w:marRight w:val="0"/>
      <w:marTop w:val="0"/>
      <w:marBottom w:val="0"/>
      <w:divBdr>
        <w:top w:val="none" w:sz="0" w:space="0" w:color="auto"/>
        <w:left w:val="none" w:sz="0" w:space="0" w:color="auto"/>
        <w:bottom w:val="none" w:sz="0" w:space="0" w:color="auto"/>
        <w:right w:val="none" w:sz="0" w:space="0" w:color="auto"/>
      </w:divBdr>
    </w:div>
    <w:div w:id="1453667041">
      <w:bodyDiv w:val="1"/>
      <w:marLeft w:val="0"/>
      <w:marRight w:val="0"/>
      <w:marTop w:val="0"/>
      <w:marBottom w:val="0"/>
      <w:divBdr>
        <w:top w:val="none" w:sz="0" w:space="0" w:color="auto"/>
        <w:left w:val="none" w:sz="0" w:space="0" w:color="auto"/>
        <w:bottom w:val="none" w:sz="0" w:space="0" w:color="auto"/>
        <w:right w:val="none" w:sz="0" w:space="0" w:color="auto"/>
      </w:divBdr>
    </w:div>
    <w:div w:id="1626153205">
      <w:bodyDiv w:val="1"/>
      <w:marLeft w:val="0"/>
      <w:marRight w:val="0"/>
      <w:marTop w:val="0"/>
      <w:marBottom w:val="0"/>
      <w:divBdr>
        <w:top w:val="none" w:sz="0" w:space="0" w:color="auto"/>
        <w:left w:val="none" w:sz="0" w:space="0" w:color="auto"/>
        <w:bottom w:val="none" w:sz="0" w:space="0" w:color="auto"/>
        <w:right w:val="none" w:sz="0" w:space="0" w:color="auto"/>
      </w:divBdr>
    </w:div>
    <w:div w:id="1662611397">
      <w:bodyDiv w:val="1"/>
      <w:marLeft w:val="0"/>
      <w:marRight w:val="0"/>
      <w:marTop w:val="0"/>
      <w:marBottom w:val="0"/>
      <w:divBdr>
        <w:top w:val="none" w:sz="0" w:space="0" w:color="auto"/>
        <w:left w:val="none" w:sz="0" w:space="0" w:color="auto"/>
        <w:bottom w:val="none" w:sz="0" w:space="0" w:color="auto"/>
        <w:right w:val="none" w:sz="0" w:space="0" w:color="auto"/>
      </w:divBdr>
    </w:div>
    <w:div w:id="1671761690">
      <w:bodyDiv w:val="1"/>
      <w:marLeft w:val="0"/>
      <w:marRight w:val="0"/>
      <w:marTop w:val="0"/>
      <w:marBottom w:val="0"/>
      <w:divBdr>
        <w:top w:val="none" w:sz="0" w:space="0" w:color="auto"/>
        <w:left w:val="none" w:sz="0" w:space="0" w:color="auto"/>
        <w:bottom w:val="none" w:sz="0" w:space="0" w:color="auto"/>
        <w:right w:val="none" w:sz="0" w:space="0" w:color="auto"/>
      </w:divBdr>
    </w:div>
    <w:div w:id="1983775898">
      <w:bodyDiv w:val="1"/>
      <w:marLeft w:val="0"/>
      <w:marRight w:val="0"/>
      <w:marTop w:val="0"/>
      <w:marBottom w:val="0"/>
      <w:divBdr>
        <w:top w:val="none" w:sz="0" w:space="0" w:color="auto"/>
        <w:left w:val="none" w:sz="0" w:space="0" w:color="auto"/>
        <w:bottom w:val="none" w:sz="0" w:space="0" w:color="auto"/>
        <w:right w:val="none" w:sz="0" w:space="0" w:color="auto"/>
      </w:divBdr>
    </w:div>
    <w:div w:id="2145615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government/uploads/system/uploads/attachment_data/file/556596/apms-2014-full-rpt.pdf" TargetMode="External"/><Relationship Id="rId5" Type="http://schemas.openxmlformats.org/officeDocument/2006/relationships/webSettings" Target="webSettings.xml"/><Relationship Id="rId10" Type="http://schemas.openxmlformats.org/officeDocument/2006/relationships/hyperlink" Target="https://digital.nhs.uk/data-and-information/publications/statistical/mental-health-of-children-and-young-people-in-england/2023-wave-4-follow-up" TargetMode="External"/><Relationship Id="rId4" Type="http://schemas.openxmlformats.org/officeDocument/2006/relationships/settings" Target="settings.xml"/><Relationship Id="rId9" Type="http://schemas.openxmlformats.org/officeDocument/2006/relationships/hyperlink" Target="https://www.nice.org.uk/guidance/ng222"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Psy08</b:Tag>
    <b:SourceType>JournalArticle</b:SourceType>
    <b:Guid>{D61FDA49-EC60-4831-9D39-32BA1DD15429}</b:Guid>
    <b:Title>Psychotherapy for Depression in Adults: A Meta-Analysis of Comparative Outcome Studies</b:Title>
    <b:JournalName>Journal of Consulting and Clinical Psychology</b:JournalName>
    <b:Year>2008</b:Year>
    <b:Pages>909-922</b:Pages>
    <b:Volume>76</b:Volume>
    <b:Issue>6</b:Issue>
    <b:Author>
      <b:Author>
        <b:NameList>
          <b:Person>
            <b:Last>Cuijpers</b:Last>
            <b:First>Pim </b:First>
          </b:Person>
          <b:Person>
            <b:Last>Straten</b:Last>
            <b:Middle>van </b:Middle>
            <b:First>Annemieke </b:First>
          </b:Person>
          <b:Person>
            <b:Last>Andersson</b:Last>
            <b:First>Gerhard </b:First>
          </b:Person>
        </b:NameList>
      </b:Author>
    </b:Author>
    <b:RefOrder>3</b:RefOrder>
  </b:Source>
  <b:Source>
    <b:Tag>Org19</b:Tag>
    <b:SourceType>DocumentFromInternetSite</b:SourceType>
    <b:Guid>{B2A642F3-3D00-472D-BDC2-5E0559EAFB76}</b:Guid>
    <b:Title>World Health Organization - ICD-11 for Mortality and Morbidity Statistics.</b:Title>
    <b:Year>2019</b:Year>
    <b:Author>
      <b:Author>
        <b:NameList>
          <b:Person>
            <b:Last>Organization</b:Last>
            <b:First>World</b:First>
            <b:Middle>Health</b:Middle>
          </b:Person>
        </b:NameList>
      </b:Author>
    </b:Author>
    <b:URL>https://icd.who.int/en/</b:URL>
    <b:RefOrder>7</b:RefOrder>
  </b:Source>
  <b:Source>
    <b:Tag>Nat22</b:Tag>
    <b:SourceType>InternetSite</b:SourceType>
    <b:Guid>{BD587DD0-84A1-407E-8D97-27DA6B5A30C7}</b:Guid>
    <b:Title>Depression in adults: treatment and management</b:Title>
    <b:Year>2022</b:Year>
    <b:URL>https://www.nice.org.uk/guidance/ng222</b:URL>
    <b:Author>
      <b:Author>
        <b:NameList>
          <b:Person>
            <b:Last>(NICE)</b:Last>
            <b:First>National</b:First>
            <b:Middle>Institute for Health and Care Excellence</b:Middle>
          </b:Person>
        </b:NameList>
      </b:Author>
    </b:Author>
    <b:RefOrder>1</b:RefOrder>
  </b:Source>
  <b:Source>
    <b:Tag>McM16</b:Tag>
    <b:SourceType>Report</b:SourceType>
    <b:Guid>{910C82D2-CA42-4B86-9D75-E739E852F986}</b:Guid>
    <b:Title>Mental health and wellbeing in England: Adult Psychiatric Morbidity Survey 2014</b:Title>
    <b:Year>2016</b:Year>
    <b:Author>
      <b:Author>
        <b:NameList>
          <b:Person>
            <b:Last>McManus, </b:Last>
            <b:First>S. </b:First>
          </b:Person>
          <b:Person>
            <b:Last>Bebbington, </b:Last>
            <b:First>P. </b:First>
          </b:Person>
          <b:Person>
            <b:Last>Jenkins, </b:Last>
            <b:First>R. </b:First>
          </b:Person>
          <b:Person>
            <b:Last>Brugha</b:Last>
            <b:First>T. </b:First>
          </b:Person>
        </b:NameList>
      </b:Author>
    </b:Author>
    <b:Publisher>NHS Digital</b:Publisher>
    <b:RefOrder>6</b:RefOrder>
  </b:Source>
  <b:Source>
    <b:Tag>Cip18</b:Tag>
    <b:SourceType>JournalArticle</b:SourceType>
    <b:Guid>{C5DB6AF7-5070-4CB5-97B9-5DA5168B928D}</b:Guid>
    <b:Title>Antidepressants might work for people with major depression: where do we go from here?</b:Title>
    <b:Year>2018</b:Year>
    <b:JournalName>The Lancet Psychiatry</b:JournalName>
    <b:Pages>461–463</b:Pages>
    <b:Volume>5</b:Volume>
    <b:Issue>6</b:Issue>
    <b:Author>
      <b:Author>
        <b:NameList>
          <b:Person>
            <b:Last>Cipriani</b:Last>
            <b:First>Andrea </b:First>
          </b:Person>
          <b:Person>
            <b:Last>Salanti</b:Last>
            <b:First>Georgia </b:First>
          </b:Person>
          <b:Person>
            <b:Last>Furukawa</b:Last>
            <b:Middle>A</b:Middle>
            <b:First> Toshi</b:First>
          </b:Person>
          <b:Person>
            <b:Last>Egger</b:Last>
            <b:First>Matthias </b:First>
          </b:Person>
          <b:Person>
            <b:Last>Leucht</b:Last>
            <b:First>Stefan </b:First>
          </b:Person>
        </b:NameList>
      </b:Author>
    </b:Author>
    <b:RefOrder>2</b:RefOrder>
  </b:Source>
  <b:Source>
    <b:Tag>Ric06</b:Tag>
    <b:SourceType>JournalArticle</b:SourceType>
    <b:Guid>{C9636949-6EA0-414F-B0DB-9E153B1B024F}</b:Guid>
    <b:Author>
      <b:Author>
        <b:NameList>
          <b:Person>
            <b:Last>Layard</b:Last>
            <b:First>Richard</b:First>
          </b:Person>
        </b:NameList>
      </b:Author>
    </b:Author>
    <b:Title>The case for psychological treatment centres</b:Title>
    <b:JournalName>BMJ (British Medical Journal)</b:JournalName>
    <b:Year>2006</b:Year>
    <b:Pages>1030–1032</b:Pages>
    <b:Volume>332</b:Volume>
    <b:Issue>7548</b:Issue>
    <b:RefOrder>5</b:RefOrder>
  </b:Source>
  <b:Source>
    <b:Tag>NHS23</b:Tag>
    <b:SourceType>Report</b:SourceType>
    <b:Guid>{21A1B2BC-E104-4B89-8478-D8C652621A0B}</b:Guid>
    <b:Title>Mental Health of Children and Young People in England, 2023 – wave 4 follow up to the 2017 survey</b:Title>
    <b:Year>2023</b:Year>
    <b:Author>
      <b:Author>
        <b:NameList>
          <b:Person>
            <b:Last>England</b:Last>
            <b:First>NHS</b:First>
          </b:Person>
        </b:NameList>
      </b:Author>
    </b:Author>
    <b:Publisher>NHS England</b:Publisher>
    <b:RefOrder>4</b:RefOrder>
  </b:Source>
</b:Sources>
</file>

<file path=customXml/itemProps1.xml><?xml version="1.0" encoding="utf-8"?>
<ds:datastoreItem xmlns:ds="http://schemas.openxmlformats.org/officeDocument/2006/customXml" ds:itemID="{B8020DD9-7B9D-4B84-AF6A-CF41A13D28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1120</TotalTime>
  <Pages>9</Pages>
  <Words>2554</Words>
  <Characters>14559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Aysha Bi</dc:creator>
  <cp:keywords/>
  <dc:description/>
  <cp:lastModifiedBy>Dell</cp:lastModifiedBy>
  <cp:revision>20</cp:revision>
  <dcterms:created xsi:type="dcterms:W3CDTF">2026-03-19T17:23:00Z</dcterms:created>
  <dcterms:modified xsi:type="dcterms:W3CDTF">2026-03-20T13:04:00Z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5d93e81e-5c12-455c-8eb0-e4c5deb8d398</vt:lpwstr>
  </property>
</Properties>
</file>