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07443" w14:textId="436FACDD" w:rsidR="00C15B85" w:rsidRPr="00C15B85" w:rsidRDefault="001474A5" w:rsidP="00C15B85">
      <w:pPr>
        <w:rPr>
          <w:b/>
          <w:bCs/>
          <w:lang w:val="en-GB"/>
        </w:rPr>
      </w:pPr>
      <w:r>
        <w:rPr>
          <w:b/>
          <w:bCs/>
          <w:lang w:val="en-GB"/>
        </w:rPr>
        <w:t xml:space="preserve">                                   </w:t>
      </w:r>
      <w:r w:rsidR="00C15B85" w:rsidRPr="00C15B85">
        <w:rPr>
          <w:b/>
          <w:noProof/>
          <w:lang w:val="en-GB"/>
        </w:rPr>
        <w:drawing>
          <wp:inline distT="0" distB="0" distL="0" distR="0" wp14:anchorId="176B7191" wp14:editId="0865E605">
            <wp:extent cx="3383280" cy="1356360"/>
            <wp:effectExtent l="0" t="0" r="7620" b="0"/>
            <wp:docPr id="477978598"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16A8E4BE" w14:textId="77777777" w:rsidR="00C15B85" w:rsidRPr="00C15B85" w:rsidRDefault="00C15B85" w:rsidP="00C15B85">
      <w:pPr>
        <w:rPr>
          <w:b/>
          <w:bCs/>
          <w:lang w:val="en-GB"/>
        </w:rPr>
      </w:pPr>
    </w:p>
    <w:p w14:paraId="685BFB8D" w14:textId="77777777" w:rsidR="00C15B85" w:rsidRPr="00C15B85" w:rsidRDefault="00C15B85" w:rsidP="00C15B85">
      <w:pPr>
        <w:rPr>
          <w:b/>
          <w:bCs/>
          <w:lang w:val="en-GB"/>
        </w:rPr>
      </w:pPr>
    </w:p>
    <w:p w14:paraId="2BCE48B5" w14:textId="77777777" w:rsidR="00C15B85" w:rsidRPr="00C15B85" w:rsidRDefault="00C15B85" w:rsidP="00C15B85">
      <w:pPr>
        <w:rPr>
          <w:b/>
          <w:bCs/>
          <w:lang w:val="en-GB"/>
        </w:rPr>
      </w:pPr>
    </w:p>
    <w:p w14:paraId="23C82498" w14:textId="77777777" w:rsidR="00C15B85" w:rsidRPr="00C15B85" w:rsidRDefault="00C15B85" w:rsidP="00C15B85">
      <w:pPr>
        <w:rPr>
          <w:b/>
          <w:bCs/>
          <w:lang w:val="en-GB"/>
        </w:rPr>
      </w:pPr>
    </w:p>
    <w:p w14:paraId="503090B8" w14:textId="093C6EE3" w:rsidR="00C15B85" w:rsidRPr="00C15B85" w:rsidRDefault="00C15B85" w:rsidP="00C15B85">
      <w:pPr>
        <w:rPr>
          <w:b/>
          <w:bCs/>
          <w:lang w:val="en-GB"/>
        </w:rPr>
      </w:pPr>
      <w:r w:rsidRPr="00C15B85">
        <w:rPr>
          <w:b/>
          <w:bCs/>
          <w:lang w:val="en-GB"/>
        </w:rPr>
        <w:t>Student Name:</w:t>
      </w:r>
      <w:r w:rsidR="001474A5">
        <w:rPr>
          <w:b/>
          <w:bCs/>
          <w:lang w:val="en-GB"/>
        </w:rPr>
        <w:t xml:space="preserve"> Erika Giraldo</w:t>
      </w:r>
    </w:p>
    <w:p w14:paraId="722CB0D7" w14:textId="6A58B4AA" w:rsidR="00C15B85" w:rsidRPr="00C15B85" w:rsidRDefault="00C15B85" w:rsidP="00C15B85">
      <w:pPr>
        <w:rPr>
          <w:b/>
          <w:bCs/>
          <w:lang w:val="en-GB"/>
        </w:rPr>
      </w:pPr>
      <w:r w:rsidRPr="00C15B85">
        <w:rPr>
          <w:b/>
          <w:bCs/>
          <w:lang w:val="en-GB"/>
        </w:rPr>
        <w:t>Student ID:</w:t>
      </w:r>
      <w:r w:rsidR="00012491">
        <w:rPr>
          <w:b/>
          <w:bCs/>
          <w:lang w:val="en-GB"/>
        </w:rPr>
        <w:t xml:space="preserve"> 2317825</w:t>
      </w:r>
    </w:p>
    <w:p w14:paraId="37892BAE" w14:textId="77777777" w:rsidR="00C15B85" w:rsidRPr="00C15B85" w:rsidRDefault="00C15B85" w:rsidP="00C15B85">
      <w:pPr>
        <w:rPr>
          <w:b/>
          <w:bCs/>
          <w:lang w:val="en-GB"/>
        </w:rPr>
      </w:pPr>
    </w:p>
    <w:p w14:paraId="245D8A8E" w14:textId="77777777" w:rsidR="00C15B85" w:rsidRPr="00C15B85" w:rsidRDefault="00C15B85" w:rsidP="00C15B85">
      <w:pPr>
        <w:rPr>
          <w:b/>
          <w:bCs/>
          <w:lang w:val="en-GB"/>
        </w:rPr>
      </w:pPr>
    </w:p>
    <w:p w14:paraId="339922FB" w14:textId="77777777" w:rsidR="00C15B85" w:rsidRPr="00C15B85" w:rsidRDefault="00C15B85" w:rsidP="00C15B85">
      <w:pPr>
        <w:rPr>
          <w:b/>
          <w:bCs/>
          <w:lang w:val="en-GB"/>
        </w:rPr>
      </w:pPr>
      <w:r w:rsidRPr="00C15B85">
        <w:rPr>
          <w:b/>
          <w:bCs/>
          <w:lang w:val="en-GB"/>
        </w:rPr>
        <w:t>Module Name: Strategic Management</w:t>
      </w:r>
    </w:p>
    <w:p w14:paraId="14DFD645" w14:textId="77777777" w:rsidR="00C15B85" w:rsidRPr="00C15B85" w:rsidRDefault="00C15B85" w:rsidP="00C15B85">
      <w:pPr>
        <w:rPr>
          <w:b/>
          <w:bCs/>
          <w:lang w:val="en-GB"/>
        </w:rPr>
      </w:pPr>
      <w:r w:rsidRPr="00C15B85">
        <w:rPr>
          <w:b/>
          <w:bCs/>
          <w:lang w:val="en-GB"/>
        </w:rPr>
        <w:t>Module Code: LCLM6001</w:t>
      </w:r>
    </w:p>
    <w:p w14:paraId="6A2BDBCC" w14:textId="77777777" w:rsidR="00C15B85" w:rsidRPr="00C15B85" w:rsidRDefault="00C15B85" w:rsidP="00C15B85">
      <w:pPr>
        <w:rPr>
          <w:b/>
          <w:bCs/>
          <w:lang w:val="en-GB"/>
        </w:rPr>
      </w:pPr>
    </w:p>
    <w:p w14:paraId="2F9C0CEF" w14:textId="77777777" w:rsidR="00C15B85" w:rsidRPr="00C15B85" w:rsidRDefault="00C15B85" w:rsidP="00C15B85">
      <w:pPr>
        <w:rPr>
          <w:b/>
          <w:bCs/>
          <w:lang w:val="fr-FR"/>
        </w:rPr>
      </w:pPr>
      <w:r w:rsidRPr="00C15B85">
        <w:rPr>
          <w:b/>
          <w:bCs/>
          <w:lang w:val="fr-FR"/>
        </w:rPr>
        <w:t>Lecturer’s Name: Dr Laila Maazouz</w:t>
      </w:r>
    </w:p>
    <w:p w14:paraId="10A8EEEA" w14:textId="77777777" w:rsidR="00C15B85" w:rsidRPr="00C15B85" w:rsidRDefault="00C15B85" w:rsidP="00C15B85">
      <w:pPr>
        <w:rPr>
          <w:b/>
          <w:bCs/>
          <w:lang w:val="fr-FR"/>
        </w:rPr>
      </w:pPr>
    </w:p>
    <w:p w14:paraId="21167598" w14:textId="021F6ECA" w:rsidR="00C15B85" w:rsidRDefault="00C15B85" w:rsidP="00C15B85">
      <w:pPr>
        <w:rPr>
          <w:b/>
          <w:bCs/>
          <w:lang w:val="en-GB"/>
        </w:rPr>
      </w:pPr>
      <w:r w:rsidRPr="00C15B85">
        <w:rPr>
          <w:b/>
          <w:bCs/>
          <w:lang w:val="en-GB"/>
        </w:rPr>
        <w:t xml:space="preserve">Strategic Management Report </w:t>
      </w:r>
      <w:r w:rsidR="00ED6BD3">
        <w:rPr>
          <w:b/>
          <w:bCs/>
          <w:lang w:val="en-GB"/>
        </w:rPr>
        <w:t xml:space="preserve">For </w:t>
      </w:r>
    </w:p>
    <w:p w14:paraId="49FC10ED" w14:textId="688F85DE" w:rsidR="00ED6BD3" w:rsidRPr="00C15B85" w:rsidRDefault="00ED6BD3" w:rsidP="00C15B85">
      <w:pPr>
        <w:rPr>
          <w:b/>
          <w:bCs/>
          <w:lang w:val="en-GB"/>
        </w:rPr>
      </w:pPr>
      <w:r>
        <w:rPr>
          <w:b/>
          <w:bCs/>
          <w:lang w:val="en-GB"/>
        </w:rPr>
        <w:t>G</w:t>
      </w:r>
      <w:r w:rsidR="003360E5">
        <w:rPr>
          <w:b/>
          <w:bCs/>
          <w:lang w:val="en-GB"/>
        </w:rPr>
        <w:t>low</w:t>
      </w:r>
      <w:r>
        <w:rPr>
          <w:b/>
          <w:bCs/>
          <w:lang w:val="en-GB"/>
        </w:rPr>
        <w:t xml:space="preserve"> and G</w:t>
      </w:r>
      <w:r w:rsidR="003360E5">
        <w:rPr>
          <w:b/>
          <w:bCs/>
          <w:lang w:val="en-GB"/>
        </w:rPr>
        <w:t>o</w:t>
      </w:r>
      <w:r>
        <w:rPr>
          <w:b/>
          <w:bCs/>
          <w:lang w:val="en-GB"/>
        </w:rPr>
        <w:t xml:space="preserve"> Nails </w:t>
      </w:r>
    </w:p>
    <w:p w14:paraId="75A9FEEA" w14:textId="77777777" w:rsidR="00C15B85" w:rsidRPr="00C15B85" w:rsidRDefault="00C15B85" w:rsidP="00C15B85">
      <w:pPr>
        <w:rPr>
          <w:b/>
          <w:bCs/>
          <w:lang w:val="en-GB"/>
        </w:rPr>
      </w:pPr>
    </w:p>
    <w:p w14:paraId="241518CC" w14:textId="55FD965B" w:rsidR="00026116" w:rsidRPr="001F04CE" w:rsidRDefault="00026116" w:rsidP="001F04CE">
      <w:pPr>
        <w:rPr>
          <w:b/>
          <w:bCs/>
          <w:lang w:val="en-GB"/>
        </w:rPr>
      </w:pPr>
    </w:p>
    <w:p w14:paraId="62581300" w14:textId="77777777" w:rsidR="00026116" w:rsidRDefault="00026116">
      <w:pPr>
        <w:jc w:val="left"/>
      </w:pPr>
      <w:r>
        <w:br w:type="page"/>
      </w:r>
    </w:p>
    <w:sdt>
      <w:sdtPr>
        <w:rPr>
          <w:rFonts w:ascii="Arial" w:eastAsiaTheme="minorHAnsi" w:hAnsi="Arial" w:cstheme="minorBidi"/>
          <w:color w:val="auto"/>
          <w:kern w:val="2"/>
          <w:sz w:val="22"/>
          <w:szCs w:val="24"/>
          <w14:ligatures w14:val="standardContextual"/>
        </w:rPr>
        <w:id w:val="-304623640"/>
        <w:docPartObj>
          <w:docPartGallery w:val="Table of Contents"/>
          <w:docPartUnique/>
        </w:docPartObj>
      </w:sdtPr>
      <w:sdtEndPr>
        <w:rPr>
          <w:b/>
          <w:bCs/>
          <w:noProof/>
        </w:rPr>
      </w:sdtEndPr>
      <w:sdtContent>
        <w:p w14:paraId="2DBAB0B4" w14:textId="294FD6B4" w:rsidR="007243EF" w:rsidRDefault="007243EF">
          <w:pPr>
            <w:pStyle w:val="TOCHeading"/>
          </w:pPr>
          <w:r>
            <w:t>Table of Contents</w:t>
          </w:r>
        </w:p>
        <w:p w14:paraId="11DA4A7D" w14:textId="6FBC508E" w:rsidR="00476206" w:rsidRDefault="007243EF">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215142844" w:history="1">
            <w:r w:rsidR="00476206" w:rsidRPr="00DB7DE3">
              <w:rPr>
                <w:rStyle w:val="Hyperlink"/>
                <w:noProof/>
              </w:rPr>
              <w:t>Executive Summary</w:t>
            </w:r>
            <w:r w:rsidR="00476206">
              <w:rPr>
                <w:noProof/>
                <w:webHidden/>
              </w:rPr>
              <w:tab/>
            </w:r>
            <w:r w:rsidR="00476206">
              <w:rPr>
                <w:noProof/>
                <w:webHidden/>
              </w:rPr>
              <w:fldChar w:fldCharType="begin"/>
            </w:r>
            <w:r w:rsidR="00476206">
              <w:rPr>
                <w:noProof/>
                <w:webHidden/>
              </w:rPr>
              <w:instrText xml:space="preserve"> PAGEREF _Toc215142844 \h </w:instrText>
            </w:r>
            <w:r w:rsidR="00476206">
              <w:rPr>
                <w:noProof/>
                <w:webHidden/>
              </w:rPr>
            </w:r>
            <w:r w:rsidR="00476206">
              <w:rPr>
                <w:noProof/>
                <w:webHidden/>
              </w:rPr>
              <w:fldChar w:fldCharType="separate"/>
            </w:r>
            <w:r w:rsidR="00476206">
              <w:rPr>
                <w:noProof/>
                <w:webHidden/>
              </w:rPr>
              <w:t>3</w:t>
            </w:r>
            <w:r w:rsidR="00476206">
              <w:rPr>
                <w:noProof/>
                <w:webHidden/>
              </w:rPr>
              <w:fldChar w:fldCharType="end"/>
            </w:r>
          </w:hyperlink>
        </w:p>
        <w:p w14:paraId="7E68682F" w14:textId="7EBA960F" w:rsidR="00476206" w:rsidRDefault="00476206">
          <w:pPr>
            <w:pStyle w:val="TOC1"/>
            <w:tabs>
              <w:tab w:val="right" w:leader="dot" w:pos="9350"/>
            </w:tabs>
            <w:rPr>
              <w:rFonts w:asciiTheme="minorHAnsi" w:eastAsiaTheme="minorEastAsia" w:hAnsiTheme="minorHAnsi"/>
              <w:noProof/>
              <w:sz w:val="24"/>
            </w:rPr>
          </w:pPr>
          <w:hyperlink w:anchor="_Toc215142845" w:history="1">
            <w:r w:rsidRPr="00DB7DE3">
              <w:rPr>
                <w:rStyle w:val="Hyperlink"/>
                <w:noProof/>
              </w:rPr>
              <w:t>Introduction &amp; Organisational Overview</w:t>
            </w:r>
            <w:r>
              <w:rPr>
                <w:noProof/>
                <w:webHidden/>
              </w:rPr>
              <w:tab/>
            </w:r>
            <w:r>
              <w:rPr>
                <w:noProof/>
                <w:webHidden/>
              </w:rPr>
              <w:fldChar w:fldCharType="begin"/>
            </w:r>
            <w:r>
              <w:rPr>
                <w:noProof/>
                <w:webHidden/>
              </w:rPr>
              <w:instrText xml:space="preserve"> PAGEREF _Toc215142845 \h </w:instrText>
            </w:r>
            <w:r>
              <w:rPr>
                <w:noProof/>
                <w:webHidden/>
              </w:rPr>
            </w:r>
            <w:r>
              <w:rPr>
                <w:noProof/>
                <w:webHidden/>
              </w:rPr>
              <w:fldChar w:fldCharType="separate"/>
            </w:r>
            <w:r>
              <w:rPr>
                <w:noProof/>
                <w:webHidden/>
              </w:rPr>
              <w:t>4</w:t>
            </w:r>
            <w:r>
              <w:rPr>
                <w:noProof/>
                <w:webHidden/>
              </w:rPr>
              <w:fldChar w:fldCharType="end"/>
            </w:r>
          </w:hyperlink>
        </w:p>
        <w:p w14:paraId="0671DDEC" w14:textId="601C0C68" w:rsidR="00476206" w:rsidRDefault="00476206">
          <w:pPr>
            <w:pStyle w:val="TOC1"/>
            <w:tabs>
              <w:tab w:val="right" w:leader="dot" w:pos="9350"/>
            </w:tabs>
            <w:rPr>
              <w:rFonts w:asciiTheme="minorHAnsi" w:eastAsiaTheme="minorEastAsia" w:hAnsiTheme="minorHAnsi"/>
              <w:noProof/>
              <w:sz w:val="24"/>
            </w:rPr>
          </w:pPr>
          <w:hyperlink w:anchor="_Toc215142846" w:history="1">
            <w:r w:rsidRPr="00DB7DE3">
              <w:rPr>
                <w:rStyle w:val="Hyperlink"/>
                <w:noProof/>
              </w:rPr>
              <w:t>Current Strategic Direction: Mission, Vision &amp; Objectives</w:t>
            </w:r>
            <w:r>
              <w:rPr>
                <w:noProof/>
                <w:webHidden/>
              </w:rPr>
              <w:tab/>
            </w:r>
            <w:r>
              <w:rPr>
                <w:noProof/>
                <w:webHidden/>
              </w:rPr>
              <w:fldChar w:fldCharType="begin"/>
            </w:r>
            <w:r>
              <w:rPr>
                <w:noProof/>
                <w:webHidden/>
              </w:rPr>
              <w:instrText xml:space="preserve"> PAGEREF _Toc215142846 \h </w:instrText>
            </w:r>
            <w:r>
              <w:rPr>
                <w:noProof/>
                <w:webHidden/>
              </w:rPr>
            </w:r>
            <w:r>
              <w:rPr>
                <w:noProof/>
                <w:webHidden/>
              </w:rPr>
              <w:fldChar w:fldCharType="separate"/>
            </w:r>
            <w:r>
              <w:rPr>
                <w:noProof/>
                <w:webHidden/>
              </w:rPr>
              <w:t>5</w:t>
            </w:r>
            <w:r>
              <w:rPr>
                <w:noProof/>
                <w:webHidden/>
              </w:rPr>
              <w:fldChar w:fldCharType="end"/>
            </w:r>
          </w:hyperlink>
        </w:p>
        <w:p w14:paraId="595B4A2D" w14:textId="50AB4CB2" w:rsidR="00476206" w:rsidRDefault="00476206">
          <w:pPr>
            <w:pStyle w:val="TOC1"/>
            <w:tabs>
              <w:tab w:val="right" w:leader="dot" w:pos="9350"/>
            </w:tabs>
            <w:rPr>
              <w:rFonts w:asciiTheme="minorHAnsi" w:eastAsiaTheme="minorEastAsia" w:hAnsiTheme="minorHAnsi"/>
              <w:noProof/>
              <w:sz w:val="24"/>
            </w:rPr>
          </w:pPr>
          <w:hyperlink w:anchor="_Toc215142847" w:history="1">
            <w:r w:rsidRPr="00DB7DE3">
              <w:rPr>
                <w:rStyle w:val="Hyperlink"/>
                <w:noProof/>
              </w:rPr>
              <w:t>Environmental Scan &amp; Competitive Positioning</w:t>
            </w:r>
            <w:r>
              <w:rPr>
                <w:noProof/>
                <w:webHidden/>
              </w:rPr>
              <w:tab/>
            </w:r>
            <w:r>
              <w:rPr>
                <w:noProof/>
                <w:webHidden/>
              </w:rPr>
              <w:fldChar w:fldCharType="begin"/>
            </w:r>
            <w:r>
              <w:rPr>
                <w:noProof/>
                <w:webHidden/>
              </w:rPr>
              <w:instrText xml:space="preserve"> PAGEREF _Toc215142847 \h </w:instrText>
            </w:r>
            <w:r>
              <w:rPr>
                <w:noProof/>
                <w:webHidden/>
              </w:rPr>
            </w:r>
            <w:r>
              <w:rPr>
                <w:noProof/>
                <w:webHidden/>
              </w:rPr>
              <w:fldChar w:fldCharType="separate"/>
            </w:r>
            <w:r>
              <w:rPr>
                <w:noProof/>
                <w:webHidden/>
              </w:rPr>
              <w:t>6</w:t>
            </w:r>
            <w:r>
              <w:rPr>
                <w:noProof/>
                <w:webHidden/>
              </w:rPr>
              <w:fldChar w:fldCharType="end"/>
            </w:r>
          </w:hyperlink>
        </w:p>
        <w:p w14:paraId="1E3976F8" w14:textId="56317519" w:rsidR="00476206" w:rsidRDefault="00476206">
          <w:pPr>
            <w:pStyle w:val="TOC2"/>
            <w:tabs>
              <w:tab w:val="right" w:leader="dot" w:pos="9350"/>
            </w:tabs>
            <w:rPr>
              <w:rFonts w:asciiTheme="minorHAnsi" w:eastAsiaTheme="minorEastAsia" w:hAnsiTheme="minorHAnsi"/>
              <w:noProof/>
              <w:sz w:val="24"/>
            </w:rPr>
          </w:pPr>
          <w:hyperlink w:anchor="_Toc215142848" w:history="1">
            <w:r w:rsidRPr="00DB7DE3">
              <w:rPr>
                <w:rStyle w:val="Hyperlink"/>
                <w:noProof/>
              </w:rPr>
              <w:t>Internal Environment – SWOT &amp; Value Chain</w:t>
            </w:r>
            <w:r>
              <w:rPr>
                <w:noProof/>
                <w:webHidden/>
              </w:rPr>
              <w:tab/>
            </w:r>
            <w:r>
              <w:rPr>
                <w:noProof/>
                <w:webHidden/>
              </w:rPr>
              <w:fldChar w:fldCharType="begin"/>
            </w:r>
            <w:r>
              <w:rPr>
                <w:noProof/>
                <w:webHidden/>
              </w:rPr>
              <w:instrText xml:space="preserve"> PAGEREF _Toc215142848 \h </w:instrText>
            </w:r>
            <w:r>
              <w:rPr>
                <w:noProof/>
                <w:webHidden/>
              </w:rPr>
            </w:r>
            <w:r>
              <w:rPr>
                <w:noProof/>
                <w:webHidden/>
              </w:rPr>
              <w:fldChar w:fldCharType="separate"/>
            </w:r>
            <w:r>
              <w:rPr>
                <w:noProof/>
                <w:webHidden/>
              </w:rPr>
              <w:t>6</w:t>
            </w:r>
            <w:r>
              <w:rPr>
                <w:noProof/>
                <w:webHidden/>
              </w:rPr>
              <w:fldChar w:fldCharType="end"/>
            </w:r>
          </w:hyperlink>
        </w:p>
        <w:p w14:paraId="1D95BAAC" w14:textId="6261DFE1" w:rsidR="00476206" w:rsidRDefault="00476206">
          <w:pPr>
            <w:pStyle w:val="TOC2"/>
            <w:tabs>
              <w:tab w:val="right" w:leader="dot" w:pos="9350"/>
            </w:tabs>
            <w:rPr>
              <w:rFonts w:asciiTheme="minorHAnsi" w:eastAsiaTheme="minorEastAsia" w:hAnsiTheme="minorHAnsi"/>
              <w:noProof/>
              <w:sz w:val="24"/>
            </w:rPr>
          </w:pPr>
          <w:hyperlink w:anchor="_Toc215142849" w:history="1">
            <w:r w:rsidRPr="00DB7DE3">
              <w:rPr>
                <w:rStyle w:val="Hyperlink"/>
                <w:noProof/>
              </w:rPr>
              <w:t>External Environment – PESTEL</w:t>
            </w:r>
            <w:r>
              <w:rPr>
                <w:noProof/>
                <w:webHidden/>
              </w:rPr>
              <w:tab/>
            </w:r>
            <w:r>
              <w:rPr>
                <w:noProof/>
                <w:webHidden/>
              </w:rPr>
              <w:fldChar w:fldCharType="begin"/>
            </w:r>
            <w:r>
              <w:rPr>
                <w:noProof/>
                <w:webHidden/>
              </w:rPr>
              <w:instrText xml:space="preserve"> PAGEREF _Toc215142849 \h </w:instrText>
            </w:r>
            <w:r>
              <w:rPr>
                <w:noProof/>
                <w:webHidden/>
              </w:rPr>
            </w:r>
            <w:r>
              <w:rPr>
                <w:noProof/>
                <w:webHidden/>
              </w:rPr>
              <w:fldChar w:fldCharType="separate"/>
            </w:r>
            <w:r>
              <w:rPr>
                <w:noProof/>
                <w:webHidden/>
              </w:rPr>
              <w:t>7</w:t>
            </w:r>
            <w:r>
              <w:rPr>
                <w:noProof/>
                <w:webHidden/>
              </w:rPr>
              <w:fldChar w:fldCharType="end"/>
            </w:r>
          </w:hyperlink>
        </w:p>
        <w:p w14:paraId="14272344" w14:textId="475F144E" w:rsidR="00476206" w:rsidRDefault="00476206">
          <w:pPr>
            <w:pStyle w:val="TOC2"/>
            <w:tabs>
              <w:tab w:val="right" w:leader="dot" w:pos="9350"/>
            </w:tabs>
            <w:rPr>
              <w:rFonts w:asciiTheme="minorHAnsi" w:eastAsiaTheme="minorEastAsia" w:hAnsiTheme="minorHAnsi"/>
              <w:noProof/>
              <w:sz w:val="24"/>
            </w:rPr>
          </w:pPr>
          <w:hyperlink w:anchor="_Toc215142850" w:history="1">
            <w:r w:rsidRPr="00DB7DE3">
              <w:rPr>
                <w:rStyle w:val="Hyperlink"/>
                <w:noProof/>
              </w:rPr>
              <w:t>Competitive Environment – Porter’s Five Forces</w:t>
            </w:r>
            <w:r>
              <w:rPr>
                <w:noProof/>
                <w:webHidden/>
              </w:rPr>
              <w:tab/>
            </w:r>
            <w:r>
              <w:rPr>
                <w:noProof/>
                <w:webHidden/>
              </w:rPr>
              <w:fldChar w:fldCharType="begin"/>
            </w:r>
            <w:r>
              <w:rPr>
                <w:noProof/>
                <w:webHidden/>
              </w:rPr>
              <w:instrText xml:space="preserve"> PAGEREF _Toc215142850 \h </w:instrText>
            </w:r>
            <w:r>
              <w:rPr>
                <w:noProof/>
                <w:webHidden/>
              </w:rPr>
            </w:r>
            <w:r>
              <w:rPr>
                <w:noProof/>
                <w:webHidden/>
              </w:rPr>
              <w:fldChar w:fldCharType="separate"/>
            </w:r>
            <w:r>
              <w:rPr>
                <w:noProof/>
                <w:webHidden/>
              </w:rPr>
              <w:t>8</w:t>
            </w:r>
            <w:r>
              <w:rPr>
                <w:noProof/>
                <w:webHidden/>
              </w:rPr>
              <w:fldChar w:fldCharType="end"/>
            </w:r>
          </w:hyperlink>
        </w:p>
        <w:p w14:paraId="3C80A5D2" w14:textId="414E6A37" w:rsidR="00476206" w:rsidRDefault="00476206">
          <w:pPr>
            <w:pStyle w:val="TOC1"/>
            <w:tabs>
              <w:tab w:val="right" w:leader="dot" w:pos="9350"/>
            </w:tabs>
            <w:rPr>
              <w:rFonts w:asciiTheme="minorHAnsi" w:eastAsiaTheme="minorEastAsia" w:hAnsiTheme="minorHAnsi"/>
              <w:noProof/>
              <w:sz w:val="24"/>
            </w:rPr>
          </w:pPr>
          <w:hyperlink w:anchor="_Toc215142851" w:history="1">
            <w:r w:rsidRPr="00DB7DE3">
              <w:rPr>
                <w:rStyle w:val="Hyperlink"/>
                <w:noProof/>
              </w:rPr>
              <w:t>Strategic Growth Choices for Glow &amp; Go Nails</w:t>
            </w:r>
            <w:r>
              <w:rPr>
                <w:noProof/>
                <w:webHidden/>
              </w:rPr>
              <w:tab/>
            </w:r>
            <w:r>
              <w:rPr>
                <w:noProof/>
                <w:webHidden/>
              </w:rPr>
              <w:fldChar w:fldCharType="begin"/>
            </w:r>
            <w:r>
              <w:rPr>
                <w:noProof/>
                <w:webHidden/>
              </w:rPr>
              <w:instrText xml:space="preserve"> PAGEREF _Toc215142851 \h </w:instrText>
            </w:r>
            <w:r>
              <w:rPr>
                <w:noProof/>
                <w:webHidden/>
              </w:rPr>
            </w:r>
            <w:r>
              <w:rPr>
                <w:noProof/>
                <w:webHidden/>
              </w:rPr>
              <w:fldChar w:fldCharType="separate"/>
            </w:r>
            <w:r>
              <w:rPr>
                <w:noProof/>
                <w:webHidden/>
              </w:rPr>
              <w:t>10</w:t>
            </w:r>
            <w:r>
              <w:rPr>
                <w:noProof/>
                <w:webHidden/>
              </w:rPr>
              <w:fldChar w:fldCharType="end"/>
            </w:r>
          </w:hyperlink>
        </w:p>
        <w:p w14:paraId="2E663305" w14:textId="5374C613" w:rsidR="00476206" w:rsidRDefault="00476206">
          <w:pPr>
            <w:pStyle w:val="TOC1"/>
            <w:tabs>
              <w:tab w:val="right" w:leader="dot" w:pos="9350"/>
            </w:tabs>
            <w:rPr>
              <w:rFonts w:asciiTheme="minorHAnsi" w:eastAsiaTheme="minorEastAsia" w:hAnsiTheme="minorHAnsi"/>
              <w:noProof/>
              <w:sz w:val="24"/>
            </w:rPr>
          </w:pPr>
          <w:hyperlink w:anchor="_Toc215142852" w:history="1">
            <w:r w:rsidRPr="00DB7DE3">
              <w:rPr>
                <w:rStyle w:val="Hyperlink"/>
                <w:noProof/>
              </w:rPr>
              <w:t>Stakeholder Analysis &amp; Power Evaluation</w:t>
            </w:r>
            <w:r>
              <w:rPr>
                <w:noProof/>
                <w:webHidden/>
              </w:rPr>
              <w:tab/>
            </w:r>
            <w:r>
              <w:rPr>
                <w:noProof/>
                <w:webHidden/>
              </w:rPr>
              <w:fldChar w:fldCharType="begin"/>
            </w:r>
            <w:r>
              <w:rPr>
                <w:noProof/>
                <w:webHidden/>
              </w:rPr>
              <w:instrText xml:space="preserve"> PAGEREF _Toc215142852 \h </w:instrText>
            </w:r>
            <w:r>
              <w:rPr>
                <w:noProof/>
                <w:webHidden/>
              </w:rPr>
            </w:r>
            <w:r>
              <w:rPr>
                <w:noProof/>
                <w:webHidden/>
              </w:rPr>
              <w:fldChar w:fldCharType="separate"/>
            </w:r>
            <w:r>
              <w:rPr>
                <w:noProof/>
                <w:webHidden/>
              </w:rPr>
              <w:t>11</w:t>
            </w:r>
            <w:r>
              <w:rPr>
                <w:noProof/>
                <w:webHidden/>
              </w:rPr>
              <w:fldChar w:fldCharType="end"/>
            </w:r>
          </w:hyperlink>
        </w:p>
        <w:p w14:paraId="21C01678" w14:textId="3A90F16C" w:rsidR="00476206" w:rsidRDefault="00476206">
          <w:pPr>
            <w:pStyle w:val="TOC1"/>
            <w:tabs>
              <w:tab w:val="right" w:leader="dot" w:pos="9350"/>
            </w:tabs>
            <w:rPr>
              <w:rFonts w:asciiTheme="minorHAnsi" w:eastAsiaTheme="minorEastAsia" w:hAnsiTheme="minorHAnsi"/>
              <w:noProof/>
              <w:sz w:val="24"/>
            </w:rPr>
          </w:pPr>
          <w:hyperlink w:anchor="_Toc215142853" w:history="1">
            <w:r w:rsidRPr="00DB7DE3">
              <w:rPr>
                <w:rStyle w:val="Hyperlink"/>
                <w:noProof/>
              </w:rPr>
              <w:t>Strategic Recommendations &amp; Implementation for Glow &amp; Go Nails</w:t>
            </w:r>
            <w:r>
              <w:rPr>
                <w:noProof/>
                <w:webHidden/>
              </w:rPr>
              <w:tab/>
            </w:r>
            <w:r>
              <w:rPr>
                <w:noProof/>
                <w:webHidden/>
              </w:rPr>
              <w:fldChar w:fldCharType="begin"/>
            </w:r>
            <w:r>
              <w:rPr>
                <w:noProof/>
                <w:webHidden/>
              </w:rPr>
              <w:instrText xml:space="preserve"> PAGEREF _Toc215142853 \h </w:instrText>
            </w:r>
            <w:r>
              <w:rPr>
                <w:noProof/>
                <w:webHidden/>
              </w:rPr>
            </w:r>
            <w:r>
              <w:rPr>
                <w:noProof/>
                <w:webHidden/>
              </w:rPr>
              <w:fldChar w:fldCharType="separate"/>
            </w:r>
            <w:r>
              <w:rPr>
                <w:noProof/>
                <w:webHidden/>
              </w:rPr>
              <w:t>12</w:t>
            </w:r>
            <w:r>
              <w:rPr>
                <w:noProof/>
                <w:webHidden/>
              </w:rPr>
              <w:fldChar w:fldCharType="end"/>
            </w:r>
          </w:hyperlink>
        </w:p>
        <w:p w14:paraId="612AB04A" w14:textId="0E3984C5" w:rsidR="00476206" w:rsidRDefault="00476206">
          <w:pPr>
            <w:pStyle w:val="TOC1"/>
            <w:tabs>
              <w:tab w:val="right" w:leader="dot" w:pos="9350"/>
            </w:tabs>
            <w:rPr>
              <w:rFonts w:asciiTheme="minorHAnsi" w:eastAsiaTheme="minorEastAsia" w:hAnsiTheme="minorHAnsi"/>
              <w:noProof/>
              <w:sz w:val="24"/>
            </w:rPr>
          </w:pPr>
          <w:hyperlink w:anchor="_Toc215142854" w:history="1">
            <w:r w:rsidRPr="00DB7DE3">
              <w:rPr>
                <w:rStyle w:val="Hyperlink"/>
                <w:noProof/>
              </w:rPr>
              <w:t>Conclusion</w:t>
            </w:r>
            <w:r>
              <w:rPr>
                <w:noProof/>
                <w:webHidden/>
              </w:rPr>
              <w:tab/>
            </w:r>
            <w:r>
              <w:rPr>
                <w:noProof/>
                <w:webHidden/>
              </w:rPr>
              <w:fldChar w:fldCharType="begin"/>
            </w:r>
            <w:r>
              <w:rPr>
                <w:noProof/>
                <w:webHidden/>
              </w:rPr>
              <w:instrText xml:space="preserve"> PAGEREF _Toc215142854 \h </w:instrText>
            </w:r>
            <w:r>
              <w:rPr>
                <w:noProof/>
                <w:webHidden/>
              </w:rPr>
            </w:r>
            <w:r>
              <w:rPr>
                <w:noProof/>
                <w:webHidden/>
              </w:rPr>
              <w:fldChar w:fldCharType="separate"/>
            </w:r>
            <w:r>
              <w:rPr>
                <w:noProof/>
                <w:webHidden/>
              </w:rPr>
              <w:t>13</w:t>
            </w:r>
            <w:r>
              <w:rPr>
                <w:noProof/>
                <w:webHidden/>
              </w:rPr>
              <w:fldChar w:fldCharType="end"/>
            </w:r>
          </w:hyperlink>
        </w:p>
        <w:p w14:paraId="3DB9F7A6" w14:textId="5DCDB5C4" w:rsidR="00476206" w:rsidRDefault="00476206">
          <w:pPr>
            <w:pStyle w:val="TOC1"/>
            <w:tabs>
              <w:tab w:val="right" w:leader="dot" w:pos="9350"/>
            </w:tabs>
            <w:rPr>
              <w:rFonts w:asciiTheme="minorHAnsi" w:eastAsiaTheme="minorEastAsia" w:hAnsiTheme="minorHAnsi"/>
              <w:noProof/>
              <w:sz w:val="24"/>
            </w:rPr>
          </w:pPr>
          <w:hyperlink w:anchor="_Toc215142855" w:history="1">
            <w:r w:rsidRPr="00DB7DE3">
              <w:rPr>
                <w:rStyle w:val="Hyperlink"/>
                <w:noProof/>
              </w:rPr>
              <w:t>References</w:t>
            </w:r>
            <w:r>
              <w:rPr>
                <w:noProof/>
                <w:webHidden/>
              </w:rPr>
              <w:tab/>
            </w:r>
            <w:r>
              <w:rPr>
                <w:noProof/>
                <w:webHidden/>
              </w:rPr>
              <w:fldChar w:fldCharType="begin"/>
            </w:r>
            <w:r>
              <w:rPr>
                <w:noProof/>
                <w:webHidden/>
              </w:rPr>
              <w:instrText xml:space="preserve"> PAGEREF _Toc215142855 \h </w:instrText>
            </w:r>
            <w:r>
              <w:rPr>
                <w:noProof/>
                <w:webHidden/>
              </w:rPr>
            </w:r>
            <w:r>
              <w:rPr>
                <w:noProof/>
                <w:webHidden/>
              </w:rPr>
              <w:fldChar w:fldCharType="separate"/>
            </w:r>
            <w:r>
              <w:rPr>
                <w:noProof/>
                <w:webHidden/>
              </w:rPr>
              <w:t>15</w:t>
            </w:r>
            <w:r>
              <w:rPr>
                <w:noProof/>
                <w:webHidden/>
              </w:rPr>
              <w:fldChar w:fldCharType="end"/>
            </w:r>
          </w:hyperlink>
        </w:p>
        <w:p w14:paraId="6E19C0FB" w14:textId="225E834F" w:rsidR="007243EF" w:rsidRDefault="007243EF">
          <w:r>
            <w:rPr>
              <w:b/>
              <w:bCs/>
              <w:noProof/>
            </w:rPr>
            <w:fldChar w:fldCharType="end"/>
          </w:r>
        </w:p>
      </w:sdtContent>
    </w:sdt>
    <w:p w14:paraId="7763D3FD" w14:textId="77777777" w:rsidR="00026116" w:rsidRDefault="00026116">
      <w:pPr>
        <w:jc w:val="left"/>
      </w:pPr>
      <w:r>
        <w:br w:type="page"/>
      </w:r>
    </w:p>
    <w:p w14:paraId="67CF9AE1" w14:textId="0A0AD1C7" w:rsidR="00026116" w:rsidRDefault="00026116" w:rsidP="009C7567">
      <w:pPr>
        <w:pStyle w:val="Heading1"/>
      </w:pPr>
      <w:bookmarkStart w:id="0" w:name="_Toc215142844"/>
      <w:r>
        <w:lastRenderedPageBreak/>
        <w:t>Executive Summary</w:t>
      </w:r>
      <w:bookmarkEnd w:id="0"/>
    </w:p>
    <w:p w14:paraId="61CB8B6D" w14:textId="5FEAFA2F" w:rsidR="00AA69F0" w:rsidRDefault="00AA69F0" w:rsidP="00AA69F0">
      <w:pPr>
        <w:spacing w:line="360" w:lineRule="auto"/>
      </w:pPr>
      <w:r>
        <w:t xml:space="preserve">Based in Stratford, East London, Glow &amp; Go Nails is a boutique, environmentally responsible nail salon that </w:t>
      </w:r>
      <w:r w:rsidR="00813AD4">
        <w:t>specializes</w:t>
      </w:r>
      <w:r>
        <w:t xml:space="preserve"> in vegan, cruelty-free, low toxicity nail treatments for customers interested in fashion and ethics. The salon has been able to stand out to the ever-growing sustainable beauty market due to its amazing tailored services, solid digital booking system, and entertainment aspect to self-care for students and young workers.</w:t>
      </w:r>
    </w:p>
    <w:p w14:paraId="58B0B302" w14:textId="77777777" w:rsidR="00AA69F0" w:rsidRDefault="00AA69F0" w:rsidP="00AA69F0">
      <w:pPr>
        <w:spacing w:line="360" w:lineRule="auto"/>
      </w:pPr>
      <w:r>
        <w:t>The strategic approach currently being followed is based on the eco-friendly differentiation, a specific local clientele, and a heavy focus on the digital channel, such as Instagram, online appointment scheduling. According to an internal study, the good identity of the brand, the quality of service, and sustainability credentials are the brand's strong points; limitations in capacity, dependency of the owner, and limited marketing resources are the brand's weaknesses. Opportunities identified in the external analysis include the increasing demand for beauty ethics products and the expansion of the local market, but there's a fierce competition from the low cost salons, unstable economic conditions and increased operating expenses.</w:t>
      </w:r>
    </w:p>
    <w:p w14:paraId="3347BD43" w14:textId="0DD02879" w:rsidR="00AA69F0" w:rsidRDefault="00AA69F0" w:rsidP="00AA69F0">
      <w:pPr>
        <w:spacing w:line="360" w:lineRule="auto"/>
      </w:pPr>
      <w:r>
        <w:t>A targeted differentiation approach with the aid of digital expansion is the best strategic option to grow in the long-run, helping Glow &amp; Go Nails to reinforce its unique positioning while improving customer retention and effectiveness.</w:t>
      </w:r>
    </w:p>
    <w:p w14:paraId="00262C56" w14:textId="5363B5F1" w:rsidR="00026116" w:rsidRDefault="00026116" w:rsidP="00026116">
      <w:pPr>
        <w:spacing w:line="360" w:lineRule="auto"/>
      </w:pPr>
      <w:r>
        <w:t>Strategic Recommendations (3–5 years):</w:t>
      </w:r>
    </w:p>
    <w:p w14:paraId="537F9C15" w14:textId="77777777" w:rsidR="00026116" w:rsidRDefault="00026116" w:rsidP="00026116">
      <w:pPr>
        <w:spacing w:line="360" w:lineRule="auto"/>
      </w:pPr>
      <w:r>
        <w:t xml:space="preserve">• Develop a structured digital loyalty and membership </w:t>
      </w:r>
      <w:proofErr w:type="spellStart"/>
      <w:r>
        <w:t>programme</w:t>
      </w:r>
      <w:proofErr w:type="spellEnd"/>
      <w:r>
        <w:t xml:space="preserve"> to boost repeat visits.</w:t>
      </w:r>
    </w:p>
    <w:p w14:paraId="6193BE59" w14:textId="77777777" w:rsidR="00026116" w:rsidRDefault="00026116" w:rsidP="00026116">
      <w:pPr>
        <w:spacing w:line="360" w:lineRule="auto"/>
      </w:pPr>
      <w:r>
        <w:t>• Introduce service innovations such as express treatments and nail-care workshops.</w:t>
      </w:r>
    </w:p>
    <w:p w14:paraId="7BFA5A0F" w14:textId="77777777" w:rsidR="00026116" w:rsidRDefault="00026116" w:rsidP="00026116">
      <w:pPr>
        <w:spacing w:line="360" w:lineRule="auto"/>
      </w:pPr>
      <w:r>
        <w:t>• Enhance sustainability credentials through product partnerships and recycling schemes.</w:t>
      </w:r>
    </w:p>
    <w:p w14:paraId="33C636EA" w14:textId="4E5DE9B5" w:rsidR="00026116" w:rsidRDefault="00026116" w:rsidP="00026116">
      <w:pPr>
        <w:spacing w:line="360" w:lineRule="auto"/>
      </w:pPr>
      <w:r>
        <w:t xml:space="preserve">• </w:t>
      </w:r>
      <w:proofErr w:type="spellStart"/>
      <w:r>
        <w:t>Optimise</w:t>
      </w:r>
      <w:proofErr w:type="spellEnd"/>
      <w:r>
        <w:t xml:space="preserve"> appointment scheduling and staff </w:t>
      </w:r>
      <w:proofErr w:type="spellStart"/>
      <w:r>
        <w:t>utilisation</w:t>
      </w:r>
      <w:proofErr w:type="spellEnd"/>
      <w:r>
        <w:t xml:space="preserve"> to increase capacity and revenue per hour.</w:t>
      </w:r>
    </w:p>
    <w:p w14:paraId="1E739B75" w14:textId="541FA042" w:rsidR="00026116" w:rsidRDefault="00026116">
      <w:pPr>
        <w:jc w:val="left"/>
      </w:pPr>
      <w:r>
        <w:br w:type="page"/>
      </w:r>
    </w:p>
    <w:p w14:paraId="5C53EC20" w14:textId="66606E84" w:rsidR="00026116" w:rsidRDefault="00011FB1" w:rsidP="00011FB1">
      <w:pPr>
        <w:pStyle w:val="Heading1"/>
      </w:pPr>
      <w:bookmarkStart w:id="1" w:name="_Toc215142845"/>
      <w:r w:rsidRPr="00011FB1">
        <w:lastRenderedPageBreak/>
        <w:t xml:space="preserve">Introduction &amp; </w:t>
      </w:r>
      <w:r w:rsidR="00C00D35" w:rsidRPr="00011FB1">
        <w:t>Organizational</w:t>
      </w:r>
      <w:r w:rsidRPr="00011FB1">
        <w:t xml:space="preserve"> Overview</w:t>
      </w:r>
      <w:bookmarkEnd w:id="1"/>
    </w:p>
    <w:p w14:paraId="2617C825" w14:textId="77777777" w:rsidR="00AA69F0" w:rsidRDefault="00AA69F0" w:rsidP="00AA69F0">
      <w:pPr>
        <w:spacing w:line="360" w:lineRule="auto"/>
      </w:pPr>
      <w:r>
        <w:t>This analysis reviews the independent, environmentally conscious nail salon Glow &amp; Go Nails strategic positioning and provides evidence-based recommendations for the salon's expansion in the long-term and in a sustainable way. Before offering strategic option suggestions that can be readily implemented by SMEs, the analysis will consider the salon's existing mission, vision and objectives; its internal and external environment; expectations and power of key stakeholders; and strategic growth considerations using established models.</w:t>
      </w:r>
    </w:p>
    <w:p w14:paraId="7965EEEE" w14:textId="77777777" w:rsidR="00AA69F0" w:rsidRDefault="00AA69F0" w:rsidP="00AA69F0">
      <w:pPr>
        <w:spacing w:line="360" w:lineRule="auto"/>
      </w:pPr>
      <w:r>
        <w:t>Glow &amp; Go Nails was set up in 2021 and it's being managed by a single founder-manager (</w:t>
      </w:r>
      <w:proofErr w:type="spellStart"/>
      <w:r>
        <w:t>Alnuqaydan</w:t>
      </w:r>
      <w:proofErr w:type="spellEnd"/>
      <w:r>
        <w:t xml:space="preserve">, 2024). It caters for clients from the Stratford </w:t>
      </w:r>
      <w:proofErr w:type="spellStart"/>
      <w:r>
        <w:t>neighbourhood</w:t>
      </w:r>
      <w:proofErr w:type="spellEnd"/>
      <w:r>
        <w:t xml:space="preserve"> and further afield in East London from its little salon. Express manicures, gel extensions, custom nail design, packages designed for special occasions such as a wedding or graduation are some of its main offerings. Limited walk-in is given use to supplement the company's appointment-based service model. Treatments are the main source of income, which is cuticle oils and commercial for nail care is secondary income. An on-line booking system, Instagram-driven marketing, and sporadic collaborations with local influencers, are important aspects of work a resource limitation and agility of SMEs (Kraus et al., 2019).</w:t>
      </w:r>
    </w:p>
    <w:p w14:paraId="2BA99BF3" w14:textId="568C2934" w:rsidR="00011FB1" w:rsidRDefault="00AA69F0" w:rsidP="00AA69F0">
      <w:pPr>
        <w:spacing w:line="360" w:lineRule="auto"/>
      </w:pPr>
      <w:r>
        <w:t>The heart of the value proposition of Glow &amp; Go is eco-friendly and vegan cruelty-free nail services in a clean tasteful environment and with nail art. Its strategic location as a "self-care meets sustainability" brand is distinguished from the low cost and high volume nail bars where only speed and price are their selling point.</w:t>
      </w:r>
      <w:r w:rsidR="00011FB1">
        <w:br w:type="page"/>
      </w:r>
    </w:p>
    <w:p w14:paraId="6E31E5B7" w14:textId="1D419466" w:rsidR="00011FB1" w:rsidRDefault="00011FB1" w:rsidP="00011FB1">
      <w:pPr>
        <w:pStyle w:val="Heading1"/>
      </w:pPr>
      <w:bookmarkStart w:id="2" w:name="_Toc215142846"/>
      <w:r w:rsidRPr="00011FB1">
        <w:lastRenderedPageBreak/>
        <w:t>Current Strategic Direction: Mission, Vision &amp; Objectives</w:t>
      </w:r>
      <w:bookmarkEnd w:id="2"/>
    </w:p>
    <w:p w14:paraId="12054734" w14:textId="77777777" w:rsidR="00AA69F0" w:rsidRDefault="00AA69F0" w:rsidP="00AA69F0">
      <w:pPr>
        <w:spacing w:line="360" w:lineRule="auto"/>
      </w:pPr>
      <w:r>
        <w:t xml:space="preserve">The stated goal of Glow &amp; Go Nails is "to provide high quality, eco-friendly nail services to style-conscious customers in East London, combining creativity, self-care, and sustainability." However, the company does not have a published formal mission statement. As for the target market, quality of service, and ethical positioning, this objective is rather apparent. It encourages uniqueness through an emphasis on consumers and an environmental responsibility. Nevertheless, it does not reflect explicitly on profitability or growth and it remains limited in approaching other stakeholders, such as suppliers and employees. This </w:t>
      </w:r>
      <w:proofErr w:type="spellStart"/>
      <w:r>
        <w:t>minimises</w:t>
      </w:r>
      <w:proofErr w:type="spellEnd"/>
      <w:r>
        <w:t xml:space="preserve"> the business side of strategy for a small under cost business.</w:t>
      </w:r>
    </w:p>
    <w:p w14:paraId="6F894B16" w14:textId="77777777" w:rsidR="00AA69F0" w:rsidRDefault="00AA69F0" w:rsidP="00AA69F0">
      <w:pPr>
        <w:spacing w:line="360" w:lineRule="auto"/>
      </w:pPr>
      <w:r>
        <w:t xml:space="preserve">"To become the number one sustainable nail salon brand in East London, known for ethical practices, creative design, and an exceptional customer experience by 2030" is a goal which was feasible for Glow &amp; Go. This vision, is bold but realistic; it </w:t>
      </w:r>
      <w:proofErr w:type="spellStart"/>
      <w:r>
        <w:t>emphasises</w:t>
      </w:r>
      <w:proofErr w:type="spellEnd"/>
      <w:r>
        <w:t xml:space="preserve"> regional leadership at the national scale, which is better placed to suit the resources of SMEs. The time horizon allows for the addition of building capability and possible multi-site expansion. However, there is no clue on how "leadership" will be measured (market share, reputation, ratings, or financial performance), which makes the concept still more aspirational and not operational.</w:t>
      </w:r>
    </w:p>
    <w:p w14:paraId="011289DA" w14:textId="77777777" w:rsidR="00AA69F0" w:rsidRDefault="00AA69F0" w:rsidP="00AA69F0">
      <w:pPr>
        <w:spacing w:line="360" w:lineRule="auto"/>
      </w:pPr>
      <w:r>
        <w:t>Short- to medium-term strategic goals: to expand the service range to nail care classes and structured bridal/event packages, to increase the expenditure by 10% average on every visit through premium add-ons, and to increase the repeat customer rate by 20% in two years. These goals are focused and once measured are very much SMART, specifically in regards to time, messed up-ability and alignment with the eco-luxury positioning. By enhancing brand loyalty, creating more value, and enriching the brand experience, they shamelessly serve the purpose and vision.</w:t>
      </w:r>
    </w:p>
    <w:p w14:paraId="18E61EC1" w14:textId="3F3F113D" w:rsidR="00011FB1" w:rsidRDefault="00AA69F0" w:rsidP="00AA69F0">
      <w:pPr>
        <w:spacing w:line="360" w:lineRule="auto"/>
      </w:pPr>
      <w:r>
        <w:t>Strategic coherence is only not complete though. There are no formal sustainability KPIs (e.g. percentage of certified vegan products, waste reduction goals etc.), no incremental plan for scaling up from the pilot one site, and no clear digital growth objective other than sporadic social media activity (Zarra et al., 2019). These disparities have the potential to constrain long-term strategic alternatives and undermines the eco-differentiation advantage.</w:t>
      </w:r>
      <w:r w:rsidR="00011FB1">
        <w:br w:type="page"/>
      </w:r>
    </w:p>
    <w:p w14:paraId="402425CD" w14:textId="42A305D7" w:rsidR="00011FB1" w:rsidRDefault="00011FB1" w:rsidP="00011FB1">
      <w:pPr>
        <w:pStyle w:val="Heading1"/>
      </w:pPr>
      <w:bookmarkStart w:id="3" w:name="_Toc215142847"/>
      <w:r w:rsidRPr="00011FB1">
        <w:lastRenderedPageBreak/>
        <w:t>Environmental Scan &amp; Competitive Positioning</w:t>
      </w:r>
      <w:bookmarkEnd w:id="3"/>
    </w:p>
    <w:p w14:paraId="6E979B5C" w14:textId="65718FAE" w:rsidR="00011FB1" w:rsidRDefault="00011FB1" w:rsidP="00CF0B2C">
      <w:pPr>
        <w:pStyle w:val="Heading2"/>
      </w:pPr>
      <w:bookmarkStart w:id="4" w:name="_Toc215142848"/>
      <w:r w:rsidRPr="00011FB1">
        <w:t>Internal Environment – SWOT &amp; Value Chain</w:t>
      </w:r>
      <w:bookmarkEnd w:id="4"/>
    </w:p>
    <w:p w14:paraId="3FD7727F" w14:textId="77777777" w:rsidR="00CF0B2C" w:rsidRPr="009C7567" w:rsidRDefault="00CF0B2C" w:rsidP="00CF0B2C">
      <w:pPr>
        <w:spacing w:line="360" w:lineRule="auto"/>
        <w:rPr>
          <w:b/>
          <w:bCs/>
        </w:rPr>
      </w:pPr>
      <w:r w:rsidRPr="009C7567">
        <w:rPr>
          <w:b/>
          <w:bCs/>
        </w:rPr>
        <w:t>SWOT Analysis (Glow &amp; Go-specific)</w:t>
      </w:r>
    </w:p>
    <w:p w14:paraId="236A9EE9" w14:textId="13C3BF32" w:rsidR="00476206" w:rsidRDefault="00476206" w:rsidP="00476206">
      <w:pPr>
        <w:spacing w:line="360" w:lineRule="auto"/>
      </w:pPr>
      <w:r>
        <w:t xml:space="preserve">Because of its unique ethical niche in the UK beauty market that is worth $27 Billion, and the growing demand in sustainable beauty, Glow &amp; Go Nails is built on strong internal fundamentals (Singh and Singh, 2022). A time where 38% of UK consumers claim they prefer ethical or sustainable beauty options, its strongest points are when it comes to its very unique eco-friendly positioning - vegan products, processes that do not use animal testing and low-tox services. A faithful local clientele and a high level of </w:t>
      </w:r>
      <w:r w:rsidR="0056705E">
        <w:t>customization</w:t>
      </w:r>
      <w:r>
        <w:t xml:space="preserve"> offered by qualified nail technicians are other attributes for the salon that increase perceived value. Given its SME status, its active presence on Instagram and TikTok allows it to showcase nail designs through graphics and create social proof at an economical price (</w:t>
      </w:r>
      <w:proofErr w:type="spellStart"/>
      <w:r>
        <w:t>Lydiawati</w:t>
      </w:r>
      <w:proofErr w:type="spellEnd"/>
      <w:r>
        <w:t xml:space="preserve"> </w:t>
      </w:r>
      <w:proofErr w:type="spellStart"/>
      <w:r>
        <w:t>Soelaiman</w:t>
      </w:r>
      <w:proofErr w:type="spellEnd"/>
      <w:r>
        <w:t xml:space="preserve"> et al., 2023).</w:t>
      </w:r>
    </w:p>
    <w:p w14:paraId="4C5F1B33" w14:textId="77777777" w:rsidR="00476206" w:rsidRDefault="00476206" w:rsidP="00476206">
      <w:pPr>
        <w:spacing w:line="360" w:lineRule="auto"/>
      </w:pPr>
      <w:r>
        <w:t>But there are also some glaring structural flaws of Glow &amp; Go. Due to the small space it has can only accommodate a certain number of appointments per hour, meaning that the amount of money that can be made is immediately limited. Operational fragility due to excessive dependence on owner-manager - resulting in immediate drops in productivity in the absence of the owner-manager or in the event of his or her illness. Due to the limited budget allocated for marketing, there is a restriction of investing in targeted digital advertisements. In addition, analytics abilities are inadequate; the absence of systematic measurement of client lifetime value, the profitability of services, and the return visit rate compromises strategic decision-making. Scale economies and brand visibility are limited to one location.</w:t>
      </w:r>
    </w:p>
    <w:p w14:paraId="492E1793" w14:textId="4DFAC567" w:rsidR="00476206" w:rsidRDefault="00476206" w:rsidP="00476206">
      <w:pPr>
        <w:spacing w:line="360" w:lineRule="auto"/>
      </w:pPr>
      <w:r>
        <w:t xml:space="preserve">There is a number of external opportunities. The constant </w:t>
      </w:r>
      <w:r w:rsidR="00087BFF">
        <w:t>revitalization</w:t>
      </w:r>
      <w:r>
        <w:t xml:space="preserve"> of Stratford pulls more people to the area and lends greater foot traffic to Glow &amp; Go, potentially opening up more territory for the company. Forming partnerships with similar business such as gyms, hair salons or co-working spaces could increase referral networks with little to no cost. In addition, influencer micro-collab may have more outreach to environmentally sensitive audiences. Threats remain, though, as a premium-positioned SME, it has become difficult to compete with the high level of competition from chain salons and nail bars that are offering cheap nails and coffin rates, as well as the rising cost of rents and </w:t>
      </w:r>
      <w:proofErr w:type="spellStart"/>
      <w:r>
        <w:t>labour</w:t>
      </w:r>
      <w:proofErr w:type="spellEnd"/>
      <w:r>
        <w:t>, as well as the pressure from consumers to reduce their level of discretionary spending in the ongoing cost of living crisis (Retail economics, 2021).</w:t>
      </w:r>
    </w:p>
    <w:p w14:paraId="771064C9" w14:textId="409903A8" w:rsidR="00CF0B2C" w:rsidRDefault="00CF0B2C" w:rsidP="00CF0B2C">
      <w:pPr>
        <w:spacing w:line="360" w:lineRule="auto"/>
        <w:rPr>
          <w:b/>
          <w:bCs/>
        </w:rPr>
      </w:pPr>
      <w:r w:rsidRPr="00476206">
        <w:rPr>
          <w:b/>
          <w:bCs/>
        </w:rPr>
        <w:t>Value Chain Analysis (Porter)</w:t>
      </w:r>
    </w:p>
    <w:p w14:paraId="0E0E0AC9" w14:textId="77777777" w:rsidR="00476206" w:rsidRDefault="00476206" w:rsidP="00476206">
      <w:pPr>
        <w:spacing w:line="360" w:lineRule="auto"/>
      </w:pPr>
      <w:r>
        <w:lastRenderedPageBreak/>
        <w:t xml:space="preserve">The operational and service activities of the Glow &amp; according to Glow &amp; cause the majority of its value creation. Purchasing vegan and low tox goods from </w:t>
      </w:r>
      <w:proofErr w:type="spellStart"/>
      <w:r>
        <w:t>specialised</w:t>
      </w:r>
      <w:proofErr w:type="spellEnd"/>
      <w:r>
        <w:t xml:space="preserve"> vendors encourages to stand out in the inbound </w:t>
      </w:r>
      <w:proofErr w:type="spellStart"/>
      <w:r>
        <w:t>logisticsdomain</w:t>
      </w:r>
      <w:proofErr w:type="spellEnd"/>
      <w:r>
        <w:t xml:space="preserve"> but this also raises procurement costs and leaves the salon vulnerable to supply constraints. The main value drivers are operations such as scheduling, hygienic standards, delivery of nail services and a well-planned atmosphere. Scheduling or technical </w:t>
      </w:r>
      <w:proofErr w:type="spellStart"/>
      <w:r>
        <w:t>utilisation</w:t>
      </w:r>
      <w:proofErr w:type="spellEnd"/>
      <w:r>
        <w:t xml:space="preserve"> inefficiencies reduce capacity and make a direct contribution to profitability.</w:t>
      </w:r>
    </w:p>
    <w:p w14:paraId="4BC0758B" w14:textId="77777777" w:rsidR="00476206" w:rsidRDefault="00476206" w:rsidP="00476206">
      <w:pPr>
        <w:spacing w:line="360" w:lineRule="auto"/>
      </w:pPr>
      <w:r>
        <w:t xml:space="preserve">Given its service-based business model Glow &amp; Go has little outbound logistics, but it does have to manage product inventory for the retail cuticle oils and retails polishes. Nearly all marketing and sales takes place by offline word-of-mouth, Google reviews and social media. Despite its economical nature, this strategy does not include </w:t>
      </w:r>
      <w:proofErr w:type="spellStart"/>
      <w:r>
        <w:t>organised</w:t>
      </w:r>
      <w:proofErr w:type="spellEnd"/>
      <w:r>
        <w:t xml:space="preserve"> client segmentation and KPI-linked advertising which makes it reactive rather than planned. Relationship value is created through service activities such as aftercare counselling, directly through social media messages and casually through loyalty gestures, however, the potential of customer retention is small without a structured loyalty program (Bariha, 2021).</w:t>
      </w:r>
    </w:p>
    <w:p w14:paraId="4BFDF8A2" w14:textId="316A3C00" w:rsidR="00476206" w:rsidRPr="00476206" w:rsidRDefault="00476206" w:rsidP="00476206">
      <w:pPr>
        <w:spacing w:line="360" w:lineRule="auto"/>
      </w:pPr>
      <w:r>
        <w:t xml:space="preserve">Additional limitations are uncovered by supporting activities The challenge for the industry as a whole to retain qualified technicians within an industry that is </w:t>
      </w:r>
      <w:proofErr w:type="spellStart"/>
      <w:r>
        <w:t>labour</w:t>
      </w:r>
      <w:proofErr w:type="spellEnd"/>
      <w:r>
        <w:t xml:space="preserve"> intensive is one HRM has to face. Although useful for everyday activities, technology, including social media applications and POS solutions and booking software, is not fully utilized for analytics. Due to low buy volumes, procurement has no bargaining leverage and in cases of micro-SMEs, due to irregular organizational in nature, it is difficult for them to plan for the long run and monitor performance systemically (Madzimure et al., 2020).</w:t>
      </w:r>
    </w:p>
    <w:p w14:paraId="1B900855" w14:textId="6BDD1BCC" w:rsidR="00CF0B2C" w:rsidRDefault="00CF0B2C" w:rsidP="00CF0B2C">
      <w:pPr>
        <w:pStyle w:val="Heading2"/>
      </w:pPr>
      <w:bookmarkStart w:id="5" w:name="_Toc215142849"/>
      <w:r w:rsidRPr="00CF0B2C">
        <w:t>External Environment – PESTEL</w:t>
      </w:r>
      <w:bookmarkEnd w:id="5"/>
    </w:p>
    <w:p w14:paraId="3DE6C7AE" w14:textId="23BFF3A2" w:rsidR="00476206" w:rsidRDefault="00476206" w:rsidP="00476206">
      <w:pPr>
        <w:spacing w:line="360" w:lineRule="auto"/>
      </w:pPr>
      <w:r>
        <w:t xml:space="preserve">Strict adherence to the standards of hygiene, regular inspection and licensing requirements of the local authorities </w:t>
      </w:r>
      <w:proofErr w:type="spellStart"/>
      <w:r>
        <w:t>characterise</w:t>
      </w:r>
      <w:proofErr w:type="spellEnd"/>
      <w:r>
        <w:t xml:space="preserve"> the political environment. Wage structures are also affected by employment legislation especially with the increasing National Living wage. While providing some level of stability, the rising operational costs in East London are not compensated for by the slight drop in the rate charged for the company.</w:t>
      </w:r>
    </w:p>
    <w:p w14:paraId="598736C6" w14:textId="77777777" w:rsidR="00476206" w:rsidRDefault="00476206" w:rsidP="00476206">
      <w:pPr>
        <w:spacing w:line="360" w:lineRule="auto"/>
      </w:pPr>
      <w:r>
        <w:t xml:space="preserve">The most direct threat is the state of the economy. Due to the cost-of-living issue, clients are choosing to go to less expensive salons, or lengthening the dormant times between sessions. Inflation has also driven up the cost of goods, services, and </w:t>
      </w:r>
      <w:proofErr w:type="spellStart"/>
      <w:r>
        <w:t>labour</w:t>
      </w:r>
      <w:proofErr w:type="spellEnd"/>
      <w:r>
        <w:t>, goods, which has left less margin for small businesses such as Glow &amp; Go.</w:t>
      </w:r>
    </w:p>
    <w:p w14:paraId="334D3E98" w14:textId="77777777" w:rsidR="00476206" w:rsidRDefault="00476206" w:rsidP="00476206">
      <w:pPr>
        <w:spacing w:line="360" w:lineRule="auto"/>
      </w:pPr>
      <w:r>
        <w:lastRenderedPageBreak/>
        <w:t>There is a better social environment. The need for "</w:t>
      </w:r>
      <w:proofErr w:type="spellStart"/>
      <w:r>
        <w:t>Instagrammable</w:t>
      </w:r>
      <w:proofErr w:type="spellEnd"/>
      <w:r>
        <w:t xml:space="preserve">" activities, the focus on self-care and the wellness trend all continue to expand. Growing ethical consumerism is in line with Glow &amp; Go's sustainable identity, however, consumers are placing a bigger burden on the company to </w:t>
      </w:r>
      <w:proofErr w:type="spellStart"/>
      <w:r>
        <w:t>formalise</w:t>
      </w:r>
      <w:proofErr w:type="spellEnd"/>
      <w:r>
        <w:t xml:space="preserve"> sustainability policies by seeking more proof of its ethical commitments (</w:t>
      </w:r>
      <w:proofErr w:type="spellStart"/>
      <w:r>
        <w:t>Kutaula</w:t>
      </w:r>
      <w:proofErr w:type="spellEnd"/>
      <w:r>
        <w:t xml:space="preserve"> et al., 2024).</w:t>
      </w:r>
    </w:p>
    <w:p w14:paraId="35671FF1" w14:textId="77777777" w:rsidR="00476206" w:rsidRDefault="00476206" w:rsidP="00476206">
      <w:pPr>
        <w:spacing w:line="360" w:lineRule="auto"/>
      </w:pPr>
      <w:r>
        <w:t>An example of these influences of technology is the widespread use of online reservation, contactless payment and algorithm-driven social media content. Automated content planning and AI thinking scheduling tools have the potential to make Glow &amp; Go's work rate more productive but this will not be possible without skill development.</w:t>
      </w:r>
    </w:p>
    <w:p w14:paraId="50412868" w14:textId="77777777" w:rsidR="00476206" w:rsidRDefault="00476206" w:rsidP="00476206">
      <w:pPr>
        <w:spacing w:line="360" w:lineRule="auto"/>
      </w:pPr>
      <w:r>
        <w:t>As there is an increased drive to reduce the use of hazardous chemicals and stop plastic waste, the environmental context enhances Glow &amp; Go's competitive advantage. Meeting these requirements, however, leaves the possibility for increased procurement costs as greater transparency is required.</w:t>
      </w:r>
    </w:p>
    <w:p w14:paraId="154F4619" w14:textId="6EB7FF09" w:rsidR="00CF0B2C" w:rsidRDefault="00476206" w:rsidP="00476206">
      <w:pPr>
        <w:spacing w:line="360" w:lineRule="auto"/>
      </w:pPr>
      <w:r>
        <w:t>Last but not least, the legal system has strict rules regarding cosmetics, licensing and hygiene. And since internet reviews are so visible, a non-compliance translates to an enormous reputational cost.</w:t>
      </w:r>
    </w:p>
    <w:p w14:paraId="51FD28A1" w14:textId="094ADE4F" w:rsidR="00CF0B2C" w:rsidRDefault="00CF0B2C" w:rsidP="00CF0B2C">
      <w:pPr>
        <w:pStyle w:val="Heading2"/>
      </w:pPr>
      <w:bookmarkStart w:id="6" w:name="_Toc215142850"/>
      <w:r w:rsidRPr="00CF0B2C">
        <w:t>Competitive Environment – Porter’s Five Forces</w:t>
      </w:r>
      <w:bookmarkEnd w:id="6"/>
    </w:p>
    <w:p w14:paraId="455ED028" w14:textId="77777777" w:rsidR="00476206" w:rsidRDefault="00476206" w:rsidP="00476206">
      <w:pPr>
        <w:spacing w:line="360" w:lineRule="auto"/>
      </w:pPr>
      <w:r>
        <w:t>Rivalry is intense because of the large number of low-cost salons operating in Stratford who offer quick and cheap services. Glow &amp; Go is competing on quality and sustainability, not price, but will have to stay consistent in its delivery to justify its premium.</w:t>
      </w:r>
    </w:p>
    <w:p w14:paraId="61646BF7" w14:textId="77777777" w:rsidR="00476206" w:rsidRDefault="00476206" w:rsidP="00476206">
      <w:pPr>
        <w:spacing w:line="360" w:lineRule="auto"/>
      </w:pPr>
      <w:r>
        <w:t>The threat from new entrants is moderate since capital requirements are low but because of the nature of Glow &amp; Go's reputation and aesthetic standards, this will take training and time to achieve.</w:t>
      </w:r>
    </w:p>
    <w:p w14:paraId="55CD7D37" w14:textId="44AD7116" w:rsidR="00476206" w:rsidRDefault="00476206" w:rsidP="00476206">
      <w:pPr>
        <w:spacing w:line="360" w:lineRule="auto"/>
      </w:pPr>
      <w:r>
        <w:t xml:space="preserve">The threat of substitutes is high. DIY nail kits, mobile nail technicians and alternative </w:t>
      </w:r>
      <w:proofErr w:type="spellStart"/>
      <w:r>
        <w:t>self care</w:t>
      </w:r>
      <w:proofErr w:type="spellEnd"/>
      <w:r>
        <w:t xml:space="preserve"> services offer switching choices.</w:t>
      </w:r>
    </w:p>
    <w:p w14:paraId="47498730" w14:textId="77777777" w:rsidR="00476206" w:rsidRDefault="00476206" w:rsidP="00476206">
      <w:pPr>
        <w:spacing w:line="360" w:lineRule="auto"/>
      </w:pPr>
      <w:r>
        <w:t>Supplier power is moderate as there are few options for eco-friendly brands, and they are often costlier.</w:t>
      </w:r>
    </w:p>
    <w:p w14:paraId="6AD41EF7" w14:textId="77777777" w:rsidR="00476206" w:rsidRDefault="00476206" w:rsidP="00476206">
      <w:pPr>
        <w:spacing w:line="360" w:lineRule="auto"/>
      </w:pPr>
      <w:r>
        <w:t>Customer power is still strong: switching costs are low and customer influence is also increased because of online reviews.</w:t>
      </w:r>
    </w:p>
    <w:p w14:paraId="3D22A654" w14:textId="66B4E476" w:rsidR="00CF0B2C" w:rsidRDefault="00476206" w:rsidP="00476206">
      <w:pPr>
        <w:spacing w:line="360" w:lineRule="auto"/>
      </w:pPr>
      <w:r>
        <w:lastRenderedPageBreak/>
        <w:t>Although a strong positioning of Glow &amp; Go as a premium level of environmentally conscious salon with a focus on experiences, the stylist's weaknesses, capacity constraints, economic pressures, and high market competition, led us to require a strategy that would bring the growth of its market niche, consolidation of its digital capabilities, and increase its operational effectiveness without increasing prices.</w:t>
      </w:r>
      <w:r w:rsidR="00CF0B2C">
        <w:br w:type="page"/>
      </w:r>
    </w:p>
    <w:p w14:paraId="51622156" w14:textId="40695EB7" w:rsidR="00CF0B2C" w:rsidRDefault="00CF0B2C" w:rsidP="007243EF">
      <w:pPr>
        <w:pStyle w:val="Heading1"/>
      </w:pPr>
      <w:bookmarkStart w:id="7" w:name="_Toc215142851"/>
      <w:r w:rsidRPr="00CF0B2C">
        <w:lastRenderedPageBreak/>
        <w:t>Strategic Growth Choices for Glow &amp; Go Nails</w:t>
      </w:r>
      <w:bookmarkEnd w:id="7"/>
    </w:p>
    <w:p w14:paraId="749D5860" w14:textId="77777777" w:rsidR="007243EF" w:rsidRPr="00476206" w:rsidRDefault="007243EF" w:rsidP="007243EF">
      <w:pPr>
        <w:spacing w:line="360" w:lineRule="auto"/>
        <w:rPr>
          <w:b/>
          <w:bCs/>
        </w:rPr>
      </w:pPr>
      <w:r w:rsidRPr="00476206">
        <w:rPr>
          <w:b/>
          <w:bCs/>
        </w:rPr>
        <w:t>Porter’s Generic Strategies</w:t>
      </w:r>
    </w:p>
    <w:p w14:paraId="1A73030A" w14:textId="101BDA97" w:rsidR="00476206" w:rsidRDefault="00476206" w:rsidP="00476206">
      <w:pPr>
        <w:spacing w:line="360" w:lineRule="auto"/>
      </w:pPr>
      <w:r>
        <w:t xml:space="preserve">Glow &amp; Go Nails currently employs a targeted differentiation strategy and offers high-end, environmentally responsible nail services to a well-defined and specific niche; East London clients who value style and ethics. In a market dominated by cheap and </w:t>
      </w:r>
      <w:r w:rsidR="0056705E">
        <w:t>standardized</w:t>
      </w:r>
      <w:r>
        <w:t xml:space="preserve"> salons, this strategy is consistent with its brand identity - with vegan ingredients, low-tox treatments and </w:t>
      </w:r>
      <w:r w:rsidR="0056705E">
        <w:t>customized</w:t>
      </w:r>
      <w:r>
        <w:t xml:space="preserve"> nail art providing a lot of differentiation. However, economic constraints do pose a threat to its </w:t>
      </w:r>
      <w:r w:rsidR="0056705E">
        <w:t>long-term</w:t>
      </w:r>
      <w:r>
        <w:t xml:space="preserve"> viability. Discretionary spending on cosmetic treatments has going down as a result of the current cost of living crisis, and now consumers are choosing to be led by the price, not morality. Maintaining price integrity with higher functional and experiential values presented is more challenging for Glow &amp; Go to make this differentiation since buyers still put value on sustainability (Delgado-Ballester and Fernandez </w:t>
      </w:r>
      <w:proofErr w:type="spellStart"/>
      <w:r>
        <w:t>Sabiote</w:t>
      </w:r>
      <w:proofErr w:type="spellEnd"/>
      <w:r>
        <w:t>, 2015).</w:t>
      </w:r>
    </w:p>
    <w:p w14:paraId="49486156" w14:textId="77777777" w:rsidR="00476206" w:rsidRPr="00476206" w:rsidRDefault="00476206" w:rsidP="00476206">
      <w:pPr>
        <w:spacing w:line="360" w:lineRule="auto"/>
        <w:rPr>
          <w:b/>
          <w:bCs/>
        </w:rPr>
      </w:pPr>
      <w:r w:rsidRPr="00476206">
        <w:rPr>
          <w:b/>
          <w:bCs/>
        </w:rPr>
        <w:t>Ansoff Matrix</w:t>
      </w:r>
    </w:p>
    <w:p w14:paraId="78CAFDC0" w14:textId="77777777" w:rsidR="00476206" w:rsidRDefault="00476206" w:rsidP="00476206">
      <w:pPr>
        <w:spacing w:line="360" w:lineRule="auto"/>
      </w:pPr>
      <w:r>
        <w:t>Market penetration offers little risk diversification: formal referral prizes, treatment packages, and structured loyalty schemes may increase and enhance client lifetime value and return visit rates. Increasing the use of the current capacity is perfect as there is a limited floor area.</w:t>
      </w:r>
    </w:p>
    <w:p w14:paraId="1E75A2F7" w14:textId="77777777" w:rsidR="00476206" w:rsidRDefault="00476206" w:rsidP="00476206">
      <w:pPr>
        <w:spacing w:line="360" w:lineRule="auto"/>
      </w:pPr>
      <w:r>
        <w:t>Without altering the heart of its offerings, market development strategies like collaborating with universities for student promotions, or targeting local office workers with weekday packages could target new clientele (Leng and Zhang, 2023). Given the fact that these markets are more price sensitive, the risk is medium.</w:t>
      </w:r>
    </w:p>
    <w:p w14:paraId="21F9AD15" w14:textId="77777777" w:rsidR="00476206" w:rsidRDefault="00476206" w:rsidP="00476206">
      <w:pPr>
        <w:spacing w:line="360" w:lineRule="auto"/>
      </w:pPr>
      <w:r>
        <w:t>Development of products and services is attractive on a strategic basis. Without having to add increased locations, nail care classes, digital gift cards or subscription packages (like monthly manicures), there is the option to increase revenue. These are synonymous with the brand narrative and are experiential in nature.</w:t>
      </w:r>
    </w:p>
    <w:p w14:paraId="0271BFD2" w14:textId="77777777" w:rsidR="00476206" w:rsidRDefault="00476206" w:rsidP="00476206">
      <w:pPr>
        <w:spacing w:line="360" w:lineRule="auto"/>
      </w:pPr>
      <w:r>
        <w:t>Long term individual branding potential can be gained through diversification, for example by creating own brand cuticle oil or nail care products but for a micro-SME with limited funding this means more operational and financial risk.</w:t>
      </w:r>
    </w:p>
    <w:p w14:paraId="60D88FD0" w14:textId="77777777" w:rsidR="00476206" w:rsidRPr="00476206" w:rsidRDefault="00476206" w:rsidP="00476206">
      <w:pPr>
        <w:spacing w:line="360" w:lineRule="auto"/>
        <w:rPr>
          <w:b/>
          <w:bCs/>
        </w:rPr>
      </w:pPr>
      <w:r w:rsidRPr="00476206">
        <w:rPr>
          <w:b/>
          <w:bCs/>
        </w:rPr>
        <w:t>Bowman’s Strategy Clock</w:t>
      </w:r>
    </w:p>
    <w:p w14:paraId="1A2C14F8" w14:textId="6F120510" w:rsidR="00476206" w:rsidRDefault="00476206" w:rsidP="00476206">
      <w:pPr>
        <w:spacing w:line="360" w:lineRule="auto"/>
      </w:pPr>
      <w:r>
        <w:t xml:space="preserve">At the moment, Glow &amp; Go is in Position 5 - Focused Differentiation - in which a higher perceived value justifies a slightly higher price. A little movement in the direction of a hybrid position - a better </w:t>
      </w:r>
      <w:r>
        <w:lastRenderedPageBreak/>
        <w:t xml:space="preserve">experience with competitive, transparent pricing - may go a long way in </w:t>
      </w:r>
      <w:proofErr w:type="spellStart"/>
      <w:r>
        <w:t>Augusting</w:t>
      </w:r>
      <w:proofErr w:type="spellEnd"/>
      <w:r>
        <w:t xml:space="preserve"> financial limitations. Hybrid means added value for money, loyalty points, packages and little extras, but cutting prices.</w:t>
      </w:r>
    </w:p>
    <w:p w14:paraId="7953A1E2" w14:textId="4FB97E38" w:rsidR="007243EF" w:rsidRPr="00476206" w:rsidRDefault="007243EF" w:rsidP="007243EF">
      <w:pPr>
        <w:spacing w:line="360" w:lineRule="auto"/>
        <w:rPr>
          <w:b/>
          <w:bCs/>
        </w:rPr>
      </w:pPr>
      <w:r w:rsidRPr="00476206">
        <w:rPr>
          <w:b/>
          <w:bCs/>
        </w:rPr>
        <w:t>Selected Strategic Option</w:t>
      </w:r>
    </w:p>
    <w:p w14:paraId="5E07E765" w14:textId="77777777" w:rsidR="007243EF" w:rsidRPr="007243EF" w:rsidRDefault="007243EF" w:rsidP="007243EF">
      <w:pPr>
        <w:spacing w:line="360" w:lineRule="auto"/>
      </w:pPr>
      <w:r w:rsidRPr="007243EF">
        <w:t>The most appropriate growth path is to deepen focused differentiation supported by digital-led market penetration and service development, rather than physical expansion.</w:t>
      </w:r>
    </w:p>
    <w:p w14:paraId="7044F683" w14:textId="77777777" w:rsidR="007243EF" w:rsidRPr="007243EF" w:rsidRDefault="007243EF" w:rsidP="007243EF">
      <w:pPr>
        <w:numPr>
          <w:ilvl w:val="0"/>
          <w:numId w:val="1"/>
        </w:numPr>
        <w:spacing w:line="360" w:lineRule="auto"/>
      </w:pPr>
      <w:r w:rsidRPr="007243EF">
        <w:t>Suitability: Aligns with consumer demand for ethical beauty and leverages Glow &amp; Go’s strongest assets—experience, sustainability, creativity.</w:t>
      </w:r>
    </w:p>
    <w:p w14:paraId="20B20437" w14:textId="77777777" w:rsidR="007243EF" w:rsidRPr="007243EF" w:rsidRDefault="007243EF" w:rsidP="007243EF">
      <w:pPr>
        <w:numPr>
          <w:ilvl w:val="0"/>
          <w:numId w:val="1"/>
        </w:numPr>
        <w:spacing w:line="360" w:lineRule="auto"/>
      </w:pPr>
      <w:r w:rsidRPr="007243EF">
        <w:t>Acceptability: Customers gain enhanced value without compromising brand identity; staff benefit from skill development.</w:t>
      </w:r>
    </w:p>
    <w:p w14:paraId="685878EF" w14:textId="77777777" w:rsidR="007243EF" w:rsidRPr="007243EF" w:rsidRDefault="007243EF" w:rsidP="007243EF">
      <w:pPr>
        <w:numPr>
          <w:ilvl w:val="0"/>
          <w:numId w:val="1"/>
        </w:numPr>
        <w:spacing w:line="360" w:lineRule="auto"/>
      </w:pPr>
      <w:r w:rsidRPr="007243EF">
        <w:t>Feasibility: Requires modest investment in digital tools, loyalty systems and workshop materials—achievable for an SME with limited capital.</w:t>
      </w:r>
    </w:p>
    <w:p w14:paraId="5D2B7352" w14:textId="5013961F" w:rsidR="007243EF" w:rsidRDefault="007243EF" w:rsidP="007243EF">
      <w:pPr>
        <w:pStyle w:val="Heading1"/>
      </w:pPr>
      <w:bookmarkStart w:id="8" w:name="_Toc215142852"/>
      <w:r w:rsidRPr="007243EF">
        <w:t>Stakeholder Analysis &amp; Power Evaluation</w:t>
      </w:r>
      <w:bookmarkEnd w:id="8"/>
    </w:p>
    <w:p w14:paraId="469C4CF7" w14:textId="501BFFA6" w:rsidR="007243EF" w:rsidRDefault="007243EF" w:rsidP="007243EF">
      <w:pPr>
        <w:spacing w:line="360" w:lineRule="auto"/>
      </w:pPr>
      <w:r w:rsidRPr="007243EF">
        <w:t>Key Stakeholder Identification</w:t>
      </w:r>
    </w:p>
    <w:p w14:paraId="4023FC3B" w14:textId="77777777" w:rsidR="007243EF" w:rsidRPr="007243EF" w:rsidRDefault="007243EF" w:rsidP="007243EF">
      <w:pPr>
        <w:spacing w:line="360" w:lineRule="auto"/>
      </w:pPr>
      <w:r w:rsidRPr="007243EF">
        <w:t>Glow &amp; Go Nails’ stakeholder network includes: the owner/founder, nail technicians and reception staff, customers (local residents, regular clients and occasional corporate bookings), eco-friendly product suppliers, the landlord and local council, and lenders/banks if a small business loan is in place. Each group plays a distinct role in shaping operational capacity, service quality and long-term strategy.</w:t>
      </w:r>
    </w:p>
    <w:p w14:paraId="3F9035C8" w14:textId="77777777" w:rsidR="007243EF" w:rsidRPr="007243EF" w:rsidRDefault="007243EF" w:rsidP="007243EF">
      <w:pPr>
        <w:spacing w:line="360" w:lineRule="auto"/>
        <w:rPr>
          <w:b/>
          <w:bCs/>
        </w:rPr>
      </w:pPr>
      <w:r w:rsidRPr="007243EF">
        <w:rPr>
          <w:b/>
          <w:bCs/>
        </w:rPr>
        <w:t>Mendelow’s Matrix (Power vs Interest)</w:t>
      </w:r>
    </w:p>
    <w:p w14:paraId="1A6C0509" w14:textId="77777777" w:rsidR="007243EF" w:rsidRPr="007243EF" w:rsidRDefault="007243EF" w:rsidP="007243EF">
      <w:pPr>
        <w:spacing w:line="360" w:lineRule="auto"/>
      </w:pPr>
      <w:r w:rsidRPr="007243EF">
        <w:t>Stakeholders can be positioned as follows:</w:t>
      </w:r>
    </w:p>
    <w:p w14:paraId="3D09F9C5" w14:textId="77777777" w:rsidR="007243EF" w:rsidRPr="007243EF" w:rsidRDefault="007243EF" w:rsidP="007243EF">
      <w:pPr>
        <w:numPr>
          <w:ilvl w:val="0"/>
          <w:numId w:val="2"/>
        </w:numPr>
        <w:spacing w:line="360" w:lineRule="auto"/>
      </w:pPr>
      <w:r w:rsidRPr="007243EF">
        <w:t>High power/high interest: The owner, landlord, key employees and major suppliers. The owner controls decision-making and investment. The landlord influences lease terms and rent—critical in East London’s high-cost environment. Skilled technicians significantly impact service delivery. Major suppliers hold power due to dependency on niche sustainable products.</w:t>
      </w:r>
    </w:p>
    <w:p w14:paraId="42BFC9B1" w14:textId="77777777" w:rsidR="007243EF" w:rsidRPr="007243EF" w:rsidRDefault="007243EF" w:rsidP="007243EF">
      <w:pPr>
        <w:numPr>
          <w:ilvl w:val="0"/>
          <w:numId w:val="2"/>
        </w:numPr>
        <w:spacing w:line="360" w:lineRule="auto"/>
      </w:pPr>
      <w:r w:rsidRPr="007243EF">
        <w:lastRenderedPageBreak/>
        <w:t>High power/low interest: Banks and the local council. Banks influence borrowing terms but are largely indifferent to daily operations. Councils enforce licensing and hygiene compliance but have limited concern for commercial strategy.</w:t>
      </w:r>
    </w:p>
    <w:p w14:paraId="52A95DF2" w14:textId="77777777" w:rsidR="007243EF" w:rsidRPr="007243EF" w:rsidRDefault="007243EF" w:rsidP="007243EF">
      <w:pPr>
        <w:numPr>
          <w:ilvl w:val="0"/>
          <w:numId w:val="2"/>
        </w:numPr>
        <w:spacing w:line="360" w:lineRule="auto"/>
      </w:pPr>
      <w:r w:rsidRPr="007243EF">
        <w:t>Low power/high interest: Regular customers and the local community. They rely on Glow &amp; Go for services and help sustain reputation through reviews, making their expectations important despite limited formal power.</w:t>
      </w:r>
    </w:p>
    <w:p w14:paraId="4685F42A" w14:textId="77777777" w:rsidR="007243EF" w:rsidRPr="007243EF" w:rsidRDefault="007243EF" w:rsidP="007243EF">
      <w:pPr>
        <w:numPr>
          <w:ilvl w:val="0"/>
          <w:numId w:val="2"/>
        </w:numPr>
        <w:spacing w:line="360" w:lineRule="auto"/>
      </w:pPr>
      <w:r w:rsidRPr="007243EF">
        <w:t>Low power/low interest: Occasional walk-in customers whose limited engagement gives them minimal influence.</w:t>
      </w:r>
    </w:p>
    <w:p w14:paraId="1BF4D4A3" w14:textId="77777777" w:rsidR="007243EF" w:rsidRPr="007243EF" w:rsidRDefault="007243EF" w:rsidP="007243EF">
      <w:pPr>
        <w:spacing w:line="360" w:lineRule="auto"/>
        <w:rPr>
          <w:b/>
          <w:bCs/>
        </w:rPr>
      </w:pPr>
      <w:r w:rsidRPr="007243EF">
        <w:rPr>
          <w:b/>
          <w:bCs/>
        </w:rPr>
        <w:t>Stakeholder Expectations &amp; Conflict</w:t>
      </w:r>
    </w:p>
    <w:p w14:paraId="1A8E41D7" w14:textId="08D01EAA" w:rsidR="007243EF" w:rsidRPr="007243EF" w:rsidRDefault="007243EF" w:rsidP="007243EF">
      <w:pPr>
        <w:spacing w:line="360" w:lineRule="auto"/>
      </w:pPr>
      <w:r w:rsidRPr="007243EF">
        <w:t xml:space="preserve">Employees expect fair pay, skill development and consistent hours. Customers want high-quality, ethical treatments at reasonable prices. Suppliers expect reliability and prompt payment. The owner </w:t>
      </w:r>
      <w:proofErr w:type="spellStart"/>
      <w:r w:rsidRPr="007243EF">
        <w:t>prioritises</w:t>
      </w:r>
      <w:proofErr w:type="spellEnd"/>
      <w:r w:rsidRPr="007243EF">
        <w:t xml:space="preserve"> sustained profitability and brand reputation. These expectations can conflict: maintaining premium eco-products raises costs, while employees expect competitive wages, yet customers remain price-sensitive—creating a strategic balancing challenge</w:t>
      </w:r>
      <w:r w:rsidR="00AA69F0">
        <w:t xml:space="preserve"> </w:t>
      </w:r>
      <w:r w:rsidR="00AA69F0" w:rsidRPr="00AA69F0">
        <w:t>(</w:t>
      </w:r>
      <w:proofErr w:type="spellStart"/>
      <w:r w:rsidR="00AA69F0" w:rsidRPr="00AA69F0">
        <w:t>Jerab</w:t>
      </w:r>
      <w:proofErr w:type="spellEnd"/>
      <w:r w:rsidR="00AA69F0" w:rsidRPr="00AA69F0">
        <w:t xml:space="preserve"> and Mabrouk, 2023)</w:t>
      </w:r>
      <w:r w:rsidRPr="007243EF">
        <w:t>.</w:t>
      </w:r>
    </w:p>
    <w:p w14:paraId="5E8099AA" w14:textId="77777777" w:rsidR="007243EF" w:rsidRPr="007243EF" w:rsidRDefault="007243EF" w:rsidP="007243EF">
      <w:pPr>
        <w:spacing w:line="360" w:lineRule="auto"/>
        <w:rPr>
          <w:b/>
          <w:bCs/>
        </w:rPr>
      </w:pPr>
      <w:r w:rsidRPr="007243EF">
        <w:rPr>
          <w:b/>
          <w:bCs/>
        </w:rPr>
        <w:t>RACI for New Loyalty App/Workshop Strategy</w:t>
      </w:r>
    </w:p>
    <w:p w14:paraId="0693F051" w14:textId="77777777" w:rsidR="007243EF" w:rsidRPr="007243EF" w:rsidRDefault="007243EF" w:rsidP="007243EF">
      <w:pPr>
        <w:numPr>
          <w:ilvl w:val="0"/>
          <w:numId w:val="3"/>
        </w:numPr>
        <w:spacing w:line="360" w:lineRule="auto"/>
      </w:pPr>
      <w:r w:rsidRPr="007243EF">
        <w:t>Accountable: Owner/founder</w:t>
      </w:r>
    </w:p>
    <w:p w14:paraId="747719EE" w14:textId="77777777" w:rsidR="007243EF" w:rsidRPr="007243EF" w:rsidRDefault="007243EF" w:rsidP="007243EF">
      <w:pPr>
        <w:numPr>
          <w:ilvl w:val="0"/>
          <w:numId w:val="3"/>
        </w:numPr>
        <w:spacing w:line="360" w:lineRule="auto"/>
      </w:pPr>
      <w:r w:rsidRPr="007243EF">
        <w:t>Responsible: Senior technician (training and implementation)</w:t>
      </w:r>
    </w:p>
    <w:p w14:paraId="182ABCBE" w14:textId="77777777" w:rsidR="007243EF" w:rsidRPr="007243EF" w:rsidRDefault="007243EF" w:rsidP="007243EF">
      <w:pPr>
        <w:numPr>
          <w:ilvl w:val="0"/>
          <w:numId w:val="3"/>
        </w:numPr>
        <w:spacing w:line="360" w:lineRule="auto"/>
      </w:pPr>
      <w:r w:rsidRPr="007243EF">
        <w:t>Consulted: Suppliers (for workshop materials/product bundles)</w:t>
      </w:r>
    </w:p>
    <w:p w14:paraId="3A979379" w14:textId="77777777" w:rsidR="007243EF" w:rsidRPr="007243EF" w:rsidRDefault="007243EF" w:rsidP="007243EF">
      <w:pPr>
        <w:numPr>
          <w:ilvl w:val="0"/>
          <w:numId w:val="3"/>
        </w:numPr>
        <w:spacing w:line="360" w:lineRule="auto"/>
      </w:pPr>
      <w:r w:rsidRPr="007243EF">
        <w:t>Informed: Customers (via booking app, social media)</w:t>
      </w:r>
    </w:p>
    <w:p w14:paraId="407428FA" w14:textId="0D30CD34" w:rsidR="007243EF" w:rsidRDefault="007243EF" w:rsidP="007243EF">
      <w:pPr>
        <w:pStyle w:val="Heading1"/>
      </w:pPr>
      <w:bookmarkStart w:id="9" w:name="_Toc215142853"/>
      <w:r w:rsidRPr="007243EF">
        <w:t>Strategic Recommendations &amp; Implementation for Glow &amp; Go Nails</w:t>
      </w:r>
      <w:bookmarkEnd w:id="9"/>
    </w:p>
    <w:p w14:paraId="10C354FC" w14:textId="77777777" w:rsidR="007243EF" w:rsidRPr="007243EF" w:rsidRDefault="007243EF" w:rsidP="007243EF">
      <w:pPr>
        <w:spacing w:line="360" w:lineRule="auto"/>
        <w:rPr>
          <w:b/>
          <w:bCs/>
        </w:rPr>
      </w:pPr>
      <w:r w:rsidRPr="007243EF">
        <w:rPr>
          <w:b/>
          <w:bCs/>
        </w:rPr>
        <w:t>Recommendation 1 – Strengthen Digital &amp; Loyalty Strategy</w:t>
      </w:r>
    </w:p>
    <w:p w14:paraId="6C38F2E1" w14:textId="77777777" w:rsidR="00476206" w:rsidRDefault="00476206" w:rsidP="00476206">
      <w:pPr>
        <w:spacing w:line="360" w:lineRule="auto"/>
      </w:pPr>
      <w:r>
        <w:t xml:space="preserve">Glow &amp; Go should have a formal loyalty </w:t>
      </w:r>
      <w:proofErr w:type="spellStart"/>
      <w:r>
        <w:t>programme</w:t>
      </w:r>
      <w:proofErr w:type="spellEnd"/>
      <w:r>
        <w:t xml:space="preserve"> with points, referral rewards and membership categories. The owner will spearhead development (4-6 weeks) with the help of integrations with booking systems. Staff will encourage the scheme at the appointments. Required resources: Loyalty software add-ons Money to promote through minimal spending on advertising materials. KPIs: Repeat visit rate, retention per cent, referral conversions and Instagram engagement. This helps in strengthening customer lifetime value and the mitigating effect of price sensitivity.</w:t>
      </w:r>
    </w:p>
    <w:p w14:paraId="5FCA8E75" w14:textId="77777777" w:rsidR="00476206" w:rsidRPr="00476206" w:rsidRDefault="00476206" w:rsidP="00476206">
      <w:pPr>
        <w:spacing w:line="360" w:lineRule="auto"/>
        <w:rPr>
          <w:b/>
          <w:bCs/>
        </w:rPr>
      </w:pPr>
      <w:r w:rsidRPr="00476206">
        <w:rPr>
          <w:b/>
          <w:bCs/>
        </w:rPr>
        <w:lastRenderedPageBreak/>
        <w:t xml:space="preserve">Recommendation 2 - Service &amp; Capacity </w:t>
      </w:r>
      <w:proofErr w:type="spellStart"/>
      <w:r w:rsidRPr="00476206">
        <w:rPr>
          <w:b/>
          <w:bCs/>
        </w:rPr>
        <w:t>Optimisation</w:t>
      </w:r>
      <w:proofErr w:type="spellEnd"/>
    </w:p>
    <w:p w14:paraId="78C80DEB" w14:textId="77777777" w:rsidR="00476206" w:rsidRDefault="00476206" w:rsidP="00476206">
      <w:pPr>
        <w:spacing w:line="360" w:lineRule="auto"/>
      </w:pPr>
      <w:r>
        <w:t xml:space="preserve">Glow &amp; Go, to </w:t>
      </w:r>
      <w:proofErr w:type="spellStart"/>
      <w:r>
        <w:t>maximise</w:t>
      </w:r>
      <w:proofErr w:type="spellEnd"/>
      <w:r>
        <w:t xml:space="preserve"> revenue per hour based on analytics from its booking system, should improve appointment scheduling. Introducing express 20-'30 minute services will draw in lunch break customers and reduce idle time. Cross training technicians will alleviate the dependence of the owner and enable </w:t>
      </w:r>
      <w:proofErr w:type="spellStart"/>
      <w:r>
        <w:t>rota</w:t>
      </w:r>
      <w:proofErr w:type="spellEnd"/>
      <w:r>
        <w:t xml:space="preserve"> planning. Training will be conducted by the senior technician (6 - 8 weeks). Resources include training hours, better scheduling templates and menus of service. KPIs - </w:t>
      </w:r>
      <w:proofErr w:type="spellStart"/>
      <w:r>
        <w:t>Utilisation</w:t>
      </w:r>
      <w:proofErr w:type="spellEnd"/>
      <w:r>
        <w:t xml:space="preserve"> rate, average bill per hour, number of express bookings.</w:t>
      </w:r>
    </w:p>
    <w:p w14:paraId="2DCAF465" w14:textId="77777777" w:rsidR="00476206" w:rsidRPr="00476206" w:rsidRDefault="00476206" w:rsidP="00476206">
      <w:pPr>
        <w:spacing w:line="360" w:lineRule="auto"/>
        <w:rPr>
          <w:b/>
          <w:bCs/>
        </w:rPr>
      </w:pPr>
      <w:r w:rsidRPr="00476206">
        <w:rPr>
          <w:b/>
          <w:bCs/>
        </w:rPr>
        <w:t>Recommendation 3 - Strengthen Sustainability Proposition</w:t>
      </w:r>
    </w:p>
    <w:p w14:paraId="5E0EA2A0" w14:textId="07AB6C76" w:rsidR="00476206" w:rsidRDefault="00476206" w:rsidP="00476206">
      <w:pPr>
        <w:spacing w:line="360" w:lineRule="auto"/>
      </w:pPr>
      <w:r>
        <w:t xml:space="preserve">Glow &amp; Go should </w:t>
      </w:r>
      <w:proofErr w:type="spellStart"/>
      <w:r>
        <w:t>formalise</w:t>
      </w:r>
      <w:proofErr w:type="spellEnd"/>
      <w:r>
        <w:t xml:space="preserve"> the sustainability identity by asking for a partnership on </w:t>
      </w:r>
      <w:r w:rsidR="00576FFA">
        <w:t>recognized</w:t>
      </w:r>
      <w:r>
        <w:t xml:space="preserve"> schemes (e.g. nail polish recycling, or eco-certification). This reinforces differentiation and satisfies ever-more-conscious customers. Implementation is to find a recycling partner and revise marketing materials. KPIs: percentage of recycled materials, customer awareness scores, number of mentions of sustainability-related reviews.</w:t>
      </w:r>
    </w:p>
    <w:p w14:paraId="7281CF74" w14:textId="77777777" w:rsidR="00476206" w:rsidRPr="00476206" w:rsidRDefault="00476206" w:rsidP="00476206">
      <w:pPr>
        <w:spacing w:line="360" w:lineRule="auto"/>
        <w:rPr>
          <w:b/>
          <w:bCs/>
        </w:rPr>
      </w:pPr>
      <w:r w:rsidRPr="00476206">
        <w:rPr>
          <w:b/>
          <w:bCs/>
        </w:rPr>
        <w:t>Recommendation 4 - Medium Term Growth Option</w:t>
      </w:r>
    </w:p>
    <w:p w14:paraId="458B0B7D" w14:textId="79009497" w:rsidR="007243EF" w:rsidRDefault="00476206" w:rsidP="00476206">
      <w:pPr>
        <w:spacing w:line="360" w:lineRule="auto"/>
      </w:pPr>
      <w:r>
        <w:t>Once there is improved loyalty and efficiency of operations, Glow &amp; Go should experiment with a pop-up station within a partner gym or hair salon, or try a second, small location using a chair-rental model. This has the benefit of limiting the risk while testing demand beyond Stratford. The owner will take the lead on feasibility study (3 months). Required resources: partnership agreements, part-time rental staff, small sets of equipment. KPIs: pop-up revenue numbers per week, new customer acquisition, activation to main salon appointments.</w:t>
      </w:r>
    </w:p>
    <w:p w14:paraId="546C0C2D" w14:textId="4A3102EB" w:rsidR="007243EF" w:rsidRDefault="007243EF" w:rsidP="007243EF">
      <w:pPr>
        <w:pStyle w:val="Heading1"/>
      </w:pPr>
      <w:bookmarkStart w:id="10" w:name="_Toc215142854"/>
      <w:r>
        <w:t>Conclusion</w:t>
      </w:r>
      <w:bookmarkEnd w:id="10"/>
    </w:p>
    <w:p w14:paraId="69AF5CEB" w14:textId="77777777" w:rsidR="00476206" w:rsidRDefault="00476206" w:rsidP="00476206">
      <w:pPr>
        <w:spacing w:line="360" w:lineRule="auto"/>
      </w:pPr>
      <w:r>
        <w:t xml:space="preserve">In the highly competitive beauty industry in East London, Glow &amp; Go Nails stands out as an environmental eco-friendly experience driven SME. While its weaknesses, limited capacity, owner dependence and low level of data usage require strategic attention, its strengths, ethical aspect, knowledgeable technicians, strong relationship with customers make it a strong foundation. Opportunities are presented throughout the external factors of ethical beauty trends and local </w:t>
      </w:r>
      <w:proofErr w:type="spellStart"/>
      <w:r>
        <w:t>revitalisation</w:t>
      </w:r>
      <w:proofErr w:type="spellEnd"/>
      <w:r>
        <w:t xml:space="preserve"> and the challenges experienced by consistent economics pressures and intense competition.</w:t>
      </w:r>
    </w:p>
    <w:p w14:paraId="4DEF082E" w14:textId="078C8CB9" w:rsidR="007243EF" w:rsidRDefault="00476206" w:rsidP="00476206">
      <w:pPr>
        <w:spacing w:line="360" w:lineRule="auto"/>
      </w:pPr>
      <w:r>
        <w:t xml:space="preserve">Glow &amp; Go's brand identity and resource base serve to support the proposed strategic path of distinction and support it through digital-led market penetration and service innovation. The salon </w:t>
      </w:r>
      <w:r>
        <w:lastRenderedPageBreak/>
        <w:t xml:space="preserve">may consider strengthening the resilience and long-term value by </w:t>
      </w:r>
      <w:proofErr w:type="spellStart"/>
      <w:r>
        <w:t>formalisation</w:t>
      </w:r>
      <w:proofErr w:type="spellEnd"/>
      <w:r>
        <w:t xml:space="preserve"> of loyalty programs, capacity enhancement, strengthening of sustainability standards and looking into low-risk opportunities for expansion. In the end, Glow &amp; Go's stability as a competitive company and sustainable growth will hinge greatly on its proactive stakeholder management and careful implementation.</w:t>
      </w:r>
      <w:r w:rsidR="00AA69F0">
        <w:br w:type="page"/>
      </w:r>
    </w:p>
    <w:p w14:paraId="0704EE6A" w14:textId="097184FE" w:rsidR="007243EF" w:rsidRDefault="007243EF" w:rsidP="007243EF">
      <w:pPr>
        <w:pStyle w:val="Heading1"/>
      </w:pPr>
      <w:bookmarkStart w:id="11" w:name="_Toc215142855"/>
      <w:r>
        <w:lastRenderedPageBreak/>
        <w:t>References</w:t>
      </w:r>
      <w:bookmarkEnd w:id="11"/>
    </w:p>
    <w:p w14:paraId="21AD3339" w14:textId="77777777" w:rsidR="00AA69F0" w:rsidRPr="009C7567" w:rsidRDefault="00AA69F0" w:rsidP="00AA69F0">
      <w:pPr>
        <w:spacing w:line="360" w:lineRule="auto"/>
      </w:pPr>
      <w:proofErr w:type="spellStart"/>
      <w:r w:rsidRPr="009C7567">
        <w:t>Alnuqaydan</w:t>
      </w:r>
      <w:proofErr w:type="spellEnd"/>
      <w:r w:rsidRPr="009C7567">
        <w:t xml:space="preserve">, A.M. (2024). The dark side of beauty: an in-depth analysis of the health hazards and toxicological impact of synthetic cosmetics and personal care products. </w:t>
      </w:r>
      <w:r w:rsidRPr="009C7567">
        <w:rPr>
          <w:i/>
          <w:iCs/>
        </w:rPr>
        <w:t>Frontiers in Public Health</w:t>
      </w:r>
      <w:r w:rsidRPr="009C7567">
        <w:t xml:space="preserve">, 12(1439027). </w:t>
      </w:r>
      <w:proofErr w:type="spellStart"/>
      <w:r w:rsidRPr="009C7567">
        <w:t>doi:https</w:t>
      </w:r>
      <w:proofErr w:type="spellEnd"/>
      <w:r w:rsidRPr="009C7567">
        <w:t>://doi.org/10.3389/fpubh.2024.1439027.</w:t>
      </w:r>
    </w:p>
    <w:p w14:paraId="0C92C32A" w14:textId="77777777" w:rsidR="00AA69F0" w:rsidRPr="00CD4884" w:rsidRDefault="00AA69F0" w:rsidP="00AA69F0">
      <w:pPr>
        <w:spacing w:line="360" w:lineRule="auto"/>
      </w:pPr>
      <w:r w:rsidRPr="00CD4884">
        <w:t xml:space="preserve">Bariha, P.P. (2021). Customer Loyalty Program and Retention Relationship. </w:t>
      </w:r>
      <w:r w:rsidRPr="00CD4884">
        <w:rPr>
          <w:i/>
          <w:iCs/>
        </w:rPr>
        <w:t>Psychology and Education Journal</w:t>
      </w:r>
      <w:r w:rsidRPr="00CD4884">
        <w:t xml:space="preserve">, [online] 58(1), pp.5069–5074. </w:t>
      </w:r>
      <w:proofErr w:type="spellStart"/>
      <w:r w:rsidRPr="00CD4884">
        <w:t>doi:https</w:t>
      </w:r>
      <w:proofErr w:type="spellEnd"/>
      <w:r w:rsidRPr="00CD4884">
        <w:t>://doi.org/10.17762/pae.v58i1.2012.</w:t>
      </w:r>
    </w:p>
    <w:p w14:paraId="7555D13C" w14:textId="77777777" w:rsidR="00AA69F0" w:rsidRPr="006F2CC1" w:rsidRDefault="00AA69F0" w:rsidP="00AA69F0">
      <w:pPr>
        <w:spacing w:line="360" w:lineRule="auto"/>
      </w:pPr>
      <w:r w:rsidRPr="006F2CC1">
        <w:t xml:space="preserve">Delgado-Ballester, E. and Fernandez </w:t>
      </w:r>
      <w:proofErr w:type="spellStart"/>
      <w:r w:rsidRPr="006F2CC1">
        <w:t>Sabiote</w:t>
      </w:r>
      <w:proofErr w:type="spellEnd"/>
      <w:r w:rsidRPr="006F2CC1">
        <w:t xml:space="preserve">, E. (2015). Brand experimental value versus brand functional value: which matters more for the brand? </w:t>
      </w:r>
      <w:r w:rsidRPr="006F2CC1">
        <w:rPr>
          <w:i/>
          <w:iCs/>
        </w:rPr>
        <w:t>European Journal of Marketing</w:t>
      </w:r>
      <w:r w:rsidRPr="006F2CC1">
        <w:t xml:space="preserve">, 49(11/12), pp.1857–1879. </w:t>
      </w:r>
      <w:proofErr w:type="spellStart"/>
      <w:r w:rsidRPr="006F2CC1">
        <w:t>doi:https</w:t>
      </w:r>
      <w:proofErr w:type="spellEnd"/>
      <w:r w:rsidRPr="006F2CC1">
        <w:t>://doi.org/10.1108/ejm-02-2014-0129.</w:t>
      </w:r>
    </w:p>
    <w:p w14:paraId="7848E6BA" w14:textId="77777777" w:rsidR="00AA69F0" w:rsidRPr="00AA69F0" w:rsidRDefault="00AA69F0" w:rsidP="00AA69F0">
      <w:pPr>
        <w:spacing w:line="360" w:lineRule="auto"/>
      </w:pPr>
      <w:proofErr w:type="spellStart"/>
      <w:r w:rsidRPr="00AA69F0">
        <w:t>Jerab</w:t>
      </w:r>
      <w:proofErr w:type="spellEnd"/>
      <w:r w:rsidRPr="00AA69F0">
        <w:t xml:space="preserve">, D. and Mabrouk, T. (2023). </w:t>
      </w:r>
      <w:r w:rsidRPr="00AA69F0">
        <w:rPr>
          <w:i/>
          <w:iCs/>
        </w:rPr>
        <w:t>Achieving competitive advantage through cost leadership strategy: Strategies for sustainable success</w:t>
      </w:r>
      <w:r w:rsidRPr="00AA69F0">
        <w:t xml:space="preserve">. [online] Social Science Research Network. </w:t>
      </w:r>
      <w:proofErr w:type="spellStart"/>
      <w:r w:rsidRPr="00AA69F0">
        <w:t>doi:https</w:t>
      </w:r>
      <w:proofErr w:type="spellEnd"/>
      <w:r w:rsidRPr="00AA69F0">
        <w:t>://doi.org/10.2139/ssrn.4574945.</w:t>
      </w:r>
    </w:p>
    <w:p w14:paraId="1FC85832" w14:textId="77777777" w:rsidR="00AA69F0" w:rsidRPr="009C7567" w:rsidRDefault="00AA69F0" w:rsidP="00AA69F0">
      <w:pPr>
        <w:spacing w:line="360" w:lineRule="auto"/>
      </w:pPr>
      <w:r w:rsidRPr="009C7567">
        <w:t xml:space="preserve">Kraus, S., Gast, J., Schleich, M., Jones, P. and Ritter, M. (2019). Content is King: How SMEs Create Content for Social Media Marketing Under Limited Resources. </w:t>
      </w:r>
      <w:r w:rsidRPr="009C7567">
        <w:rPr>
          <w:i/>
          <w:iCs/>
        </w:rPr>
        <w:t xml:space="preserve">Journal of </w:t>
      </w:r>
      <w:proofErr w:type="spellStart"/>
      <w:r w:rsidRPr="009C7567">
        <w:rPr>
          <w:i/>
          <w:iCs/>
        </w:rPr>
        <w:t>Macromarketing</w:t>
      </w:r>
      <w:proofErr w:type="spellEnd"/>
      <w:r w:rsidRPr="009C7567">
        <w:t xml:space="preserve">, [online] 39(4), pp.415–430. </w:t>
      </w:r>
      <w:proofErr w:type="spellStart"/>
      <w:r w:rsidRPr="009C7567">
        <w:t>doi:https</w:t>
      </w:r>
      <w:proofErr w:type="spellEnd"/>
      <w:r w:rsidRPr="009C7567">
        <w:t>://doi.org/10.1177/0276146719882746.</w:t>
      </w:r>
    </w:p>
    <w:p w14:paraId="63EC3BEC" w14:textId="77777777" w:rsidR="00AA69F0" w:rsidRPr="006F2CC1" w:rsidRDefault="00AA69F0" w:rsidP="00AA69F0">
      <w:pPr>
        <w:spacing w:line="360" w:lineRule="auto"/>
      </w:pPr>
      <w:proofErr w:type="spellStart"/>
      <w:r w:rsidRPr="006F2CC1">
        <w:t>Kutaula</w:t>
      </w:r>
      <w:proofErr w:type="spellEnd"/>
      <w:r w:rsidRPr="006F2CC1">
        <w:t xml:space="preserve">, S., Gillani, A., Gregory-Smith, D. and </w:t>
      </w:r>
      <w:proofErr w:type="spellStart"/>
      <w:r w:rsidRPr="006F2CC1">
        <w:t>Bartikowski</w:t>
      </w:r>
      <w:proofErr w:type="spellEnd"/>
      <w:r w:rsidRPr="006F2CC1">
        <w:t xml:space="preserve">, B. (2024). Ethical Consumerism in Emerging Markets: Opportunities and Challenges. </w:t>
      </w:r>
      <w:r w:rsidRPr="006F2CC1">
        <w:rPr>
          <w:i/>
          <w:iCs/>
        </w:rPr>
        <w:t>Journal of business ethics</w:t>
      </w:r>
      <w:r w:rsidRPr="006F2CC1">
        <w:t xml:space="preserve">, 191(4). </w:t>
      </w:r>
      <w:proofErr w:type="spellStart"/>
      <w:r w:rsidRPr="006F2CC1">
        <w:t>doi:https</w:t>
      </w:r>
      <w:proofErr w:type="spellEnd"/>
      <w:r w:rsidRPr="006F2CC1">
        <w:t>://doi.org/10.1007/s10551-024-05657-4.</w:t>
      </w:r>
    </w:p>
    <w:p w14:paraId="78C3AAB1" w14:textId="77777777" w:rsidR="00AA69F0" w:rsidRPr="00AA69F0" w:rsidRDefault="00AA69F0" w:rsidP="00AA69F0">
      <w:pPr>
        <w:spacing w:line="360" w:lineRule="auto"/>
      </w:pPr>
      <w:r w:rsidRPr="00AA69F0">
        <w:t xml:space="preserve">Leng, H.K. and Zhang, J.J. (2023). Emerging Trends in Sport Sponsorship and Branding. </w:t>
      </w:r>
      <w:r w:rsidRPr="00AA69F0">
        <w:rPr>
          <w:i/>
          <w:iCs/>
        </w:rPr>
        <w:t>Routledge eBooks</w:t>
      </w:r>
      <w:r w:rsidRPr="00AA69F0">
        <w:t xml:space="preserve">, [online] pp.1–18. </w:t>
      </w:r>
      <w:proofErr w:type="spellStart"/>
      <w:r w:rsidRPr="00AA69F0">
        <w:t>doi:https</w:t>
      </w:r>
      <w:proofErr w:type="spellEnd"/>
      <w:r w:rsidRPr="00AA69F0">
        <w:t>://doi.org/10.4324/9781003458890-1.</w:t>
      </w:r>
    </w:p>
    <w:p w14:paraId="05783FF7" w14:textId="77777777" w:rsidR="00AA69F0" w:rsidRPr="009C7567" w:rsidRDefault="00AA69F0" w:rsidP="00AA69F0">
      <w:pPr>
        <w:spacing w:line="360" w:lineRule="auto"/>
      </w:pPr>
      <w:proofErr w:type="spellStart"/>
      <w:r w:rsidRPr="009C7567">
        <w:t>Lydiawati</w:t>
      </w:r>
      <w:proofErr w:type="spellEnd"/>
      <w:r w:rsidRPr="009C7567">
        <w:t xml:space="preserve"> Soelaiman, </w:t>
      </w:r>
      <w:proofErr w:type="spellStart"/>
      <w:r w:rsidRPr="009C7567">
        <w:t>Dyah</w:t>
      </w:r>
      <w:proofErr w:type="spellEnd"/>
      <w:r w:rsidRPr="009C7567">
        <w:t xml:space="preserve"> Erny Herwindiati and Otto Randa </w:t>
      </w:r>
      <w:proofErr w:type="spellStart"/>
      <w:r w:rsidRPr="009C7567">
        <w:t>Payangan</w:t>
      </w:r>
      <w:proofErr w:type="spellEnd"/>
      <w:r w:rsidRPr="009C7567">
        <w:t xml:space="preserve"> (2023). Instagram vs TikTok: Which Platform is More Effective for Enhancing SMEs Performance? </w:t>
      </w:r>
      <w:proofErr w:type="spellStart"/>
      <w:r w:rsidRPr="009C7567">
        <w:rPr>
          <w:i/>
          <w:iCs/>
        </w:rPr>
        <w:t>Jurnal</w:t>
      </w:r>
      <w:proofErr w:type="spellEnd"/>
      <w:r w:rsidRPr="009C7567">
        <w:rPr>
          <w:i/>
          <w:iCs/>
        </w:rPr>
        <w:t xml:space="preserve"> </w:t>
      </w:r>
      <w:proofErr w:type="spellStart"/>
      <w:r w:rsidRPr="009C7567">
        <w:rPr>
          <w:i/>
          <w:iCs/>
        </w:rPr>
        <w:t>Komunikasi</w:t>
      </w:r>
      <w:proofErr w:type="spellEnd"/>
      <w:r w:rsidRPr="009C7567">
        <w:t xml:space="preserve">, 15(2), pp.402–417. </w:t>
      </w:r>
      <w:proofErr w:type="spellStart"/>
      <w:r w:rsidRPr="009C7567">
        <w:t>doi:https</w:t>
      </w:r>
      <w:proofErr w:type="spellEnd"/>
      <w:r w:rsidRPr="009C7567">
        <w:t>://doi.org/10.24912/jk.v15i2.23671.</w:t>
      </w:r>
    </w:p>
    <w:p w14:paraId="713A9D5A" w14:textId="77777777" w:rsidR="00AA69F0" w:rsidRPr="00CD4884" w:rsidRDefault="00AA69F0" w:rsidP="00AA69F0">
      <w:pPr>
        <w:spacing w:line="360" w:lineRule="auto"/>
      </w:pPr>
      <w:r w:rsidRPr="00CD4884">
        <w:t xml:space="preserve">Madzimure, J., </w:t>
      </w:r>
      <w:proofErr w:type="spellStart"/>
      <w:r w:rsidRPr="00CD4884">
        <w:t>Mafini</w:t>
      </w:r>
      <w:proofErr w:type="spellEnd"/>
      <w:r w:rsidRPr="00CD4884">
        <w:t xml:space="preserve">, C. and </w:t>
      </w:r>
      <w:proofErr w:type="spellStart"/>
      <w:r w:rsidRPr="00CD4884">
        <w:t>Dhurup</w:t>
      </w:r>
      <w:proofErr w:type="spellEnd"/>
      <w:r w:rsidRPr="00CD4884">
        <w:t xml:space="preserve">, M. (2020). E-procurement, supplier integration and supply chain performance in small and medium enterprises in South Africa. </w:t>
      </w:r>
      <w:r w:rsidRPr="00CD4884">
        <w:rPr>
          <w:i/>
          <w:iCs/>
        </w:rPr>
        <w:t>South African Journal of Business Management</w:t>
      </w:r>
      <w:r w:rsidRPr="00CD4884">
        <w:t xml:space="preserve">, 51(1). </w:t>
      </w:r>
      <w:proofErr w:type="spellStart"/>
      <w:r w:rsidRPr="00CD4884">
        <w:t>doi:https</w:t>
      </w:r>
      <w:proofErr w:type="spellEnd"/>
      <w:r w:rsidRPr="00CD4884">
        <w:t>://doi.org/10.4102/sajbm.v51i1.1838.</w:t>
      </w:r>
    </w:p>
    <w:p w14:paraId="70B36F7E" w14:textId="77777777" w:rsidR="00AA69F0" w:rsidRPr="009C7567" w:rsidRDefault="00AA69F0" w:rsidP="00AA69F0">
      <w:pPr>
        <w:spacing w:line="360" w:lineRule="auto"/>
      </w:pPr>
      <w:r w:rsidRPr="009C7567">
        <w:t xml:space="preserve">Retail economics (2021). </w:t>
      </w:r>
      <w:r w:rsidRPr="009C7567">
        <w:rPr>
          <w:i/>
          <w:iCs/>
        </w:rPr>
        <w:t>Timeline - Coronavirus - Retailer Response | Retail Economics</w:t>
      </w:r>
      <w:r w:rsidRPr="009C7567">
        <w:t>. [online] Retaileconomics.co.uk. Available at: https://www.retaileconomics.co.uk/retail-economic-news/uk%20retailer%20response%20to%20coronavirus%20covid-19.</w:t>
      </w:r>
    </w:p>
    <w:p w14:paraId="2EC920E5" w14:textId="77777777" w:rsidR="00AA69F0" w:rsidRPr="009C7567" w:rsidRDefault="00AA69F0" w:rsidP="00AA69F0">
      <w:pPr>
        <w:spacing w:line="360" w:lineRule="auto"/>
      </w:pPr>
      <w:r w:rsidRPr="009C7567">
        <w:lastRenderedPageBreak/>
        <w:t xml:space="preserve">Singh, A. and Singh, V. (2022). </w:t>
      </w:r>
      <w:r w:rsidRPr="009C7567">
        <w:rPr>
          <w:i/>
          <w:iCs/>
        </w:rPr>
        <w:t>SUSTAINABLE ECOSYSTEM IN COSMETIC INDUSTRIES</w:t>
      </w:r>
      <w:r w:rsidRPr="009C7567">
        <w:t xml:space="preserve">. [online] </w:t>
      </w:r>
      <w:proofErr w:type="spellStart"/>
      <w:r w:rsidRPr="009C7567">
        <w:t>doi:https</w:t>
      </w:r>
      <w:proofErr w:type="spellEnd"/>
      <w:r w:rsidRPr="009C7567">
        <w:t>://doi.org/10.13140/RG.2.2.36028.86409.</w:t>
      </w:r>
    </w:p>
    <w:p w14:paraId="74FFCF39" w14:textId="77777777" w:rsidR="00AA69F0" w:rsidRPr="009C7567" w:rsidRDefault="00AA69F0" w:rsidP="00AA69F0">
      <w:pPr>
        <w:spacing w:line="360" w:lineRule="auto"/>
      </w:pPr>
      <w:r w:rsidRPr="009C7567">
        <w:t xml:space="preserve">Zarra, A., Simonelli, F., Karolien Lenaerts, Luo, M. and Kilhoffer, Z. (2019). </w:t>
      </w:r>
      <w:r w:rsidRPr="009C7567">
        <w:rPr>
          <w:i/>
          <w:iCs/>
        </w:rPr>
        <w:t>Sustainability in the Age of Platforms</w:t>
      </w:r>
      <w:r w:rsidRPr="009C7567">
        <w:t xml:space="preserve">. [online] </w:t>
      </w:r>
      <w:proofErr w:type="spellStart"/>
      <w:r w:rsidRPr="009C7567">
        <w:t>doi:https</w:t>
      </w:r>
      <w:proofErr w:type="spellEnd"/>
      <w:r w:rsidRPr="009C7567">
        <w:t>://doi.org/10.13140/RG.2.2.29860.40322.</w:t>
      </w:r>
    </w:p>
    <w:p w14:paraId="7DC6905A" w14:textId="77777777" w:rsidR="009C7567" w:rsidRPr="009C7567" w:rsidRDefault="009C7567" w:rsidP="009C7567"/>
    <w:sectPr w:rsidR="009C7567" w:rsidRPr="009C756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B9AC" w14:textId="77777777" w:rsidR="005C3C3F" w:rsidRDefault="005C3C3F" w:rsidP="00026116">
      <w:pPr>
        <w:spacing w:after="0" w:line="240" w:lineRule="auto"/>
      </w:pPr>
      <w:r>
        <w:separator/>
      </w:r>
    </w:p>
  </w:endnote>
  <w:endnote w:type="continuationSeparator" w:id="0">
    <w:p w14:paraId="46AAD9B7" w14:textId="77777777" w:rsidR="005C3C3F" w:rsidRDefault="005C3C3F" w:rsidP="00026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471645"/>
      <w:docPartObj>
        <w:docPartGallery w:val="Page Numbers (Bottom of Page)"/>
        <w:docPartUnique/>
      </w:docPartObj>
    </w:sdtPr>
    <w:sdtEndPr>
      <w:rPr>
        <w:noProof/>
      </w:rPr>
    </w:sdtEndPr>
    <w:sdtContent>
      <w:p w14:paraId="799DA36D" w14:textId="4A11CBB5" w:rsidR="00026116" w:rsidRDefault="000261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80C71B" w14:textId="77777777" w:rsidR="00026116" w:rsidRDefault="00026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2C4A" w14:textId="77777777" w:rsidR="005C3C3F" w:rsidRDefault="005C3C3F" w:rsidP="00026116">
      <w:pPr>
        <w:spacing w:after="0" w:line="240" w:lineRule="auto"/>
      </w:pPr>
      <w:r>
        <w:separator/>
      </w:r>
    </w:p>
  </w:footnote>
  <w:footnote w:type="continuationSeparator" w:id="0">
    <w:p w14:paraId="6CA33264" w14:textId="77777777" w:rsidR="005C3C3F" w:rsidRDefault="005C3C3F" w:rsidP="00026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1552"/>
    <w:multiLevelType w:val="multilevel"/>
    <w:tmpl w:val="3D7A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40749"/>
    <w:multiLevelType w:val="multilevel"/>
    <w:tmpl w:val="3930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3021E1"/>
    <w:multiLevelType w:val="multilevel"/>
    <w:tmpl w:val="E7AE7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130225">
    <w:abstractNumId w:val="1"/>
  </w:num>
  <w:num w:numId="2" w16cid:durableId="1240283915">
    <w:abstractNumId w:val="0"/>
  </w:num>
  <w:num w:numId="3" w16cid:durableId="1940484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116"/>
    <w:rsid w:val="00011FB1"/>
    <w:rsid w:val="00012491"/>
    <w:rsid w:val="00014E16"/>
    <w:rsid w:val="00026116"/>
    <w:rsid w:val="000639CC"/>
    <w:rsid w:val="00087BFF"/>
    <w:rsid w:val="001474A5"/>
    <w:rsid w:val="001F04CE"/>
    <w:rsid w:val="003360E5"/>
    <w:rsid w:val="003E536E"/>
    <w:rsid w:val="00400CA3"/>
    <w:rsid w:val="00476206"/>
    <w:rsid w:val="004B7D41"/>
    <w:rsid w:val="004D5DA5"/>
    <w:rsid w:val="0056705E"/>
    <w:rsid w:val="00576FFA"/>
    <w:rsid w:val="005C3C3F"/>
    <w:rsid w:val="006F2CC1"/>
    <w:rsid w:val="007243EF"/>
    <w:rsid w:val="00813AD4"/>
    <w:rsid w:val="00923FD9"/>
    <w:rsid w:val="009C7567"/>
    <w:rsid w:val="00A26B9E"/>
    <w:rsid w:val="00AA69F0"/>
    <w:rsid w:val="00C00D35"/>
    <w:rsid w:val="00C15B85"/>
    <w:rsid w:val="00CD4884"/>
    <w:rsid w:val="00CF0B2C"/>
    <w:rsid w:val="00D76EE0"/>
    <w:rsid w:val="00E92FB1"/>
    <w:rsid w:val="00ED6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21B4C"/>
  <w15:chartTrackingRefBased/>
  <w15:docId w15:val="{9A3A0438-6931-4927-AD1A-B2C03DB8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116"/>
    <w:pPr>
      <w:jc w:val="both"/>
    </w:pPr>
    <w:rPr>
      <w:rFonts w:ascii="Arial" w:hAnsi="Arial"/>
      <w:sz w:val="22"/>
    </w:rPr>
  </w:style>
  <w:style w:type="paragraph" w:styleId="Heading1">
    <w:name w:val="heading 1"/>
    <w:basedOn w:val="Normal"/>
    <w:next w:val="Normal"/>
    <w:link w:val="Heading1Char"/>
    <w:uiPriority w:val="9"/>
    <w:qFormat/>
    <w:rsid w:val="00026116"/>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026116"/>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0261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61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61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6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116"/>
    <w:rPr>
      <w:rFonts w:ascii="Arial" w:eastAsiaTheme="majorEastAsia" w:hAnsi="Arial" w:cstheme="majorBidi"/>
      <w:color w:val="2F5496" w:themeColor="accent1" w:themeShade="BF"/>
      <w:sz w:val="32"/>
      <w:szCs w:val="40"/>
    </w:rPr>
  </w:style>
  <w:style w:type="character" w:customStyle="1" w:styleId="Heading2Char">
    <w:name w:val="Heading 2 Char"/>
    <w:basedOn w:val="DefaultParagraphFont"/>
    <w:link w:val="Heading2"/>
    <w:uiPriority w:val="9"/>
    <w:rsid w:val="00026116"/>
    <w:rPr>
      <w:rFonts w:ascii="Arial" w:eastAsiaTheme="majorEastAsia" w:hAnsi="Arial"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0261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61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61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6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116"/>
    <w:rPr>
      <w:rFonts w:eastAsiaTheme="majorEastAsia" w:cstheme="majorBidi"/>
      <w:color w:val="272727" w:themeColor="text1" w:themeTint="D8"/>
    </w:rPr>
  </w:style>
  <w:style w:type="paragraph" w:styleId="Title">
    <w:name w:val="Title"/>
    <w:basedOn w:val="Normal"/>
    <w:next w:val="Normal"/>
    <w:link w:val="TitleChar"/>
    <w:uiPriority w:val="10"/>
    <w:qFormat/>
    <w:rsid w:val="00026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116"/>
    <w:pPr>
      <w:spacing w:before="160"/>
      <w:jc w:val="center"/>
    </w:pPr>
    <w:rPr>
      <w:i/>
      <w:iCs/>
      <w:color w:val="404040" w:themeColor="text1" w:themeTint="BF"/>
    </w:rPr>
  </w:style>
  <w:style w:type="character" w:customStyle="1" w:styleId="QuoteChar">
    <w:name w:val="Quote Char"/>
    <w:basedOn w:val="DefaultParagraphFont"/>
    <w:link w:val="Quote"/>
    <w:uiPriority w:val="29"/>
    <w:rsid w:val="00026116"/>
    <w:rPr>
      <w:i/>
      <w:iCs/>
      <w:color w:val="404040" w:themeColor="text1" w:themeTint="BF"/>
    </w:rPr>
  </w:style>
  <w:style w:type="paragraph" w:styleId="ListParagraph">
    <w:name w:val="List Paragraph"/>
    <w:basedOn w:val="Normal"/>
    <w:uiPriority w:val="34"/>
    <w:qFormat/>
    <w:rsid w:val="00026116"/>
    <w:pPr>
      <w:ind w:left="720"/>
      <w:contextualSpacing/>
    </w:pPr>
  </w:style>
  <w:style w:type="character" w:styleId="IntenseEmphasis">
    <w:name w:val="Intense Emphasis"/>
    <w:basedOn w:val="DefaultParagraphFont"/>
    <w:uiPriority w:val="21"/>
    <w:qFormat/>
    <w:rsid w:val="00026116"/>
    <w:rPr>
      <w:i/>
      <w:iCs/>
      <w:color w:val="2F5496" w:themeColor="accent1" w:themeShade="BF"/>
    </w:rPr>
  </w:style>
  <w:style w:type="paragraph" w:styleId="IntenseQuote">
    <w:name w:val="Intense Quote"/>
    <w:basedOn w:val="Normal"/>
    <w:next w:val="Normal"/>
    <w:link w:val="IntenseQuoteChar"/>
    <w:uiPriority w:val="30"/>
    <w:qFormat/>
    <w:rsid w:val="000261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6116"/>
    <w:rPr>
      <w:i/>
      <w:iCs/>
      <w:color w:val="2F5496" w:themeColor="accent1" w:themeShade="BF"/>
    </w:rPr>
  </w:style>
  <w:style w:type="character" w:styleId="IntenseReference">
    <w:name w:val="Intense Reference"/>
    <w:basedOn w:val="DefaultParagraphFont"/>
    <w:uiPriority w:val="32"/>
    <w:qFormat/>
    <w:rsid w:val="00026116"/>
    <w:rPr>
      <w:b/>
      <w:bCs/>
      <w:smallCaps/>
      <w:color w:val="2F5496" w:themeColor="accent1" w:themeShade="BF"/>
      <w:spacing w:val="5"/>
    </w:rPr>
  </w:style>
  <w:style w:type="paragraph" w:styleId="Header">
    <w:name w:val="header"/>
    <w:basedOn w:val="Normal"/>
    <w:link w:val="HeaderChar"/>
    <w:uiPriority w:val="99"/>
    <w:unhideWhenUsed/>
    <w:rsid w:val="000261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116"/>
    <w:rPr>
      <w:rFonts w:ascii="Arial" w:hAnsi="Arial"/>
      <w:sz w:val="22"/>
    </w:rPr>
  </w:style>
  <w:style w:type="paragraph" w:styleId="Footer">
    <w:name w:val="footer"/>
    <w:basedOn w:val="Normal"/>
    <w:link w:val="FooterChar"/>
    <w:uiPriority w:val="99"/>
    <w:unhideWhenUsed/>
    <w:rsid w:val="000261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116"/>
    <w:rPr>
      <w:rFonts w:ascii="Arial" w:hAnsi="Arial"/>
      <w:sz w:val="22"/>
    </w:rPr>
  </w:style>
  <w:style w:type="paragraph" w:styleId="TOCHeading">
    <w:name w:val="TOC Heading"/>
    <w:basedOn w:val="Heading1"/>
    <w:next w:val="Normal"/>
    <w:uiPriority w:val="39"/>
    <w:unhideWhenUsed/>
    <w:qFormat/>
    <w:rsid w:val="007243EF"/>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7243EF"/>
    <w:pPr>
      <w:spacing w:after="100"/>
    </w:pPr>
  </w:style>
  <w:style w:type="paragraph" w:styleId="TOC2">
    <w:name w:val="toc 2"/>
    <w:basedOn w:val="Normal"/>
    <w:next w:val="Normal"/>
    <w:autoRedefine/>
    <w:uiPriority w:val="39"/>
    <w:unhideWhenUsed/>
    <w:rsid w:val="007243EF"/>
    <w:pPr>
      <w:spacing w:after="100"/>
      <w:ind w:left="220"/>
    </w:pPr>
  </w:style>
  <w:style w:type="character" w:styleId="Hyperlink">
    <w:name w:val="Hyperlink"/>
    <w:basedOn w:val="DefaultParagraphFont"/>
    <w:uiPriority w:val="99"/>
    <w:unhideWhenUsed/>
    <w:rsid w:val="007243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F43B8-89D8-4FC1-81A3-C3FCF03EE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4032</Words>
  <Characters>22986</Characters>
  <Application>Microsoft Office Word</Application>
  <DocSecurity>0</DocSecurity>
  <Lines>191</Lines>
  <Paragraphs>53</Paragraphs>
  <ScaleCrop>false</ScaleCrop>
  <Company/>
  <LinksUpToDate>false</LinksUpToDate>
  <CharactersWithSpaces>26965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Giraldo</dc:creator>
  <cp:keywords/>
  <dc:description/>
  <cp:lastModifiedBy>Erika Giraldo</cp:lastModifiedBy>
  <cp:revision>3</cp:revision>
  <dcterms:created xsi:type="dcterms:W3CDTF">2025-12-03T11:58:00Z</dcterms:created>
  <dcterms:modified xsi:type="dcterms:W3CDTF">2025-12-03T12:27:00Z</dcterms:modified>
</cp:coreProperties>
</file>