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line="360" w:lineRule="auto"/>
        <w:jc w:val="both"/>
        <w:rPr>
          <w:rFonts w:ascii="Times New Roman" w:hAnsi="Times New Roman" w:cs="Times New Roman"/>
          <w:lang w:val="en-GB"/>
        </w:rPr>
      </w:pPr>
      <w:r>
        <w:rPr>
          <w:rFonts w:ascii="Times New Roman Regular" w:hAnsi="Times New Roman Regular" w:cs="Times New Roman Regular"/>
        </w:rPr>
        <w:drawing>
          <wp:inline distT="0" distB="0" distL="114300" distR="114300">
            <wp:extent cx="5274310" cy="6303645"/>
            <wp:effectExtent l="0" t="0" r="2540" b="1905"/>
            <wp:docPr id="1" name="圖片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descr="A document with text and images&#10;&#10;AI-generated content may be incorrect."/>
                    <pic:cNvPicPr>
                      <a:picLocks noChangeAspect="1"/>
                    </pic:cNvPicPr>
                  </pic:nvPicPr>
                  <pic:blipFill>
                    <a:blip r:embed="rId6"/>
                    <a:stretch>
                      <a:fillRect/>
                    </a:stretch>
                  </pic:blipFill>
                  <pic:spPr>
                    <a:xfrm>
                      <a:off x="0" y="0"/>
                      <a:ext cx="5274310" cy="6303726"/>
                    </a:xfrm>
                    <a:prstGeom prst="rect">
                      <a:avLst/>
                    </a:prstGeom>
                    <a:noFill/>
                    <a:ln>
                      <a:noFill/>
                    </a:ln>
                  </pic:spPr>
                </pic:pic>
              </a:graphicData>
            </a:graphic>
          </wp:inline>
        </w:drawing>
      </w:r>
      <w:r>
        <w:rPr>
          <w:rFonts w:ascii="Times New Roman" w:hAnsi="Times New Roman" w:cs="Times New Roman"/>
          <w:lang w:val="en-GB"/>
        </w:rPr>
        <w:br w:type="page"/>
      </w:r>
    </w:p>
    <w:p>
      <w:pPr>
        <w:pStyle w:val="2"/>
        <w:rPr>
          <w:lang w:val="en-GB"/>
        </w:rPr>
      </w:pPr>
      <w:bookmarkStart w:id="0" w:name="_Toc196675376"/>
      <w:r>
        <w:rPr>
          <w:lang w:val="en-GB"/>
        </w:rPr>
        <w:t>Executive Summary</w:t>
      </w:r>
      <w:bookmarkEnd w:id="0"/>
    </w:p>
    <w:p>
      <w:pPr>
        <w:widowControl/>
        <w:spacing w:line="360" w:lineRule="auto"/>
        <w:jc w:val="both"/>
        <w:rPr>
          <w:rFonts w:ascii="Times New Roman" w:hAnsi="Times New Roman" w:cs="Times New Roman"/>
          <w:lang w:val="en-GB"/>
        </w:rPr>
      </w:pPr>
      <w:r>
        <w:rPr>
          <w:rFonts w:ascii="Times New Roman" w:hAnsi="Times New Roman" w:cs="Times New Roman"/>
          <w:lang w:val="en-GB"/>
        </w:rPr>
        <w:t>Bamboos Health Care Holdings Limited (Stock code: 2293.HK) is undergoing a significant transformation as it plans to expand into the Greater Bay Area. This initiative is driven by several key challenges, including employee resistance to change, a pressing need for innovation ad market instability. Addressing these issues is vital for the organization’s growth and operational efficiency.</w:t>
      </w:r>
    </w:p>
    <w:p>
      <w:pPr>
        <w:widowControl/>
        <w:spacing w:line="360" w:lineRule="auto"/>
        <w:jc w:val="both"/>
        <w:rPr>
          <w:rFonts w:ascii="Times New Roman" w:hAnsi="Times New Roman" w:cs="Times New Roman"/>
          <w:lang w:val="en-GB"/>
        </w:rPr>
      </w:pPr>
      <w:r>
        <w:rPr>
          <w:rFonts w:ascii="Times New Roman" w:hAnsi="Times New Roman" w:cs="Times New Roman"/>
          <w:lang w:val="en-GB"/>
        </w:rPr>
        <w:t>Employee resistance poses a major barrier, with many staff members concerned about job security and the impact of new processes. This apprehension is often fueled by insufficient communication about the benefits of change and a lack of involvement in decision making. To overcome this resistance, Bamboos must enhance communication and engage employees in the change process, fostering a sense of ownership.</w:t>
      </w:r>
    </w:p>
    <w:p>
      <w:pPr>
        <w:widowControl/>
        <w:spacing w:line="360" w:lineRule="auto"/>
        <w:jc w:val="both"/>
        <w:rPr>
          <w:rFonts w:ascii="Times New Roman" w:hAnsi="Times New Roman" w:cs="Times New Roman"/>
          <w:lang w:val="en-GB"/>
        </w:rPr>
      </w:pPr>
      <w:r>
        <w:rPr>
          <w:rFonts w:ascii="Times New Roman" w:hAnsi="Times New Roman" w:cs="Times New Roman"/>
          <w:lang w:val="en-GB"/>
        </w:rPr>
        <w:t xml:space="preserve">Innovation is crucial for Bamboos to remain competitive in the rapidly evolving healthcare sector, especially following the COVID-19 pandemic. The organization must invest in new technologies, such as telemedicine and electronic health records, and cultivate a culture that encourages creativity and experimentation among staff. Market instability further complicates the organization’s expansion efforts. Economic uncertainties, influenced by geopolitical tensions a pandemic effects, require Bamboos to adopt a flexible strategic planning approach. By regularly assessing market conditions and building strong stakeholder relationships, the organization can navigate these challenges effectively. </w:t>
      </w:r>
    </w:p>
    <w:p>
      <w:pPr>
        <w:widowControl/>
        <w:spacing w:line="360" w:lineRule="auto"/>
        <w:jc w:val="both"/>
        <w:rPr>
          <w:rFonts w:ascii="Times New Roman" w:hAnsi="Times New Roman" w:cs="Times New Roman"/>
          <w:lang w:val="en-GB"/>
        </w:rPr>
      </w:pPr>
      <w:r>
        <w:rPr>
          <w:rFonts w:ascii="Times New Roman" w:hAnsi="Times New Roman" w:cs="Times New Roman"/>
          <w:lang w:val="en-GB"/>
        </w:rPr>
        <w:t xml:space="preserve">Utilizing Kurt Lewin’s Force Field Analysis, the report identifies driving force like increased demand for healthcare services and strong leadership, which sightly outweigh restraining forces such as employee resistance. Bamboos is also implementing Kotter’s 8 Steps Change Model , emphasizing the importance of effective communication and engagement throughout the change process. </w:t>
      </w:r>
    </w:p>
    <w:p>
      <w:pPr>
        <w:widowControl/>
        <w:spacing w:line="360" w:lineRule="auto"/>
        <w:jc w:val="both"/>
        <w:rPr>
          <w:rFonts w:ascii="Times New Roman" w:hAnsi="Times New Roman" w:cs="Times New Roman"/>
          <w:lang w:val="en-GB"/>
        </w:rPr>
      </w:pPr>
      <w:r>
        <w:rPr>
          <w:rFonts w:ascii="Times New Roman" w:hAnsi="Times New Roman" w:cs="Times New Roman"/>
          <w:lang w:val="en-GB"/>
        </w:rPr>
        <w:t>In conclusion, by focusing on communication, training, employee engagement, and leadership development, Bamboos Health can successfully manage its transformation and achieve sustainable growth in the evolving healthcare landscape.</w:t>
      </w:r>
    </w:p>
    <w:p>
      <w:pPr>
        <w:widowControl/>
        <w:rPr>
          <w:lang w:val="en-GB"/>
        </w:rPr>
      </w:pPr>
      <w:r>
        <w:rPr>
          <w:lang w:val="en-GB"/>
        </w:rPr>
        <w:br w:type="page"/>
      </w:r>
    </w:p>
    <w:sdt>
      <w:sdtPr>
        <w:rPr>
          <w:rFonts w:asciiTheme="minorHAnsi" w:hAnsiTheme="minorHAnsi" w:eastAsiaTheme="minorEastAsia" w:cstheme="minorBidi"/>
          <w:color w:val="auto"/>
          <w:kern w:val="2"/>
          <w:sz w:val="24"/>
          <w:szCs w:val="24"/>
          <w:lang w:eastAsia="zh-TW"/>
          <w14:ligatures w14:val="standardContextual"/>
        </w:rPr>
        <w:id w:val="-1"/>
        <w:docPartObj>
          <w:docPartGallery w:val="Table of Contents"/>
          <w:docPartUnique/>
        </w:docPartObj>
      </w:sdtPr>
      <w:sdtEndPr>
        <w:rPr>
          <w:rFonts w:asciiTheme="minorHAnsi" w:hAnsiTheme="minorHAnsi" w:eastAsiaTheme="minorEastAsia" w:cstheme="minorBidi"/>
          <w:b/>
          <w:bCs/>
          <w:color w:val="auto"/>
          <w:kern w:val="2"/>
          <w:sz w:val="24"/>
          <w:szCs w:val="24"/>
          <w:lang w:eastAsia="zh-TW"/>
          <w14:ligatures w14:val="standardContextual"/>
        </w:rPr>
      </w:sdtEndPr>
      <w:sdtContent>
        <w:p>
          <w:pPr>
            <w:pStyle w:val="39"/>
            <w:rPr>
              <w:rStyle w:val="21"/>
            </w:rPr>
          </w:pPr>
          <w:r>
            <w:rPr>
              <w:rStyle w:val="21"/>
            </w:rPr>
            <w:t>Contents</w:t>
          </w:r>
        </w:p>
        <w:p>
          <w:pPr>
            <w:pStyle w:val="16"/>
            <w:tabs>
              <w:tab w:val="right" w:leader="dot" w:pos="8296"/>
            </w:tabs>
          </w:pPr>
          <w:r>
            <w:fldChar w:fldCharType="begin"/>
          </w:r>
          <w:r>
            <w:instrText xml:space="preserve"> TOC \o "1-3" \h \z \u </w:instrText>
          </w:r>
          <w:r>
            <w:fldChar w:fldCharType="separate"/>
          </w:r>
          <w:r>
            <w:fldChar w:fldCharType="begin"/>
          </w:r>
          <w:r>
            <w:instrText xml:space="preserve"> HYPERLINK \l "_Toc196675376" </w:instrText>
          </w:r>
          <w:r>
            <w:fldChar w:fldCharType="separate"/>
          </w:r>
          <w:r>
            <w:rPr>
              <w:rStyle w:val="13"/>
              <w:lang w:val="en-GB"/>
            </w:rPr>
            <w:t>Executive Summary</w:t>
          </w:r>
          <w:r>
            <w:tab/>
          </w:r>
          <w:r>
            <w:fldChar w:fldCharType="begin"/>
          </w:r>
          <w:r>
            <w:instrText xml:space="preserve"> PAGEREF _Toc196675376 \h </w:instrText>
          </w:r>
          <w:r>
            <w:fldChar w:fldCharType="separate"/>
          </w:r>
          <w:r>
            <w:t>2</w:t>
          </w:r>
          <w:r>
            <w:fldChar w:fldCharType="end"/>
          </w:r>
          <w:r>
            <w:fldChar w:fldCharType="end"/>
          </w:r>
        </w:p>
        <w:p>
          <w:pPr>
            <w:pStyle w:val="16"/>
            <w:tabs>
              <w:tab w:val="left" w:pos="480"/>
              <w:tab w:val="right" w:leader="dot" w:pos="8296"/>
            </w:tabs>
          </w:pPr>
          <w:r>
            <w:fldChar w:fldCharType="begin"/>
          </w:r>
          <w:r>
            <w:instrText xml:space="preserve"> HYPERLINK \l "_Toc196675377" </w:instrText>
          </w:r>
          <w:r>
            <w:fldChar w:fldCharType="separate"/>
          </w:r>
          <w:r>
            <w:rPr>
              <w:rStyle w:val="13"/>
              <w:lang w:val="en-GB"/>
            </w:rPr>
            <w:t>1.</w:t>
          </w:r>
          <w:r>
            <w:tab/>
          </w:r>
          <w:r>
            <w:rPr>
              <w:rStyle w:val="13"/>
              <w:lang w:val="en-GB"/>
            </w:rPr>
            <w:t>Introduction</w:t>
          </w:r>
          <w:r>
            <w:tab/>
          </w:r>
          <w:r>
            <w:fldChar w:fldCharType="begin"/>
          </w:r>
          <w:r>
            <w:instrText xml:space="preserve"> PAGEREF _Toc196675377 \h </w:instrText>
          </w:r>
          <w:r>
            <w:fldChar w:fldCharType="separate"/>
          </w:r>
          <w:r>
            <w:t>5</w:t>
          </w:r>
          <w:r>
            <w:fldChar w:fldCharType="end"/>
          </w:r>
          <w:r>
            <w:fldChar w:fldCharType="end"/>
          </w:r>
        </w:p>
        <w:p>
          <w:pPr>
            <w:pStyle w:val="15"/>
            <w:tabs>
              <w:tab w:val="right" w:leader="dot" w:pos="8296"/>
            </w:tabs>
          </w:pPr>
          <w:r>
            <w:fldChar w:fldCharType="begin"/>
          </w:r>
          <w:r>
            <w:instrText xml:space="preserve"> HYPERLINK \l "_Toc196675378" </w:instrText>
          </w:r>
          <w:r>
            <w:fldChar w:fldCharType="separate"/>
          </w:r>
          <w:r>
            <w:rPr>
              <w:rStyle w:val="13"/>
              <w:lang w:val="en-GB"/>
            </w:rPr>
            <w:t>1.1Background</w:t>
          </w:r>
          <w:r>
            <w:tab/>
          </w:r>
          <w:r>
            <w:fldChar w:fldCharType="begin"/>
          </w:r>
          <w:r>
            <w:instrText xml:space="preserve"> PAGEREF _Toc196675378 \h </w:instrText>
          </w:r>
          <w:r>
            <w:fldChar w:fldCharType="separate"/>
          </w:r>
          <w:r>
            <w:t>5</w:t>
          </w:r>
          <w:r>
            <w:fldChar w:fldCharType="end"/>
          </w:r>
          <w:r>
            <w:fldChar w:fldCharType="end"/>
          </w:r>
        </w:p>
        <w:p>
          <w:pPr>
            <w:pStyle w:val="15"/>
            <w:tabs>
              <w:tab w:val="right" w:leader="dot" w:pos="8296"/>
            </w:tabs>
          </w:pPr>
          <w:r>
            <w:fldChar w:fldCharType="begin"/>
          </w:r>
          <w:r>
            <w:instrText xml:space="preserve"> HYPERLINK \l "_Toc196675379" </w:instrText>
          </w:r>
          <w:r>
            <w:fldChar w:fldCharType="separate"/>
          </w:r>
          <w:r>
            <w:rPr>
              <w:rStyle w:val="13"/>
              <w:lang w:val="en-GB"/>
            </w:rPr>
            <w:t>1.2 Main issues</w:t>
          </w:r>
          <w:r>
            <w:tab/>
          </w:r>
          <w:r>
            <w:fldChar w:fldCharType="begin"/>
          </w:r>
          <w:r>
            <w:instrText xml:space="preserve"> PAGEREF _Toc196675379 \h </w:instrText>
          </w:r>
          <w:r>
            <w:fldChar w:fldCharType="separate"/>
          </w:r>
          <w:r>
            <w:t>5</w:t>
          </w:r>
          <w:r>
            <w:fldChar w:fldCharType="end"/>
          </w:r>
          <w:r>
            <w:fldChar w:fldCharType="end"/>
          </w:r>
        </w:p>
        <w:p>
          <w:pPr>
            <w:pStyle w:val="16"/>
            <w:tabs>
              <w:tab w:val="left" w:pos="480"/>
              <w:tab w:val="right" w:leader="dot" w:pos="8296"/>
            </w:tabs>
          </w:pPr>
          <w:r>
            <w:fldChar w:fldCharType="begin"/>
          </w:r>
          <w:r>
            <w:instrText xml:space="preserve"> HYPERLINK \l "_Toc196675380" </w:instrText>
          </w:r>
          <w:r>
            <w:fldChar w:fldCharType="separate"/>
          </w:r>
          <w:r>
            <w:rPr>
              <w:rStyle w:val="13"/>
              <w:lang w:val="en-GB"/>
            </w:rPr>
            <w:t>2.</w:t>
          </w:r>
          <w:r>
            <w:tab/>
          </w:r>
          <w:r>
            <w:rPr>
              <w:rStyle w:val="13"/>
              <w:lang w:val="en-GB"/>
            </w:rPr>
            <w:t>Critical Assessment of Main Issues</w:t>
          </w:r>
          <w:r>
            <w:tab/>
          </w:r>
          <w:r>
            <w:fldChar w:fldCharType="begin"/>
          </w:r>
          <w:r>
            <w:instrText xml:space="preserve"> PAGEREF _Toc196675380 \h </w:instrText>
          </w:r>
          <w:r>
            <w:fldChar w:fldCharType="separate"/>
          </w:r>
          <w:r>
            <w:t>7</w:t>
          </w:r>
          <w:r>
            <w:fldChar w:fldCharType="end"/>
          </w:r>
          <w:r>
            <w:fldChar w:fldCharType="end"/>
          </w:r>
        </w:p>
        <w:p>
          <w:pPr>
            <w:pStyle w:val="15"/>
            <w:tabs>
              <w:tab w:val="left" w:pos="1200"/>
              <w:tab w:val="right" w:leader="dot" w:pos="8296"/>
            </w:tabs>
          </w:pPr>
          <w:r>
            <w:fldChar w:fldCharType="begin"/>
          </w:r>
          <w:r>
            <w:instrText xml:space="preserve"> HYPERLINK \l "_Toc196675381" </w:instrText>
          </w:r>
          <w:r>
            <w:fldChar w:fldCharType="separate"/>
          </w:r>
          <w:r>
            <w:rPr>
              <w:rStyle w:val="13"/>
              <w:lang w:val="en-GB"/>
            </w:rPr>
            <w:t>2.1</w:t>
          </w:r>
          <w:r>
            <w:tab/>
          </w:r>
          <w:r>
            <w:rPr>
              <w:rStyle w:val="13"/>
            </w:rPr>
            <w:t>Employee Resistance to Chang</w:t>
          </w:r>
          <w:r>
            <w:tab/>
          </w:r>
          <w:r>
            <w:fldChar w:fldCharType="begin"/>
          </w:r>
          <w:r>
            <w:instrText xml:space="preserve"> PAGEREF _Toc196675381 \h </w:instrText>
          </w:r>
          <w:r>
            <w:fldChar w:fldCharType="separate"/>
          </w:r>
          <w:r>
            <w:t>7</w:t>
          </w:r>
          <w:r>
            <w:fldChar w:fldCharType="end"/>
          </w:r>
          <w:r>
            <w:fldChar w:fldCharType="end"/>
          </w:r>
        </w:p>
        <w:p>
          <w:pPr>
            <w:pStyle w:val="15"/>
            <w:tabs>
              <w:tab w:val="right" w:leader="dot" w:pos="8296"/>
            </w:tabs>
          </w:pPr>
          <w:r>
            <w:fldChar w:fldCharType="begin"/>
          </w:r>
          <w:r>
            <w:instrText xml:space="preserve"> HYPERLINK \l "_Toc196675382" </w:instrText>
          </w:r>
          <w:r>
            <w:fldChar w:fldCharType="separate"/>
          </w:r>
          <w:r>
            <w:rPr>
              <w:rStyle w:val="13"/>
              <w:lang w:val="en-GB"/>
            </w:rPr>
            <w:t>2.2 Need for Innovation</w:t>
          </w:r>
          <w:r>
            <w:tab/>
          </w:r>
          <w:r>
            <w:fldChar w:fldCharType="begin"/>
          </w:r>
          <w:r>
            <w:instrText xml:space="preserve"> PAGEREF _Toc196675382 \h </w:instrText>
          </w:r>
          <w:r>
            <w:fldChar w:fldCharType="separate"/>
          </w:r>
          <w:r>
            <w:t>7</w:t>
          </w:r>
          <w:r>
            <w:fldChar w:fldCharType="end"/>
          </w:r>
          <w:r>
            <w:fldChar w:fldCharType="end"/>
          </w:r>
        </w:p>
        <w:p>
          <w:pPr>
            <w:pStyle w:val="15"/>
            <w:tabs>
              <w:tab w:val="right" w:leader="dot" w:pos="8296"/>
            </w:tabs>
          </w:pPr>
          <w:r>
            <w:fldChar w:fldCharType="begin"/>
          </w:r>
          <w:r>
            <w:instrText xml:space="preserve"> HYPERLINK \l "_Toc196675383" </w:instrText>
          </w:r>
          <w:r>
            <w:fldChar w:fldCharType="separate"/>
          </w:r>
          <w:r>
            <w:rPr>
              <w:rStyle w:val="13"/>
              <w:lang w:val="en-GB"/>
            </w:rPr>
            <w:t>2.3 Market Instability</w:t>
          </w:r>
          <w:r>
            <w:tab/>
          </w:r>
          <w:r>
            <w:fldChar w:fldCharType="begin"/>
          </w:r>
          <w:r>
            <w:instrText xml:space="preserve"> PAGEREF _Toc196675383 \h </w:instrText>
          </w:r>
          <w:r>
            <w:fldChar w:fldCharType="separate"/>
          </w:r>
          <w:r>
            <w:t>8</w:t>
          </w:r>
          <w:r>
            <w:fldChar w:fldCharType="end"/>
          </w:r>
          <w:r>
            <w:fldChar w:fldCharType="end"/>
          </w:r>
        </w:p>
        <w:p>
          <w:pPr>
            <w:pStyle w:val="16"/>
            <w:tabs>
              <w:tab w:val="left" w:pos="480"/>
              <w:tab w:val="right" w:leader="dot" w:pos="8296"/>
            </w:tabs>
          </w:pPr>
          <w:r>
            <w:fldChar w:fldCharType="begin"/>
          </w:r>
          <w:r>
            <w:instrText xml:space="preserve"> HYPERLINK \l "_Toc196675384" </w:instrText>
          </w:r>
          <w:r>
            <w:fldChar w:fldCharType="separate"/>
          </w:r>
          <w:r>
            <w:rPr>
              <w:rStyle w:val="13"/>
              <w:lang w:val="en-GB"/>
            </w:rPr>
            <w:t>3.</w:t>
          </w:r>
          <w:r>
            <w:tab/>
          </w:r>
          <w:r>
            <w:rPr>
              <w:rStyle w:val="13"/>
              <w:lang w:val="en-GB"/>
            </w:rPr>
            <w:t>Force Field Analysis of Bamboos Health</w:t>
          </w:r>
          <w:r>
            <w:tab/>
          </w:r>
          <w:r>
            <w:fldChar w:fldCharType="begin"/>
          </w:r>
          <w:r>
            <w:instrText xml:space="preserve"> PAGEREF _Toc196675384 \h </w:instrText>
          </w:r>
          <w:r>
            <w:fldChar w:fldCharType="separate"/>
          </w:r>
          <w:r>
            <w:t>9</w:t>
          </w:r>
          <w:r>
            <w:fldChar w:fldCharType="end"/>
          </w:r>
          <w:r>
            <w:fldChar w:fldCharType="end"/>
          </w:r>
        </w:p>
        <w:p>
          <w:pPr>
            <w:pStyle w:val="15"/>
            <w:tabs>
              <w:tab w:val="right" w:leader="dot" w:pos="8296"/>
            </w:tabs>
          </w:pPr>
          <w:r>
            <w:fldChar w:fldCharType="begin"/>
          </w:r>
          <w:r>
            <w:instrText xml:space="preserve"> HYPERLINK \l "_Toc196675385" </w:instrText>
          </w:r>
          <w:r>
            <w:fldChar w:fldCharType="separate"/>
          </w:r>
          <w:r>
            <w:rPr>
              <w:rStyle w:val="13"/>
              <w:lang w:val="en-GB"/>
            </w:rPr>
            <w:t>3.1 Driving Forces</w:t>
          </w:r>
          <w:r>
            <w:tab/>
          </w:r>
          <w:r>
            <w:fldChar w:fldCharType="begin"/>
          </w:r>
          <w:r>
            <w:instrText xml:space="preserve"> PAGEREF _Toc196675385 \h </w:instrText>
          </w:r>
          <w:r>
            <w:fldChar w:fldCharType="separate"/>
          </w:r>
          <w:r>
            <w:t>9</w:t>
          </w:r>
          <w:r>
            <w:fldChar w:fldCharType="end"/>
          </w:r>
          <w:r>
            <w:fldChar w:fldCharType="end"/>
          </w:r>
        </w:p>
        <w:p>
          <w:pPr>
            <w:pStyle w:val="15"/>
            <w:tabs>
              <w:tab w:val="right" w:leader="dot" w:pos="8296"/>
            </w:tabs>
          </w:pPr>
          <w:r>
            <w:fldChar w:fldCharType="begin"/>
          </w:r>
          <w:r>
            <w:instrText xml:space="preserve"> HYPERLINK \l "_Toc196675386" </w:instrText>
          </w:r>
          <w:r>
            <w:fldChar w:fldCharType="separate"/>
          </w:r>
          <w:r>
            <w:rPr>
              <w:rStyle w:val="13"/>
              <w:lang w:val="en-GB"/>
            </w:rPr>
            <w:t>3.2 Restraining Forces</w:t>
          </w:r>
          <w:r>
            <w:tab/>
          </w:r>
          <w:r>
            <w:fldChar w:fldCharType="begin"/>
          </w:r>
          <w:r>
            <w:instrText xml:space="preserve"> PAGEREF _Toc196675386 \h </w:instrText>
          </w:r>
          <w:r>
            <w:fldChar w:fldCharType="separate"/>
          </w:r>
          <w:r>
            <w:t>11</w:t>
          </w:r>
          <w:r>
            <w:fldChar w:fldCharType="end"/>
          </w:r>
          <w:r>
            <w:fldChar w:fldCharType="end"/>
          </w:r>
        </w:p>
        <w:p>
          <w:pPr>
            <w:pStyle w:val="15"/>
            <w:tabs>
              <w:tab w:val="right" w:leader="dot" w:pos="8296"/>
            </w:tabs>
          </w:pPr>
          <w:r>
            <w:fldChar w:fldCharType="begin"/>
          </w:r>
          <w:r>
            <w:instrText xml:space="preserve"> HYPERLINK \l "_Toc196675387" </w:instrText>
          </w:r>
          <w:r>
            <w:fldChar w:fldCharType="separate"/>
          </w:r>
          <w:r>
            <w:rPr>
              <w:rStyle w:val="13"/>
              <w:lang w:val="en-GB"/>
            </w:rPr>
            <w:t>3.3 Summary of Force Field Analysis</w:t>
          </w:r>
          <w:r>
            <w:tab/>
          </w:r>
          <w:r>
            <w:fldChar w:fldCharType="begin"/>
          </w:r>
          <w:r>
            <w:instrText xml:space="preserve"> PAGEREF _Toc196675387 \h </w:instrText>
          </w:r>
          <w:r>
            <w:fldChar w:fldCharType="separate"/>
          </w:r>
          <w:r>
            <w:t>11</w:t>
          </w:r>
          <w:r>
            <w:fldChar w:fldCharType="end"/>
          </w:r>
          <w:r>
            <w:fldChar w:fldCharType="end"/>
          </w:r>
        </w:p>
        <w:p>
          <w:pPr>
            <w:pStyle w:val="16"/>
            <w:tabs>
              <w:tab w:val="left" w:pos="480"/>
              <w:tab w:val="right" w:leader="dot" w:pos="8296"/>
            </w:tabs>
          </w:pPr>
          <w:r>
            <w:fldChar w:fldCharType="begin"/>
          </w:r>
          <w:r>
            <w:instrText xml:space="preserve"> HYPERLINK \l "_Toc196675388" </w:instrText>
          </w:r>
          <w:r>
            <w:fldChar w:fldCharType="separate"/>
          </w:r>
          <w:r>
            <w:rPr>
              <w:rStyle w:val="13"/>
              <w:lang w:val="en-GB"/>
            </w:rPr>
            <w:t>4.</w:t>
          </w:r>
          <w:r>
            <w:tab/>
          </w:r>
          <w:r>
            <w:rPr>
              <w:rStyle w:val="13"/>
              <w:lang w:val="en-GB"/>
            </w:rPr>
            <w:t>Evaluation of Change Model</w:t>
          </w:r>
          <w:r>
            <w:tab/>
          </w:r>
          <w:r>
            <w:fldChar w:fldCharType="begin"/>
          </w:r>
          <w:r>
            <w:instrText xml:space="preserve"> PAGEREF _Toc196675388 \h </w:instrText>
          </w:r>
          <w:r>
            <w:fldChar w:fldCharType="separate"/>
          </w:r>
          <w:r>
            <w:t>13</w:t>
          </w:r>
          <w:r>
            <w:fldChar w:fldCharType="end"/>
          </w:r>
          <w:r>
            <w:fldChar w:fldCharType="end"/>
          </w:r>
        </w:p>
        <w:p>
          <w:pPr>
            <w:pStyle w:val="15"/>
            <w:tabs>
              <w:tab w:val="right" w:leader="dot" w:pos="8296"/>
            </w:tabs>
          </w:pPr>
          <w:r>
            <w:fldChar w:fldCharType="begin"/>
          </w:r>
          <w:r>
            <w:instrText xml:space="preserve"> HYPERLINK \l "_Toc196675389" </w:instrText>
          </w:r>
          <w:r>
            <w:fldChar w:fldCharType="separate"/>
          </w:r>
          <w:r>
            <w:rPr>
              <w:rStyle w:val="13"/>
              <w:lang w:val="en-GB"/>
            </w:rPr>
            <w:t>4.1 Steps of the Change Model</w:t>
          </w:r>
          <w:r>
            <w:tab/>
          </w:r>
          <w:r>
            <w:fldChar w:fldCharType="begin"/>
          </w:r>
          <w:r>
            <w:instrText xml:space="preserve"> PAGEREF _Toc196675389 \h </w:instrText>
          </w:r>
          <w:r>
            <w:fldChar w:fldCharType="separate"/>
          </w:r>
          <w:r>
            <w:t>13</w:t>
          </w:r>
          <w:r>
            <w:fldChar w:fldCharType="end"/>
          </w:r>
          <w:r>
            <w:fldChar w:fldCharType="end"/>
          </w:r>
        </w:p>
        <w:p>
          <w:pPr>
            <w:pStyle w:val="15"/>
            <w:tabs>
              <w:tab w:val="right" w:leader="dot" w:pos="8296"/>
            </w:tabs>
          </w:pPr>
          <w:r>
            <w:fldChar w:fldCharType="begin"/>
          </w:r>
          <w:r>
            <w:instrText xml:space="preserve"> HYPERLINK \l "_Toc196675390" </w:instrText>
          </w:r>
          <w:r>
            <w:fldChar w:fldCharType="separate"/>
          </w:r>
          <w:r>
            <w:rPr>
              <w:rStyle w:val="13"/>
              <w:lang w:val="en-GB"/>
            </w:rPr>
            <w:t>4.2 Critical Analysis of the Change Model</w:t>
          </w:r>
          <w:r>
            <w:tab/>
          </w:r>
          <w:r>
            <w:fldChar w:fldCharType="begin"/>
          </w:r>
          <w:r>
            <w:instrText xml:space="preserve"> PAGEREF _Toc196675390 \h </w:instrText>
          </w:r>
          <w:r>
            <w:fldChar w:fldCharType="separate"/>
          </w:r>
          <w:r>
            <w:t>14</w:t>
          </w:r>
          <w:r>
            <w:fldChar w:fldCharType="end"/>
          </w:r>
          <w:r>
            <w:fldChar w:fldCharType="end"/>
          </w:r>
        </w:p>
        <w:p>
          <w:pPr>
            <w:pStyle w:val="16"/>
            <w:tabs>
              <w:tab w:val="left" w:pos="480"/>
              <w:tab w:val="right" w:leader="dot" w:pos="8296"/>
            </w:tabs>
          </w:pPr>
          <w:r>
            <w:fldChar w:fldCharType="begin"/>
          </w:r>
          <w:r>
            <w:instrText xml:space="preserve"> HYPERLINK \l "_Toc196675391" </w:instrText>
          </w:r>
          <w:r>
            <w:fldChar w:fldCharType="separate"/>
          </w:r>
          <w:r>
            <w:rPr>
              <w:rStyle w:val="13"/>
              <w:lang w:val="en-GB"/>
            </w:rPr>
            <w:t>5.</w:t>
          </w:r>
          <w:r>
            <w:tab/>
          </w:r>
          <w:r>
            <w:rPr>
              <w:rStyle w:val="13"/>
              <w:lang w:val="en-GB"/>
            </w:rPr>
            <w:t>Leadership’s Role in balancing stability and change</w:t>
          </w:r>
          <w:r>
            <w:tab/>
          </w:r>
          <w:r>
            <w:fldChar w:fldCharType="begin"/>
          </w:r>
          <w:r>
            <w:instrText xml:space="preserve"> PAGEREF _Toc196675391 \h </w:instrText>
          </w:r>
          <w:r>
            <w:fldChar w:fldCharType="separate"/>
          </w:r>
          <w:r>
            <w:t>15</w:t>
          </w:r>
          <w:r>
            <w:fldChar w:fldCharType="end"/>
          </w:r>
          <w:r>
            <w:fldChar w:fldCharType="end"/>
          </w:r>
        </w:p>
        <w:p>
          <w:pPr>
            <w:pStyle w:val="15"/>
            <w:tabs>
              <w:tab w:val="right" w:leader="dot" w:pos="8296"/>
            </w:tabs>
          </w:pPr>
          <w:r>
            <w:fldChar w:fldCharType="begin"/>
          </w:r>
          <w:r>
            <w:instrText xml:space="preserve"> HYPERLINK \l "_Toc196675392" </w:instrText>
          </w:r>
          <w:r>
            <w:fldChar w:fldCharType="separate"/>
          </w:r>
          <w:r>
            <w:rPr>
              <w:rStyle w:val="13"/>
              <w:lang w:val="en-GB"/>
            </w:rPr>
            <w:t>5.1 Empowering Employees</w:t>
          </w:r>
          <w:r>
            <w:tab/>
          </w:r>
          <w:r>
            <w:fldChar w:fldCharType="begin"/>
          </w:r>
          <w:r>
            <w:instrText xml:space="preserve"> PAGEREF _Toc196675392 \h </w:instrText>
          </w:r>
          <w:r>
            <w:fldChar w:fldCharType="separate"/>
          </w:r>
          <w:r>
            <w:t>15</w:t>
          </w:r>
          <w:r>
            <w:fldChar w:fldCharType="end"/>
          </w:r>
          <w:r>
            <w:fldChar w:fldCharType="end"/>
          </w:r>
        </w:p>
        <w:p>
          <w:pPr>
            <w:pStyle w:val="15"/>
            <w:tabs>
              <w:tab w:val="right" w:leader="dot" w:pos="8296"/>
            </w:tabs>
          </w:pPr>
          <w:r>
            <w:fldChar w:fldCharType="begin"/>
          </w:r>
          <w:r>
            <w:instrText xml:space="preserve"> HYPERLINK \l "_Toc196675393" </w:instrText>
          </w:r>
          <w:r>
            <w:fldChar w:fldCharType="separate"/>
          </w:r>
          <w:r>
            <w:rPr>
              <w:rStyle w:val="13"/>
              <w:lang w:val="en-GB"/>
            </w:rPr>
            <w:t>5.2 Fostering a Culture of Innovation</w:t>
          </w:r>
          <w:r>
            <w:tab/>
          </w:r>
          <w:r>
            <w:fldChar w:fldCharType="begin"/>
          </w:r>
          <w:r>
            <w:instrText xml:space="preserve"> PAGEREF _Toc196675393 \h </w:instrText>
          </w:r>
          <w:r>
            <w:fldChar w:fldCharType="separate"/>
          </w:r>
          <w:r>
            <w:t>15</w:t>
          </w:r>
          <w:r>
            <w:fldChar w:fldCharType="end"/>
          </w:r>
          <w:r>
            <w:fldChar w:fldCharType="end"/>
          </w:r>
        </w:p>
        <w:p>
          <w:pPr>
            <w:pStyle w:val="15"/>
            <w:tabs>
              <w:tab w:val="right" w:leader="dot" w:pos="8296"/>
            </w:tabs>
          </w:pPr>
          <w:r>
            <w:fldChar w:fldCharType="begin"/>
          </w:r>
          <w:r>
            <w:instrText xml:space="preserve"> HYPERLINK \l "_Toc196675394" </w:instrText>
          </w:r>
          <w:r>
            <w:fldChar w:fldCharType="separate"/>
          </w:r>
          <w:r>
            <w:rPr>
              <w:rStyle w:val="13"/>
              <w:lang w:val="en-GB"/>
            </w:rPr>
            <w:t>5.3 Maintaining Stability</w:t>
          </w:r>
          <w:r>
            <w:tab/>
          </w:r>
          <w:r>
            <w:fldChar w:fldCharType="begin"/>
          </w:r>
          <w:r>
            <w:instrText xml:space="preserve"> PAGEREF _Toc196675394 \h </w:instrText>
          </w:r>
          <w:r>
            <w:fldChar w:fldCharType="separate"/>
          </w:r>
          <w:r>
            <w:t>16</w:t>
          </w:r>
          <w:r>
            <w:fldChar w:fldCharType="end"/>
          </w:r>
          <w:r>
            <w:fldChar w:fldCharType="end"/>
          </w:r>
        </w:p>
        <w:p>
          <w:pPr>
            <w:pStyle w:val="16"/>
            <w:tabs>
              <w:tab w:val="left" w:pos="480"/>
              <w:tab w:val="right" w:leader="dot" w:pos="8296"/>
            </w:tabs>
          </w:pPr>
          <w:r>
            <w:fldChar w:fldCharType="begin"/>
          </w:r>
          <w:r>
            <w:instrText xml:space="preserve"> HYPERLINK \l "_Toc196675395" </w:instrText>
          </w:r>
          <w:r>
            <w:fldChar w:fldCharType="separate"/>
          </w:r>
          <w:r>
            <w:rPr>
              <w:rStyle w:val="13"/>
              <w:lang w:val="en-GB"/>
            </w:rPr>
            <w:t>6.</w:t>
          </w:r>
          <w:r>
            <w:tab/>
          </w:r>
          <w:r>
            <w:rPr>
              <w:rStyle w:val="13"/>
              <w:lang w:val="en-GB"/>
            </w:rPr>
            <w:t>Conclusion</w:t>
          </w:r>
          <w:r>
            <w:tab/>
          </w:r>
          <w:r>
            <w:fldChar w:fldCharType="begin"/>
          </w:r>
          <w:r>
            <w:instrText xml:space="preserve"> PAGEREF _Toc196675395 \h </w:instrText>
          </w:r>
          <w:r>
            <w:fldChar w:fldCharType="separate"/>
          </w:r>
          <w:r>
            <w:t>17</w:t>
          </w:r>
          <w:r>
            <w:fldChar w:fldCharType="end"/>
          </w:r>
          <w:r>
            <w:fldChar w:fldCharType="end"/>
          </w:r>
        </w:p>
        <w:p>
          <w:pPr>
            <w:pStyle w:val="16"/>
            <w:tabs>
              <w:tab w:val="left" w:pos="480"/>
              <w:tab w:val="right" w:leader="dot" w:pos="8296"/>
            </w:tabs>
          </w:pPr>
          <w:r>
            <w:fldChar w:fldCharType="begin"/>
          </w:r>
          <w:r>
            <w:instrText xml:space="preserve"> HYPERLINK \l "_Toc196675396" </w:instrText>
          </w:r>
          <w:r>
            <w:fldChar w:fldCharType="separate"/>
          </w:r>
          <w:r>
            <w:rPr>
              <w:rStyle w:val="13"/>
              <w:lang w:val="en-GB"/>
            </w:rPr>
            <w:t>7.</w:t>
          </w:r>
          <w:r>
            <w:tab/>
          </w:r>
          <w:r>
            <w:rPr>
              <w:rStyle w:val="13"/>
              <w:lang w:val="en-GB"/>
            </w:rPr>
            <w:t>Recommendations</w:t>
          </w:r>
          <w:r>
            <w:tab/>
          </w:r>
          <w:r>
            <w:fldChar w:fldCharType="begin"/>
          </w:r>
          <w:r>
            <w:instrText xml:space="preserve"> PAGEREF _Toc196675396 \h </w:instrText>
          </w:r>
          <w:r>
            <w:fldChar w:fldCharType="separate"/>
          </w:r>
          <w:r>
            <w:t>19</w:t>
          </w:r>
          <w:r>
            <w:fldChar w:fldCharType="end"/>
          </w:r>
          <w:r>
            <w:fldChar w:fldCharType="end"/>
          </w:r>
        </w:p>
        <w:p>
          <w:pPr>
            <w:pStyle w:val="16"/>
            <w:tabs>
              <w:tab w:val="right" w:leader="dot" w:pos="8296"/>
            </w:tabs>
          </w:pPr>
          <w:r>
            <w:fldChar w:fldCharType="begin"/>
          </w:r>
          <w:r>
            <w:instrText xml:space="preserve"> HYPERLINK \l "_Toc196675397" </w:instrText>
          </w:r>
          <w:r>
            <w:fldChar w:fldCharType="separate"/>
          </w:r>
          <w:r>
            <w:rPr>
              <w:rStyle w:val="13"/>
            </w:rPr>
            <w:t>Reference:</w:t>
          </w:r>
          <w:r>
            <w:tab/>
          </w:r>
          <w:r>
            <w:fldChar w:fldCharType="begin"/>
          </w:r>
          <w:r>
            <w:instrText xml:space="preserve"> PAGEREF _Toc196675397 \h </w:instrText>
          </w:r>
          <w:r>
            <w:fldChar w:fldCharType="separate"/>
          </w:r>
          <w:r>
            <w:t>20</w:t>
          </w:r>
          <w:r>
            <w:fldChar w:fldCharType="end"/>
          </w:r>
          <w:r>
            <w:fldChar w:fldCharType="end"/>
          </w:r>
        </w:p>
        <w:p>
          <w:r>
            <w:rPr>
              <w:b/>
              <w:bCs/>
            </w:rPr>
            <w:fldChar w:fldCharType="end"/>
          </w:r>
        </w:p>
      </w:sdtContent>
    </w:sdt>
    <w:p>
      <w:pPr>
        <w:pStyle w:val="2"/>
        <w:numPr>
          <w:ilvl w:val="0"/>
          <w:numId w:val="1"/>
        </w:numPr>
        <w:rPr>
          <w:lang w:val="en-GB"/>
        </w:rPr>
      </w:pPr>
      <w:bookmarkStart w:id="1" w:name="_Toc196675377"/>
      <w:r>
        <w:rPr>
          <w:lang w:val="en-GB"/>
        </w:rPr>
        <w:t>Introduction</w:t>
      </w:r>
      <w:bookmarkEnd w:id="1"/>
    </w:p>
    <w:p>
      <w:pPr>
        <w:pStyle w:val="3"/>
        <w:rPr>
          <w:lang w:val="en-GB"/>
        </w:rPr>
      </w:pPr>
      <w:bookmarkStart w:id="2" w:name="_Toc196675378"/>
      <w:r>
        <w:rPr>
          <w:lang w:val="en-GB"/>
        </w:rPr>
        <w:t>1.1Background</w:t>
      </w:r>
      <w:bookmarkEnd w:id="2"/>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Bamboos Health Care Holdings Limited (stock code: 2293.HK) is currently undergoing a significant transformation as it plans to expand its operations into the Greater Bay Area (Bamboos, 2025). This strategic decision arises in response to various challenges, including the ongoing repercussions of the COVID-19 pandemic, changing market dynamics, and geopolitical tensions that affect the healthcare industry. The organization is experiencing critical issues, such as employee resistance to change, a pressing need for innovative healthcare solutions, and market instability, all of which threaten its growth and operational efficiency. This report aims to provide a comprehensive analysis of these challenges, using Force Field Analysis to understand the dynamics at play. Furthermore, it will evaluate the change model being implemented and assess the leadership’s role in balancing stability and change Finally, recommendations will be provided to address the key problems identified during the analysis.</w:t>
      </w:r>
    </w:p>
    <w:p>
      <w:pPr>
        <w:pStyle w:val="34"/>
        <w:widowControl/>
        <w:spacing w:line="360" w:lineRule="auto"/>
        <w:jc w:val="both"/>
        <w:rPr>
          <w:rFonts w:ascii="Times New Roman" w:hAnsi="Times New Roman" w:cs="Times New Roman"/>
          <w:lang w:val="en-GB"/>
        </w:rPr>
      </w:pPr>
    </w:p>
    <w:p>
      <w:pPr>
        <w:pStyle w:val="3"/>
        <w:rPr>
          <w:lang w:val="en-GB"/>
        </w:rPr>
      </w:pPr>
      <w:bookmarkStart w:id="3" w:name="_Toc196675379"/>
      <w:r>
        <w:rPr>
          <w:lang w:val="en-GB"/>
        </w:rPr>
        <w:t>1.2 Main issues</w:t>
      </w:r>
      <w:bookmarkEnd w:id="3"/>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Bamboos Health Care is facing several pressing issues that could impact its ability to achieve successful change. The first of these is employee resistance to change. Many employees express concerns about job security and the potential impact of new process on their roles. This resistance is often rooted in a lack of clear communication regarding the benefits of the proposed changes and insufficient involvement of employees in </w:t>
      </w:r>
      <w:r>
        <w:rPr>
          <w:rFonts w:hint="default" w:ascii="Times New Roman" w:hAnsi="Times New Roman" w:cs="Times New Roman"/>
        </w:rPr>
        <w:t>t</w:t>
      </w:r>
      <w:r>
        <w:rPr>
          <w:rFonts w:ascii="Times New Roman" w:hAnsi="Times New Roman" w:cs="Times New Roman"/>
          <w:lang w:val="en-GB"/>
        </w:rPr>
        <w:t>he decision marking process.</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The second major issue is the urgent need for innovation within the organization. The healthcare sector has undergone rapid transformations due to technological advancements, especially following the pandemic (Bamboos, 2025). Bamboos must innovate to stay competitive, but implementing new technologies, such as telemedicine and electronic health records, requires a struct</w:t>
      </w:r>
      <w:r>
        <w:rPr>
          <w:rFonts w:hint="default" w:ascii="Times New Roman" w:hAnsi="Times New Roman" w:cs="Times New Roman"/>
          <w:lang w:val="en-US"/>
        </w:rPr>
        <w:t>ur</w:t>
      </w:r>
      <w:r>
        <w:rPr>
          <w:rFonts w:ascii="Times New Roman" w:hAnsi="Times New Roman" w:cs="Times New Roman"/>
          <w:lang w:val="en-GB"/>
        </w:rPr>
        <w:t>ed approach that includes not just investment in technology but also comprehensive training for staff. The third critical issue is market instability. Economic conditions have been volatile, worsened by geopolitical tensions and the ongoing effects of the pandemic. This instability complicates strategic planning and resource allocation, making it challenging for Bamboos to navigate its expansion into the Greater Bay Area effectively (Bamboos, 2025). Together, these issues create a complex landscape that requires careful analysis and strategic action.</w:t>
      </w:r>
    </w:p>
    <w:p>
      <w:pPr>
        <w:widowControl/>
        <w:rPr>
          <w:rFonts w:ascii="Times New Roman" w:hAnsi="Times New Roman" w:cs="Times New Roman"/>
          <w:lang w:val="en-GB"/>
        </w:rPr>
      </w:pPr>
      <w:r>
        <w:rPr>
          <w:rFonts w:ascii="Times New Roman" w:hAnsi="Times New Roman" w:cs="Times New Roman"/>
          <w:lang w:val="en-GB"/>
        </w:rPr>
        <w:br w:type="page"/>
      </w:r>
    </w:p>
    <w:p>
      <w:pPr>
        <w:pStyle w:val="2"/>
        <w:numPr>
          <w:ilvl w:val="0"/>
          <w:numId w:val="1"/>
        </w:numPr>
        <w:rPr>
          <w:lang w:val="en-GB"/>
        </w:rPr>
      </w:pPr>
      <w:bookmarkStart w:id="4" w:name="_Toc196675380"/>
      <w:r>
        <w:rPr>
          <w:lang w:val="en-GB"/>
        </w:rPr>
        <w:t>Critical Assessment of Main Issues</w:t>
      </w:r>
      <w:bookmarkEnd w:id="4"/>
    </w:p>
    <w:p>
      <w:pPr>
        <w:rPr>
          <w:lang w:val="en-GB"/>
        </w:rPr>
      </w:pPr>
    </w:p>
    <w:p>
      <w:pPr>
        <w:pStyle w:val="34"/>
        <w:widowControl/>
        <w:numPr>
          <w:ilvl w:val="1"/>
          <w:numId w:val="1"/>
        </w:numPr>
        <w:spacing w:line="360" w:lineRule="auto"/>
        <w:jc w:val="both"/>
        <w:rPr>
          <w:rFonts w:ascii="Times New Roman" w:hAnsi="Times New Roman" w:cs="Times New Roman"/>
          <w:lang w:val="en-GB"/>
        </w:rPr>
      </w:pPr>
      <w:bookmarkStart w:id="5" w:name="_Toc196675381"/>
      <w:r>
        <w:rPr>
          <w:rStyle w:val="22"/>
        </w:rPr>
        <w:t>Employee Resistance to Chang</w:t>
      </w:r>
      <w:bookmarkEnd w:id="5"/>
      <w:r>
        <w:rPr>
          <w:rStyle w:val="22"/>
          <w:rFonts w:hint="default" w:asciiTheme="majorHAnsi"/>
        </w:rPr>
        <w:t>e</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Employee resistance to change is one of the most significant barriers facing Bamboos Health. Many staff members are apprehensive about how changes might affect their jobs. This resistance can hinder the implementation of</w:t>
      </w:r>
      <w:r>
        <w:rPr>
          <w:rFonts w:hint="default" w:ascii="Times New Roman" w:hAnsi="Times New Roman" w:cs="Times New Roman"/>
          <w:lang w:val="en-US"/>
        </w:rPr>
        <w:t xml:space="preserve"> </w:t>
      </w:r>
      <w:r>
        <w:rPr>
          <w:rFonts w:ascii="Times New Roman" w:hAnsi="Times New Roman" w:cs="Times New Roman"/>
          <w:lang w:val="en-GB"/>
        </w:rPr>
        <w:t>new process and technologies crucial for the organization’s growth. The lack of effective communication regarding the reasons for change and the benefits it can bring contributes significantly to this resistance. Employees may feel left out of the decision-making process, leading to feelings of insecurity and anxiety about their future within the organization.</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To address this issue, it is essential to foster an environment of open communication. Employees should be informed about the reasons for changes and how these changes will positively impact both the organization and their individual roles. Providing platforms for employees to voice their concerns and suggestion can also help mitigate resistance. Engaging employees in discussions about the change process can foster a sense of ownership and involvement, which is critical for overcoming resistance.</w:t>
      </w:r>
    </w:p>
    <w:p>
      <w:pPr>
        <w:pStyle w:val="3"/>
        <w:rPr>
          <w:lang w:val="en-GB"/>
        </w:rPr>
      </w:pPr>
      <w:bookmarkStart w:id="6" w:name="_Toc196675382"/>
      <w:r>
        <w:rPr>
          <w:lang w:val="en-GB"/>
        </w:rPr>
        <w:t>2.2 Need for Innovation</w:t>
      </w:r>
      <w:bookmarkEnd w:id="6"/>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The need for innovation is another pressing issue that Bamboos Health must address. The healthcare industry is rapidly evolving, and organizations that fail to innovate risk falling behind their competitors. The COVID-19 pandemic has accelerated the adaption of digital health solutions, making it imperative for Bamboos to integrate new technologies into its operations. This includes not only telemedicine and electronic health records but also other digital tools that can enhance patient care and streamline operation.</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However, innovation requires more than just the introduction of new technologies; it necessitates a culture shift within the organization. Employees must be encouraged to embrace change and view new technologies as opportunities rather than threats. This cultural shift can be facilitated through training and development programs that equip staff with the skills needed to utilize new technologies effectiv</w:t>
      </w:r>
      <w:r>
        <w:rPr>
          <w:rFonts w:hint="default" w:ascii="Times New Roman" w:hAnsi="Times New Roman" w:cs="Times New Roman"/>
          <w:lang w:val="en-US"/>
        </w:rPr>
        <w:t>el</w:t>
      </w:r>
      <w:r>
        <w:rPr>
          <w:rFonts w:ascii="Times New Roman" w:hAnsi="Times New Roman" w:cs="Times New Roman"/>
          <w:lang w:val="en-GB"/>
        </w:rPr>
        <w:t xml:space="preserve">y. Additionally, creating a culture that values creativity and experimentation can inspire employees to contribute innovative ideas and solutions. </w:t>
      </w:r>
    </w:p>
    <w:p>
      <w:pPr>
        <w:pStyle w:val="34"/>
        <w:widowControl/>
        <w:spacing w:line="360" w:lineRule="auto"/>
        <w:jc w:val="both"/>
        <w:rPr>
          <w:rFonts w:ascii="Times New Roman" w:hAnsi="Times New Roman" w:cs="Times New Roman"/>
          <w:lang w:val="en-GB"/>
        </w:rPr>
      </w:pPr>
    </w:p>
    <w:p>
      <w:pPr>
        <w:pStyle w:val="3"/>
        <w:rPr>
          <w:lang w:val="en-GB"/>
        </w:rPr>
      </w:pPr>
      <w:bookmarkStart w:id="7" w:name="_Toc196675383"/>
      <w:r>
        <w:rPr>
          <w:lang w:val="en-GB"/>
        </w:rPr>
        <w:t>2.3 Market Instability</w:t>
      </w:r>
      <w:bookmarkEnd w:id="7"/>
      <w:r>
        <w:rPr>
          <w:lang w:val="en-GB"/>
        </w:rPr>
        <w:t xml:space="preserve"> </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Market instability presents a significant challenge for Bamboos Health. The economic landscape has been unpredictable, influenced by factors such as geopolitical tensions and the lingering effects of the pandemic. This volatility can complicate strategic planning and resource allocation, making it difficult for the organization to make informed decisions about expansion into the Greater Bay Area. To navigate this uncertainty, Bamboos must adopt a flexible approach to strategic planning. This involves regularly assessing market conditions and being prepared to adjust strategies as needed. Developing contingency plans can also help the organization response effectively to unforeseen challenges. Additionally, building strong relationships with stakeholders, including government bodies and community organizations, can provide valuable insights and support during times of instability.</w:t>
      </w:r>
    </w:p>
    <w:p>
      <w:pPr>
        <w:pStyle w:val="34"/>
        <w:widowControl/>
        <w:spacing w:line="360" w:lineRule="auto"/>
        <w:jc w:val="both"/>
        <w:rPr>
          <w:rFonts w:ascii="Times New Roman" w:hAnsi="Times New Roman" w:cs="Times New Roman"/>
          <w:lang w:val="en-GB"/>
        </w:rPr>
      </w:pPr>
    </w:p>
    <w:p>
      <w:pPr>
        <w:pStyle w:val="2"/>
        <w:numPr>
          <w:ilvl w:val="0"/>
          <w:numId w:val="1"/>
        </w:numPr>
        <w:rPr>
          <w:lang w:val="en-GB"/>
        </w:rPr>
      </w:pPr>
      <w:bookmarkStart w:id="8" w:name="_Toc196675384"/>
      <w:r>
        <w:rPr>
          <w:lang w:val="en-GB"/>
        </w:rPr>
        <w:t>Force Field Analysis of Bamboos Health</w:t>
      </w:r>
      <w:bookmarkEnd w:id="8"/>
      <w:r>
        <w:rPr>
          <w:lang w:val="en-GB"/>
        </w:rPr>
        <w:t xml:space="preserve"> </w:t>
      </w:r>
    </w:p>
    <w:p>
      <w:pPr>
        <w:rPr>
          <w:lang w:val="en-GB"/>
        </w:rPr>
      </w:pPr>
    </w:p>
    <w:p>
      <w:pPr>
        <w:widowControl/>
        <w:spacing w:line="360" w:lineRule="auto"/>
        <w:ind w:left="720" w:leftChars="300"/>
        <w:jc w:val="both"/>
        <w:rPr>
          <w:rFonts w:ascii="Times New Roman" w:hAnsi="Times New Roman" w:cs="Times New Roman"/>
          <w:lang w:val="en-GB"/>
        </w:rPr>
      </w:pPr>
      <w:r>
        <w:rPr>
          <w:rFonts w:ascii="Times New Roman" w:hAnsi="Times New Roman" w:cs="Times New Roman"/>
          <w:lang w:val="en-GB"/>
        </w:rPr>
        <w:t>Kurt Lewin’s Force Field Analysis serves as a valuable framework for examining the dynamics influencing change within organizations. By identifying both driving and rest</w:t>
      </w:r>
      <w:r>
        <w:rPr>
          <w:rFonts w:hint="default" w:ascii="Times New Roman" w:hAnsi="Times New Roman" w:cs="Times New Roman"/>
          <w:lang w:val="en-US"/>
        </w:rPr>
        <w:t>r</w:t>
      </w:r>
      <w:r>
        <w:rPr>
          <w:rFonts w:ascii="Times New Roman" w:hAnsi="Times New Roman" w:cs="Times New Roman"/>
          <w:lang w:val="en-GB"/>
        </w:rPr>
        <w:t>aining forces, Bamboos Health can navigate the complexities of its operat</w:t>
      </w:r>
      <w:r>
        <w:rPr>
          <w:rFonts w:hint="default" w:ascii="Times New Roman" w:hAnsi="Times New Roman" w:cs="Times New Roman"/>
          <w:lang w:val="en-US"/>
        </w:rPr>
        <w:t>i</w:t>
      </w:r>
      <w:r>
        <w:rPr>
          <w:rFonts w:ascii="Times New Roman" w:hAnsi="Times New Roman" w:cs="Times New Roman"/>
          <w:lang w:val="en-GB"/>
        </w:rPr>
        <w:t>onal landscape effectively (Cadle et al., 2010).</w:t>
      </w:r>
    </w:p>
    <w:p>
      <w:pPr>
        <w:widowControl/>
        <w:spacing w:line="360" w:lineRule="auto"/>
        <w:ind w:left="720" w:leftChars="300"/>
        <w:jc w:val="both"/>
        <w:rPr>
          <w:rFonts w:ascii="Times New Roman" w:hAnsi="Times New Roman" w:cs="Times New Roman"/>
          <w:lang w:val="en-GB"/>
        </w:rPr>
      </w:pPr>
    </w:p>
    <w:p>
      <w:pPr>
        <w:widowControl/>
        <w:spacing w:line="360" w:lineRule="auto"/>
        <w:jc w:val="both"/>
        <w:rPr>
          <w:rFonts w:ascii="Times New Roman" w:hAnsi="Times New Roman" w:cs="Times New Roman"/>
          <w:lang w:val="en-GB"/>
        </w:rPr>
      </w:pPr>
      <w:r>
        <w:rPr>
          <w:rFonts w:ascii="Times New Roman Regular" w:hAnsi="Times New Roman Regular" w:cs="Times New Roman Regular"/>
        </w:rPr>
        <w:drawing>
          <wp:inline distT="0" distB="0" distL="114300" distR="114300">
            <wp:extent cx="5268595" cy="3157855"/>
            <wp:effectExtent l="0" t="0" r="14605" b="17145"/>
            <wp:docPr id="2" name="圖片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descr="A screenshot of a graph&#10;&#10;AI-generated content may be incorrect."/>
                    <pic:cNvPicPr>
                      <a:picLocks noChangeAspect="1"/>
                    </pic:cNvPicPr>
                  </pic:nvPicPr>
                  <pic:blipFill>
                    <a:blip r:embed="rId7"/>
                    <a:stretch>
                      <a:fillRect/>
                    </a:stretch>
                  </pic:blipFill>
                  <pic:spPr>
                    <a:xfrm>
                      <a:off x="0" y="0"/>
                      <a:ext cx="5268595" cy="3157855"/>
                    </a:xfrm>
                    <a:prstGeom prst="rect">
                      <a:avLst/>
                    </a:prstGeom>
                    <a:noFill/>
                    <a:ln>
                      <a:noFill/>
                    </a:ln>
                  </pic:spPr>
                </pic:pic>
              </a:graphicData>
            </a:graphic>
          </wp:inline>
        </w:drawing>
      </w:r>
    </w:p>
    <w:p>
      <w:pPr>
        <w:spacing w:line="360" w:lineRule="auto"/>
        <w:jc w:val="right"/>
        <w:rPr>
          <w:rFonts w:ascii="Times New Roman Regular" w:hAnsi="Times New Roman Regular" w:cs="Times New Roman Regular"/>
        </w:rPr>
      </w:pPr>
      <w:r>
        <w:rPr>
          <w:rFonts w:ascii="Times New Roman Regular" w:hAnsi="Times New Roman Regular" w:cs="Times New Roman Regular"/>
        </w:rPr>
        <w:t>Construction by writer</w:t>
      </w:r>
    </w:p>
    <w:p>
      <w:pPr>
        <w:pStyle w:val="3"/>
        <w:rPr>
          <w:lang w:val="en-GB"/>
        </w:rPr>
      </w:pPr>
      <w:bookmarkStart w:id="9" w:name="_Toc196675385"/>
      <w:r>
        <w:rPr>
          <w:lang w:val="en-GB"/>
        </w:rPr>
        <w:t>3.1 Driving Forces</w:t>
      </w:r>
      <w:bookmarkEnd w:id="9"/>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Driving forces are factors that propel an organization toward necessary changes. For Bamboos Health , several critical driving forces can be identified.</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One significant driving force is the increased demand for healthcare services. The pandemic has heightened public awareness of health issues, resulting in a surge in demand for healthcare services. This situation presents a crucial opportunity for Bamboos Health to expand its service offering </w:t>
      </w:r>
      <w:r>
        <w:rPr>
          <w:rFonts w:hint="default" w:ascii="Times New Roman" w:hAnsi="Times New Roman" w:cs="Times New Roman"/>
          <w:lang w:val="en-US"/>
        </w:rPr>
        <w:t xml:space="preserve">and better serve community. By responding </w:t>
      </w:r>
      <w:r>
        <w:rPr>
          <w:rFonts w:ascii="Times New Roman" w:hAnsi="Times New Roman" w:cs="Times New Roman"/>
          <w:lang w:val="en-GB"/>
        </w:rPr>
        <w:t>effectively to this demand</w:t>
      </w:r>
      <w:r>
        <w:rPr>
          <w:rFonts w:hint="default" w:ascii="Times New Roman" w:hAnsi="Times New Roman" w:cs="Times New Roman"/>
          <w:lang w:val="en-US"/>
        </w:rPr>
        <w:t>,</w:t>
      </w:r>
      <w:r>
        <w:rPr>
          <w:rFonts w:ascii="Times New Roman" w:hAnsi="Times New Roman" w:cs="Times New Roman"/>
          <w:lang w:val="en-GB"/>
        </w:rPr>
        <w:t xml:space="preserve"> Bamboos can position itself as leader in the healthcare sector and enhance it reputation among stakeholders (Singtao, 2023).</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Another important driving force is technological advancements. The rapid pace of technological innovation in healthcare provides Bamboos with the opportunity to improve operational efficiency and enhance patient care. Digital health solutions, such as </w:t>
      </w:r>
      <w:r>
        <w:rPr>
          <w:rFonts w:hint="default" w:ascii="Times New Roman" w:hAnsi="Times New Roman" w:cs="Times New Roman"/>
          <w:lang w:val="en-US"/>
        </w:rPr>
        <w:t xml:space="preserve">telemedicine and electronic health records, enable </w:t>
      </w:r>
      <w:r>
        <w:rPr>
          <w:rFonts w:ascii="Times New Roman" w:hAnsi="Times New Roman" w:cs="Times New Roman"/>
          <w:lang w:val="en-GB"/>
        </w:rPr>
        <w:t>Bamboos to streamlines processes, reduce costs, and ultimately deliver high-quality services to its patients. Embracing these technologies is key to maintaining a competitive edge in the industry.</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Leadership also plays a pivotal role in steering organizations through periods of change. Ms Hai Hiu Chu, the </w:t>
      </w:r>
      <w:r>
        <w:rPr>
          <w:rFonts w:hint="default" w:ascii="Times New Roman" w:hAnsi="Times New Roman" w:cs="Times New Roman"/>
          <w:lang w:val="en-US"/>
        </w:rPr>
        <w:t>C</w:t>
      </w:r>
      <w:r>
        <w:rPr>
          <w:rFonts w:ascii="Times New Roman" w:hAnsi="Times New Roman" w:cs="Times New Roman"/>
          <w:lang w:val="en-GB"/>
        </w:rPr>
        <w:t>hairman and CEO of Bamboos Health, exemplifies effective leadership that inspires employees and cultivates a culture of innovation. Her strategic vision and decision-making capabilities are fundamental to guiding the organization through the myriad challenges associated with change. Since her appointment as a board member in September 2018 and her subsequent promotion to Chairman in January 2019, Ms Chu’s leadership has significantly influenced the company’s strategic direction.</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Additionally, growth opportunities in the Greater Bay Area present a substantial driving force for Bamboos Health. This economically dynamic region offers significantly potential for healthcare growth, making it an attractive market for expansion. By capitalizing on this opportunity, Bamboos can enhance its service offerings and tap into a broader customer base, further solidifying its position in the industry.</w:t>
      </w:r>
    </w:p>
    <w:p>
      <w:pPr>
        <w:widowControl/>
        <w:spacing w:line="360" w:lineRule="auto"/>
        <w:jc w:val="both"/>
        <w:rPr>
          <w:rFonts w:ascii="Times New Roman" w:hAnsi="Times New Roman" w:cs="Times New Roman"/>
          <w:lang w:val="en-GB"/>
        </w:rPr>
      </w:pPr>
    </w:p>
    <w:p>
      <w:pPr>
        <w:pStyle w:val="3"/>
        <w:rPr>
          <w:lang w:val="en-GB"/>
        </w:rPr>
      </w:pPr>
      <w:bookmarkStart w:id="10" w:name="_Toc196675386"/>
      <w:r>
        <w:rPr>
          <w:lang w:val="en-GB"/>
        </w:rPr>
        <w:t>3.2 Restraining Forces</w:t>
      </w:r>
      <w:bookmarkEnd w:id="10"/>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Conversely, certain restraining forces may impede progress at Bamboos Health. One of the most significant challenges is employee resistance to change. Many staff members may feel insecure about their jobs or apprehensive about adopting new processes. This resistance can manifest in various forms, including decreased morale, diminished productivity, and reluctance to embrace new technologies. Addressing these concerns is vital to ensuring a smooth transition during periods of change. Economic uncertainty is another critical restraining force. Fluctuating market conditions complicate decision-making and resource allocation, making it challenging for Bamboos to plan effectively for expansion. This unpredictability can lead to hesitancy in investing </w:t>
      </w:r>
      <w:r>
        <w:rPr>
          <w:rFonts w:hint="default" w:ascii="Times New Roman" w:hAnsi="Times New Roman" w:cs="Times New Roman"/>
          <w:lang w:val="en-US"/>
        </w:rPr>
        <w:t xml:space="preserve">in </w:t>
      </w:r>
      <w:r>
        <w:rPr>
          <w:rFonts w:ascii="Times New Roman" w:hAnsi="Times New Roman" w:cs="Times New Roman"/>
          <w:lang w:val="en-GB"/>
        </w:rPr>
        <w:t>new technologies and initiatives, further stalling progress. Moreover, an organizational culture that resists change can significantly hinder innovation efforts. Employees who are accustomed to traditional ways of working may be reluctant to adopt new practices or technologies. This cultural inertia creates barriers to adaptation, limiting the organization’s ability to thrive in a rapidly evolving healthcare landscape. Finally, constraints in financial and human resources can restrict the implementation of new initiatives. Without adequate investment in training, technology, and other essential areas, Bamboos may struggle to support the changes necessary for growth and improvement.</w:t>
      </w:r>
    </w:p>
    <w:p>
      <w:pPr>
        <w:pStyle w:val="34"/>
        <w:widowControl/>
        <w:spacing w:line="360" w:lineRule="auto"/>
        <w:jc w:val="both"/>
        <w:rPr>
          <w:rFonts w:ascii="Times New Roman" w:hAnsi="Times New Roman" w:cs="Times New Roman"/>
          <w:lang w:val="en-GB"/>
        </w:rPr>
      </w:pPr>
    </w:p>
    <w:p>
      <w:pPr>
        <w:pStyle w:val="3"/>
        <w:rPr>
          <w:lang w:val="en-GB"/>
        </w:rPr>
      </w:pPr>
      <w:bookmarkStart w:id="11" w:name="_Toc196675387"/>
      <w:r>
        <w:rPr>
          <w:lang w:val="en-GB"/>
        </w:rPr>
        <w:t>3.3 Summary of Force Field Analysis</w:t>
      </w:r>
      <w:bookmarkEnd w:id="11"/>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The result of the Force Field Analysis reveal a total score of 21 for driving forces and 17 for restraining forces. This indicates that while the driving forces slightly outweigh the restraining forces, it is imperative for Bamboos Health to proactively address the latter to achieve successful change. By comprehensively understanding these dynamics, the organization can develop targeted strategies to overcome resistance and leverage its strengths effectively. In conclusion, Bamboos Health is positioned at a critical juncture where interplay of driving and restraining forces will shape its future. By focusing on enhancing driving forces while strategically mitigating the impact of restraining forces, Bamboos Health can navigate the complexities of change and emerge as a stronger, more resilient organization in the healthcare sector.</w:t>
      </w:r>
    </w:p>
    <w:p>
      <w:pPr>
        <w:widowControl/>
        <w:rPr>
          <w:rFonts w:ascii="Times New Roman" w:hAnsi="Times New Roman" w:cs="Times New Roman"/>
          <w:lang w:val="en-GB"/>
        </w:rPr>
      </w:pPr>
      <w:r>
        <w:rPr>
          <w:rFonts w:ascii="Times New Roman" w:hAnsi="Times New Roman" w:cs="Times New Roman"/>
          <w:lang w:val="en-GB"/>
        </w:rPr>
        <w:br w:type="page"/>
      </w:r>
    </w:p>
    <w:p>
      <w:pPr>
        <w:pStyle w:val="2"/>
        <w:numPr>
          <w:ilvl w:val="0"/>
          <w:numId w:val="1"/>
        </w:numPr>
        <w:rPr>
          <w:lang w:val="en-GB"/>
        </w:rPr>
      </w:pPr>
      <w:bookmarkStart w:id="12" w:name="_Toc196675388"/>
      <w:r>
        <w:rPr>
          <w:lang w:val="en-GB"/>
        </w:rPr>
        <w:t>Evaluation of Change Model</w:t>
      </w:r>
      <w:bookmarkEnd w:id="12"/>
    </w:p>
    <w:p>
      <w:pPr>
        <w:pStyle w:val="34"/>
        <w:widowControl/>
        <w:spacing w:line="360" w:lineRule="auto"/>
        <w:ind w:left="360"/>
        <w:jc w:val="both"/>
        <w:rPr>
          <w:rFonts w:ascii="Times New Roman" w:hAnsi="Times New Roman" w:cs="Times New Roman"/>
          <w:lang w:val="en-GB"/>
        </w:rPr>
      </w:pPr>
      <w:r>
        <w:rPr>
          <w:rFonts w:ascii="Times New Roman" w:hAnsi="Times New Roman" w:cs="Times New Roman"/>
          <w:lang w:val="en-GB"/>
        </w:rPr>
        <w:t>Bamboos Health is employing Kotter’s 8-Steps Change Model, which provides a structured approach to implementing change (McPhail &amp; Beatty, 2023). This model consists of several steps designed to guide organizations through the transformation process effectively.</w:t>
      </w:r>
    </w:p>
    <w:p>
      <w:pPr>
        <w:pStyle w:val="34"/>
        <w:widowControl/>
        <w:spacing w:line="360" w:lineRule="auto"/>
        <w:ind w:left="360"/>
        <w:jc w:val="both"/>
        <w:rPr>
          <w:rFonts w:ascii="Times New Roman" w:hAnsi="Times New Roman" w:cs="Times New Roman"/>
          <w:lang w:val="en-GB"/>
        </w:rPr>
      </w:pPr>
    </w:p>
    <w:p>
      <w:pPr>
        <w:pStyle w:val="3"/>
        <w:rPr>
          <w:lang w:val="en-GB"/>
        </w:rPr>
      </w:pPr>
      <w:bookmarkStart w:id="13" w:name="_Toc196675389"/>
      <w:r>
        <w:rPr>
          <w:lang w:val="en-GB"/>
        </w:rPr>
        <w:t>4.1 Steps of the Change Model</w:t>
      </w:r>
      <w:bookmarkEnd w:id="13"/>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The first step in Kotter’s model is create a sense of urgency regarding the need for change. This step is essential for motivating employees to embrace new directions and understand the importance of the changes being proposed. B</w:t>
      </w:r>
      <w:r>
        <w:rPr>
          <w:rFonts w:hint="default" w:ascii="Times New Roman" w:hAnsi="Times New Roman" w:cs="Times New Roman"/>
          <w:lang w:val="en-US"/>
        </w:rPr>
        <w:t>y</w:t>
      </w:r>
      <w:r>
        <w:rPr>
          <w:rFonts w:ascii="Times New Roman" w:hAnsi="Times New Roman" w:cs="Times New Roman"/>
          <w:lang w:val="en-GB"/>
        </w:rPr>
        <w:t xml:space="preserve"> highlighting the potential risks of not changing, leaders can encourage staff to recognize the necessity of the transition.</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 xml:space="preserve">The next step involves forming a coalition of supporters within the organization. This coalition should consist of individuals who are committed to driving change and can help influence others to get on board with the initiative. Building a diverse coalition can also ensure that different perspectives are considered during the change process. Developing a clear vision that aligns with the organization’s goals is another critical step. This vision serves as a guiding light for the change initiatives, providing clarity and direction for employees. It is essential that this vision is communicated effectively to all staff members, fostering understanding and buy-in. Removing obstacles that hinder change is also an important step in the process. Leaders should identify and address any barriers that may impede progress, whether they are structural, cultural, or resource-related. Empowering employees to take action and contribute to the change process can also help overcome resistance. Generating short-term wins is a vital aspect of Kotter’s model. Celebrating early successes can build momentum and reinforce the belief that change is not only possible but also beneficial. These wins can serve as motivation for employees and help maintain enthusiasm throughout the change process. At the organization consolidates gains, it is crucial to anchor new approaches within the culture. This step ensures that changes become a permanent part of the organization’s operations and are not viewed as temporary initiatives. Reinforcing the new </w:t>
      </w:r>
      <w:r>
        <w:rPr>
          <w:rFonts w:hint="default" w:ascii="Times New Roman" w:hAnsi="Times New Roman" w:cs="Times New Roman"/>
          <w:lang w:val="en-US"/>
        </w:rPr>
        <w:t xml:space="preserve">behaviors </w:t>
      </w:r>
      <w:r>
        <w:rPr>
          <w:rFonts w:ascii="Times New Roman" w:hAnsi="Times New Roman" w:cs="Times New Roman"/>
          <w:lang w:val="en-GB"/>
        </w:rPr>
        <w:t>and practices through recognition and rewards can help solidify these changes.</w:t>
      </w:r>
    </w:p>
    <w:p>
      <w:pPr>
        <w:pStyle w:val="34"/>
        <w:widowControl/>
        <w:spacing w:line="360" w:lineRule="auto"/>
        <w:jc w:val="both"/>
        <w:rPr>
          <w:rFonts w:ascii="Times New Roman" w:hAnsi="Times New Roman" w:cs="Times New Roman"/>
          <w:lang w:val="en-GB"/>
        </w:rPr>
      </w:pPr>
    </w:p>
    <w:p>
      <w:pPr>
        <w:pStyle w:val="3"/>
        <w:rPr>
          <w:lang w:val="en-GB"/>
        </w:rPr>
      </w:pPr>
      <w:bookmarkStart w:id="14" w:name="_Toc196675390"/>
      <w:r>
        <w:rPr>
          <w:lang w:val="en-GB"/>
        </w:rPr>
        <w:t>4.2 Critical Analysis of the Change Model</w:t>
      </w:r>
      <w:bookmarkEnd w:id="14"/>
      <w:r>
        <w:rPr>
          <w:lang w:val="en-GB"/>
        </w:rPr>
        <w:t xml:space="preserve"> </w:t>
      </w:r>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While Kotter’s model provides a comprehensive framework for managing change, it is not without its limitations. One of the main criticisms of the model is its linear nature. In reality, change processes can be complex and unpredictable, often requiring flexibility and adaptability. Organizations may need to revisit earlier steps or adjust their strategies as new challenges arise. Moreover, the success of the model heavily relies on effective communication throughout the process. Leaders must ensure that employees are informed and engaged at every stage, as this is critical in overcoming resistance and fostering a sense of ownership. Implementing Kotter’s Model also requires adequate resources and support. Organizations must be willing to invest in training, development, and communication efforts ensure that the change initiative is successful. Without these resources, the model may fall short of achieving its intended outcomes.</w:t>
      </w:r>
    </w:p>
    <w:p>
      <w:pPr>
        <w:pStyle w:val="34"/>
        <w:widowControl/>
        <w:spacing w:line="360" w:lineRule="auto"/>
        <w:jc w:val="both"/>
        <w:rPr>
          <w:rFonts w:ascii="Times New Roman" w:hAnsi="Times New Roman" w:cs="Times New Roman"/>
          <w:lang w:val="en-GB"/>
        </w:rPr>
      </w:pPr>
    </w:p>
    <w:p>
      <w:pPr>
        <w:pStyle w:val="2"/>
        <w:numPr>
          <w:ilvl w:val="0"/>
          <w:numId w:val="1"/>
        </w:numPr>
        <w:rPr>
          <w:lang w:val="en-GB"/>
        </w:rPr>
      </w:pPr>
      <w:bookmarkStart w:id="15" w:name="_Toc196675391"/>
      <w:r>
        <w:rPr>
          <w:lang w:val="en-GB"/>
        </w:rPr>
        <w:t xml:space="preserve">Leadership’s </w:t>
      </w:r>
      <w:r>
        <w:rPr>
          <w:rFonts w:hint="default"/>
          <w:lang w:val="en-US"/>
        </w:rPr>
        <w:t>r</w:t>
      </w:r>
      <w:r>
        <w:rPr>
          <w:lang w:val="en-GB"/>
        </w:rPr>
        <w:t>ole in balancing stability and change</w:t>
      </w:r>
      <w:bookmarkEnd w:id="15"/>
    </w:p>
    <w:p>
      <w:pPr>
        <w:pStyle w:val="34"/>
        <w:widowControl/>
        <w:spacing w:line="360" w:lineRule="auto"/>
        <w:ind w:left="360"/>
        <w:jc w:val="both"/>
        <w:rPr>
          <w:rFonts w:ascii="Times New Roman" w:hAnsi="Times New Roman" w:cs="Times New Roman"/>
          <w:lang w:val="en-GB"/>
        </w:rPr>
      </w:pPr>
      <w:r>
        <w:rPr>
          <w:rFonts w:ascii="Times New Roman" w:hAnsi="Times New Roman" w:cs="Times New Roman"/>
          <w:lang w:val="en-GB"/>
        </w:rPr>
        <w:t>Leadership plays a pivotal role in navigating the balance between stability and change at Bamboos Health. Effective leaders must communicate clearly and transparently about the reasons for changes, emphasizing the benefits for both the organization and its employees (Senior et al.,2020). This transparency is vital in building trust and alleviating concerns.</w:t>
      </w:r>
    </w:p>
    <w:p>
      <w:pPr>
        <w:pStyle w:val="34"/>
        <w:widowControl/>
        <w:spacing w:line="360" w:lineRule="auto"/>
        <w:ind w:left="360"/>
        <w:jc w:val="both"/>
        <w:rPr>
          <w:rFonts w:ascii="Times New Roman" w:hAnsi="Times New Roman" w:cs="Times New Roman"/>
          <w:lang w:val="en-GB"/>
        </w:rPr>
      </w:pPr>
    </w:p>
    <w:p>
      <w:pPr>
        <w:pStyle w:val="3"/>
        <w:rPr>
          <w:lang w:val="en-GB"/>
        </w:rPr>
      </w:pPr>
      <w:bookmarkStart w:id="16" w:name="_Toc196675392"/>
      <w:r>
        <w:rPr>
          <w:lang w:val="en-GB"/>
        </w:rPr>
        <w:t>5.1 Empowering Employees</w:t>
      </w:r>
      <w:bookmarkEnd w:id="16"/>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Leaders should also empower employees by involving them in the change process. Encouraging staff to provide input and actively participate in discussions about the change can foster a sense of ownership over the initiatives being introduced. This involvement can help reduce resistance and increase employee engagement.</w:t>
      </w:r>
    </w:p>
    <w:p>
      <w:pPr>
        <w:pStyle w:val="34"/>
        <w:widowControl/>
        <w:spacing w:line="360" w:lineRule="auto"/>
        <w:jc w:val="both"/>
        <w:rPr>
          <w:rFonts w:ascii="Times New Roman" w:hAnsi="Times New Roman" w:cs="Times New Roman"/>
          <w:lang w:val="en-GB"/>
        </w:rPr>
      </w:pPr>
    </w:p>
    <w:p>
      <w:pPr>
        <w:pStyle w:val="3"/>
        <w:rPr>
          <w:lang w:val="en-GB"/>
        </w:rPr>
      </w:pPr>
      <w:bookmarkStart w:id="17" w:name="_Toc196675393"/>
      <w:r>
        <w:rPr>
          <w:lang w:val="en-GB"/>
        </w:rPr>
        <w:t>5.2 Fostering a Culture of Innovation</w:t>
      </w:r>
      <w:bookmarkEnd w:id="17"/>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Fostering a culture of innovation is another essential aspect of effective leadership. Leaders should encourage creative problem-solving and experimentation within the organization. By creating an environment where new ideas are valued, leaders can inspire employees to contribute innovative solutions and embrace change.</w:t>
      </w:r>
    </w:p>
    <w:p>
      <w:pPr>
        <w:pStyle w:val="34"/>
        <w:widowControl/>
        <w:spacing w:line="360" w:lineRule="auto"/>
        <w:jc w:val="both"/>
        <w:rPr>
          <w:rFonts w:ascii="Times New Roman" w:hAnsi="Times New Roman" w:cs="Times New Roman"/>
          <w:lang w:val="en-GB"/>
        </w:rPr>
      </w:pPr>
    </w:p>
    <w:p>
      <w:pPr>
        <w:pStyle w:val="3"/>
        <w:rPr>
          <w:lang w:val="en-GB"/>
        </w:rPr>
      </w:pPr>
      <w:bookmarkStart w:id="18" w:name="_Toc196675394"/>
      <w:r>
        <w:rPr>
          <w:lang w:val="en-GB"/>
        </w:rPr>
        <w:t>5.3 Maintaining Stability</w:t>
      </w:r>
      <w:bookmarkEnd w:id="18"/>
    </w:p>
    <w:p>
      <w:pPr>
        <w:pStyle w:val="34"/>
        <w:widowControl/>
        <w:spacing w:line="360" w:lineRule="auto"/>
        <w:jc w:val="both"/>
        <w:rPr>
          <w:rFonts w:ascii="Times New Roman" w:hAnsi="Times New Roman" w:cs="Times New Roman"/>
          <w:lang w:val="en-GB"/>
        </w:rPr>
      </w:pPr>
      <w:r>
        <w:rPr>
          <w:rFonts w:ascii="Times New Roman" w:hAnsi="Times New Roman" w:cs="Times New Roman"/>
          <w:lang w:val="en-GB"/>
        </w:rPr>
        <w:t>While driving change, leaders must also ensue that core values and operational integrity are maintained. This balanced is crucial in maintaining employee trust during transition</w:t>
      </w:r>
      <w:r>
        <w:rPr>
          <w:rFonts w:hint="default" w:ascii="Times New Roman" w:hAnsi="Times New Roman" w:cs="Times New Roman"/>
          <w:lang w:val="en-US"/>
        </w:rPr>
        <w:t>s</w:t>
      </w:r>
      <w:r>
        <w:rPr>
          <w:rFonts w:ascii="Times New Roman" w:hAnsi="Times New Roman" w:cs="Times New Roman"/>
          <w:lang w:val="en-GB"/>
        </w:rPr>
        <w:t>. Reassuring staff that the organization remains committed to its mission and values, even as it evolves, can help build confidence in the change process.</w:t>
      </w:r>
    </w:p>
    <w:p>
      <w:pPr>
        <w:widowControl/>
        <w:rPr>
          <w:rFonts w:ascii="Times New Roman" w:hAnsi="Times New Roman" w:cs="Times New Roman"/>
          <w:lang w:val="en-GB"/>
        </w:rPr>
      </w:pPr>
      <w:r>
        <w:rPr>
          <w:rFonts w:ascii="Times New Roman" w:hAnsi="Times New Roman" w:cs="Times New Roman"/>
          <w:lang w:val="en-GB"/>
        </w:rPr>
        <w:br w:type="page"/>
      </w:r>
    </w:p>
    <w:p>
      <w:pPr>
        <w:pStyle w:val="2"/>
        <w:numPr>
          <w:ilvl w:val="0"/>
          <w:numId w:val="1"/>
        </w:numPr>
        <w:rPr>
          <w:lang w:val="en-GB"/>
        </w:rPr>
      </w:pPr>
      <w:bookmarkStart w:id="19" w:name="_Toc196675395"/>
      <w:r>
        <w:rPr>
          <w:lang w:val="en-GB"/>
        </w:rPr>
        <w:t>Conclusion</w:t>
      </w:r>
      <w:bookmarkEnd w:id="19"/>
    </w:p>
    <w:p>
      <w:pPr>
        <w:pStyle w:val="34"/>
        <w:widowControl/>
        <w:spacing w:line="360" w:lineRule="auto"/>
        <w:ind w:left="360"/>
        <w:jc w:val="both"/>
        <w:rPr>
          <w:rFonts w:ascii="Times New Roman" w:hAnsi="Times New Roman" w:cs="Times New Roman"/>
          <w:lang w:val="en-GB"/>
        </w:rPr>
      </w:pPr>
      <w:r>
        <w:rPr>
          <w:rFonts w:ascii="Times New Roman" w:hAnsi="Times New Roman" w:cs="Times New Roman"/>
          <w:lang w:val="en-GB"/>
        </w:rPr>
        <w:t>In conclusion, Bamboos Health Care Holdings Limited stands at a pivotal crossroads as it embarks on its expansion into the Greater Bay Area. This region, known for its economic dynamics and potential for healthcare growth, presents both opportunities and challenges that the organization must navigate carefully. As Bamboos Health seeks to establish a stronger presence in this competitive market, several critical issues have emerged that require immediate attention and strategic action. One of the most pressing challenges is employee resistance to change. As the organization implements new processes and technologies to enhance operational efficiency, it is vital to recognize that change can be met with apprehension and scepticism among staff members. Many employees may feel insecure about their roles or uncertain about their ability to adapt to new workflows. This resistance can lead to decreased morale, lower productivity, and even a reluctance to embrace innovative practices. To overcome this challenge, Bamboos Health must prioritize effective communication ad foster a culture of inclusivity. Engaging employees in the change process, providing adequate training, and addressing their concerns an help alleviate fears and build a sense of ownership and commitment to the organization’s vision. Another significant issue is the pressing need for innovation. In the rapidly evolving healthcare landscape, staying ahead of technological advancements is crucial. Bamboos Health must continually seek out and adopt cutting-edge solutions that enhance patient care and operational processes. This may involve investing in telemedicine, data analytics, and other digital health technologies that not only improve service delivery but also streamline internal operations. By fostering a culture of innovation, the organization can encourage employees to contribute ideas and solutions, ultimately leading to improved patient outcomes and operational efficiency. Market instability poses yet another challenge for Bamboos Health as it navigates its expansion. Economic fluctuations and uncertainties can significantly impact decision-making and resource allocation. This unpredictability may result in hesitancy when it comes to investing in new initiative or expanding service off</w:t>
      </w:r>
      <w:r>
        <w:rPr>
          <w:rFonts w:hint="default" w:ascii="Times New Roman" w:hAnsi="Times New Roman" w:cs="Times New Roman"/>
          <w:lang w:val="en-US"/>
        </w:rPr>
        <w:t>erings</w:t>
      </w:r>
      <w:r>
        <w:rPr>
          <w:rFonts w:ascii="Times New Roman" w:hAnsi="Times New Roman" w:cs="Times New Roman"/>
          <w:lang w:val="en-GB"/>
        </w:rPr>
        <w:t>. To mitigate the effects of market instability, Bamboos Health should develop a robust risk management strategy that includes scenarios planning and market analysis. By anticipating potential challenges and diversifying its service offerings, the organization can better position itself to respond to changing market conditions and capitalize on emerging opportunities. Moreover, the organization</w:t>
      </w:r>
      <w:r>
        <w:rPr>
          <w:rFonts w:hint="default" w:ascii="Times New Roman" w:hAnsi="Times New Roman" w:cs="Times New Roman"/>
          <w:lang w:val="en-US"/>
        </w:rPr>
        <w:t>al</w:t>
      </w:r>
      <w:r>
        <w:rPr>
          <w:rFonts w:ascii="Times New Roman" w:hAnsi="Times New Roman" w:cs="Times New Roman"/>
          <w:lang w:val="en-GB"/>
        </w:rPr>
        <w:t xml:space="preserve"> culture at Bamboos Health plays a crucial role in determining the success of its expansion efforts. A culture that embraces change, encourages collaboration, and values continuous learning will be essential in overcoming the challenges at hand. Leadership must actively promote this culture by modeling desired behavio</w:t>
      </w:r>
      <w:bookmarkStart w:id="22" w:name="_GoBack"/>
      <w:bookmarkEnd w:id="22"/>
      <w:r>
        <w:rPr>
          <w:rFonts w:ascii="Times New Roman" w:hAnsi="Times New Roman" w:cs="Times New Roman"/>
          <w:lang w:val="en-GB"/>
        </w:rPr>
        <w:t>rs and recognizing and rewarding innovation and adaptability among staff. By empowered to share their ideas and contribute to the organization’s growth, Bamboo Health can foster a sense of unity and shared purpose. Lastly, as Bamboo Health expands into the Greater Bay Area, it must remain committed to its core values and mission. Maintaining a patient-centred approach will be essential in building trust and loyalty among the community it serves. By prioritizing quality care and engaging with local stakeholders, Bamboos Health can establish itself as a reputable and trusted healthcare provider in the region.</w:t>
      </w:r>
    </w:p>
    <w:p>
      <w:pPr>
        <w:pStyle w:val="34"/>
        <w:widowControl/>
        <w:spacing w:line="360" w:lineRule="auto"/>
        <w:ind w:left="360"/>
        <w:jc w:val="both"/>
        <w:rPr>
          <w:rFonts w:ascii="Times New Roman" w:hAnsi="Times New Roman" w:cs="Times New Roman"/>
          <w:lang w:val="en-GB"/>
        </w:rPr>
      </w:pPr>
    </w:p>
    <w:p>
      <w:pPr>
        <w:pStyle w:val="2"/>
        <w:numPr>
          <w:ilvl w:val="0"/>
          <w:numId w:val="1"/>
        </w:numPr>
        <w:rPr>
          <w:lang w:val="en-GB"/>
        </w:rPr>
      </w:pPr>
      <w:bookmarkStart w:id="20" w:name="_Toc196675396"/>
      <w:r>
        <w:rPr>
          <w:lang w:val="en-GB"/>
        </w:rPr>
        <w:t>Recommendations</w:t>
      </w:r>
      <w:bookmarkEnd w:id="20"/>
    </w:p>
    <w:p>
      <w:pPr>
        <w:pStyle w:val="34"/>
        <w:widowControl/>
        <w:spacing w:line="360" w:lineRule="auto"/>
        <w:ind w:left="360"/>
        <w:jc w:val="both"/>
        <w:rPr>
          <w:rFonts w:ascii="Times New Roman" w:hAnsi="Times New Roman" w:cs="Times New Roman"/>
          <w:lang w:val="en-GB"/>
        </w:rPr>
      </w:pPr>
      <w:r>
        <w:rPr>
          <w:rFonts w:ascii="Times New Roman" w:hAnsi="Times New Roman" w:cs="Times New Roman"/>
          <w:lang w:val="en-GB"/>
        </w:rPr>
        <w:t>To enhance its ability to manage change effectively, Bamboos should improve communication by providing regular updates and forums for employee feedback to build trust and reduce resistance. Investing in comprehensive training programs will equip staff with the necessary skills to navigate new technologies and processes. Actively engaging employees in the change process will foster a sense of ownership and advocacy for new initiatives. Additionally, establishing metrics to monitor progress will help assess the effectiveness of change initiatives and ensure alignment with organizational goals. Finally, strengthening leadership development through targeted training will equip leaders with the skills necessary to balance stability and innovation. By implementing these strategies, Bamboos Health can foster a culture of resilience and innovation, positioning itself for sustainable growth in the evolving healthcare landscape.</w:t>
      </w:r>
    </w:p>
    <w:p>
      <w:pPr>
        <w:widowControl/>
        <w:rPr>
          <w:rFonts w:ascii="Times New Roman" w:hAnsi="Times New Roman" w:cs="Times New Roman"/>
          <w:lang w:val="en-GB"/>
        </w:rPr>
      </w:pPr>
      <w:r>
        <w:rPr>
          <w:rFonts w:ascii="Times New Roman" w:hAnsi="Times New Roman" w:cs="Times New Roman"/>
          <w:lang w:val="en-GB"/>
        </w:rPr>
        <w:br w:type="page"/>
      </w:r>
    </w:p>
    <w:p>
      <w:pPr>
        <w:pStyle w:val="2"/>
      </w:pPr>
      <w:bookmarkStart w:id="21" w:name="_Toc196675397"/>
      <w:r>
        <w:t>Reference:</w:t>
      </w:r>
      <w:bookmarkEnd w:id="21"/>
    </w:p>
    <w:p>
      <w:pPr>
        <w:spacing w:line="360" w:lineRule="auto"/>
        <w:rPr>
          <w:rFonts w:ascii="Times New Roman Regular" w:hAnsi="Times New Roman Regular" w:cs="Times New Roman Regular"/>
        </w:rPr>
      </w:pPr>
    </w:p>
    <w:p>
      <w:pPr>
        <w:pStyle w:val="20"/>
        <w:rPr>
          <w:color w:val="000000"/>
          <w:sz w:val="24"/>
          <w:szCs w:val="24"/>
        </w:rPr>
      </w:pPr>
      <w:r>
        <w:rPr>
          <w:color w:val="000000"/>
          <w:sz w:val="24"/>
          <w:szCs w:val="24"/>
        </w:rPr>
        <w:t>Cadle, J., Turner, P. and Paul, D. (2010a) </w:t>
      </w:r>
      <w:r>
        <w:rPr>
          <w:i/>
          <w:iCs/>
          <w:color w:val="000000"/>
          <w:sz w:val="24"/>
          <w:szCs w:val="24"/>
        </w:rPr>
        <w:t>Business analysis techniques: 72 Essential Tools for Success</w:t>
      </w:r>
      <w:r>
        <w:rPr>
          <w:color w:val="000000"/>
          <w:sz w:val="24"/>
          <w:szCs w:val="24"/>
        </w:rPr>
        <w:t>. London England: British Computer Society. </w:t>
      </w:r>
    </w:p>
    <w:p>
      <w:pPr>
        <w:pStyle w:val="20"/>
        <w:ind w:left="567"/>
        <w:rPr>
          <w:color w:val="000000"/>
          <w:sz w:val="24"/>
          <w:szCs w:val="24"/>
        </w:rPr>
      </w:pPr>
    </w:p>
    <w:p>
      <w:pPr>
        <w:pStyle w:val="20"/>
        <w:rPr>
          <w:color w:val="000000"/>
          <w:sz w:val="24"/>
          <w:szCs w:val="24"/>
        </w:rPr>
      </w:pPr>
      <w:r>
        <w:rPr>
          <w:rFonts w:hint="eastAsia"/>
          <w:color w:val="000000"/>
          <w:sz w:val="24"/>
          <w:szCs w:val="24"/>
        </w:rPr>
        <w:t xml:space="preserve">McPhail, C.J. and Beatty, K. (2023) Transformational change in community colleges: Becoming an equity-centered institution. New York: Routledge. </w:t>
      </w:r>
    </w:p>
    <w:p>
      <w:pPr>
        <w:pStyle w:val="20"/>
        <w:rPr>
          <w:color w:val="000000"/>
          <w:sz w:val="24"/>
          <w:szCs w:val="24"/>
        </w:rPr>
      </w:pPr>
      <w:r>
        <w:rPr>
          <w:rFonts w:hint="eastAsia"/>
          <w:color w:val="000000"/>
          <w:sz w:val="24"/>
          <w:szCs w:val="24"/>
        </w:rPr>
        <w:t xml:space="preserve">Senior, B., Swailes, S. and Carnall, C.A. (2020) Organizational change. Harlow, United Kingdom: Pearson. </w:t>
      </w:r>
    </w:p>
    <w:p>
      <w:pPr>
        <w:pStyle w:val="20"/>
        <w:rPr>
          <w:color w:val="000000"/>
          <w:sz w:val="24"/>
          <w:szCs w:val="24"/>
        </w:rPr>
      </w:pP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 xml:space="preserve">Bamboo Health Care Holdings Limited (2025) </w:t>
      </w:r>
      <w:r>
        <w:rPr>
          <w:rFonts w:ascii="Times New Roman Regular" w:hAnsi="Times New Roman Regular" w:cs="Times New Roman Regular"/>
          <w:i/>
          <w:iCs/>
        </w:rPr>
        <w:t>About Us</w:t>
      </w:r>
    </w:p>
    <w:p>
      <w:pPr>
        <w:widowControl/>
        <w:rPr>
          <w:rFonts w:ascii="Times New Roman Regular" w:hAnsi="Times New Roman Regular" w:eastAsia="Helvetica Neue" w:cs="Times New Roman Regular"/>
          <w:color w:val="000000"/>
          <w:kern w:val="0"/>
          <w:sz w:val="19"/>
          <w:szCs w:val="19"/>
          <w:lang w:bidi="ar"/>
        </w:rPr>
      </w:pPr>
      <w:r>
        <w:rPr>
          <w:rFonts w:ascii="Times New Roman Regular" w:hAnsi="Times New Roman Regular" w:eastAsia="Helvetica Neue" w:cs="Times New Roman Regular"/>
          <w:color w:val="000000"/>
          <w:kern w:val="0"/>
          <w:sz w:val="19"/>
          <w:szCs w:val="19"/>
          <w:lang w:eastAsia="zh-CN" w:bidi="ar"/>
        </w:rPr>
        <w:t>Available at:</w:t>
      </w:r>
    </w:p>
    <w:p>
      <w:pPr>
        <w:widowControl/>
        <w:spacing w:beforeAutospacing="1" w:afterAutospacing="1"/>
        <w:rPr>
          <w:rFonts w:ascii="Times New Roman Regular" w:hAnsi="Times New Roman Regular" w:cs="Times New Roman Regular"/>
        </w:rPr>
      </w:pPr>
      <w:r>
        <w:fldChar w:fldCharType="begin"/>
      </w:r>
      <w:r>
        <w:instrText xml:space="preserve"> HYPERLINK "https://www.bamboos.com.hk/greaterbayarea.html" </w:instrText>
      </w:r>
      <w:r>
        <w:fldChar w:fldCharType="separate"/>
      </w:r>
      <w:r>
        <w:rPr>
          <w:rStyle w:val="13"/>
          <w:rFonts w:ascii="Times New Roman Regular" w:hAnsi="Times New Roman Regular" w:cs="Times New Roman Regular"/>
        </w:rPr>
        <w:t>https://www.bamboos.com.hk/greaterbayarea.html</w:t>
      </w:r>
      <w:r>
        <w:rPr>
          <w:rStyle w:val="13"/>
          <w:rFonts w:ascii="Times New Roman Regular" w:hAnsi="Times New Roman Regular" w:cs="Times New Roman Regular"/>
        </w:rPr>
        <w:fldChar w:fldCharType="end"/>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(Accessed: 30 March 2025)</w:t>
      </w:r>
    </w:p>
    <w:p>
      <w:pPr>
        <w:widowControl/>
        <w:spacing w:beforeAutospacing="1" w:afterAutospacing="1"/>
        <w:rPr>
          <w:rFonts w:ascii="Times New Roman Regular" w:hAnsi="Times New Roman Regular" w:cs="Times New Roman Regular"/>
        </w:rPr>
      </w:pPr>
    </w:p>
    <w:p>
      <w:pPr>
        <w:widowControl/>
        <w:spacing w:beforeAutospacing="1" w:afterAutospacing="1"/>
        <w:ind w:firstLine="120" w:firstLineChars="50"/>
        <w:rPr>
          <w:rFonts w:ascii="Times New Roman Regular" w:hAnsi="Times New Roman Regular" w:cs="Times New Roman Regular"/>
          <w:i/>
          <w:iCs/>
        </w:rPr>
      </w:pPr>
      <w:r>
        <w:rPr>
          <w:rFonts w:ascii="Times New Roman Regular" w:hAnsi="Times New Roman Regular" w:cs="Times New Roman Regular"/>
        </w:rPr>
        <w:t>Bamboo Health Care Holdings Limited (2025)</w:t>
      </w:r>
      <w:r>
        <w:rPr>
          <w:rFonts w:ascii="Times New Roman Regular" w:hAnsi="Times New Roman Regular" w:cs="Times New Roman Regular"/>
          <w:i/>
          <w:iCs/>
        </w:rPr>
        <w:t>【百本視像診症】</w:t>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Available at:</w:t>
      </w:r>
    </w:p>
    <w:p>
      <w:pPr>
        <w:widowControl/>
        <w:spacing w:beforeAutospacing="1" w:afterAutospacing="1"/>
        <w:rPr>
          <w:rFonts w:ascii="Times New Roman Regular" w:hAnsi="Times New Roman Regular" w:cs="Times New Roman Regular"/>
        </w:rPr>
      </w:pPr>
      <w:r>
        <w:fldChar w:fldCharType="begin"/>
      </w:r>
      <w:r>
        <w:instrText xml:space="preserve"> HYPERLINK "https://www.bamboos.com.hk/BamboosHealth.html" </w:instrText>
      </w:r>
      <w:r>
        <w:fldChar w:fldCharType="separate"/>
      </w:r>
      <w:r>
        <w:rPr>
          <w:rStyle w:val="13"/>
          <w:rFonts w:ascii="Times New Roman Regular" w:hAnsi="Times New Roman Regular" w:cs="Times New Roman Regular"/>
        </w:rPr>
        <w:t>https://www.bamboos.com.hk/BamboosHealth.html</w:t>
      </w:r>
      <w:r>
        <w:rPr>
          <w:rStyle w:val="13"/>
          <w:rFonts w:ascii="Times New Roman Regular" w:hAnsi="Times New Roman Regular" w:cs="Times New Roman Regular"/>
        </w:rPr>
        <w:fldChar w:fldCharType="end"/>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(Accessed: 30 March 2025)</w:t>
      </w:r>
    </w:p>
    <w:p>
      <w:pPr>
        <w:widowControl/>
        <w:spacing w:beforeAutospacing="1" w:afterAutospacing="1"/>
        <w:rPr>
          <w:rFonts w:ascii="Times New Roman Regular" w:hAnsi="Times New Roman Regular" w:cs="Times New Roman Regular"/>
        </w:rPr>
      </w:pPr>
    </w:p>
    <w:p>
      <w:pPr>
        <w:widowControl/>
        <w:spacing w:beforeAutospacing="1" w:afterAutospacing="1"/>
        <w:ind w:firstLine="120" w:firstLineChars="50"/>
        <w:rPr>
          <w:rFonts w:ascii="Times New Roman Regular" w:hAnsi="Times New Roman Regular" w:cs="Times New Roman Regular"/>
          <w:i/>
          <w:iCs/>
        </w:rPr>
      </w:pPr>
      <w:r>
        <w:rPr>
          <w:rFonts w:ascii="Times New Roman Regular" w:hAnsi="Times New Roman Regular" w:cs="Times New Roman Regular"/>
        </w:rPr>
        <w:t>SingTao (2023)</w:t>
      </w:r>
      <w:r>
        <w:rPr>
          <w:rFonts w:ascii="Times New Roman Regular" w:hAnsi="Times New Roman Regular" w:cs="Times New Roman Regular"/>
          <w:i/>
          <w:iCs/>
        </w:rPr>
        <w:t xml:space="preserve"> 醫護人手短缺 百本︰靈活調配人手救火: 醫護人手短缺-百本靈活調配人手救火 | 星島頭條</w:t>
      </w:r>
    </w:p>
    <w:p>
      <w:pPr>
        <w:widowControl/>
        <w:spacing w:beforeAutospacing="1" w:afterAutospacing="1"/>
        <w:rPr>
          <w:rFonts w:ascii="Times New Roman Regular" w:hAnsi="Times New Roman Regular" w:cs="Times New Roman Regular"/>
          <w:i/>
          <w:iCs/>
        </w:rPr>
      </w:pPr>
      <w:r>
        <w:rPr>
          <w:rFonts w:ascii="Times New Roman Regular" w:hAnsi="Times New Roman Regular" w:cs="Times New Roman Regular"/>
        </w:rPr>
        <w:t>Available at:</w:t>
      </w:r>
    </w:p>
    <w:p>
      <w:pPr>
        <w:widowControl/>
        <w:spacing w:beforeAutospacing="1" w:afterAutospacing="1"/>
        <w:rPr>
          <w:rFonts w:ascii="Times New Roman Regular" w:hAnsi="Times New Roman Regular" w:cs="Times New Roman Regular"/>
        </w:rPr>
      </w:pPr>
      <w:r>
        <w:fldChar w:fldCharType="begin"/>
      </w:r>
      <w:r>
        <w:instrText xml:space="preserve"> HYPERLINK "https://www.stheadline.com/society/3214938/醫護人手短缺-百本靈活調配人手救火" </w:instrText>
      </w:r>
      <w:r>
        <w:fldChar w:fldCharType="separate"/>
      </w:r>
      <w:r>
        <w:rPr>
          <w:rStyle w:val="13"/>
          <w:rFonts w:ascii="Times New Roman Regular" w:hAnsi="Times New Roman Regular" w:cs="Times New Roman Regular"/>
        </w:rPr>
        <w:t>https://www.stheadline.com/society/3214938/醫護人手短缺-百本靈活調配人手救火</w:t>
      </w:r>
      <w:r>
        <w:rPr>
          <w:rStyle w:val="13"/>
          <w:rFonts w:ascii="Times New Roman Regular" w:hAnsi="Times New Roman Regular" w:cs="Times New Roman Regular"/>
        </w:rPr>
        <w:fldChar w:fldCharType="end"/>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(Accessed: 30 March 2025)</w:t>
      </w:r>
    </w:p>
    <w:p>
      <w:pPr>
        <w:widowControl/>
        <w:spacing w:beforeAutospacing="1" w:afterAutospacing="1"/>
        <w:rPr>
          <w:rFonts w:ascii="Times New Roman Regular" w:hAnsi="Times New Roman Regular" w:cs="Times New Roman Regular"/>
        </w:rPr>
      </w:pP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文匯報 (2022)</w:t>
      </w:r>
      <w:r>
        <w:rPr>
          <w:rFonts w:ascii="Times New Roman Regular" w:hAnsi="Times New Roman Regular" w:cs="Times New Roman Regular"/>
          <w:i/>
          <w:iCs/>
        </w:rPr>
        <w:t>百本醫護控股扎根香港 提供專業醫護人員服務</w:t>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Available at:</w:t>
      </w:r>
    </w:p>
    <w:p>
      <w:pPr>
        <w:widowControl/>
        <w:spacing w:beforeAutospacing="1" w:afterAutospacing="1"/>
        <w:rPr>
          <w:rFonts w:ascii="Times New Roman Regular" w:hAnsi="Times New Roman Regular" w:cs="Times New Roman Regular"/>
        </w:rPr>
      </w:pPr>
      <w:r>
        <w:fldChar w:fldCharType="begin"/>
      </w:r>
      <w:r>
        <w:instrText xml:space="preserve"> HYPERLINK "http://www.wenweipo.com/epaper/view/newsDetail/1580618870325121024.html" </w:instrText>
      </w:r>
      <w:r>
        <w:fldChar w:fldCharType="separate"/>
      </w:r>
      <w:r>
        <w:rPr>
          <w:rStyle w:val="13"/>
          <w:rFonts w:ascii="Times New Roman Regular" w:hAnsi="Times New Roman Regular" w:cs="Times New Roman Regular"/>
        </w:rPr>
        <w:t>http://www.wenweipo.com/epaper/view/newsDetail/1580618870325121024.html</w:t>
      </w:r>
      <w:r>
        <w:rPr>
          <w:rStyle w:val="13"/>
          <w:rFonts w:ascii="Times New Roman Regular" w:hAnsi="Times New Roman Regular" w:cs="Times New Roman Regular"/>
        </w:rPr>
        <w:fldChar w:fldCharType="end"/>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(Accessed: 29 March 2025)</w:t>
      </w:r>
    </w:p>
    <w:p>
      <w:pPr>
        <w:widowControl/>
        <w:spacing w:beforeAutospacing="1" w:afterAutospacing="1"/>
        <w:rPr>
          <w:rFonts w:ascii="Times New Roman Regular" w:hAnsi="Times New Roman Regular" w:cs="Times New Roman Regular"/>
        </w:rPr>
      </w:pPr>
    </w:p>
    <w:p>
      <w:pPr>
        <w:widowControl/>
        <w:spacing w:beforeAutospacing="1" w:afterAutospacing="1"/>
        <w:rPr>
          <w:rFonts w:ascii="Times New Roman Italic" w:hAnsi="Times New Roman Italic" w:cs="Times New Roman Italic"/>
          <w:i/>
          <w:iCs/>
        </w:rPr>
      </w:pPr>
      <w:r>
        <w:rPr>
          <w:rFonts w:ascii="Times New Roman Regular" w:hAnsi="Times New Roman Regular" w:cs="Times New Roman Regular"/>
        </w:rPr>
        <w:t xml:space="preserve">Bamboo Health Care Holdings Limited (2019) </w:t>
      </w:r>
      <w:r>
        <w:rPr>
          <w:rFonts w:ascii="Times New Roman Italic" w:hAnsi="Times New Roman Italic" w:cs="Times New Roman Italic"/>
          <w:i/>
          <w:iCs/>
        </w:rPr>
        <w:t>Annual Report 2019</w:t>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Available at:</w:t>
      </w:r>
    </w:p>
    <w:p>
      <w:pPr>
        <w:widowControl/>
        <w:spacing w:beforeAutospacing="1" w:afterAutospacing="1"/>
        <w:rPr>
          <w:rFonts w:ascii="Times New Roman Regular" w:hAnsi="Times New Roman Regular" w:cs="Times New Roman Regular"/>
        </w:rPr>
      </w:pPr>
      <w:r>
        <w:fldChar w:fldCharType="begin"/>
      </w:r>
      <w:r>
        <w:instrText xml:space="preserve"> HYPERLINK "https://www.bamboos.com.hk/doc/announcements_2019/ltn20191011200_c.pdf" </w:instrText>
      </w:r>
      <w:r>
        <w:fldChar w:fldCharType="separate"/>
      </w:r>
      <w:r>
        <w:rPr>
          <w:rStyle w:val="13"/>
          <w:rFonts w:ascii="Times New Roman Regular" w:hAnsi="Times New Roman Regular" w:cs="Times New Roman Regular"/>
        </w:rPr>
        <w:t>https://www.bamboos.com.hk/doc/announcements_2019/ltn20191011200_c.pdf</w:t>
      </w:r>
      <w:r>
        <w:rPr>
          <w:rStyle w:val="13"/>
          <w:rFonts w:ascii="Times New Roman Regular" w:hAnsi="Times New Roman Regular" w:cs="Times New Roman Regular"/>
        </w:rPr>
        <w:fldChar w:fldCharType="end"/>
      </w:r>
    </w:p>
    <w:p>
      <w:pPr>
        <w:widowControl/>
        <w:spacing w:beforeAutospacing="1" w:afterAutospacing="1"/>
        <w:rPr>
          <w:rFonts w:ascii="Times New Roman Regular" w:hAnsi="Times New Roman Regular" w:cs="Times New Roman Regular"/>
        </w:rPr>
      </w:pPr>
      <w:r>
        <w:rPr>
          <w:rFonts w:ascii="Times New Roman Regular" w:hAnsi="Times New Roman Regular" w:cs="Times New Roman Regular"/>
        </w:rPr>
        <w:t>(Accessed: 27 March 2025)</w:t>
      </w:r>
    </w:p>
    <w:p>
      <w:pPr>
        <w:pStyle w:val="34"/>
        <w:widowControl/>
        <w:spacing w:line="360" w:lineRule="auto"/>
        <w:ind w:left="360"/>
        <w:jc w:val="both"/>
        <w:rPr>
          <w:rFonts w:ascii="Times New Roman" w:hAnsi="Times New Roman" w:cs="Times New Roman"/>
          <w:lang w:val="en-GB"/>
        </w:rPr>
      </w:pPr>
    </w:p>
    <w:sectPr>
      <w:pgSz w:w="11906" w:h="16838"/>
      <w:pgMar w:top="1440" w:right="1800" w:bottom="1440" w:left="1800" w:header="851" w:footer="992" w:gutter="0"/>
      <w:cols w:space="425" w:num="1"/>
      <w:docGrid w:type="lines"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00"/>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新細明體">
    <w:altName w:val="宋体-繁"/>
    <w:panose1 w:val="02020500000000000000"/>
    <w:charset w:val="88"/>
    <w:family w:val="roman"/>
    <w:pitch w:val="default"/>
    <w:sig w:usb0="00000000" w:usb1="00000000" w:usb2="00000016" w:usb3="00000000" w:csb0="00100001" w:csb1="00000000"/>
  </w:font>
  <w:font w:name="新細明體">
    <w:altName w:val="宋体-繁"/>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503050405090304"/>
    <w:charset w:val="00"/>
    <w:family w:val="auto"/>
    <w:pitch w:val="default"/>
    <w:sig w:usb0="E0000AFF" w:usb1="00007843" w:usb2="00000001" w:usb3="00000000" w:csb0="400001BF" w:csb1="DFF70000"/>
  </w:font>
  <w:font w:name="Helvetica Neue">
    <w:panose1 w:val="02000503000000020004"/>
    <w:charset w:val="00"/>
    <w:family w:val="auto"/>
    <w:pitch w:val="default"/>
    <w:sig w:usb0="E50002FF" w:usb1="500079DB" w:usb2="00000010" w:usb3="00000000" w:csb0="00000000" w:csb1="00000000"/>
  </w:font>
  <w:font w:name="Times New Roman Italic">
    <w:panose1 w:val="02020503050405090304"/>
    <w:charset w:val="00"/>
    <w:family w:val="auto"/>
    <w:pitch w:val="default"/>
    <w:sig w:usb0="E0000AFF" w:usb1="00007843" w:usb2="00000001" w:usb3="00000000" w:csb0="400001BF" w:csb1="DFF70000"/>
  </w:font>
  <w:font w:name="新細明體">
    <w:altName w:val="宋体-繁"/>
    <w:panose1 w:val="00000000000000000000"/>
    <w:charset w:val="00"/>
    <w:family w:val="auto"/>
    <w:pitch w:val="default"/>
    <w:sig w:usb0="00000000" w:usb1="00000000" w:usb2="00000000" w:usb3="00000000" w:csb0="00000000" w:csb1="00000000"/>
  </w:font>
  <w:font w:name="宋体-繁">
    <w:panose1 w:val="02010600040101010101"/>
    <w:charset w:val="86"/>
    <w:family w:val="auto"/>
    <w:pitch w:val="default"/>
    <w:sig w:usb0="00000287" w:usb1="080F0000" w:usb2="00000000" w:usb3="00000000" w:csb0="0004009F" w:csb1="DFD70000"/>
  </w:font>
  <w:font w:name="冬青黑體簡體中文">
    <w:panose1 w:val="020B0300000000000000"/>
    <w:charset w:val="86"/>
    <w:family w:val="auto"/>
    <w:pitch w:val="default"/>
    <w:sig w:usb0="A00002BF" w:usb1="1ACF7CFA" w:usb2="00000016" w:usb3="00000000" w:csb0="00060007"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D88053F"/>
    <w:multiLevelType w:val="multilevel"/>
    <w:tmpl w:val="2D88053F"/>
    <w:lvl w:ilvl="0" w:tentative="0">
      <w:start w:val="1"/>
      <w:numFmt w:val="decimal"/>
      <w:lvlText w:val="%1."/>
      <w:lvlJc w:val="left"/>
      <w:pPr>
        <w:ind w:left="360" w:hanging="360"/>
      </w:pPr>
      <w:rPr>
        <w:rFonts w:hint="default"/>
      </w:rPr>
    </w:lvl>
    <w:lvl w:ilvl="1" w:tentative="0">
      <w:start w:val="1"/>
      <w:numFmt w:val="decimal"/>
      <w:isLgl/>
      <w:lvlText w:val="%1.%2"/>
      <w:lvlJc w:val="left"/>
      <w:pPr>
        <w:ind w:left="503" w:hanging="503"/>
      </w:pPr>
      <w:rPr>
        <w:rFonts w:hint="default" w:asciiTheme="majorHAnsi" w:hAnsiTheme="majorHAnsi" w:eastAsiaTheme="majorEastAsia" w:cstheme="majorBidi"/>
        <w:color w:val="2F5597" w:themeColor="accent1" w:themeShade="BF"/>
        <w:sz w:val="40"/>
      </w:rPr>
    </w:lvl>
    <w:lvl w:ilvl="2" w:tentative="0">
      <w:start w:val="1"/>
      <w:numFmt w:val="decimal"/>
      <w:isLgl/>
      <w:lvlText w:val="%1.%2.%3"/>
      <w:lvlJc w:val="left"/>
      <w:pPr>
        <w:ind w:left="720" w:hanging="720"/>
      </w:pPr>
      <w:rPr>
        <w:rFonts w:hint="default" w:asciiTheme="majorHAnsi" w:hAnsiTheme="majorHAnsi" w:eastAsiaTheme="majorEastAsia" w:cstheme="majorBidi"/>
        <w:color w:val="2F5597" w:themeColor="accent1" w:themeShade="BF"/>
        <w:sz w:val="40"/>
      </w:rPr>
    </w:lvl>
    <w:lvl w:ilvl="3" w:tentative="0">
      <w:start w:val="1"/>
      <w:numFmt w:val="decimal"/>
      <w:isLgl/>
      <w:lvlText w:val="%1.%2.%3.%4"/>
      <w:lvlJc w:val="left"/>
      <w:pPr>
        <w:ind w:left="720" w:hanging="720"/>
      </w:pPr>
      <w:rPr>
        <w:rFonts w:hint="default" w:asciiTheme="majorHAnsi" w:hAnsiTheme="majorHAnsi" w:eastAsiaTheme="majorEastAsia" w:cstheme="majorBidi"/>
        <w:color w:val="2F5597" w:themeColor="accent1" w:themeShade="BF"/>
        <w:sz w:val="40"/>
      </w:rPr>
    </w:lvl>
    <w:lvl w:ilvl="4" w:tentative="0">
      <w:start w:val="1"/>
      <w:numFmt w:val="decimal"/>
      <w:isLgl/>
      <w:lvlText w:val="%1.%2.%3.%4.%5"/>
      <w:lvlJc w:val="left"/>
      <w:pPr>
        <w:ind w:left="1080" w:hanging="1080"/>
      </w:pPr>
      <w:rPr>
        <w:rFonts w:hint="default" w:asciiTheme="majorHAnsi" w:hAnsiTheme="majorHAnsi" w:eastAsiaTheme="majorEastAsia" w:cstheme="majorBidi"/>
        <w:color w:val="2F5597" w:themeColor="accent1" w:themeShade="BF"/>
        <w:sz w:val="40"/>
      </w:rPr>
    </w:lvl>
    <w:lvl w:ilvl="5" w:tentative="0">
      <w:start w:val="1"/>
      <w:numFmt w:val="decimal"/>
      <w:isLgl/>
      <w:lvlText w:val="%1.%2.%3.%4.%5.%6"/>
      <w:lvlJc w:val="left"/>
      <w:pPr>
        <w:ind w:left="1080" w:hanging="1080"/>
      </w:pPr>
      <w:rPr>
        <w:rFonts w:hint="default" w:asciiTheme="majorHAnsi" w:hAnsiTheme="majorHAnsi" w:eastAsiaTheme="majorEastAsia" w:cstheme="majorBidi"/>
        <w:color w:val="2F5597" w:themeColor="accent1" w:themeShade="BF"/>
        <w:sz w:val="40"/>
      </w:rPr>
    </w:lvl>
    <w:lvl w:ilvl="6" w:tentative="0">
      <w:start w:val="1"/>
      <w:numFmt w:val="decimal"/>
      <w:isLgl/>
      <w:lvlText w:val="%1.%2.%3.%4.%5.%6.%7"/>
      <w:lvlJc w:val="left"/>
      <w:pPr>
        <w:ind w:left="1440" w:hanging="1440"/>
      </w:pPr>
      <w:rPr>
        <w:rFonts w:hint="default" w:asciiTheme="majorHAnsi" w:hAnsiTheme="majorHAnsi" w:eastAsiaTheme="majorEastAsia" w:cstheme="majorBidi"/>
        <w:color w:val="2F5597" w:themeColor="accent1" w:themeShade="BF"/>
        <w:sz w:val="40"/>
      </w:rPr>
    </w:lvl>
    <w:lvl w:ilvl="7" w:tentative="0">
      <w:start w:val="1"/>
      <w:numFmt w:val="decimal"/>
      <w:isLgl/>
      <w:lvlText w:val="%1.%2.%3.%4.%5.%6.%7.%8"/>
      <w:lvlJc w:val="left"/>
      <w:pPr>
        <w:ind w:left="1440" w:hanging="1440"/>
      </w:pPr>
      <w:rPr>
        <w:rFonts w:hint="default" w:asciiTheme="majorHAnsi" w:hAnsiTheme="majorHAnsi" w:eastAsiaTheme="majorEastAsia" w:cstheme="majorBidi"/>
        <w:color w:val="2F5597" w:themeColor="accent1" w:themeShade="BF"/>
        <w:sz w:val="40"/>
      </w:rPr>
    </w:lvl>
    <w:lvl w:ilvl="8" w:tentative="0">
      <w:start w:val="1"/>
      <w:numFmt w:val="decimal"/>
      <w:isLgl/>
      <w:lvlText w:val="%1.%2.%3.%4.%5.%6.%7.%8.%9"/>
      <w:lvlJc w:val="left"/>
      <w:pPr>
        <w:ind w:left="1800" w:hanging="1800"/>
      </w:pPr>
      <w:rPr>
        <w:rFonts w:hint="default" w:asciiTheme="majorHAnsi" w:hAnsiTheme="majorHAnsi" w:eastAsiaTheme="majorEastAsia" w:cstheme="majorBidi"/>
        <w:color w:val="2F5597" w:themeColor="accent1" w:themeShade="BF"/>
        <w:sz w:val="4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80"/>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F55"/>
    <w:rsid w:val="00001FF7"/>
    <w:rsid w:val="00071662"/>
    <w:rsid w:val="000E3A5E"/>
    <w:rsid w:val="00102679"/>
    <w:rsid w:val="00111CE2"/>
    <w:rsid w:val="00112F67"/>
    <w:rsid w:val="00135F55"/>
    <w:rsid w:val="001D4738"/>
    <w:rsid w:val="00213AE5"/>
    <w:rsid w:val="0023728A"/>
    <w:rsid w:val="002830B2"/>
    <w:rsid w:val="002B40B9"/>
    <w:rsid w:val="003869CE"/>
    <w:rsid w:val="004076BD"/>
    <w:rsid w:val="00556230"/>
    <w:rsid w:val="00567FDB"/>
    <w:rsid w:val="005715E6"/>
    <w:rsid w:val="00574D69"/>
    <w:rsid w:val="00581B44"/>
    <w:rsid w:val="0058701C"/>
    <w:rsid w:val="005C170A"/>
    <w:rsid w:val="005D55A8"/>
    <w:rsid w:val="006068C1"/>
    <w:rsid w:val="006F1A08"/>
    <w:rsid w:val="00703916"/>
    <w:rsid w:val="00704AB4"/>
    <w:rsid w:val="00883141"/>
    <w:rsid w:val="00946FC6"/>
    <w:rsid w:val="00960194"/>
    <w:rsid w:val="009C09B9"/>
    <w:rsid w:val="00A5447D"/>
    <w:rsid w:val="00A559EE"/>
    <w:rsid w:val="00A63F82"/>
    <w:rsid w:val="00A70C1A"/>
    <w:rsid w:val="00A979DB"/>
    <w:rsid w:val="00AA0017"/>
    <w:rsid w:val="00AA6162"/>
    <w:rsid w:val="00AC2163"/>
    <w:rsid w:val="00AD5384"/>
    <w:rsid w:val="00B64329"/>
    <w:rsid w:val="00B849B2"/>
    <w:rsid w:val="00C2604D"/>
    <w:rsid w:val="00CD2D59"/>
    <w:rsid w:val="00D00AA9"/>
    <w:rsid w:val="00D1025D"/>
    <w:rsid w:val="00D57B23"/>
    <w:rsid w:val="00DB0B06"/>
    <w:rsid w:val="00E50683"/>
    <w:rsid w:val="00E558F6"/>
    <w:rsid w:val="00E87BA7"/>
    <w:rsid w:val="00EB294A"/>
    <w:rsid w:val="00EF0328"/>
    <w:rsid w:val="00F51745"/>
    <w:rsid w:val="499F512F"/>
    <w:rsid w:val="5FFF08F6"/>
    <w:rsid w:val="6B7DE263"/>
    <w:rsid w:val="6EFF717E"/>
    <w:rsid w:val="6F7D17B3"/>
    <w:rsid w:val="7BF2117D"/>
    <w:rsid w:val="7FE15F3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4"/>
      <w:szCs w:val="24"/>
      <w:lang w:val="en-US" w:eastAsia="zh-TW" w:bidi="ar-SA"/>
      <w14:ligatures w14:val="standardContextual"/>
    </w:rPr>
  </w:style>
  <w:style w:type="paragraph" w:styleId="2">
    <w:name w:val="heading 1"/>
    <w:basedOn w:val="1"/>
    <w:next w:val="1"/>
    <w:link w:val="21"/>
    <w:qFormat/>
    <w:uiPriority w:val="9"/>
    <w:pPr>
      <w:keepNext/>
      <w:keepLines/>
      <w:spacing w:before="480" w:after="80"/>
      <w:outlineLvl w:val="0"/>
    </w:pPr>
    <w:rPr>
      <w:rFonts w:asciiTheme="majorHAnsi" w:hAnsiTheme="majorHAnsi" w:eastAsiaTheme="majorEastAsia" w:cstheme="majorBidi"/>
      <w:color w:val="2F5597" w:themeColor="accent1" w:themeShade="BF"/>
      <w:sz w:val="48"/>
      <w:szCs w:val="48"/>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40"/>
      <w:szCs w:val="40"/>
    </w:rPr>
  </w:style>
  <w:style w:type="paragraph" w:styleId="4">
    <w:name w:val="heading 3"/>
    <w:basedOn w:val="1"/>
    <w:next w:val="1"/>
    <w:link w:val="23"/>
    <w:semiHidden/>
    <w:unhideWhenUsed/>
    <w:qFormat/>
    <w:uiPriority w:val="9"/>
    <w:pPr>
      <w:keepNext/>
      <w:keepLines/>
      <w:spacing w:before="160" w:after="40"/>
      <w:outlineLvl w:val="2"/>
    </w:pPr>
    <w:rPr>
      <w:rFonts w:eastAsiaTheme="majorEastAsia" w:cstheme="majorBidi"/>
      <w:color w:val="2F5597" w:themeColor="accent1" w:themeShade="BF"/>
      <w:sz w:val="32"/>
      <w:szCs w:val="32"/>
    </w:rPr>
  </w:style>
  <w:style w:type="paragraph" w:styleId="5">
    <w:name w:val="heading 4"/>
    <w:basedOn w:val="1"/>
    <w:next w:val="1"/>
    <w:link w:val="24"/>
    <w:semiHidden/>
    <w:unhideWhenUsed/>
    <w:qFormat/>
    <w:uiPriority w:val="9"/>
    <w:pPr>
      <w:keepNext/>
      <w:keepLines/>
      <w:spacing w:before="160" w:after="40"/>
      <w:outlineLvl w:val="3"/>
    </w:pPr>
    <w:rPr>
      <w:rFonts w:eastAsiaTheme="majorEastAsia" w:cstheme="majorBidi"/>
      <w:color w:val="2F5597" w:themeColor="accent1" w:themeShade="BF"/>
      <w:sz w:val="28"/>
      <w:szCs w:val="28"/>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ind w:left="100" w:leftChars="10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before="40" w:after="0"/>
      <w:ind w:left="200" w:leftChars="200"/>
      <w:outlineLvl w:val="7"/>
    </w:pPr>
    <w:rPr>
      <w:rFonts w:eastAsiaTheme="majorEastAsia" w:cstheme="majorBidi"/>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before="40" w:after="0"/>
      <w:ind w:left="300" w:leftChars="30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Hyperlink"/>
    <w:basedOn w:val="11"/>
    <w:unhideWhenUsed/>
    <w:uiPriority w:val="99"/>
    <w:rPr>
      <w:color w:val="0563C1" w:themeColor="hyperlink"/>
      <w:u w:val="single"/>
      <w14:textFill>
        <w14:solidFill>
          <w14:schemeClr w14:val="hlink"/>
        </w14:solidFill>
      </w14:textFill>
    </w:rPr>
  </w:style>
  <w:style w:type="paragraph" w:styleId="14">
    <w:name w:val="header"/>
    <w:basedOn w:val="1"/>
    <w:link w:val="40"/>
    <w:unhideWhenUsed/>
    <w:uiPriority w:val="99"/>
    <w:pPr>
      <w:tabs>
        <w:tab w:val="center" w:pos="4153"/>
        <w:tab w:val="right" w:pos="8306"/>
      </w:tabs>
      <w:snapToGrid w:val="0"/>
    </w:pPr>
    <w:rPr>
      <w:sz w:val="20"/>
      <w:szCs w:val="20"/>
    </w:rPr>
  </w:style>
  <w:style w:type="paragraph" w:styleId="15">
    <w:name w:val="toc 2"/>
    <w:basedOn w:val="1"/>
    <w:next w:val="1"/>
    <w:autoRedefine/>
    <w:unhideWhenUsed/>
    <w:uiPriority w:val="39"/>
    <w:pPr>
      <w:ind w:left="480" w:leftChars="200"/>
    </w:pPr>
  </w:style>
  <w:style w:type="paragraph" w:styleId="16">
    <w:name w:val="toc 1"/>
    <w:basedOn w:val="1"/>
    <w:next w:val="1"/>
    <w:autoRedefine/>
    <w:unhideWhenUsed/>
    <w:uiPriority w:val="39"/>
  </w:style>
  <w:style w:type="paragraph" w:styleId="17">
    <w:name w:val="Subtitle"/>
    <w:basedOn w:val="1"/>
    <w:next w:val="1"/>
    <w:link w:val="31"/>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30"/>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paragraph" w:styleId="19">
    <w:name w:val="footer"/>
    <w:basedOn w:val="1"/>
    <w:link w:val="41"/>
    <w:unhideWhenUsed/>
    <w:uiPriority w:val="99"/>
    <w:pPr>
      <w:tabs>
        <w:tab w:val="center" w:pos="4153"/>
        <w:tab w:val="right" w:pos="8306"/>
      </w:tabs>
      <w:snapToGrid w:val="0"/>
    </w:pPr>
    <w:rPr>
      <w:sz w:val="20"/>
      <w:szCs w:val="20"/>
    </w:rPr>
  </w:style>
  <w:style w:type="paragraph" w:styleId="20">
    <w:name w:val="Normal (Web)"/>
    <w:uiPriority w:val="0"/>
    <w:pPr>
      <w:spacing w:beforeAutospacing="1" w:after="0" w:afterAutospacing="1" w:line="240" w:lineRule="auto"/>
    </w:pPr>
    <w:rPr>
      <w:rFonts w:ascii="Times New Roman" w:hAnsi="Times New Roman" w:eastAsia="SimSun" w:cs="Times New Roman"/>
      <w:kern w:val="0"/>
      <w:sz w:val="20"/>
      <w:szCs w:val="20"/>
      <w:lang w:val="en-US" w:eastAsia="zh-CN" w:bidi="ar-SA"/>
      <w14:ligatures w14:val="none"/>
    </w:rPr>
  </w:style>
  <w:style w:type="character" w:customStyle="1" w:styleId="21">
    <w:name w:val="Heading 1 Char"/>
    <w:basedOn w:val="11"/>
    <w:link w:val="2"/>
    <w:uiPriority w:val="9"/>
    <w:rPr>
      <w:rFonts w:asciiTheme="majorHAnsi" w:hAnsiTheme="majorHAnsi" w:eastAsiaTheme="majorEastAsia" w:cstheme="majorBidi"/>
      <w:color w:val="2F5597" w:themeColor="accent1" w:themeShade="BF"/>
      <w:sz w:val="48"/>
      <w:szCs w:val="48"/>
    </w:rPr>
  </w:style>
  <w:style w:type="character" w:customStyle="1" w:styleId="22">
    <w:name w:val="Heading 2 Char"/>
    <w:basedOn w:val="11"/>
    <w:link w:val="3"/>
    <w:uiPriority w:val="9"/>
    <w:rPr>
      <w:rFonts w:asciiTheme="majorHAnsi" w:hAnsiTheme="majorHAnsi" w:eastAsiaTheme="majorEastAsia" w:cstheme="majorBidi"/>
      <w:color w:val="2F5597" w:themeColor="accent1" w:themeShade="BF"/>
      <w:sz w:val="40"/>
      <w:szCs w:val="40"/>
    </w:rPr>
  </w:style>
  <w:style w:type="character" w:customStyle="1" w:styleId="23">
    <w:name w:val="Heading 3 Char"/>
    <w:basedOn w:val="11"/>
    <w:link w:val="4"/>
    <w:semiHidden/>
    <w:uiPriority w:val="9"/>
    <w:rPr>
      <w:rFonts w:eastAsiaTheme="majorEastAsia" w:cstheme="majorBidi"/>
      <w:color w:val="2F5597" w:themeColor="accent1" w:themeShade="BF"/>
      <w:sz w:val="32"/>
      <w:szCs w:val="32"/>
    </w:rPr>
  </w:style>
  <w:style w:type="character" w:customStyle="1" w:styleId="24">
    <w:name w:val="Heading 4 Char"/>
    <w:basedOn w:val="11"/>
    <w:link w:val="5"/>
    <w:semiHidden/>
    <w:uiPriority w:val="9"/>
    <w:rPr>
      <w:rFonts w:eastAsiaTheme="majorEastAsia" w:cstheme="majorBidi"/>
      <w:color w:val="2F5597" w:themeColor="accent1" w:themeShade="BF"/>
      <w:sz w:val="28"/>
      <w:szCs w:val="28"/>
    </w:rPr>
  </w:style>
  <w:style w:type="character" w:customStyle="1" w:styleId="25">
    <w:name w:val="Heading 5 Char"/>
    <w:basedOn w:val="11"/>
    <w:link w:val="6"/>
    <w:semiHidden/>
    <w:uiPriority w:val="9"/>
    <w:rPr>
      <w:rFonts w:eastAsiaTheme="majorEastAsia" w:cstheme="majorBidi"/>
      <w:color w:val="2F5597" w:themeColor="accent1" w:themeShade="BF"/>
    </w:rPr>
  </w:style>
  <w:style w:type="character" w:customStyle="1" w:styleId="26">
    <w:name w:val="Heading 6 Char"/>
    <w:basedOn w:val="11"/>
    <w:link w:val="7"/>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7"/>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2F5597" w:themeColor="accent1" w:themeShade="BF"/>
    </w:rPr>
  </w:style>
  <w:style w:type="paragraph" w:styleId="36">
    <w:name w:val="Intense Quote"/>
    <w:basedOn w:val="1"/>
    <w:next w:val="1"/>
    <w:link w:val="37"/>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7">
    <w:name w:val="Intense Quote Char"/>
    <w:basedOn w:val="11"/>
    <w:link w:val="36"/>
    <w:uiPriority w:val="30"/>
    <w:rPr>
      <w:i/>
      <w:iCs/>
      <w:color w:val="2F5597" w:themeColor="accent1" w:themeShade="BF"/>
    </w:rPr>
  </w:style>
  <w:style w:type="character" w:customStyle="1" w:styleId="38">
    <w:name w:val="Intense Reference"/>
    <w:basedOn w:val="11"/>
    <w:qFormat/>
    <w:uiPriority w:val="32"/>
    <w:rPr>
      <w:b/>
      <w:bCs/>
      <w:smallCaps/>
      <w:color w:val="2F5597" w:themeColor="accent1" w:themeShade="BF"/>
      <w:spacing w:val="5"/>
    </w:rPr>
  </w:style>
  <w:style w:type="paragraph" w:customStyle="1" w:styleId="39">
    <w:name w:val="TOC Heading"/>
    <w:basedOn w:val="2"/>
    <w:next w:val="1"/>
    <w:unhideWhenUsed/>
    <w:qFormat/>
    <w:uiPriority w:val="39"/>
    <w:pPr>
      <w:widowControl/>
      <w:spacing w:before="240" w:after="0" w:line="259" w:lineRule="auto"/>
      <w:outlineLvl w:val="9"/>
    </w:pPr>
    <w:rPr>
      <w:kern w:val="0"/>
      <w:sz w:val="32"/>
      <w:szCs w:val="32"/>
      <w:lang w:eastAsia="en-US"/>
      <w14:ligatures w14:val="none"/>
    </w:rPr>
  </w:style>
  <w:style w:type="character" w:customStyle="1" w:styleId="40">
    <w:name w:val="Header Char"/>
    <w:basedOn w:val="11"/>
    <w:link w:val="14"/>
    <w:uiPriority w:val="99"/>
    <w:rPr>
      <w:sz w:val="20"/>
      <w:szCs w:val="20"/>
    </w:rPr>
  </w:style>
  <w:style w:type="character" w:customStyle="1" w:styleId="41">
    <w:name w:val="Footer Char"/>
    <w:basedOn w:val="11"/>
    <w:link w:val="19"/>
    <w:uiPriority w:val="99"/>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3811</Words>
  <Characters>21728</Characters>
  <Lines>181</Lines>
  <Paragraphs>50</Paragraphs>
  <TotalTime>5335</TotalTime>
  <ScaleCrop>false</ScaleCrop>
  <LinksUpToDate>false</LinksUpToDate>
  <CharactersWithSpaces>25489</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2025-04-23T16:28:00Z</dcterms:created>
  <dc:creator>Kwan Mei Yan</dc:creator>
  <cp:lastModifiedBy>WPS_1713497042</cp:lastModifiedBy>
  <dcterms:modified xsi:type="dcterms:W3CDTF">2025-04-27T22:32:51Z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A9691AFD657F7A7413400E689875B5DA_43</vt:lpwstr>
  </property>
</Properties>
</file>