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58CF26" w14:textId="77777777" w:rsidR="00D11124" w:rsidRDefault="001D42B4">
      <w:pPr>
        <w:rPr>
          <w:rFonts w:eastAsia="Segoe UI" w:hAnsi="Segoe UI" w:cs="Segoe UI"/>
          <w:b/>
          <w:bCs/>
          <w:sz w:val="40"/>
          <w:szCs w:val="40"/>
          <w:u w:val="single"/>
          <w:shd w:val="clear" w:color="auto" w:fill="FFFFFF"/>
        </w:rPr>
      </w:pPr>
      <w:r>
        <w:rPr>
          <w:rFonts w:eastAsia="Segoe UI" w:hAnsi="Segoe UI" w:cs="Segoe UI"/>
          <w:b/>
          <w:bCs/>
          <w:sz w:val="40"/>
          <w:szCs w:val="40"/>
          <w:u w:val="single"/>
          <w:shd w:val="clear" w:color="auto" w:fill="FFFFFF"/>
        </w:rPr>
        <w:t>Making use of funerary evidence associated with one individual pre-Roman Iron Age site of your choice, discuss how the evidence can be used to identify changes in social status display during the 5th-1st century BC.</w:t>
      </w:r>
    </w:p>
    <w:p w14:paraId="240F8447" w14:textId="77777777" w:rsidR="00D11124" w:rsidRDefault="00D11124">
      <w:pPr>
        <w:rPr>
          <w:rFonts w:eastAsia="Segoe UI" w:hAnsi="Segoe UI" w:cs="Segoe UI"/>
          <w:sz w:val="40"/>
          <w:szCs w:val="40"/>
          <w:shd w:val="clear" w:color="auto" w:fill="FFFFFF"/>
        </w:rPr>
      </w:pPr>
    </w:p>
    <w:p w14:paraId="0252565D" w14:textId="77777777" w:rsidR="00D11124" w:rsidRDefault="001D42B4">
      <w:pPr>
        <w:rPr>
          <w:rFonts w:eastAsia="Segoe UI" w:hAnsi="Segoe UI" w:cs="Segoe UI"/>
          <w:sz w:val="28"/>
          <w:szCs w:val="28"/>
          <w:shd w:val="clear" w:color="auto" w:fill="FFFFFF"/>
          <w:lang w:val="en-GB"/>
        </w:rPr>
      </w:pPr>
      <w:r>
        <w:rPr>
          <w:rFonts w:eastAsia="Segoe UI" w:hAnsi="Segoe UI" w:cs="Segoe UI"/>
          <w:sz w:val="28"/>
          <w:szCs w:val="28"/>
          <w:shd w:val="clear" w:color="auto" w:fill="FFFFFF"/>
          <w:lang w:val="en-GB"/>
        </w:rPr>
        <w:t xml:space="preserve">In this report I will be looking at the site of </w:t>
      </w:r>
      <w:proofErr w:type="spellStart"/>
      <w:r>
        <w:rPr>
          <w:rFonts w:eastAsia="Segoe UI" w:hAnsi="Segoe UI" w:cs="Segoe UI"/>
          <w:sz w:val="28"/>
          <w:szCs w:val="28"/>
          <w:shd w:val="clear" w:color="auto" w:fill="FFFFFF"/>
          <w:lang w:val="en-GB"/>
        </w:rPr>
        <w:t>Wetwang</w:t>
      </w:r>
      <w:proofErr w:type="spellEnd"/>
      <w:r>
        <w:rPr>
          <w:rFonts w:eastAsia="Segoe UI" w:hAnsi="Segoe UI" w:cs="Segoe UI"/>
          <w:sz w:val="28"/>
          <w:szCs w:val="28"/>
          <w:shd w:val="clear" w:color="auto" w:fill="FFFFFF"/>
          <w:lang w:val="en-GB"/>
        </w:rPr>
        <w:t xml:space="preserve"> Slack in Yorkshire in England. I will be discussing how we can look at burial site to see if there is any changes in social status between the 5th-1st century BC. </w:t>
      </w:r>
      <w:proofErr w:type="spellStart"/>
      <w:r>
        <w:rPr>
          <w:rFonts w:eastAsia="Segoe UI" w:hAnsi="Segoe UI" w:cs="Segoe UI"/>
          <w:sz w:val="28"/>
          <w:szCs w:val="28"/>
          <w:shd w:val="clear" w:color="auto" w:fill="FFFFFF"/>
          <w:lang w:val="en-GB"/>
        </w:rPr>
        <w:t>Wetwang</w:t>
      </w:r>
      <w:proofErr w:type="spellEnd"/>
      <w:r>
        <w:rPr>
          <w:rFonts w:eastAsia="Segoe UI" w:hAnsi="Segoe UI" w:cs="Segoe UI"/>
          <w:sz w:val="28"/>
          <w:szCs w:val="28"/>
          <w:shd w:val="clear" w:color="auto" w:fill="FFFFFF"/>
          <w:lang w:val="en-GB"/>
        </w:rPr>
        <w:t xml:space="preserve"> was excavated between 1975-19</w:t>
      </w:r>
      <w:r>
        <w:rPr>
          <w:rFonts w:eastAsia="Segoe UI" w:hAnsi="Segoe UI" w:cs="Segoe UI"/>
          <w:sz w:val="28"/>
          <w:szCs w:val="28"/>
          <w:shd w:val="clear" w:color="auto" w:fill="FFFFFF"/>
          <w:lang w:val="en-GB"/>
        </w:rPr>
        <w:t xml:space="preserve">79. Jay et al says </w:t>
      </w:r>
      <w:r>
        <w:rPr>
          <w:rFonts w:eastAsia="Segoe UI" w:hAnsi="Segoe UI" w:cs="Segoe UI"/>
          <w:sz w:val="28"/>
          <w:szCs w:val="28"/>
          <w:shd w:val="clear" w:color="auto" w:fill="FFFFFF"/>
          <w:lang w:val="en-GB"/>
        </w:rPr>
        <w:t>“</w:t>
      </w:r>
      <w:proofErr w:type="spellStart"/>
      <w:r>
        <w:rPr>
          <w:rFonts w:eastAsia="Segoe UI" w:hAnsi="Segoe UI" w:cs="Segoe UI"/>
          <w:sz w:val="28"/>
          <w:szCs w:val="28"/>
          <w:shd w:val="clear" w:color="auto" w:fill="FFFFFF"/>
          <w:lang w:val="en-GB"/>
        </w:rPr>
        <w:t>Wetwang</w:t>
      </w:r>
      <w:proofErr w:type="spellEnd"/>
      <w:r>
        <w:rPr>
          <w:rFonts w:eastAsia="Segoe UI" w:hAnsi="Segoe UI" w:cs="Segoe UI"/>
          <w:sz w:val="28"/>
          <w:szCs w:val="28"/>
          <w:shd w:val="clear" w:color="auto" w:fill="FFFFFF"/>
          <w:lang w:val="en-GB"/>
        </w:rPr>
        <w:t xml:space="preserve"> Slack is the largest excavated Iron Age inhumation Cemetery in Britain.</w:t>
      </w:r>
      <w:r>
        <w:rPr>
          <w:rFonts w:eastAsia="Segoe UI" w:hAnsi="Segoe UI" w:cs="Segoe UI"/>
          <w:sz w:val="28"/>
          <w:szCs w:val="28"/>
          <w:shd w:val="clear" w:color="auto" w:fill="FFFFFF"/>
          <w:lang w:val="en-GB"/>
        </w:rPr>
        <w:t>”</w:t>
      </w:r>
      <w:r>
        <w:rPr>
          <w:rStyle w:val="FootnoteReference"/>
          <w:rFonts w:eastAsia="Segoe UI" w:hAnsi="Segoe UI" w:cs="Segoe UI"/>
          <w:sz w:val="28"/>
          <w:szCs w:val="28"/>
          <w:shd w:val="clear" w:color="auto" w:fill="FFFFFF"/>
          <w:lang w:val="en-GB"/>
        </w:rPr>
        <w:footnoteReference w:id="1"/>
      </w:r>
      <w:r>
        <w:rPr>
          <w:rFonts w:eastAsia="Segoe UI" w:hAnsi="Segoe UI" w:cs="Segoe UI"/>
          <w:sz w:val="28"/>
          <w:szCs w:val="28"/>
          <w:shd w:val="clear" w:color="auto" w:fill="FFFFFF"/>
          <w:lang w:val="en-GB"/>
        </w:rPr>
        <w:t xml:space="preserve"> </w:t>
      </w:r>
    </w:p>
    <w:p w14:paraId="2BC7EB9A" w14:textId="77777777" w:rsidR="00D11124" w:rsidRDefault="00D11124">
      <w:pPr>
        <w:rPr>
          <w:rFonts w:eastAsia="Segoe UI" w:hAnsi="Segoe UI" w:cs="Segoe UI"/>
          <w:sz w:val="28"/>
          <w:szCs w:val="28"/>
          <w:shd w:val="clear" w:color="auto" w:fill="FFFFFF"/>
          <w:lang w:val="en-GB"/>
        </w:rPr>
      </w:pPr>
    </w:p>
    <w:p w14:paraId="2FA6472B" w14:textId="77777777" w:rsidR="00D11124" w:rsidRDefault="00D11124">
      <w:pPr>
        <w:rPr>
          <w:rFonts w:eastAsia="Segoe UI" w:hAnsi="Segoe UI" w:cs="Segoe UI"/>
          <w:sz w:val="28"/>
          <w:szCs w:val="28"/>
          <w:shd w:val="clear" w:color="auto" w:fill="FFFFFF"/>
          <w:lang w:val="en-GB"/>
        </w:rPr>
      </w:pPr>
    </w:p>
    <w:p w14:paraId="19050D66" w14:textId="77777777" w:rsidR="00D11124" w:rsidRDefault="001D42B4">
      <w:pPr>
        <w:rPr>
          <w:rFonts w:eastAsia="Segoe UI" w:hAnsi="Segoe UI" w:cs="Segoe UI"/>
          <w:sz w:val="28"/>
          <w:szCs w:val="28"/>
          <w:shd w:val="clear" w:color="auto" w:fill="FFFFFF"/>
          <w:lang w:val="en-GB"/>
        </w:rPr>
      </w:pPr>
      <w:r>
        <w:rPr>
          <w:rFonts w:eastAsia="Segoe UI" w:hAnsi="Segoe UI" w:cs="Segoe UI"/>
          <w:sz w:val="28"/>
          <w:szCs w:val="28"/>
          <w:shd w:val="clear" w:color="auto" w:fill="FFFFFF"/>
          <w:lang w:val="en-GB"/>
        </w:rPr>
        <w:t xml:space="preserve">John Dent says </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All the Iron age burials excavated were inhumations; there was no evidence that cremation played any part in the funerary sites.</w:t>
      </w:r>
      <w:r>
        <w:rPr>
          <w:rFonts w:eastAsia="Segoe UI" w:hAnsi="Segoe UI" w:cs="Segoe UI"/>
          <w:sz w:val="28"/>
          <w:szCs w:val="28"/>
          <w:shd w:val="clear" w:color="auto" w:fill="FFFFFF"/>
          <w:lang w:val="en-GB"/>
        </w:rPr>
        <w:t>”</w:t>
      </w:r>
      <w:r>
        <w:rPr>
          <w:rStyle w:val="FootnoteReference"/>
          <w:rFonts w:eastAsia="Segoe UI" w:hAnsi="Segoe UI" w:cs="Segoe UI"/>
          <w:sz w:val="28"/>
          <w:szCs w:val="28"/>
          <w:shd w:val="clear" w:color="auto" w:fill="FFFFFF"/>
          <w:lang w:val="en-GB"/>
        </w:rPr>
        <w:footnoteReference w:id="2"/>
      </w:r>
      <w:r>
        <w:rPr>
          <w:rFonts w:eastAsia="Segoe UI" w:hAnsi="Segoe UI" w:cs="Segoe UI"/>
          <w:sz w:val="28"/>
          <w:szCs w:val="28"/>
          <w:shd w:val="clear" w:color="auto" w:fill="FFFFFF"/>
          <w:lang w:val="en-GB"/>
        </w:rPr>
        <w:t xml:space="preserve"> This</w:t>
      </w:r>
      <w:r>
        <w:rPr>
          <w:rFonts w:eastAsia="Segoe UI" w:hAnsi="Segoe UI" w:cs="Segoe UI"/>
          <w:sz w:val="28"/>
          <w:szCs w:val="28"/>
          <w:shd w:val="clear" w:color="auto" w:fill="FFFFFF"/>
          <w:lang w:val="en-GB"/>
        </w:rPr>
        <w:t xml:space="preserve"> quote shows that the </w:t>
      </w:r>
      <w:proofErr w:type="spellStart"/>
      <w:r>
        <w:rPr>
          <w:rFonts w:eastAsia="Segoe UI" w:hAnsi="Segoe UI" w:cs="Segoe UI"/>
          <w:sz w:val="28"/>
          <w:szCs w:val="28"/>
          <w:shd w:val="clear" w:color="auto" w:fill="FFFFFF"/>
          <w:lang w:val="en-GB"/>
        </w:rPr>
        <w:t>celts</w:t>
      </w:r>
      <w:proofErr w:type="spellEnd"/>
      <w:r>
        <w:rPr>
          <w:rFonts w:eastAsia="Segoe UI" w:hAnsi="Segoe UI" w:cs="Segoe UI"/>
          <w:sz w:val="28"/>
          <w:szCs w:val="28"/>
          <w:shd w:val="clear" w:color="auto" w:fill="FFFFFF"/>
          <w:lang w:val="en-GB"/>
        </w:rPr>
        <w:t xml:space="preserve"> in </w:t>
      </w:r>
      <w:proofErr w:type="spellStart"/>
      <w:r>
        <w:rPr>
          <w:rFonts w:eastAsia="Segoe UI" w:hAnsi="Segoe UI" w:cs="Segoe UI"/>
          <w:sz w:val="28"/>
          <w:szCs w:val="28"/>
          <w:shd w:val="clear" w:color="auto" w:fill="FFFFFF"/>
          <w:lang w:val="en-GB"/>
        </w:rPr>
        <w:t>Wetwang</w:t>
      </w:r>
      <w:proofErr w:type="spellEnd"/>
      <w:r>
        <w:rPr>
          <w:rFonts w:eastAsia="Segoe UI" w:hAnsi="Segoe UI" w:cs="Segoe UI"/>
          <w:sz w:val="28"/>
          <w:szCs w:val="28"/>
          <w:shd w:val="clear" w:color="auto" w:fill="FFFFFF"/>
          <w:lang w:val="en-GB"/>
        </w:rPr>
        <w:t xml:space="preserve"> did not change the way they buried their dead and that both the elites and the poorer people of </w:t>
      </w:r>
      <w:proofErr w:type="spellStart"/>
      <w:r>
        <w:rPr>
          <w:rFonts w:eastAsia="Segoe UI" w:hAnsi="Segoe UI" w:cs="Segoe UI"/>
          <w:sz w:val="28"/>
          <w:szCs w:val="28"/>
          <w:shd w:val="clear" w:color="auto" w:fill="FFFFFF"/>
          <w:lang w:val="en-GB"/>
        </w:rPr>
        <w:t>Wetwang</w:t>
      </w:r>
      <w:proofErr w:type="spellEnd"/>
      <w:r>
        <w:rPr>
          <w:rFonts w:eastAsia="Segoe UI" w:hAnsi="Segoe UI" w:cs="Segoe UI"/>
          <w:sz w:val="28"/>
          <w:szCs w:val="28"/>
          <w:shd w:val="clear" w:color="auto" w:fill="FFFFFF"/>
          <w:lang w:val="en-GB"/>
        </w:rPr>
        <w:t xml:space="preserve"> were both buried the same rather than one of them being cremated and the other buried. </w:t>
      </w:r>
      <w:r>
        <w:rPr>
          <w:rFonts w:eastAsia="Segoe UI" w:hAnsi="Segoe UI" w:cs="Segoe UI"/>
          <w:sz w:val="28"/>
          <w:szCs w:val="28"/>
          <w:shd w:val="clear" w:color="auto" w:fill="FFFFFF"/>
          <w:lang w:val="en-GB"/>
        </w:rPr>
        <w:t>D</w:t>
      </w:r>
      <w:r>
        <w:rPr>
          <w:rFonts w:eastAsia="Segoe UI" w:hAnsi="Segoe UI" w:cs="Segoe UI"/>
          <w:sz w:val="28"/>
          <w:szCs w:val="28"/>
          <w:shd w:val="clear" w:color="auto" w:fill="FFFFFF"/>
          <w:lang w:val="en-GB"/>
        </w:rPr>
        <w:t xml:space="preserve">ent also says </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 xml:space="preserve">there is no indication that grave goods were buried with one sex group more than the other, either in the number of objects buried or in the number of materials used. </w:t>
      </w:r>
      <w:r>
        <w:rPr>
          <w:rFonts w:eastAsia="Segoe UI" w:hAnsi="Segoe UI" w:cs="Segoe UI"/>
          <w:sz w:val="28"/>
          <w:szCs w:val="28"/>
          <w:shd w:val="clear" w:color="auto" w:fill="FFFFFF"/>
          <w:lang w:val="en-GB"/>
        </w:rPr>
        <w:t>I</w:t>
      </w:r>
      <w:r>
        <w:rPr>
          <w:rFonts w:eastAsia="Segoe UI" w:hAnsi="Segoe UI" w:cs="Segoe UI"/>
          <w:sz w:val="28"/>
          <w:szCs w:val="28"/>
          <w:shd w:val="clear" w:color="auto" w:fill="FFFFFF"/>
          <w:lang w:val="en-GB"/>
        </w:rPr>
        <w:t xml:space="preserve">t is noticeable nevertheless that specific types of </w:t>
      </w:r>
      <w:r>
        <w:rPr>
          <w:rFonts w:eastAsia="Segoe UI" w:hAnsi="Segoe UI" w:cs="Segoe UI"/>
          <w:sz w:val="28"/>
          <w:szCs w:val="28"/>
          <w:shd w:val="clear" w:color="auto" w:fill="FFFFFF"/>
          <w:lang w:val="en-GB"/>
        </w:rPr>
        <w:t>artefact</w:t>
      </w:r>
      <w:r>
        <w:rPr>
          <w:rFonts w:eastAsia="Segoe UI" w:hAnsi="Segoe UI" w:cs="Segoe UI"/>
          <w:sz w:val="28"/>
          <w:szCs w:val="28"/>
          <w:shd w:val="clear" w:color="auto" w:fill="FFFFFF"/>
          <w:lang w:val="en-GB"/>
        </w:rPr>
        <w:t xml:space="preserve"> were confine</w:t>
      </w:r>
      <w:r>
        <w:rPr>
          <w:rFonts w:eastAsia="Segoe UI" w:hAnsi="Segoe UI" w:cs="Segoe UI"/>
          <w:sz w:val="28"/>
          <w:szCs w:val="28"/>
          <w:shd w:val="clear" w:color="auto" w:fill="FFFFFF"/>
          <w:lang w:val="en-GB"/>
        </w:rPr>
        <w:t>d to burials of one or other sex.</w:t>
      </w:r>
      <w:r>
        <w:rPr>
          <w:rFonts w:eastAsia="Segoe UI" w:hAnsi="Segoe UI" w:cs="Segoe UI"/>
          <w:sz w:val="28"/>
          <w:szCs w:val="28"/>
          <w:shd w:val="clear" w:color="auto" w:fill="FFFFFF"/>
          <w:lang w:val="en-GB"/>
        </w:rPr>
        <w:t>”</w:t>
      </w:r>
      <w:r>
        <w:rPr>
          <w:rStyle w:val="FootnoteReference"/>
          <w:rFonts w:eastAsia="Segoe UI" w:hAnsi="Segoe UI" w:cs="Segoe UI"/>
          <w:sz w:val="28"/>
          <w:szCs w:val="28"/>
          <w:shd w:val="clear" w:color="auto" w:fill="FFFFFF"/>
          <w:lang w:val="en-GB"/>
        </w:rPr>
        <w:footnoteReference w:id="3"/>
      </w:r>
      <w:r>
        <w:rPr>
          <w:rFonts w:eastAsia="Segoe UI" w:hAnsi="Segoe UI" w:cs="Segoe UI"/>
          <w:sz w:val="28"/>
          <w:szCs w:val="28"/>
          <w:shd w:val="clear" w:color="auto" w:fill="FFFFFF"/>
          <w:lang w:val="en-GB"/>
        </w:rPr>
        <w:t xml:space="preserve"> This shows that there was no change in the amount of grave goods that would be in either a male or female grave. </w:t>
      </w:r>
      <w:r>
        <w:rPr>
          <w:rFonts w:eastAsia="Segoe UI" w:hAnsi="Segoe UI" w:cs="Segoe UI"/>
          <w:sz w:val="28"/>
          <w:szCs w:val="28"/>
          <w:shd w:val="clear" w:color="auto" w:fill="FFFFFF"/>
          <w:lang w:val="en-GB"/>
        </w:rPr>
        <w:t>I</w:t>
      </w:r>
      <w:r>
        <w:rPr>
          <w:rFonts w:eastAsia="Segoe UI" w:hAnsi="Segoe UI" w:cs="Segoe UI"/>
          <w:sz w:val="28"/>
          <w:szCs w:val="28"/>
          <w:shd w:val="clear" w:color="auto" w:fill="FFFFFF"/>
          <w:lang w:val="en-GB"/>
        </w:rPr>
        <w:t>t also shows that in terms of burials both sexes were equal, though there was differences in what was buri</w:t>
      </w:r>
      <w:r>
        <w:rPr>
          <w:rFonts w:eastAsia="Segoe UI" w:hAnsi="Segoe UI" w:cs="Segoe UI"/>
          <w:sz w:val="28"/>
          <w:szCs w:val="28"/>
          <w:shd w:val="clear" w:color="auto" w:fill="FFFFFF"/>
          <w:lang w:val="en-GB"/>
        </w:rPr>
        <w:t xml:space="preserve">ed within the </w:t>
      </w:r>
      <w:proofErr w:type="spellStart"/>
      <w:r>
        <w:rPr>
          <w:rFonts w:eastAsia="Segoe UI" w:hAnsi="Segoe UI" w:cs="Segoe UI"/>
          <w:sz w:val="28"/>
          <w:szCs w:val="28"/>
          <w:shd w:val="clear" w:color="auto" w:fill="FFFFFF"/>
          <w:lang w:val="en-GB"/>
        </w:rPr>
        <w:t>graves.This</w:t>
      </w:r>
      <w:proofErr w:type="spellEnd"/>
      <w:r>
        <w:rPr>
          <w:rFonts w:eastAsia="Segoe UI" w:hAnsi="Segoe UI" w:cs="Segoe UI"/>
          <w:sz w:val="28"/>
          <w:szCs w:val="28"/>
          <w:shd w:val="clear" w:color="auto" w:fill="FFFFFF"/>
          <w:lang w:val="en-GB"/>
        </w:rPr>
        <w:t xml:space="preserve"> also shows that men and women may have had their different roles when alive but they were considered </w:t>
      </w:r>
      <w:proofErr w:type="spellStart"/>
      <w:r>
        <w:rPr>
          <w:rFonts w:eastAsia="Segoe UI" w:hAnsi="Segoe UI" w:cs="Segoe UI"/>
          <w:sz w:val="28"/>
          <w:szCs w:val="28"/>
          <w:shd w:val="clear" w:color="auto" w:fill="FFFFFF"/>
          <w:lang w:val="en-GB"/>
        </w:rPr>
        <w:t>equals.There</w:t>
      </w:r>
      <w:proofErr w:type="spellEnd"/>
      <w:r>
        <w:rPr>
          <w:rFonts w:eastAsia="Segoe UI" w:hAnsi="Segoe UI" w:cs="Segoe UI"/>
          <w:sz w:val="28"/>
          <w:szCs w:val="28"/>
          <w:shd w:val="clear" w:color="auto" w:fill="FFFFFF"/>
          <w:lang w:val="en-GB"/>
        </w:rPr>
        <w:t xml:space="preserve"> is </w:t>
      </w:r>
      <w:r>
        <w:rPr>
          <w:rFonts w:eastAsia="Segoe UI" w:hAnsi="Segoe UI" w:cs="Segoe UI"/>
          <w:sz w:val="28"/>
          <w:szCs w:val="28"/>
          <w:shd w:val="clear" w:color="auto" w:fill="FFFFFF"/>
          <w:lang w:val="en-GB"/>
        </w:rPr>
        <w:lastRenderedPageBreak/>
        <w:t xml:space="preserve">further evidence that men and women were considered equal as Dent says </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There was apparently no reservation of sp</w:t>
      </w:r>
      <w:r>
        <w:rPr>
          <w:rFonts w:eastAsia="Segoe UI" w:hAnsi="Segoe UI" w:cs="Segoe UI"/>
          <w:sz w:val="28"/>
          <w:szCs w:val="28"/>
          <w:shd w:val="clear" w:color="auto" w:fill="FFFFFF"/>
          <w:lang w:val="en-GB"/>
        </w:rPr>
        <w:t>ecific areas for men or women, as in general the two sexes were well mixed in the various parts of the site.</w:t>
      </w:r>
      <w:r>
        <w:rPr>
          <w:rFonts w:eastAsia="Segoe UI" w:hAnsi="Segoe UI" w:cs="Segoe UI"/>
          <w:sz w:val="28"/>
          <w:szCs w:val="28"/>
          <w:shd w:val="clear" w:color="auto" w:fill="FFFFFF"/>
          <w:lang w:val="en-GB"/>
        </w:rPr>
        <w:t>”</w:t>
      </w:r>
      <w:r>
        <w:rPr>
          <w:rStyle w:val="FootnoteReference"/>
          <w:rFonts w:eastAsia="Segoe UI" w:hAnsi="Segoe UI" w:cs="Segoe UI"/>
          <w:sz w:val="28"/>
          <w:szCs w:val="28"/>
          <w:shd w:val="clear" w:color="auto" w:fill="FFFFFF"/>
          <w:lang w:val="en-GB"/>
        </w:rPr>
        <w:footnoteReference w:id="4"/>
      </w:r>
      <w:r>
        <w:rPr>
          <w:rFonts w:eastAsia="Segoe UI" w:hAnsi="Segoe UI" w:cs="Segoe UI"/>
          <w:sz w:val="28"/>
          <w:szCs w:val="28"/>
          <w:shd w:val="clear" w:color="auto" w:fill="FFFFFF"/>
          <w:lang w:val="en-GB"/>
        </w:rPr>
        <w:t xml:space="preserve"> This shows that </w:t>
      </w:r>
      <w:r>
        <w:rPr>
          <w:rFonts w:eastAsia="Segoe UI" w:hAnsi="Segoe UI" w:cs="Segoe UI"/>
          <w:sz w:val="28"/>
          <w:szCs w:val="28"/>
          <w:shd w:val="clear" w:color="auto" w:fill="FFFFFF"/>
          <w:lang w:val="en-GB"/>
        </w:rPr>
        <w:t>at least</w:t>
      </w:r>
      <w:r>
        <w:rPr>
          <w:rFonts w:eastAsia="Segoe UI" w:hAnsi="Segoe UI" w:cs="Segoe UI"/>
          <w:sz w:val="28"/>
          <w:szCs w:val="28"/>
          <w:shd w:val="clear" w:color="auto" w:fill="FFFFFF"/>
          <w:lang w:val="en-GB"/>
        </w:rPr>
        <w:t xml:space="preserve"> in terms is burials that men and women were equals and could have been buried anywhere within the cemetery. Dent also sa</w:t>
      </w:r>
      <w:r>
        <w:rPr>
          <w:rFonts w:eastAsia="Segoe UI" w:hAnsi="Segoe UI" w:cs="Segoe UI"/>
          <w:sz w:val="28"/>
          <w:szCs w:val="28"/>
          <w:shd w:val="clear" w:color="auto" w:fill="FFFFFF"/>
          <w:lang w:val="en-GB"/>
        </w:rPr>
        <w:t xml:space="preserve">ys </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 xml:space="preserve"> It is noticeable that children were not as a rule buried with grave goods and that most objects came from adult graves.</w:t>
      </w:r>
      <w:r>
        <w:rPr>
          <w:rFonts w:eastAsia="Segoe UI" w:hAnsi="Segoe UI" w:cs="Segoe UI"/>
          <w:sz w:val="28"/>
          <w:szCs w:val="28"/>
          <w:shd w:val="clear" w:color="auto" w:fill="FFFFFF"/>
          <w:lang w:val="en-GB"/>
        </w:rPr>
        <w:t>”</w:t>
      </w:r>
      <w:r>
        <w:rPr>
          <w:rStyle w:val="FootnoteReference"/>
          <w:rFonts w:eastAsia="Segoe UI" w:hAnsi="Segoe UI" w:cs="Segoe UI"/>
          <w:sz w:val="28"/>
          <w:szCs w:val="28"/>
          <w:shd w:val="clear" w:color="auto" w:fill="FFFFFF"/>
          <w:lang w:val="en-GB"/>
        </w:rPr>
        <w:footnoteReference w:id="5"/>
      </w:r>
      <w:r>
        <w:rPr>
          <w:rFonts w:eastAsia="Segoe UI" w:hAnsi="Segoe UI" w:cs="Segoe UI"/>
          <w:sz w:val="28"/>
          <w:szCs w:val="28"/>
          <w:shd w:val="clear" w:color="auto" w:fill="FFFFFF"/>
          <w:lang w:val="en-GB"/>
        </w:rPr>
        <w:t xml:space="preserve"> This shows that the social status of children was not shown within graves which means it will be hard to distinguish whether the </w:t>
      </w:r>
      <w:r>
        <w:rPr>
          <w:rFonts w:eastAsia="Segoe UI" w:hAnsi="Segoe UI" w:cs="Segoe UI"/>
          <w:sz w:val="28"/>
          <w:szCs w:val="28"/>
          <w:shd w:val="clear" w:color="auto" w:fill="FFFFFF"/>
          <w:lang w:val="en-GB"/>
        </w:rPr>
        <w:t>child buried was from an elite family or a poorer family. However, the children may have been buried with grave goods but they may have been made out of materials that could degrade (like wood for example), so by the time they graves would have been excava</w:t>
      </w:r>
      <w:r>
        <w:rPr>
          <w:rFonts w:eastAsia="Segoe UI" w:hAnsi="Segoe UI" w:cs="Segoe UI"/>
          <w:sz w:val="28"/>
          <w:szCs w:val="28"/>
          <w:shd w:val="clear" w:color="auto" w:fill="FFFFFF"/>
          <w:lang w:val="en-GB"/>
        </w:rPr>
        <w:t>ted the goods in the child</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 xml:space="preserve">s grave would have disappeared. </w:t>
      </w:r>
      <w:r>
        <w:rPr>
          <w:rFonts w:eastAsia="Segoe UI" w:hAnsi="Segoe UI" w:cs="Segoe UI"/>
          <w:sz w:val="28"/>
          <w:szCs w:val="28"/>
          <w:shd w:val="clear" w:color="auto" w:fill="FFFFFF"/>
          <w:lang w:val="en-GB"/>
        </w:rPr>
        <w:t>T</w:t>
      </w:r>
      <w:r>
        <w:rPr>
          <w:rFonts w:eastAsia="Segoe UI" w:hAnsi="Segoe UI" w:cs="Segoe UI"/>
          <w:sz w:val="28"/>
          <w:szCs w:val="28"/>
          <w:shd w:val="clear" w:color="auto" w:fill="FFFFFF"/>
          <w:lang w:val="en-GB"/>
        </w:rPr>
        <w:t>he adult graves could also have had more grave goods buried with them that we do not know about because they would have degraded over the years before they were excavated.</w:t>
      </w:r>
    </w:p>
    <w:p w14:paraId="71DFAE2F" w14:textId="77777777" w:rsidR="00D11124" w:rsidRDefault="001D42B4">
      <w:pPr>
        <w:rPr>
          <w:rFonts w:eastAsia="Segoe UI" w:hAnsi="Segoe UI" w:cs="Segoe UI"/>
          <w:sz w:val="28"/>
          <w:szCs w:val="28"/>
          <w:shd w:val="clear" w:color="auto" w:fill="FFFFFF"/>
          <w:lang w:val="en-GB"/>
        </w:rPr>
      </w:pPr>
      <w:r>
        <w:rPr>
          <w:rFonts w:eastAsia="Segoe UI" w:hAnsi="Segoe UI" w:cs="Segoe UI"/>
          <w:sz w:val="28"/>
          <w:szCs w:val="28"/>
          <w:shd w:val="clear" w:color="auto" w:fill="FFFFFF"/>
          <w:lang w:val="en-GB"/>
        </w:rPr>
        <w:t xml:space="preserve">Dent says </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 xml:space="preserve">In the grave </w:t>
      </w:r>
      <w:r>
        <w:rPr>
          <w:rFonts w:eastAsia="Segoe UI" w:hAnsi="Segoe UI" w:cs="Segoe UI"/>
          <w:sz w:val="28"/>
          <w:szCs w:val="28"/>
          <w:shd w:val="clear" w:color="auto" w:fill="FFFFFF"/>
          <w:lang w:val="en-GB"/>
        </w:rPr>
        <w:t xml:space="preserve">wealth may be represented by grave goods, but at </w:t>
      </w:r>
      <w:proofErr w:type="spellStart"/>
      <w:r>
        <w:rPr>
          <w:rFonts w:eastAsia="Segoe UI" w:hAnsi="Segoe UI" w:cs="Segoe UI"/>
          <w:sz w:val="28"/>
          <w:szCs w:val="28"/>
          <w:shd w:val="clear" w:color="auto" w:fill="FFFFFF"/>
          <w:lang w:val="en-GB"/>
        </w:rPr>
        <w:t>Wetwang</w:t>
      </w:r>
      <w:proofErr w:type="spellEnd"/>
      <w:r>
        <w:rPr>
          <w:rFonts w:eastAsia="Segoe UI" w:hAnsi="Segoe UI" w:cs="Segoe UI"/>
          <w:sz w:val="28"/>
          <w:szCs w:val="28"/>
          <w:shd w:val="clear" w:color="auto" w:fill="FFFFFF"/>
          <w:lang w:val="en-GB"/>
        </w:rPr>
        <w:t xml:space="preserve"> Slack objects appear to have played a small part in funerary procedure, either because the society was poor in general, or because it did not choose to dispense with its resources this way.</w:t>
      </w:r>
      <w:r>
        <w:rPr>
          <w:rFonts w:eastAsia="Segoe UI" w:hAnsi="Segoe UI" w:cs="Segoe UI"/>
          <w:sz w:val="28"/>
          <w:szCs w:val="28"/>
          <w:shd w:val="clear" w:color="auto" w:fill="FFFFFF"/>
          <w:lang w:val="en-GB"/>
        </w:rPr>
        <w:t>”</w:t>
      </w:r>
      <w:r>
        <w:rPr>
          <w:rStyle w:val="FootnoteReference"/>
          <w:rFonts w:eastAsia="Segoe UI" w:hAnsi="Segoe UI" w:cs="Segoe UI"/>
          <w:sz w:val="28"/>
          <w:szCs w:val="28"/>
          <w:shd w:val="clear" w:color="auto" w:fill="FFFFFF"/>
          <w:lang w:val="en-GB"/>
        </w:rPr>
        <w:footnoteReference w:id="6"/>
      </w:r>
      <w:r>
        <w:rPr>
          <w:rFonts w:eastAsia="Segoe UI" w:hAnsi="Segoe UI" w:cs="Segoe UI"/>
          <w:sz w:val="28"/>
          <w:szCs w:val="28"/>
          <w:shd w:val="clear" w:color="auto" w:fill="FFFFFF"/>
          <w:lang w:val="en-GB"/>
        </w:rPr>
        <w:t xml:space="preserve"> This qu</w:t>
      </w:r>
      <w:r>
        <w:rPr>
          <w:rFonts w:eastAsia="Segoe UI" w:hAnsi="Segoe UI" w:cs="Segoe UI"/>
          <w:sz w:val="28"/>
          <w:szCs w:val="28"/>
          <w:shd w:val="clear" w:color="auto" w:fill="FFFFFF"/>
          <w:lang w:val="en-GB"/>
        </w:rPr>
        <w:t xml:space="preserve">ote shows the site of </w:t>
      </w:r>
      <w:proofErr w:type="spellStart"/>
      <w:r>
        <w:rPr>
          <w:rFonts w:eastAsia="Segoe UI" w:hAnsi="Segoe UI" w:cs="Segoe UI"/>
          <w:sz w:val="28"/>
          <w:szCs w:val="28"/>
          <w:shd w:val="clear" w:color="auto" w:fill="FFFFFF"/>
          <w:lang w:val="en-GB"/>
        </w:rPr>
        <w:t>Wetwang</w:t>
      </w:r>
      <w:proofErr w:type="spellEnd"/>
      <w:r>
        <w:rPr>
          <w:rFonts w:eastAsia="Segoe UI" w:hAnsi="Segoe UI" w:cs="Segoe UI"/>
          <w:sz w:val="28"/>
          <w:szCs w:val="28"/>
          <w:shd w:val="clear" w:color="auto" w:fill="FFFFFF"/>
          <w:lang w:val="en-GB"/>
        </w:rPr>
        <w:t xml:space="preserve"> Slack may have been different to other places as there may not have been a big difference in social status between any of the people who lived there. </w:t>
      </w:r>
      <w:r>
        <w:rPr>
          <w:rFonts w:eastAsia="Segoe UI" w:hAnsi="Segoe UI" w:cs="Segoe UI"/>
          <w:sz w:val="28"/>
          <w:szCs w:val="28"/>
          <w:shd w:val="clear" w:color="auto" w:fill="FFFFFF"/>
          <w:lang w:val="en-GB"/>
        </w:rPr>
        <w:t>T</w:t>
      </w:r>
      <w:r>
        <w:rPr>
          <w:rFonts w:eastAsia="Segoe UI" w:hAnsi="Segoe UI" w:cs="Segoe UI"/>
          <w:sz w:val="28"/>
          <w:szCs w:val="28"/>
          <w:shd w:val="clear" w:color="auto" w:fill="FFFFFF"/>
          <w:lang w:val="en-GB"/>
        </w:rPr>
        <w:t>he people may have been on a similar stage on the hierarchy of social statu</w:t>
      </w:r>
      <w:r>
        <w:rPr>
          <w:rFonts w:eastAsia="Segoe UI" w:hAnsi="Segoe UI" w:cs="Segoe UI"/>
          <w:sz w:val="28"/>
          <w:szCs w:val="28"/>
          <w:shd w:val="clear" w:color="auto" w:fill="FFFFFF"/>
          <w:lang w:val="en-GB"/>
        </w:rPr>
        <w:t xml:space="preserve">s that there usually is within societies. </w:t>
      </w:r>
      <w:r>
        <w:rPr>
          <w:rFonts w:eastAsia="Segoe UI" w:hAnsi="Segoe UI" w:cs="Segoe UI"/>
          <w:sz w:val="28"/>
          <w:szCs w:val="28"/>
          <w:shd w:val="clear" w:color="auto" w:fill="FFFFFF"/>
          <w:lang w:val="en-GB"/>
        </w:rPr>
        <w:t>B</w:t>
      </w:r>
      <w:r>
        <w:rPr>
          <w:rFonts w:eastAsia="Segoe UI" w:hAnsi="Segoe UI" w:cs="Segoe UI"/>
          <w:sz w:val="28"/>
          <w:szCs w:val="28"/>
          <w:shd w:val="clear" w:color="auto" w:fill="FFFFFF"/>
          <w:lang w:val="en-GB"/>
        </w:rPr>
        <w:t>ecause of this it may have meant that everyone was considered equal.</w:t>
      </w:r>
    </w:p>
    <w:p w14:paraId="2D2A40C1" w14:textId="77777777" w:rsidR="00D11124" w:rsidRDefault="00D11124">
      <w:pPr>
        <w:rPr>
          <w:rFonts w:eastAsia="Segoe UI" w:hAnsi="Segoe UI" w:cs="Segoe UI"/>
          <w:sz w:val="28"/>
          <w:szCs w:val="28"/>
          <w:shd w:val="clear" w:color="auto" w:fill="FFFFFF"/>
          <w:lang w:val="en-GB"/>
        </w:rPr>
      </w:pPr>
    </w:p>
    <w:p w14:paraId="4902F35F" w14:textId="77777777" w:rsidR="00D11124" w:rsidRDefault="001D42B4">
      <w:pPr>
        <w:rPr>
          <w:rFonts w:eastAsia="Segoe UI" w:hAnsi="Segoe UI" w:cs="Segoe UI"/>
          <w:sz w:val="28"/>
          <w:szCs w:val="28"/>
          <w:shd w:val="clear" w:color="auto" w:fill="FFFFFF"/>
          <w:lang w:val="en-GB"/>
        </w:rPr>
      </w:pPr>
      <w:r>
        <w:rPr>
          <w:rFonts w:eastAsia="Segoe UI" w:hAnsi="Segoe UI" w:cs="Segoe UI"/>
          <w:sz w:val="28"/>
          <w:szCs w:val="28"/>
          <w:shd w:val="clear" w:color="auto" w:fill="FFFFFF"/>
          <w:lang w:val="en-GB"/>
        </w:rPr>
        <w:t xml:space="preserve">At </w:t>
      </w:r>
      <w:proofErr w:type="spellStart"/>
      <w:r>
        <w:rPr>
          <w:rFonts w:eastAsia="Segoe UI" w:hAnsi="Segoe UI" w:cs="Segoe UI"/>
          <w:sz w:val="28"/>
          <w:szCs w:val="28"/>
          <w:shd w:val="clear" w:color="auto" w:fill="FFFFFF"/>
          <w:lang w:val="en-GB"/>
        </w:rPr>
        <w:t>Wetwang</w:t>
      </w:r>
      <w:proofErr w:type="spellEnd"/>
      <w:r>
        <w:rPr>
          <w:rFonts w:eastAsia="Segoe UI" w:hAnsi="Segoe UI" w:cs="Segoe UI"/>
          <w:sz w:val="28"/>
          <w:szCs w:val="28"/>
          <w:shd w:val="clear" w:color="auto" w:fill="FFFFFF"/>
          <w:lang w:val="en-GB"/>
        </w:rPr>
        <w:t xml:space="preserve"> Slack there were also some chariot burials found there. A chariot burial is a grave where a person is buried with some their possess</w:t>
      </w:r>
      <w:r>
        <w:rPr>
          <w:rFonts w:eastAsia="Segoe UI" w:hAnsi="Segoe UI" w:cs="Segoe UI"/>
          <w:sz w:val="28"/>
          <w:szCs w:val="28"/>
          <w:shd w:val="clear" w:color="auto" w:fill="FFFFFF"/>
          <w:lang w:val="en-GB"/>
        </w:rPr>
        <w:t xml:space="preserve">ions along with the chariot and the horses they owned. </w:t>
      </w:r>
      <w:r>
        <w:rPr>
          <w:rFonts w:eastAsia="Segoe UI" w:hAnsi="Segoe UI" w:cs="Segoe UI"/>
          <w:sz w:val="28"/>
          <w:szCs w:val="28"/>
          <w:shd w:val="clear" w:color="auto" w:fill="FFFFFF"/>
          <w:lang w:val="en-GB"/>
        </w:rPr>
        <w:t>T</w:t>
      </w:r>
      <w:r>
        <w:rPr>
          <w:rFonts w:eastAsia="Segoe UI" w:hAnsi="Segoe UI" w:cs="Segoe UI"/>
          <w:sz w:val="28"/>
          <w:szCs w:val="28"/>
          <w:shd w:val="clear" w:color="auto" w:fill="FFFFFF"/>
          <w:lang w:val="en-GB"/>
        </w:rPr>
        <w:t xml:space="preserve">here were three chariot burials found at </w:t>
      </w:r>
      <w:proofErr w:type="spellStart"/>
      <w:r>
        <w:rPr>
          <w:rFonts w:eastAsia="Segoe UI" w:hAnsi="Segoe UI" w:cs="Segoe UI"/>
          <w:sz w:val="28"/>
          <w:szCs w:val="28"/>
          <w:shd w:val="clear" w:color="auto" w:fill="FFFFFF"/>
          <w:lang w:val="en-GB"/>
        </w:rPr>
        <w:t>Wetwang</w:t>
      </w:r>
      <w:proofErr w:type="spellEnd"/>
      <w:r>
        <w:rPr>
          <w:rFonts w:eastAsia="Segoe UI" w:hAnsi="Segoe UI" w:cs="Segoe UI"/>
          <w:sz w:val="28"/>
          <w:szCs w:val="28"/>
          <w:shd w:val="clear" w:color="auto" w:fill="FFFFFF"/>
          <w:lang w:val="en-GB"/>
        </w:rPr>
        <w:t xml:space="preserve"> Slack. Peter </w:t>
      </w:r>
      <w:proofErr w:type="spellStart"/>
      <w:r>
        <w:rPr>
          <w:rFonts w:eastAsia="Segoe UI" w:hAnsi="Segoe UI" w:cs="Segoe UI"/>
          <w:sz w:val="28"/>
          <w:szCs w:val="28"/>
          <w:shd w:val="clear" w:color="auto" w:fill="FFFFFF"/>
          <w:lang w:val="en-GB"/>
        </w:rPr>
        <w:t>Halkon</w:t>
      </w:r>
      <w:proofErr w:type="spellEnd"/>
      <w:r>
        <w:rPr>
          <w:rFonts w:eastAsia="Segoe UI" w:hAnsi="Segoe UI" w:cs="Segoe UI"/>
          <w:sz w:val="28"/>
          <w:szCs w:val="28"/>
          <w:shd w:val="clear" w:color="auto" w:fill="FFFFFF"/>
          <w:lang w:val="en-GB"/>
        </w:rPr>
        <w:t xml:space="preserve"> talks </w:t>
      </w:r>
      <w:r>
        <w:rPr>
          <w:rFonts w:eastAsia="Segoe UI" w:hAnsi="Segoe UI" w:cs="Segoe UI"/>
          <w:sz w:val="28"/>
          <w:szCs w:val="28"/>
          <w:shd w:val="clear" w:color="auto" w:fill="FFFFFF"/>
          <w:lang w:val="en-GB"/>
        </w:rPr>
        <w:lastRenderedPageBreak/>
        <w:t xml:space="preserve">about the three chariot burials and what was buried in them. </w:t>
      </w:r>
      <w:r>
        <w:rPr>
          <w:rFonts w:eastAsia="Segoe UI" w:hAnsi="Segoe UI" w:cs="Segoe UI"/>
          <w:sz w:val="28"/>
          <w:szCs w:val="28"/>
          <w:shd w:val="clear" w:color="auto" w:fill="FFFFFF"/>
          <w:lang w:val="en-GB"/>
        </w:rPr>
        <w:t>H</w:t>
      </w:r>
      <w:r>
        <w:rPr>
          <w:rFonts w:eastAsia="Segoe UI" w:hAnsi="Segoe UI" w:cs="Segoe UI"/>
          <w:sz w:val="28"/>
          <w:szCs w:val="28"/>
          <w:shd w:val="clear" w:color="auto" w:fill="FFFFFF"/>
          <w:lang w:val="en-GB"/>
        </w:rPr>
        <w:t xml:space="preserve">e says </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Apart from harness fittings, several chariot burials in</w:t>
      </w:r>
      <w:r>
        <w:rPr>
          <w:rFonts w:eastAsia="Segoe UI" w:hAnsi="Segoe UI" w:cs="Segoe UI"/>
          <w:sz w:val="28"/>
          <w:szCs w:val="28"/>
          <w:shd w:val="clear" w:color="auto" w:fill="FFFFFF"/>
          <w:lang w:val="en-GB"/>
        </w:rPr>
        <w:t>cluded unusual objects</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 xml:space="preserve">The woman in </w:t>
      </w:r>
      <w:proofErr w:type="spellStart"/>
      <w:r>
        <w:rPr>
          <w:rFonts w:eastAsia="Segoe UI" w:hAnsi="Segoe UI" w:cs="Segoe UI"/>
          <w:sz w:val="28"/>
          <w:szCs w:val="28"/>
          <w:shd w:val="clear" w:color="auto" w:fill="FFFFFF"/>
          <w:lang w:val="en-GB"/>
        </w:rPr>
        <w:t>Wetwang</w:t>
      </w:r>
      <w:proofErr w:type="spellEnd"/>
      <w:r>
        <w:rPr>
          <w:rFonts w:eastAsia="Segoe UI" w:hAnsi="Segoe UI" w:cs="Segoe UI"/>
          <w:sz w:val="28"/>
          <w:szCs w:val="28"/>
          <w:shd w:val="clear" w:color="auto" w:fill="FFFFFF"/>
          <w:lang w:val="en-GB"/>
        </w:rPr>
        <w:t xml:space="preserve"> Slack Chariot burial 2 was buried with a so-called </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bean tin</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 xml:space="preserve">, a canister of copper alloy closed at </w:t>
      </w:r>
      <w:proofErr w:type="spellStart"/>
      <w:r>
        <w:rPr>
          <w:rFonts w:eastAsia="Segoe UI" w:hAnsi="Segoe UI" w:cs="Segoe UI"/>
          <w:sz w:val="28"/>
          <w:szCs w:val="28"/>
          <w:shd w:val="clear" w:color="auto" w:fill="FFFFFF"/>
          <w:lang w:val="en-GB"/>
        </w:rPr>
        <w:t>boths</w:t>
      </w:r>
      <w:proofErr w:type="spellEnd"/>
      <w:r>
        <w:rPr>
          <w:rFonts w:eastAsia="Segoe UI" w:hAnsi="Segoe UI" w:cs="Segoe UI"/>
          <w:sz w:val="28"/>
          <w:szCs w:val="28"/>
          <w:shd w:val="clear" w:color="auto" w:fill="FFFFFF"/>
          <w:lang w:val="en-GB"/>
        </w:rPr>
        <w:t xml:space="preserve"> ends, decorated with Ta </w:t>
      </w:r>
      <w:proofErr w:type="spellStart"/>
      <w:r>
        <w:rPr>
          <w:rFonts w:eastAsia="Segoe UI" w:hAnsi="Segoe UI" w:cs="Segoe UI"/>
          <w:sz w:val="28"/>
          <w:szCs w:val="28"/>
          <w:shd w:val="clear" w:color="auto" w:fill="FFFFFF"/>
          <w:lang w:val="en-GB"/>
        </w:rPr>
        <w:t>Tene</w:t>
      </w:r>
      <w:proofErr w:type="spellEnd"/>
      <w:r>
        <w:rPr>
          <w:rFonts w:eastAsia="Segoe UI" w:hAnsi="Segoe UI" w:cs="Segoe UI"/>
          <w:sz w:val="28"/>
          <w:szCs w:val="28"/>
          <w:shd w:val="clear" w:color="auto" w:fill="FFFFFF"/>
          <w:lang w:val="en-GB"/>
        </w:rPr>
        <w:t xml:space="preserve"> curvilinear engraving around the cylinder, and red enamel on a roundel on the</w:t>
      </w:r>
      <w:r>
        <w:rPr>
          <w:rFonts w:eastAsia="Segoe UI" w:hAnsi="Segoe UI" w:cs="Segoe UI"/>
          <w:sz w:val="28"/>
          <w:szCs w:val="28"/>
          <w:shd w:val="clear" w:color="auto" w:fill="FFFFFF"/>
          <w:lang w:val="en-GB"/>
        </w:rPr>
        <w:t xml:space="preserve"> </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lid</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w:t>
      </w:r>
      <w:r>
        <w:rPr>
          <w:rStyle w:val="FootnoteReference"/>
          <w:rFonts w:eastAsia="Segoe UI" w:hAnsi="Segoe UI" w:cs="Segoe UI"/>
          <w:sz w:val="28"/>
          <w:szCs w:val="28"/>
          <w:shd w:val="clear" w:color="auto" w:fill="FFFFFF"/>
          <w:lang w:val="en-GB"/>
        </w:rPr>
        <w:footnoteReference w:id="7"/>
      </w:r>
      <w:r>
        <w:rPr>
          <w:rFonts w:eastAsia="Segoe UI" w:hAnsi="Segoe UI" w:cs="Segoe UI"/>
          <w:sz w:val="28"/>
          <w:szCs w:val="28"/>
          <w:shd w:val="clear" w:color="auto" w:fill="FFFFFF"/>
          <w:lang w:val="en-GB"/>
        </w:rPr>
        <w:t xml:space="preserve">This quote shows that unique items were put into graves. </w:t>
      </w:r>
      <w:r>
        <w:rPr>
          <w:rFonts w:eastAsia="Segoe UI" w:hAnsi="Segoe UI" w:cs="Segoe UI"/>
          <w:sz w:val="28"/>
          <w:szCs w:val="28"/>
          <w:shd w:val="clear" w:color="auto" w:fill="FFFFFF"/>
          <w:lang w:val="en-GB"/>
        </w:rPr>
        <w:t>S</w:t>
      </w:r>
      <w:r>
        <w:rPr>
          <w:rFonts w:eastAsia="Segoe UI" w:hAnsi="Segoe UI" w:cs="Segoe UI"/>
          <w:sz w:val="28"/>
          <w:szCs w:val="28"/>
          <w:shd w:val="clear" w:color="auto" w:fill="FFFFFF"/>
          <w:lang w:val="en-GB"/>
        </w:rPr>
        <w:t xml:space="preserve">till talking about the </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tin</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 xml:space="preserve"> </w:t>
      </w:r>
      <w:proofErr w:type="spellStart"/>
      <w:r>
        <w:rPr>
          <w:rFonts w:eastAsia="Segoe UI" w:hAnsi="Segoe UI" w:cs="Segoe UI"/>
          <w:sz w:val="28"/>
          <w:szCs w:val="28"/>
          <w:shd w:val="clear" w:color="auto" w:fill="FFFFFF"/>
          <w:lang w:val="en-GB"/>
        </w:rPr>
        <w:t>Halkon</w:t>
      </w:r>
      <w:proofErr w:type="spellEnd"/>
      <w:r>
        <w:rPr>
          <w:rFonts w:eastAsia="Segoe UI" w:hAnsi="Segoe UI" w:cs="Segoe UI"/>
          <w:sz w:val="28"/>
          <w:szCs w:val="28"/>
          <w:shd w:val="clear" w:color="auto" w:fill="FFFFFF"/>
          <w:lang w:val="en-GB"/>
        </w:rPr>
        <w:t xml:space="preserve"> says </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it was attached to a chain and was probably worn around the waist, possibly as an item of status, though its precise function remains unknown.</w:t>
      </w:r>
      <w:r>
        <w:rPr>
          <w:rFonts w:eastAsia="Segoe UI" w:hAnsi="Segoe UI" w:cs="Segoe UI"/>
          <w:sz w:val="28"/>
          <w:szCs w:val="28"/>
          <w:shd w:val="clear" w:color="auto" w:fill="FFFFFF"/>
          <w:lang w:val="en-GB"/>
        </w:rPr>
        <w:t>”</w:t>
      </w:r>
      <w:r>
        <w:rPr>
          <w:rStyle w:val="FootnoteReference"/>
          <w:rFonts w:eastAsia="Segoe UI" w:hAnsi="Segoe UI" w:cs="Segoe UI"/>
          <w:sz w:val="28"/>
          <w:szCs w:val="28"/>
          <w:shd w:val="clear" w:color="auto" w:fill="FFFFFF"/>
          <w:lang w:val="en-GB"/>
        </w:rPr>
        <w:footnoteReference w:id="8"/>
      </w:r>
      <w:r>
        <w:rPr>
          <w:rFonts w:eastAsia="Segoe UI" w:hAnsi="Segoe UI" w:cs="Segoe UI"/>
          <w:sz w:val="28"/>
          <w:szCs w:val="28"/>
          <w:shd w:val="clear" w:color="auto" w:fill="FFFFFF"/>
          <w:lang w:val="en-GB"/>
        </w:rPr>
        <w:t xml:space="preserve"> Th</w:t>
      </w:r>
      <w:r>
        <w:rPr>
          <w:rFonts w:eastAsia="Segoe UI" w:hAnsi="Segoe UI" w:cs="Segoe UI"/>
          <w:sz w:val="28"/>
          <w:szCs w:val="28"/>
          <w:shd w:val="clear" w:color="auto" w:fill="FFFFFF"/>
          <w:lang w:val="en-GB"/>
        </w:rPr>
        <w:t xml:space="preserve">is quote shows that there may have been some social elites within </w:t>
      </w:r>
      <w:proofErr w:type="spellStart"/>
      <w:r>
        <w:rPr>
          <w:rFonts w:eastAsia="Segoe UI" w:hAnsi="Segoe UI" w:cs="Segoe UI"/>
          <w:sz w:val="28"/>
          <w:szCs w:val="28"/>
          <w:shd w:val="clear" w:color="auto" w:fill="FFFFFF"/>
          <w:lang w:val="en-GB"/>
        </w:rPr>
        <w:t>Wetwang</w:t>
      </w:r>
      <w:proofErr w:type="spellEnd"/>
      <w:r>
        <w:rPr>
          <w:rFonts w:eastAsia="Segoe UI" w:hAnsi="Segoe UI" w:cs="Segoe UI"/>
          <w:sz w:val="28"/>
          <w:szCs w:val="28"/>
          <w:shd w:val="clear" w:color="auto" w:fill="FFFFFF"/>
          <w:lang w:val="en-GB"/>
        </w:rPr>
        <w:t xml:space="preserve"> and which people used to show off their social status. </w:t>
      </w:r>
      <w:r>
        <w:rPr>
          <w:rFonts w:eastAsia="Segoe UI" w:hAnsi="Segoe UI" w:cs="Segoe UI"/>
          <w:sz w:val="28"/>
          <w:szCs w:val="28"/>
          <w:shd w:val="clear" w:color="auto" w:fill="FFFFFF"/>
          <w:lang w:val="en-GB"/>
        </w:rPr>
        <w:t>T</w:t>
      </w:r>
      <w:r>
        <w:rPr>
          <w:rFonts w:eastAsia="Segoe UI" w:hAnsi="Segoe UI" w:cs="Segoe UI"/>
          <w:sz w:val="28"/>
          <w:szCs w:val="28"/>
          <w:shd w:val="clear" w:color="auto" w:fill="FFFFFF"/>
          <w:lang w:val="en-GB"/>
        </w:rPr>
        <w:t xml:space="preserve">his could show social status change at </w:t>
      </w:r>
      <w:proofErr w:type="spellStart"/>
      <w:r>
        <w:rPr>
          <w:rFonts w:eastAsia="Segoe UI" w:hAnsi="Segoe UI" w:cs="Segoe UI"/>
          <w:sz w:val="28"/>
          <w:szCs w:val="28"/>
          <w:shd w:val="clear" w:color="auto" w:fill="FFFFFF"/>
          <w:lang w:val="en-GB"/>
        </w:rPr>
        <w:t>Wetwang</w:t>
      </w:r>
      <w:proofErr w:type="spellEnd"/>
      <w:r>
        <w:rPr>
          <w:rFonts w:eastAsia="Segoe UI" w:hAnsi="Segoe UI" w:cs="Segoe UI"/>
          <w:sz w:val="28"/>
          <w:szCs w:val="28"/>
          <w:shd w:val="clear" w:color="auto" w:fill="FFFFFF"/>
          <w:lang w:val="en-GB"/>
        </w:rPr>
        <w:t xml:space="preserve"> as from what Dent was saying as there was not much evidence for huge difference</w:t>
      </w:r>
      <w:r>
        <w:rPr>
          <w:rFonts w:eastAsia="Segoe UI" w:hAnsi="Segoe UI" w:cs="Segoe UI"/>
          <w:sz w:val="28"/>
          <w:szCs w:val="28"/>
          <w:shd w:val="clear" w:color="auto" w:fill="FFFFFF"/>
          <w:lang w:val="en-GB"/>
        </w:rPr>
        <w:t xml:space="preserve">s between people whereas </w:t>
      </w:r>
      <w:proofErr w:type="spellStart"/>
      <w:r>
        <w:rPr>
          <w:rFonts w:eastAsia="Segoe UI" w:hAnsi="Segoe UI" w:cs="Segoe UI"/>
          <w:sz w:val="28"/>
          <w:szCs w:val="28"/>
          <w:shd w:val="clear" w:color="auto" w:fill="FFFFFF"/>
          <w:lang w:val="en-GB"/>
        </w:rPr>
        <w:t>Halkon</w:t>
      </w:r>
      <w:proofErr w:type="spellEnd"/>
      <w:r>
        <w:rPr>
          <w:rFonts w:eastAsia="Segoe UI" w:hAnsi="Segoe UI" w:cs="Segoe UI"/>
          <w:sz w:val="28"/>
          <w:szCs w:val="28"/>
          <w:shd w:val="clear" w:color="auto" w:fill="FFFFFF"/>
          <w:lang w:val="en-GB"/>
        </w:rPr>
        <w:t xml:space="preserve"> seems to think there may have been.</w:t>
      </w:r>
    </w:p>
    <w:p w14:paraId="113F5363" w14:textId="77777777" w:rsidR="00D11124" w:rsidRDefault="001D42B4">
      <w:pPr>
        <w:rPr>
          <w:rFonts w:eastAsia="Segoe UI" w:hAnsi="Segoe UI" w:cs="Segoe UI"/>
          <w:sz w:val="28"/>
          <w:szCs w:val="28"/>
          <w:shd w:val="clear" w:color="auto" w:fill="FFFFFF"/>
          <w:lang w:val="en-GB"/>
        </w:rPr>
      </w:pPr>
      <w:proofErr w:type="spellStart"/>
      <w:r>
        <w:rPr>
          <w:rFonts w:eastAsia="Segoe UI" w:hAnsi="Segoe UI" w:cs="Segoe UI"/>
          <w:sz w:val="28"/>
          <w:szCs w:val="28"/>
          <w:shd w:val="clear" w:color="auto" w:fill="FFFFFF"/>
          <w:lang w:val="en-GB"/>
        </w:rPr>
        <w:t>Halkon</w:t>
      </w:r>
      <w:proofErr w:type="spellEnd"/>
      <w:r>
        <w:rPr>
          <w:rFonts w:eastAsia="Segoe UI" w:hAnsi="Segoe UI" w:cs="Segoe UI"/>
          <w:sz w:val="28"/>
          <w:szCs w:val="28"/>
          <w:shd w:val="clear" w:color="auto" w:fill="FFFFFF"/>
          <w:lang w:val="en-GB"/>
        </w:rPr>
        <w:t xml:space="preserve"> also says </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some women within the region may have possessed an equal or even a higher status to men, if the correlation between high-quality grave goods and a social elite is to be a</w:t>
      </w:r>
      <w:r>
        <w:rPr>
          <w:rFonts w:eastAsia="Segoe UI" w:hAnsi="Segoe UI" w:cs="Segoe UI"/>
          <w:sz w:val="28"/>
          <w:szCs w:val="28"/>
          <w:shd w:val="clear" w:color="auto" w:fill="FFFFFF"/>
          <w:lang w:val="en-GB"/>
        </w:rPr>
        <w:t>ccepted.</w:t>
      </w:r>
      <w:r>
        <w:rPr>
          <w:rFonts w:eastAsia="Segoe UI" w:hAnsi="Segoe UI" w:cs="Segoe UI"/>
          <w:sz w:val="28"/>
          <w:szCs w:val="28"/>
          <w:shd w:val="clear" w:color="auto" w:fill="FFFFFF"/>
          <w:lang w:val="en-GB"/>
        </w:rPr>
        <w:t>”</w:t>
      </w:r>
      <w:r>
        <w:rPr>
          <w:rStyle w:val="FootnoteReference"/>
          <w:rFonts w:eastAsia="Segoe UI" w:hAnsi="Segoe UI" w:cs="Segoe UI"/>
          <w:sz w:val="28"/>
          <w:szCs w:val="28"/>
          <w:shd w:val="clear" w:color="auto" w:fill="FFFFFF"/>
          <w:lang w:val="en-GB"/>
        </w:rPr>
        <w:footnoteReference w:id="9"/>
      </w:r>
      <w:r>
        <w:rPr>
          <w:rFonts w:eastAsia="Segoe UI" w:hAnsi="Segoe UI" w:cs="Segoe UI"/>
          <w:sz w:val="28"/>
          <w:szCs w:val="28"/>
          <w:shd w:val="clear" w:color="auto" w:fill="FFFFFF"/>
          <w:lang w:val="en-GB"/>
        </w:rPr>
        <w:t xml:space="preserve"> This quote shows that women may have been considered equals to men at </w:t>
      </w:r>
      <w:proofErr w:type="spellStart"/>
      <w:r>
        <w:rPr>
          <w:rFonts w:eastAsia="Segoe UI" w:hAnsi="Segoe UI" w:cs="Segoe UI"/>
          <w:sz w:val="28"/>
          <w:szCs w:val="28"/>
          <w:shd w:val="clear" w:color="auto" w:fill="FFFFFF"/>
          <w:lang w:val="en-GB"/>
        </w:rPr>
        <w:t>Wetwangs</w:t>
      </w:r>
      <w:proofErr w:type="spellEnd"/>
      <w:r>
        <w:rPr>
          <w:rFonts w:eastAsia="Segoe UI" w:hAnsi="Segoe UI" w:cs="Segoe UI"/>
          <w:sz w:val="28"/>
          <w:szCs w:val="28"/>
          <w:shd w:val="clear" w:color="auto" w:fill="FFFFFF"/>
          <w:lang w:val="en-GB"/>
        </w:rPr>
        <w:t xml:space="preserve">. </w:t>
      </w:r>
      <w:r>
        <w:rPr>
          <w:rFonts w:eastAsia="Segoe UI" w:hAnsi="Segoe UI" w:cs="Segoe UI"/>
          <w:sz w:val="28"/>
          <w:szCs w:val="28"/>
          <w:shd w:val="clear" w:color="auto" w:fill="FFFFFF"/>
          <w:lang w:val="en-GB"/>
        </w:rPr>
        <w:t>T</w:t>
      </w:r>
      <w:r>
        <w:rPr>
          <w:rFonts w:eastAsia="Segoe UI" w:hAnsi="Segoe UI" w:cs="Segoe UI"/>
          <w:sz w:val="28"/>
          <w:szCs w:val="28"/>
          <w:shd w:val="clear" w:color="auto" w:fill="FFFFFF"/>
          <w:lang w:val="en-GB"/>
        </w:rPr>
        <w:t xml:space="preserve">his quote also supports John Dent as he also claims there was not much differences between the sexes at this site. </w:t>
      </w:r>
      <w:r>
        <w:rPr>
          <w:rFonts w:eastAsia="Segoe UI" w:hAnsi="Segoe UI" w:cs="Segoe UI"/>
          <w:sz w:val="28"/>
          <w:szCs w:val="28"/>
          <w:shd w:val="clear" w:color="auto" w:fill="FFFFFF"/>
          <w:lang w:val="en-GB"/>
        </w:rPr>
        <w:t>T</w:t>
      </w:r>
      <w:r>
        <w:rPr>
          <w:rFonts w:eastAsia="Segoe UI" w:hAnsi="Segoe UI" w:cs="Segoe UI"/>
          <w:sz w:val="28"/>
          <w:szCs w:val="28"/>
          <w:shd w:val="clear" w:color="auto" w:fill="FFFFFF"/>
          <w:lang w:val="en-GB"/>
        </w:rPr>
        <w:t>he previous quote is also supported by another q</w:t>
      </w:r>
      <w:r>
        <w:rPr>
          <w:rFonts w:eastAsia="Segoe UI" w:hAnsi="Segoe UI" w:cs="Segoe UI"/>
          <w:sz w:val="28"/>
          <w:szCs w:val="28"/>
          <w:shd w:val="clear" w:color="auto" w:fill="FFFFFF"/>
          <w:lang w:val="en-GB"/>
        </w:rPr>
        <w:t xml:space="preserve">uote </w:t>
      </w:r>
      <w:proofErr w:type="spellStart"/>
      <w:r>
        <w:rPr>
          <w:rFonts w:eastAsia="Segoe UI" w:hAnsi="Segoe UI" w:cs="Segoe UI"/>
          <w:sz w:val="28"/>
          <w:szCs w:val="28"/>
          <w:shd w:val="clear" w:color="auto" w:fill="FFFFFF"/>
          <w:lang w:val="en-GB"/>
        </w:rPr>
        <w:t>Halkon</w:t>
      </w:r>
      <w:proofErr w:type="spellEnd"/>
      <w:r>
        <w:rPr>
          <w:rFonts w:eastAsia="Segoe UI" w:hAnsi="Segoe UI" w:cs="Segoe UI"/>
          <w:sz w:val="28"/>
          <w:szCs w:val="28"/>
          <w:shd w:val="clear" w:color="auto" w:fill="FFFFFF"/>
          <w:lang w:val="en-GB"/>
        </w:rPr>
        <w:t xml:space="preserve"> says which is </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it is interesting to note that of the three chariot burials the woman</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s burial has the most highly decorated harness fittings.</w:t>
      </w:r>
      <w:r>
        <w:rPr>
          <w:rFonts w:eastAsia="Segoe UI" w:hAnsi="Segoe UI" w:cs="Segoe UI"/>
          <w:sz w:val="28"/>
          <w:szCs w:val="28"/>
          <w:shd w:val="clear" w:color="auto" w:fill="FFFFFF"/>
          <w:lang w:val="en-GB"/>
        </w:rPr>
        <w:t>”</w:t>
      </w:r>
      <w:r>
        <w:rPr>
          <w:rStyle w:val="FootnoteReference"/>
          <w:rFonts w:eastAsia="Segoe UI" w:hAnsi="Segoe UI" w:cs="Segoe UI"/>
          <w:sz w:val="28"/>
          <w:szCs w:val="28"/>
          <w:shd w:val="clear" w:color="auto" w:fill="FFFFFF"/>
          <w:lang w:val="en-GB"/>
        </w:rPr>
        <w:footnoteReference w:id="10"/>
      </w:r>
      <w:r>
        <w:rPr>
          <w:rFonts w:eastAsia="Segoe UI" w:hAnsi="Segoe UI" w:cs="Segoe UI"/>
          <w:sz w:val="28"/>
          <w:szCs w:val="28"/>
          <w:shd w:val="clear" w:color="auto" w:fill="FFFFFF"/>
          <w:lang w:val="en-GB"/>
        </w:rPr>
        <w:t xml:space="preserve"> This supports the previous quote because it shows that women had the opportunity to have really</w:t>
      </w:r>
      <w:bookmarkStart w:id="0" w:name="_GoBack"/>
      <w:bookmarkEnd w:id="0"/>
      <w:r>
        <w:rPr>
          <w:rFonts w:eastAsia="Segoe UI" w:hAnsi="Segoe UI" w:cs="Segoe UI"/>
          <w:sz w:val="28"/>
          <w:szCs w:val="28"/>
          <w:shd w:val="clear" w:color="auto" w:fill="FFFFFF"/>
          <w:lang w:val="en-GB"/>
        </w:rPr>
        <w:t xml:space="preserve"> well</w:t>
      </w:r>
      <w:r>
        <w:rPr>
          <w:rFonts w:eastAsia="Segoe UI" w:hAnsi="Segoe UI" w:cs="Segoe UI"/>
          <w:sz w:val="28"/>
          <w:szCs w:val="28"/>
          <w:shd w:val="clear" w:color="auto" w:fill="FFFFFF"/>
          <w:lang w:val="en-GB"/>
        </w:rPr>
        <w:t xml:space="preserve"> decorated items which they owned themselves. </w:t>
      </w:r>
      <w:r>
        <w:rPr>
          <w:rFonts w:eastAsia="Segoe UI" w:hAnsi="Segoe UI" w:cs="Segoe UI"/>
          <w:sz w:val="28"/>
          <w:szCs w:val="28"/>
          <w:shd w:val="clear" w:color="auto" w:fill="FFFFFF"/>
          <w:lang w:val="en-GB"/>
        </w:rPr>
        <w:t>I</w:t>
      </w:r>
      <w:r>
        <w:rPr>
          <w:rFonts w:eastAsia="Segoe UI" w:hAnsi="Segoe UI" w:cs="Segoe UI"/>
          <w:sz w:val="28"/>
          <w:szCs w:val="28"/>
          <w:shd w:val="clear" w:color="auto" w:fill="FFFFFF"/>
          <w:lang w:val="en-GB"/>
        </w:rPr>
        <w:t xml:space="preserve">t means that women and men potentially had the same social status as each other which was uncommon in the ancient world. </w:t>
      </w:r>
    </w:p>
    <w:p w14:paraId="456EC891" w14:textId="77777777" w:rsidR="00D11124" w:rsidRDefault="001D42B4">
      <w:pPr>
        <w:rPr>
          <w:rFonts w:eastAsia="Segoe UI" w:hAnsi="Segoe UI" w:cs="Segoe UI"/>
          <w:sz w:val="28"/>
          <w:szCs w:val="28"/>
          <w:shd w:val="clear" w:color="auto" w:fill="FFFFFF"/>
          <w:lang w:val="en-GB"/>
        </w:rPr>
      </w:pPr>
      <w:r>
        <w:rPr>
          <w:rFonts w:eastAsia="Segoe UI" w:hAnsi="Segoe UI" w:cs="Segoe UI"/>
          <w:sz w:val="28"/>
          <w:szCs w:val="28"/>
          <w:shd w:val="clear" w:color="auto" w:fill="FFFFFF"/>
          <w:lang w:val="en-GB"/>
        </w:rPr>
        <w:t>T</w:t>
      </w:r>
      <w:r>
        <w:rPr>
          <w:rFonts w:eastAsia="Segoe UI" w:hAnsi="Segoe UI" w:cs="Segoe UI"/>
          <w:sz w:val="28"/>
          <w:szCs w:val="28"/>
          <w:shd w:val="clear" w:color="auto" w:fill="FFFFFF"/>
          <w:lang w:val="en-GB"/>
        </w:rPr>
        <w:t xml:space="preserve">here is a table from Ray et al which shows the carbon dating of some of the </w:t>
      </w:r>
      <w:r>
        <w:rPr>
          <w:rFonts w:eastAsia="Segoe UI" w:hAnsi="Segoe UI" w:cs="Segoe UI"/>
          <w:sz w:val="28"/>
          <w:szCs w:val="28"/>
          <w:shd w:val="clear" w:color="auto" w:fill="FFFFFF"/>
          <w:lang w:val="en-GB"/>
        </w:rPr>
        <w:t xml:space="preserve">graves from </w:t>
      </w:r>
      <w:proofErr w:type="spellStart"/>
      <w:r>
        <w:rPr>
          <w:rFonts w:eastAsia="Segoe UI" w:hAnsi="Segoe UI" w:cs="Segoe UI"/>
          <w:sz w:val="28"/>
          <w:szCs w:val="28"/>
          <w:shd w:val="clear" w:color="auto" w:fill="FFFFFF"/>
          <w:lang w:val="en-GB"/>
        </w:rPr>
        <w:t>Wetwang</w:t>
      </w:r>
      <w:proofErr w:type="spellEnd"/>
      <w:r>
        <w:rPr>
          <w:rFonts w:eastAsia="Segoe UI" w:hAnsi="Segoe UI" w:cs="Segoe UI"/>
          <w:sz w:val="28"/>
          <w:szCs w:val="28"/>
          <w:shd w:val="clear" w:color="auto" w:fill="FFFFFF"/>
          <w:lang w:val="en-GB"/>
        </w:rPr>
        <w:t xml:space="preserve"> Slack.</w:t>
      </w:r>
      <w:r>
        <w:rPr>
          <w:rStyle w:val="FootnoteReference"/>
          <w:rFonts w:eastAsia="Segoe UI" w:hAnsi="Segoe UI" w:cs="Segoe UI"/>
          <w:sz w:val="28"/>
          <w:szCs w:val="28"/>
          <w:shd w:val="clear" w:color="auto" w:fill="FFFFFF"/>
          <w:lang w:val="en-GB"/>
        </w:rPr>
        <w:footnoteReference w:id="11"/>
      </w:r>
      <w:r>
        <w:rPr>
          <w:rFonts w:eastAsia="Segoe UI" w:hAnsi="Segoe UI" w:cs="Segoe UI"/>
          <w:sz w:val="28"/>
          <w:szCs w:val="28"/>
          <w:shd w:val="clear" w:color="auto" w:fill="FFFFFF"/>
          <w:lang w:val="en-GB"/>
        </w:rPr>
        <w:t xml:space="preserve">The dating for the graves from the </w:t>
      </w:r>
      <w:r>
        <w:rPr>
          <w:rFonts w:eastAsia="Segoe UI" w:hAnsi="Segoe UI" w:cs="Segoe UI"/>
          <w:sz w:val="28"/>
          <w:szCs w:val="28"/>
          <w:shd w:val="clear" w:color="auto" w:fill="FFFFFF"/>
          <w:lang w:val="en-GB"/>
        </w:rPr>
        <w:lastRenderedPageBreak/>
        <w:t>table was between 400BC- 100BC</w:t>
      </w:r>
      <w:r>
        <w:rPr>
          <w:rStyle w:val="FootnoteReference"/>
          <w:rFonts w:eastAsia="Segoe UI" w:hAnsi="Segoe UI" w:cs="Segoe UI"/>
          <w:sz w:val="28"/>
          <w:szCs w:val="28"/>
          <w:shd w:val="clear" w:color="auto" w:fill="FFFFFF"/>
          <w:lang w:val="en-GB"/>
        </w:rPr>
        <w:footnoteReference w:id="12"/>
      </w:r>
      <w:r>
        <w:rPr>
          <w:rFonts w:eastAsia="Segoe UI" w:hAnsi="Segoe UI" w:cs="Segoe UI"/>
          <w:sz w:val="28"/>
          <w:szCs w:val="28"/>
          <w:shd w:val="clear" w:color="auto" w:fill="FFFFFF"/>
          <w:lang w:val="en-GB"/>
        </w:rPr>
        <w:t>. From looking at this table we can see that there was a very big range from which the graves are dated so this makes it hard for us to be able to fully see if the</w:t>
      </w:r>
      <w:r>
        <w:rPr>
          <w:rFonts w:eastAsia="Segoe UI" w:hAnsi="Segoe UI" w:cs="Segoe UI"/>
          <w:sz w:val="28"/>
          <w:szCs w:val="28"/>
          <w:shd w:val="clear" w:color="auto" w:fill="FFFFFF"/>
          <w:lang w:val="en-GB"/>
        </w:rPr>
        <w:t>re was any changes in social status as we cannot throughout the 4th-1st century BC.</w:t>
      </w:r>
    </w:p>
    <w:p w14:paraId="46114714" w14:textId="77777777" w:rsidR="00D11124" w:rsidRDefault="001D42B4">
      <w:pPr>
        <w:rPr>
          <w:rFonts w:eastAsia="Segoe UI" w:hAnsi="Segoe UI" w:cs="Segoe UI"/>
          <w:sz w:val="28"/>
          <w:szCs w:val="28"/>
          <w:shd w:val="clear" w:color="auto" w:fill="FFFFFF"/>
          <w:lang w:val="en-GB"/>
        </w:rPr>
      </w:pPr>
      <w:r>
        <w:rPr>
          <w:rFonts w:eastAsia="Segoe UI" w:hAnsi="Segoe UI" w:cs="Segoe UI"/>
          <w:sz w:val="28"/>
          <w:szCs w:val="28"/>
          <w:shd w:val="clear" w:color="auto" w:fill="FFFFFF"/>
          <w:lang w:val="en-GB"/>
        </w:rPr>
        <w:t>Ray et al tells us 43 b</w:t>
      </w:r>
      <w:r>
        <w:rPr>
          <w:rFonts w:eastAsia="Segoe UI" w:hAnsi="Segoe UI" w:cs="Segoe UI"/>
          <w:sz w:val="28"/>
          <w:szCs w:val="28"/>
          <w:shd w:val="clear" w:color="auto" w:fill="FFFFFF"/>
          <w:lang w:val="en-GB"/>
        </w:rPr>
        <w:t xml:space="preserve">rooches were found within the graves at </w:t>
      </w:r>
      <w:proofErr w:type="spellStart"/>
      <w:r>
        <w:rPr>
          <w:rFonts w:eastAsia="Segoe UI" w:hAnsi="Segoe UI" w:cs="Segoe UI"/>
          <w:sz w:val="28"/>
          <w:szCs w:val="28"/>
          <w:shd w:val="clear" w:color="auto" w:fill="FFFFFF"/>
          <w:lang w:val="en-GB"/>
        </w:rPr>
        <w:t>Wetwang</w:t>
      </w:r>
      <w:proofErr w:type="spellEnd"/>
      <w:r>
        <w:rPr>
          <w:rFonts w:eastAsia="Segoe UI" w:hAnsi="Segoe UI" w:cs="Segoe UI"/>
          <w:sz w:val="28"/>
          <w:szCs w:val="28"/>
          <w:shd w:val="clear" w:color="auto" w:fill="FFFFFF"/>
          <w:lang w:val="en-GB"/>
        </w:rPr>
        <w:t xml:space="preserve"> Slack</w:t>
      </w:r>
      <w:r>
        <w:rPr>
          <w:rStyle w:val="FootnoteReference"/>
          <w:rFonts w:eastAsia="Segoe UI" w:hAnsi="Segoe UI" w:cs="Segoe UI"/>
          <w:sz w:val="28"/>
          <w:szCs w:val="28"/>
          <w:shd w:val="clear" w:color="auto" w:fill="FFFFFF"/>
          <w:lang w:val="en-GB"/>
        </w:rPr>
        <w:footnoteReference w:id="13"/>
      </w:r>
      <w:r>
        <w:rPr>
          <w:rFonts w:eastAsia="Segoe UI" w:hAnsi="Segoe UI" w:cs="Segoe UI"/>
          <w:sz w:val="28"/>
          <w:szCs w:val="28"/>
          <w:shd w:val="clear" w:color="auto" w:fill="FFFFFF"/>
          <w:lang w:val="en-GB"/>
        </w:rPr>
        <w:t xml:space="preserve">. Ray says </w:t>
      </w:r>
      <w:r>
        <w:rPr>
          <w:rFonts w:eastAsia="Segoe UI" w:hAnsi="Segoe UI" w:cs="Segoe UI"/>
          <w:sz w:val="28"/>
          <w:szCs w:val="28"/>
          <w:shd w:val="clear" w:color="auto" w:fill="FFFFFF"/>
          <w:lang w:val="en-GB"/>
        </w:rPr>
        <w:t>“</w:t>
      </w:r>
      <w:r>
        <w:rPr>
          <w:rFonts w:eastAsia="Segoe UI" w:hAnsi="Segoe UI" w:cs="Segoe UI"/>
          <w:sz w:val="28"/>
          <w:szCs w:val="28"/>
          <w:shd w:val="clear" w:color="auto" w:fill="FFFFFF"/>
          <w:lang w:val="en-GB"/>
        </w:rPr>
        <w:t xml:space="preserve">the continental correlations of this fourth brooch are early La </w:t>
      </w:r>
      <w:proofErr w:type="spellStart"/>
      <w:r>
        <w:rPr>
          <w:rFonts w:eastAsia="Segoe UI" w:hAnsi="Segoe UI" w:cs="Segoe UI"/>
          <w:sz w:val="28"/>
          <w:szCs w:val="28"/>
          <w:shd w:val="clear" w:color="auto" w:fill="FFFFFF"/>
          <w:lang w:val="en-GB"/>
        </w:rPr>
        <w:t>Tene</w:t>
      </w:r>
      <w:proofErr w:type="spellEnd"/>
      <w:r>
        <w:rPr>
          <w:rFonts w:eastAsia="Segoe UI" w:hAnsi="Segoe UI" w:cs="Segoe UI"/>
          <w:sz w:val="28"/>
          <w:szCs w:val="28"/>
          <w:shd w:val="clear" w:color="auto" w:fill="FFFFFF"/>
          <w:lang w:val="en-GB"/>
        </w:rPr>
        <w:t xml:space="preserve"> C1, roughly th</w:t>
      </w:r>
      <w:r>
        <w:rPr>
          <w:rFonts w:eastAsia="Segoe UI" w:hAnsi="Segoe UI" w:cs="Segoe UI"/>
          <w:sz w:val="28"/>
          <w:szCs w:val="28"/>
          <w:shd w:val="clear" w:color="auto" w:fill="FFFFFF"/>
          <w:lang w:val="en-GB"/>
        </w:rPr>
        <w:t>e second quarter of the third century BC.</w:t>
      </w:r>
      <w:r>
        <w:rPr>
          <w:rFonts w:eastAsia="Segoe UI" w:hAnsi="Segoe UI" w:cs="Segoe UI"/>
          <w:sz w:val="28"/>
          <w:szCs w:val="28"/>
          <w:shd w:val="clear" w:color="auto" w:fill="FFFFFF"/>
          <w:lang w:val="en-GB"/>
        </w:rPr>
        <w:t>”</w:t>
      </w:r>
      <w:r>
        <w:rPr>
          <w:rStyle w:val="FootnoteReference"/>
          <w:rFonts w:eastAsia="Segoe UI" w:hAnsi="Segoe UI" w:cs="Segoe UI"/>
          <w:sz w:val="28"/>
          <w:szCs w:val="28"/>
          <w:shd w:val="clear" w:color="auto" w:fill="FFFFFF"/>
          <w:lang w:val="en-GB"/>
        </w:rPr>
        <w:footnoteReference w:id="14"/>
      </w:r>
      <w:r>
        <w:rPr>
          <w:rFonts w:eastAsia="Segoe UI" w:hAnsi="Segoe UI" w:cs="Segoe UI"/>
          <w:sz w:val="28"/>
          <w:szCs w:val="28"/>
          <w:shd w:val="clear" w:color="auto" w:fill="FFFFFF"/>
          <w:lang w:val="en-GB"/>
        </w:rPr>
        <w:t xml:space="preserve">This shows that some of the brooches had influences from the continent which means the people who owned those brooches probably had more wealth so they would want to show off their connections to the continent as </w:t>
      </w:r>
      <w:r>
        <w:rPr>
          <w:rFonts w:eastAsia="Segoe UI" w:hAnsi="Segoe UI" w:cs="Segoe UI"/>
          <w:sz w:val="28"/>
          <w:szCs w:val="28"/>
          <w:shd w:val="clear" w:color="auto" w:fill="FFFFFF"/>
          <w:lang w:val="en-GB"/>
        </w:rPr>
        <w:t xml:space="preserve">it is far away from </w:t>
      </w:r>
      <w:proofErr w:type="spellStart"/>
      <w:r>
        <w:rPr>
          <w:rFonts w:eastAsia="Segoe UI" w:hAnsi="Segoe UI" w:cs="Segoe UI"/>
          <w:sz w:val="28"/>
          <w:szCs w:val="28"/>
          <w:shd w:val="clear" w:color="auto" w:fill="FFFFFF"/>
          <w:lang w:val="en-GB"/>
        </w:rPr>
        <w:t>Wetwang</w:t>
      </w:r>
      <w:proofErr w:type="spellEnd"/>
      <w:r>
        <w:rPr>
          <w:rFonts w:eastAsia="Segoe UI" w:hAnsi="Segoe UI" w:cs="Segoe UI"/>
          <w:sz w:val="28"/>
          <w:szCs w:val="28"/>
          <w:shd w:val="clear" w:color="auto" w:fill="FFFFFF"/>
          <w:lang w:val="en-GB"/>
        </w:rPr>
        <w:t xml:space="preserve"> Slack.</w:t>
      </w:r>
    </w:p>
    <w:p w14:paraId="1FE0B364" w14:textId="77777777" w:rsidR="00D11124" w:rsidRDefault="00D11124">
      <w:pPr>
        <w:rPr>
          <w:rFonts w:eastAsia="Segoe UI" w:hAnsi="Segoe UI" w:cs="Segoe UI"/>
          <w:sz w:val="28"/>
          <w:szCs w:val="28"/>
          <w:shd w:val="clear" w:color="auto" w:fill="FFFFFF"/>
          <w:lang w:val="en-GB"/>
        </w:rPr>
      </w:pPr>
    </w:p>
    <w:p w14:paraId="0A4ED71A" w14:textId="77777777" w:rsidR="00D11124" w:rsidRDefault="001D42B4">
      <w:pPr>
        <w:rPr>
          <w:rFonts w:eastAsia="Segoe UI" w:hAnsi="Segoe UI" w:cs="Segoe UI"/>
          <w:sz w:val="28"/>
          <w:szCs w:val="28"/>
          <w:shd w:val="clear" w:color="auto" w:fill="FFFFFF"/>
          <w:lang w:val="en-GB"/>
        </w:rPr>
      </w:pPr>
      <w:r>
        <w:rPr>
          <w:rFonts w:eastAsia="Segoe UI" w:hAnsi="Segoe UI" w:cs="Segoe UI"/>
          <w:sz w:val="28"/>
          <w:szCs w:val="28"/>
          <w:shd w:val="clear" w:color="auto" w:fill="FFFFFF"/>
          <w:lang w:val="en-GB"/>
        </w:rPr>
        <w:t xml:space="preserve">In conclusion, judging from what we can find in burials men and women seemed to be equal a they had similar amounts of things in the graves. </w:t>
      </w:r>
      <w:r>
        <w:rPr>
          <w:rFonts w:eastAsia="Segoe UI" w:hAnsi="Segoe UI" w:cs="Segoe UI"/>
          <w:sz w:val="28"/>
          <w:szCs w:val="28"/>
          <w:shd w:val="clear" w:color="auto" w:fill="FFFFFF"/>
          <w:lang w:val="en-GB"/>
        </w:rPr>
        <w:t>A</w:t>
      </w:r>
      <w:r>
        <w:rPr>
          <w:rFonts w:eastAsia="Segoe UI" w:hAnsi="Segoe UI" w:cs="Segoe UI"/>
          <w:sz w:val="28"/>
          <w:szCs w:val="28"/>
          <w:shd w:val="clear" w:color="auto" w:fill="FFFFFF"/>
          <w:lang w:val="en-GB"/>
        </w:rPr>
        <w:t xml:space="preserve">lso it is hard tell about any social changes as we </w:t>
      </w:r>
      <w:proofErr w:type="spellStart"/>
      <w:r>
        <w:rPr>
          <w:rFonts w:eastAsia="Segoe UI" w:hAnsi="Segoe UI" w:cs="Segoe UI"/>
          <w:sz w:val="28"/>
          <w:szCs w:val="28"/>
          <w:shd w:val="clear" w:color="auto" w:fill="FFFFFF"/>
          <w:lang w:val="en-GB"/>
        </w:rPr>
        <w:t>can not</w:t>
      </w:r>
      <w:proofErr w:type="spellEnd"/>
      <w:r>
        <w:rPr>
          <w:rFonts w:eastAsia="Segoe UI" w:hAnsi="Segoe UI" w:cs="Segoe UI"/>
          <w:sz w:val="28"/>
          <w:szCs w:val="28"/>
          <w:shd w:val="clear" w:color="auto" w:fill="FFFFFF"/>
          <w:lang w:val="en-GB"/>
        </w:rPr>
        <w:t xml:space="preserve"> be sure about speci</w:t>
      </w:r>
      <w:r>
        <w:rPr>
          <w:rFonts w:eastAsia="Segoe UI" w:hAnsi="Segoe UI" w:cs="Segoe UI"/>
          <w:sz w:val="28"/>
          <w:szCs w:val="28"/>
          <w:shd w:val="clear" w:color="auto" w:fill="FFFFFF"/>
          <w:lang w:val="en-GB"/>
        </w:rPr>
        <w:t>fics dates so we are unable to put the burials in order to look for any changes. we do not know if graves had more goods in them as they could have been made out of materials that degrade so this also makes it harder to help distinguish social changes as t</w:t>
      </w:r>
      <w:r>
        <w:rPr>
          <w:rFonts w:eastAsia="Segoe UI" w:hAnsi="Segoe UI" w:cs="Segoe UI"/>
          <w:sz w:val="28"/>
          <w:szCs w:val="28"/>
          <w:shd w:val="clear" w:color="auto" w:fill="FFFFFF"/>
          <w:lang w:val="en-GB"/>
        </w:rPr>
        <w:t>hey could have carried items which showed this but they then degraded over the years before the graves were excavated.</w:t>
      </w:r>
    </w:p>
    <w:p w14:paraId="0D9EB6C6" w14:textId="77777777" w:rsidR="00D11124" w:rsidRDefault="00D11124">
      <w:pPr>
        <w:rPr>
          <w:rFonts w:eastAsia="Segoe UI" w:hAnsi="Segoe UI" w:cs="Segoe UI"/>
          <w:sz w:val="28"/>
          <w:szCs w:val="28"/>
          <w:shd w:val="clear" w:color="auto" w:fill="FFFFFF"/>
          <w:lang w:val="en-GB"/>
        </w:rPr>
      </w:pPr>
    </w:p>
    <w:p w14:paraId="1CD6717F" w14:textId="77777777" w:rsidR="00D11124" w:rsidRDefault="00D11124">
      <w:pPr>
        <w:rPr>
          <w:rFonts w:eastAsia="Segoe UI" w:hAnsi="Segoe UI" w:cs="Segoe UI"/>
          <w:sz w:val="28"/>
          <w:szCs w:val="28"/>
          <w:shd w:val="clear" w:color="auto" w:fill="FFFFFF"/>
          <w:lang w:val="en-GB"/>
        </w:rPr>
      </w:pPr>
    </w:p>
    <w:p w14:paraId="69CCC504" w14:textId="77777777" w:rsidR="00D11124" w:rsidRDefault="00D11124">
      <w:pPr>
        <w:rPr>
          <w:rFonts w:eastAsia="Segoe UI" w:hAnsi="Segoe UI" w:cs="Segoe UI"/>
          <w:sz w:val="28"/>
          <w:szCs w:val="28"/>
          <w:shd w:val="clear" w:color="auto" w:fill="FFFFFF"/>
          <w:lang w:val="en-GB"/>
        </w:rPr>
      </w:pPr>
    </w:p>
    <w:p w14:paraId="6FAF06E9" w14:textId="77777777" w:rsidR="00D11124" w:rsidRDefault="00D11124">
      <w:pPr>
        <w:rPr>
          <w:rFonts w:eastAsia="Segoe UI" w:hAnsi="Segoe UI" w:cs="Segoe UI"/>
          <w:sz w:val="28"/>
          <w:szCs w:val="28"/>
          <w:shd w:val="clear" w:color="auto" w:fill="FFFFFF"/>
          <w:lang w:val="en-GB"/>
        </w:rPr>
      </w:pPr>
    </w:p>
    <w:p w14:paraId="28A91E65" w14:textId="77777777" w:rsidR="00D11124" w:rsidRDefault="00D11124">
      <w:pPr>
        <w:rPr>
          <w:rFonts w:eastAsia="Segoe UI" w:hAnsi="Segoe UI" w:cs="Segoe UI"/>
          <w:sz w:val="28"/>
          <w:szCs w:val="28"/>
          <w:shd w:val="clear" w:color="auto" w:fill="FFFFFF"/>
          <w:lang w:val="en-GB"/>
        </w:rPr>
      </w:pPr>
    </w:p>
    <w:p w14:paraId="7AFFC501" w14:textId="77777777" w:rsidR="00D11124" w:rsidRDefault="00D11124">
      <w:pPr>
        <w:rPr>
          <w:rFonts w:eastAsia="Segoe UI" w:hAnsi="Segoe UI" w:cs="Segoe UI"/>
          <w:sz w:val="28"/>
          <w:szCs w:val="28"/>
          <w:shd w:val="clear" w:color="auto" w:fill="FFFFFF"/>
          <w:lang w:val="en-GB"/>
        </w:rPr>
      </w:pPr>
    </w:p>
    <w:p w14:paraId="4135C008" w14:textId="77777777" w:rsidR="00D11124" w:rsidRDefault="00D11124">
      <w:pPr>
        <w:rPr>
          <w:rFonts w:eastAsia="Segoe UI" w:hAnsi="Segoe UI" w:cs="Segoe UI"/>
          <w:sz w:val="28"/>
          <w:szCs w:val="28"/>
          <w:shd w:val="clear" w:color="auto" w:fill="FFFFFF"/>
          <w:lang w:val="en-GB"/>
        </w:rPr>
      </w:pPr>
    </w:p>
    <w:p w14:paraId="4614D8BC" w14:textId="77777777" w:rsidR="00D11124" w:rsidRDefault="00D11124">
      <w:pPr>
        <w:rPr>
          <w:rFonts w:eastAsia="Segoe UI" w:hAnsi="Segoe UI" w:cs="Segoe UI"/>
          <w:sz w:val="28"/>
          <w:szCs w:val="28"/>
          <w:shd w:val="clear" w:color="auto" w:fill="FFFFFF"/>
          <w:lang w:val="en-GB"/>
        </w:rPr>
      </w:pPr>
    </w:p>
    <w:p w14:paraId="28CB785E" w14:textId="77777777" w:rsidR="00D11124" w:rsidRDefault="00D11124">
      <w:pPr>
        <w:rPr>
          <w:rFonts w:eastAsia="Segoe UI" w:hAnsi="Segoe UI" w:cs="Segoe UI"/>
          <w:sz w:val="28"/>
          <w:szCs w:val="28"/>
          <w:shd w:val="clear" w:color="auto" w:fill="FFFFFF"/>
          <w:lang w:val="en-GB"/>
        </w:rPr>
      </w:pPr>
    </w:p>
    <w:p w14:paraId="20D58059" w14:textId="77777777" w:rsidR="00D11124" w:rsidRDefault="00D11124">
      <w:pPr>
        <w:rPr>
          <w:rFonts w:eastAsia="Segoe UI" w:hAnsi="Segoe UI" w:cs="Segoe UI"/>
          <w:sz w:val="28"/>
          <w:szCs w:val="28"/>
          <w:shd w:val="clear" w:color="auto" w:fill="FFFFFF"/>
          <w:lang w:val="en-GB"/>
        </w:rPr>
      </w:pPr>
    </w:p>
    <w:p w14:paraId="39A993C6" w14:textId="77777777" w:rsidR="00D11124" w:rsidRDefault="00D11124">
      <w:pPr>
        <w:rPr>
          <w:rFonts w:eastAsia="Segoe UI" w:hAnsi="Segoe UI" w:cs="Segoe UI"/>
          <w:sz w:val="28"/>
          <w:szCs w:val="28"/>
          <w:shd w:val="clear" w:color="auto" w:fill="FFFFFF"/>
          <w:lang w:val="en-GB"/>
        </w:rPr>
      </w:pPr>
    </w:p>
    <w:p w14:paraId="3996EAAC" w14:textId="77777777" w:rsidR="00D11124" w:rsidRDefault="00D11124">
      <w:pPr>
        <w:rPr>
          <w:rFonts w:eastAsia="Segoe UI" w:hAnsi="Segoe UI" w:cs="Segoe UI"/>
          <w:sz w:val="28"/>
          <w:szCs w:val="28"/>
          <w:shd w:val="clear" w:color="auto" w:fill="FFFFFF"/>
          <w:lang w:val="en-GB"/>
        </w:rPr>
      </w:pPr>
    </w:p>
    <w:p w14:paraId="6DB596DB" w14:textId="77777777" w:rsidR="00D11124" w:rsidRDefault="00D11124">
      <w:pPr>
        <w:rPr>
          <w:rFonts w:eastAsia="Segoe UI" w:hAnsi="Segoe UI" w:cs="Segoe UI"/>
          <w:sz w:val="28"/>
          <w:szCs w:val="28"/>
          <w:shd w:val="clear" w:color="auto" w:fill="FFFFFF"/>
          <w:lang w:val="en-GB"/>
        </w:rPr>
      </w:pPr>
    </w:p>
    <w:p w14:paraId="6A694F9C" w14:textId="77777777" w:rsidR="00D11124" w:rsidRDefault="00D11124">
      <w:pPr>
        <w:rPr>
          <w:rFonts w:eastAsia="Segoe UI" w:hAnsi="Segoe UI" w:cs="Segoe UI"/>
          <w:sz w:val="28"/>
          <w:szCs w:val="28"/>
          <w:shd w:val="clear" w:color="auto" w:fill="FFFFFF"/>
          <w:lang w:val="en-GB"/>
        </w:rPr>
      </w:pPr>
    </w:p>
    <w:p w14:paraId="651FFDD8" w14:textId="77777777" w:rsidR="00D11124" w:rsidRDefault="001D42B4">
      <w:pPr>
        <w:rPr>
          <w:rFonts w:eastAsia="Segoe UI" w:hAnsi="Segoe UI" w:cs="Segoe UI"/>
          <w:b/>
          <w:bCs/>
          <w:sz w:val="28"/>
          <w:szCs w:val="28"/>
          <w:u w:val="single"/>
          <w:shd w:val="clear" w:color="auto" w:fill="FFFFFF"/>
          <w:lang w:val="en-GB"/>
        </w:rPr>
      </w:pPr>
      <w:r>
        <w:rPr>
          <w:rFonts w:eastAsia="Segoe UI" w:hAnsi="Segoe UI" w:cs="Segoe UI"/>
          <w:b/>
          <w:bCs/>
          <w:sz w:val="28"/>
          <w:szCs w:val="28"/>
          <w:u w:val="single"/>
          <w:shd w:val="clear" w:color="auto" w:fill="FFFFFF"/>
          <w:lang w:val="en-GB"/>
        </w:rPr>
        <w:t>Bibliography:</w:t>
      </w:r>
    </w:p>
    <w:p w14:paraId="175A3012" w14:textId="77777777" w:rsidR="00D11124" w:rsidRDefault="00D11124">
      <w:pPr>
        <w:rPr>
          <w:rFonts w:eastAsia="Segoe UI" w:hAnsi="Segoe UI" w:cs="Segoe UI"/>
          <w:b/>
          <w:bCs/>
          <w:sz w:val="28"/>
          <w:szCs w:val="28"/>
          <w:u w:val="single"/>
          <w:shd w:val="clear" w:color="auto" w:fill="FFFFFF"/>
          <w:lang w:val="en-GB"/>
        </w:rPr>
      </w:pPr>
    </w:p>
    <w:p w14:paraId="79F2EBE4" w14:textId="77777777" w:rsidR="00D11124" w:rsidRDefault="001D42B4">
      <w:pPr>
        <w:numPr>
          <w:ilvl w:val="0"/>
          <w:numId w:val="1"/>
        </w:numPr>
        <w:rPr>
          <w:rFonts w:eastAsia="Segoe UI" w:hAnsi="Segoe UI" w:cs="Segoe UI"/>
          <w:sz w:val="28"/>
          <w:szCs w:val="28"/>
          <w:shd w:val="clear" w:color="auto" w:fill="FFFFFF"/>
          <w:lang w:val="en-GB"/>
        </w:rPr>
      </w:pPr>
      <w:r>
        <w:rPr>
          <w:rFonts w:eastAsia="Helvetica" w:hAnsi="Helvetica" w:cs="Helvetica"/>
          <w:color w:val="3A3A3A"/>
          <w:sz w:val="28"/>
          <w:szCs w:val="28"/>
          <w:shd w:val="clear" w:color="auto" w:fill="FFFFFF"/>
        </w:rPr>
        <w:t xml:space="preserve">Jay, M., </w:t>
      </w:r>
      <w:proofErr w:type="spellStart"/>
      <w:r>
        <w:rPr>
          <w:rFonts w:eastAsia="Helvetica" w:hAnsi="Helvetica" w:cs="Helvetica"/>
          <w:color w:val="3A3A3A"/>
          <w:sz w:val="28"/>
          <w:szCs w:val="28"/>
          <w:shd w:val="clear" w:color="auto" w:fill="FFFFFF"/>
        </w:rPr>
        <w:t>Haselgrove</w:t>
      </w:r>
      <w:proofErr w:type="spellEnd"/>
      <w:r>
        <w:rPr>
          <w:rFonts w:eastAsia="Helvetica" w:hAnsi="Helvetica" w:cs="Helvetica"/>
          <w:color w:val="3A3A3A"/>
          <w:sz w:val="28"/>
          <w:szCs w:val="28"/>
          <w:shd w:val="clear" w:color="auto" w:fill="FFFFFF"/>
        </w:rPr>
        <w:t xml:space="preserve">, C., Hamilton, D., Hill, J., &amp; Dent, J. (2012). </w:t>
      </w:r>
      <w:r>
        <w:rPr>
          <w:rFonts w:eastAsia="Helvetica" w:hAnsi="Helvetica" w:cs="Helvetica"/>
          <w:i/>
          <w:iCs/>
          <w:color w:val="3A3A3A"/>
          <w:sz w:val="28"/>
          <w:szCs w:val="28"/>
          <w:shd w:val="clear" w:color="auto" w:fill="FFFFFF"/>
        </w:rPr>
        <w:t>CHARIOTS AND CONTEXT: NEW RADIOCARBON DATES FROM WETWANG AND THE CHRONOLOGY OF IRON AGE BURIALS AND BROOCHES IN EAST YORKSHIRE</w:t>
      </w:r>
      <w:r>
        <w:rPr>
          <w:rFonts w:eastAsia="Helvetica" w:hAnsi="Helvetica" w:cs="Helvetica"/>
          <w:color w:val="3A3A3A"/>
          <w:sz w:val="28"/>
          <w:szCs w:val="28"/>
          <w:shd w:val="clear" w:color="auto" w:fill="FFFFFF"/>
        </w:rPr>
        <w:t>.</w:t>
      </w:r>
      <w:r>
        <w:rPr>
          <w:rFonts w:eastAsia="Helvetica" w:hAnsi="Helvetica" w:cs="Helvetica"/>
          <w:color w:val="3A3A3A"/>
          <w:sz w:val="28"/>
          <w:szCs w:val="28"/>
          <w:shd w:val="clear" w:color="auto" w:fill="FFFFFF"/>
        </w:rPr>
        <w:t> </w:t>
      </w:r>
      <w:r>
        <w:rPr>
          <w:rFonts w:eastAsia="Helvetica" w:hAnsi="Helvetica" w:cs="Helvetica"/>
          <w:iCs/>
          <w:color w:val="3A3A3A"/>
          <w:sz w:val="28"/>
          <w:szCs w:val="28"/>
          <w:shd w:val="clear" w:color="auto" w:fill="FFFFFF"/>
        </w:rPr>
        <w:t>Oxford Journal of Archaeology</w:t>
      </w:r>
      <w:r>
        <w:rPr>
          <w:rFonts w:eastAsia="Helvetica" w:hAnsi="Helvetica" w:cs="Helvetica"/>
          <w:i/>
          <w:color w:val="3A3A3A"/>
          <w:sz w:val="28"/>
          <w:szCs w:val="28"/>
          <w:shd w:val="clear" w:color="auto" w:fill="FFFFFF"/>
        </w:rPr>
        <w:t>,</w:t>
      </w:r>
      <w:r>
        <w:rPr>
          <w:rFonts w:eastAsia="Helvetica" w:hAnsi="Helvetica" w:cs="Helvetica"/>
          <w:color w:val="3A3A3A"/>
          <w:sz w:val="28"/>
          <w:szCs w:val="28"/>
          <w:shd w:val="clear" w:color="auto" w:fill="FFFFFF"/>
        </w:rPr>
        <w:t> </w:t>
      </w:r>
      <w:r>
        <w:rPr>
          <w:rFonts w:eastAsia="Helvetica" w:hAnsi="Helvetica" w:cs="Helvetica"/>
          <w:i/>
          <w:color w:val="3A3A3A"/>
          <w:sz w:val="28"/>
          <w:szCs w:val="28"/>
          <w:shd w:val="clear" w:color="auto" w:fill="FFFFFF"/>
        </w:rPr>
        <w:t>31</w:t>
      </w:r>
      <w:r>
        <w:rPr>
          <w:rFonts w:eastAsia="Helvetica" w:hAnsi="Helvetica" w:cs="Helvetica"/>
          <w:color w:val="3A3A3A"/>
          <w:sz w:val="28"/>
          <w:szCs w:val="28"/>
          <w:shd w:val="clear" w:color="auto" w:fill="FFFFFF"/>
        </w:rPr>
        <w:t>(2), 161-189.</w:t>
      </w:r>
    </w:p>
    <w:p w14:paraId="7750835C" w14:textId="77777777" w:rsidR="00D11124" w:rsidRDefault="001D42B4">
      <w:pPr>
        <w:numPr>
          <w:ilvl w:val="0"/>
          <w:numId w:val="1"/>
        </w:numPr>
        <w:rPr>
          <w:rFonts w:eastAsia="Segoe UI" w:hAnsi="Segoe UI" w:cs="Segoe UI"/>
          <w:sz w:val="28"/>
          <w:szCs w:val="28"/>
          <w:shd w:val="clear" w:color="auto" w:fill="FFFFFF"/>
          <w:lang w:val="en-GB"/>
        </w:rPr>
      </w:pPr>
      <w:r>
        <w:rPr>
          <w:rFonts w:eastAsia="Helvetica" w:hAnsi="Helvetica" w:cs="Helvetica"/>
          <w:color w:val="3A3A3A"/>
          <w:sz w:val="28"/>
          <w:szCs w:val="28"/>
          <w:shd w:val="clear" w:color="auto" w:fill="FFFFFF"/>
          <w:lang w:val="en-GB"/>
        </w:rPr>
        <w:t xml:space="preserve">John Dent. (1984), </w:t>
      </w:r>
      <w:r>
        <w:rPr>
          <w:rFonts w:eastAsia="Helvetica" w:hAnsi="Helvetica" w:cs="Helvetica"/>
          <w:i/>
          <w:iCs/>
          <w:color w:val="3A3A3A"/>
          <w:sz w:val="28"/>
          <w:szCs w:val="28"/>
          <w:shd w:val="clear" w:color="auto" w:fill="FFFFFF"/>
          <w:lang w:val="en-GB"/>
        </w:rPr>
        <w:t>An Iron age Cemetery on the Yorkshire Wold</w:t>
      </w:r>
      <w:r>
        <w:rPr>
          <w:rFonts w:eastAsia="Helvetica" w:hAnsi="Helvetica" w:cs="Helvetica"/>
          <w:color w:val="3A3A3A"/>
          <w:sz w:val="28"/>
          <w:szCs w:val="28"/>
          <w:shd w:val="clear" w:color="auto" w:fill="FFFFFF"/>
          <w:lang w:val="en-GB"/>
        </w:rPr>
        <w:t>, University of Sheffield.</w:t>
      </w:r>
    </w:p>
    <w:p w14:paraId="66CC523C" w14:textId="77777777" w:rsidR="00D11124" w:rsidRDefault="001D42B4">
      <w:pPr>
        <w:numPr>
          <w:ilvl w:val="0"/>
          <w:numId w:val="1"/>
        </w:numPr>
        <w:rPr>
          <w:rFonts w:eastAsia="Helvetica" w:hAnsi="Helvetica" w:cs="Helvetica"/>
          <w:color w:val="3A3A3A"/>
          <w:sz w:val="28"/>
          <w:szCs w:val="28"/>
          <w:shd w:val="clear" w:color="auto" w:fill="FFFFFF"/>
          <w:lang w:val="en-GB"/>
        </w:rPr>
      </w:pPr>
      <w:r>
        <w:rPr>
          <w:rFonts w:eastAsia="Helvetica" w:hAnsi="Helvetica" w:cs="Helvetica"/>
          <w:color w:val="3A3A3A"/>
          <w:sz w:val="28"/>
          <w:szCs w:val="28"/>
          <w:shd w:val="clear" w:color="auto" w:fill="FFFFFF"/>
          <w:lang w:val="en-GB"/>
        </w:rPr>
        <w:t xml:space="preserve">Peter </w:t>
      </w:r>
      <w:proofErr w:type="spellStart"/>
      <w:r>
        <w:rPr>
          <w:rFonts w:eastAsia="Helvetica" w:hAnsi="Helvetica" w:cs="Helvetica"/>
          <w:color w:val="3A3A3A"/>
          <w:sz w:val="28"/>
          <w:szCs w:val="28"/>
          <w:shd w:val="clear" w:color="auto" w:fill="FFFFFF"/>
          <w:lang w:val="en-GB"/>
        </w:rPr>
        <w:t>Halkon</w:t>
      </w:r>
      <w:proofErr w:type="spellEnd"/>
      <w:r>
        <w:rPr>
          <w:rFonts w:eastAsia="Helvetica" w:hAnsi="Helvetica" w:cs="Helvetica"/>
          <w:color w:val="3A3A3A"/>
          <w:sz w:val="28"/>
          <w:szCs w:val="28"/>
          <w:shd w:val="clear" w:color="auto" w:fill="FFFFFF"/>
          <w:lang w:val="en-GB"/>
        </w:rPr>
        <w:t xml:space="preserve">. (2013), </w:t>
      </w:r>
      <w:r>
        <w:rPr>
          <w:rFonts w:eastAsia="Helvetica" w:hAnsi="Helvetica" w:cs="Helvetica"/>
          <w:i/>
          <w:iCs/>
          <w:color w:val="3A3A3A"/>
          <w:sz w:val="28"/>
          <w:szCs w:val="28"/>
          <w:shd w:val="clear" w:color="auto" w:fill="FFFFFF"/>
          <w:lang w:val="en-GB"/>
        </w:rPr>
        <w:t xml:space="preserve">The </w:t>
      </w:r>
      <w:proofErr w:type="spellStart"/>
      <w:r>
        <w:rPr>
          <w:rFonts w:eastAsia="Helvetica" w:hAnsi="Helvetica" w:cs="Helvetica"/>
          <w:i/>
          <w:iCs/>
          <w:color w:val="3A3A3A"/>
          <w:sz w:val="28"/>
          <w:szCs w:val="28"/>
          <w:shd w:val="clear" w:color="auto" w:fill="FFFFFF"/>
          <w:lang w:val="en-GB"/>
        </w:rPr>
        <w:t>Parisi</w:t>
      </w:r>
      <w:proofErr w:type="spellEnd"/>
      <w:r>
        <w:rPr>
          <w:rFonts w:eastAsia="Helvetica" w:hAnsi="Helvetica" w:cs="Helvetica"/>
          <w:i/>
          <w:iCs/>
          <w:color w:val="3A3A3A"/>
          <w:sz w:val="28"/>
          <w:szCs w:val="28"/>
          <w:shd w:val="clear" w:color="auto" w:fill="FFFFFF"/>
          <w:lang w:val="en-GB"/>
        </w:rPr>
        <w:t xml:space="preserve"> Britons and Romans in Eastern Yorkshire, </w:t>
      </w:r>
      <w:r>
        <w:rPr>
          <w:rFonts w:eastAsia="Helvetica" w:hAnsi="Helvetica" w:cs="Helvetica"/>
          <w:color w:val="3A3A3A"/>
          <w:sz w:val="28"/>
          <w:szCs w:val="28"/>
          <w:shd w:val="clear" w:color="auto" w:fill="FFFFFF"/>
          <w:lang w:val="en-GB"/>
        </w:rPr>
        <w:t xml:space="preserve">The Mill, </w:t>
      </w:r>
      <w:proofErr w:type="spellStart"/>
      <w:r>
        <w:rPr>
          <w:rFonts w:eastAsia="Helvetica" w:hAnsi="Helvetica" w:cs="Helvetica"/>
          <w:color w:val="3A3A3A"/>
          <w:sz w:val="28"/>
          <w:szCs w:val="28"/>
          <w:shd w:val="clear" w:color="auto" w:fill="FFFFFF"/>
          <w:lang w:val="en-GB"/>
        </w:rPr>
        <w:t>Brimscombe</w:t>
      </w:r>
      <w:proofErr w:type="spellEnd"/>
      <w:r>
        <w:rPr>
          <w:rFonts w:eastAsia="Helvetica" w:hAnsi="Helvetica" w:cs="Helvetica"/>
          <w:color w:val="3A3A3A"/>
          <w:sz w:val="28"/>
          <w:szCs w:val="28"/>
          <w:shd w:val="clear" w:color="auto" w:fill="FFFFFF"/>
          <w:lang w:val="en-GB"/>
        </w:rPr>
        <w:t xml:space="preserve"> Port, The History Press.</w:t>
      </w:r>
    </w:p>
    <w:p w14:paraId="477BC4B4" w14:textId="77777777" w:rsidR="00D11124" w:rsidRDefault="00D11124">
      <w:pPr>
        <w:rPr>
          <w:rFonts w:eastAsia="Segoe UI" w:hAnsi="Segoe UI" w:cs="Segoe UI"/>
          <w:sz w:val="28"/>
          <w:szCs w:val="28"/>
          <w:shd w:val="clear" w:color="auto" w:fill="FFFFFF"/>
          <w:lang w:val="en-GB"/>
        </w:rPr>
      </w:pPr>
    </w:p>
    <w:p w14:paraId="7235FF5C" w14:textId="77777777" w:rsidR="00D11124" w:rsidRDefault="00D11124">
      <w:pPr>
        <w:rPr>
          <w:rFonts w:eastAsia="Segoe UI" w:hAnsi="Segoe UI" w:cs="Segoe UI"/>
          <w:sz w:val="28"/>
          <w:szCs w:val="28"/>
          <w:shd w:val="clear" w:color="auto" w:fill="FFFFFF"/>
          <w:lang w:val="en-GB"/>
        </w:rPr>
      </w:pPr>
    </w:p>
    <w:sectPr w:rsidR="00D11124">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24D9A6" w14:textId="77777777" w:rsidR="00000000" w:rsidRDefault="001D42B4">
      <w:pPr>
        <w:spacing w:after="0" w:line="240" w:lineRule="auto"/>
      </w:pPr>
      <w:r>
        <w:separator/>
      </w:r>
    </w:p>
  </w:endnote>
  <w:endnote w:type="continuationSeparator" w:id="0">
    <w:p w14:paraId="7412504C" w14:textId="77777777" w:rsidR="00000000" w:rsidRDefault="001D42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9261B0" w14:textId="77777777" w:rsidR="00000000" w:rsidRDefault="001D42B4">
      <w:pPr>
        <w:spacing w:after="0" w:line="240" w:lineRule="auto"/>
      </w:pPr>
      <w:r>
        <w:separator/>
      </w:r>
    </w:p>
  </w:footnote>
  <w:footnote w:type="continuationSeparator" w:id="0">
    <w:p w14:paraId="26387256" w14:textId="77777777" w:rsidR="00000000" w:rsidRDefault="001D42B4">
      <w:pPr>
        <w:spacing w:after="0" w:line="240" w:lineRule="auto"/>
      </w:pPr>
      <w:r>
        <w:continuationSeparator/>
      </w:r>
    </w:p>
  </w:footnote>
  <w:footnote w:id="1">
    <w:p w14:paraId="7D4AF777" w14:textId="77777777" w:rsidR="00D11124" w:rsidRPr="001D42B4" w:rsidRDefault="001D42B4">
      <w:pPr>
        <w:pStyle w:val="FootnoteText"/>
        <w:rPr>
          <w:lang w:val="da-DK"/>
        </w:rPr>
      </w:pPr>
      <w:r>
        <w:rPr>
          <w:rStyle w:val="FootnoteReference"/>
        </w:rPr>
        <w:footnoteRef/>
      </w:r>
      <w:r w:rsidRPr="001D42B4">
        <w:rPr>
          <w:lang w:val="da-DK"/>
        </w:rPr>
        <w:t xml:space="preserve"> </w:t>
      </w:r>
      <w:r w:rsidRPr="001D42B4">
        <w:rPr>
          <w:lang w:val="da-DK"/>
        </w:rPr>
        <w:t>Jay et al. 2012, p161</w:t>
      </w:r>
    </w:p>
  </w:footnote>
  <w:footnote w:id="2">
    <w:p w14:paraId="40047948" w14:textId="77777777" w:rsidR="00D11124" w:rsidRPr="001D42B4" w:rsidRDefault="001D42B4">
      <w:pPr>
        <w:pStyle w:val="FootnoteText"/>
        <w:rPr>
          <w:lang w:val="da-DK"/>
        </w:rPr>
      </w:pPr>
      <w:r>
        <w:rPr>
          <w:rStyle w:val="FootnoteReference"/>
        </w:rPr>
        <w:footnoteRef/>
      </w:r>
      <w:r w:rsidRPr="001D42B4">
        <w:rPr>
          <w:lang w:val="da-DK"/>
        </w:rPr>
        <w:t xml:space="preserve"> </w:t>
      </w:r>
      <w:r w:rsidRPr="001D42B4">
        <w:rPr>
          <w:lang w:val="da-DK"/>
        </w:rPr>
        <w:t xml:space="preserve">Dent, J. 1984, </w:t>
      </w:r>
      <w:r w:rsidRPr="001D42B4">
        <w:rPr>
          <w:lang w:val="da-DK"/>
        </w:rPr>
        <w:t>p24</w:t>
      </w:r>
    </w:p>
  </w:footnote>
  <w:footnote w:id="3">
    <w:p w14:paraId="06AD8C1D" w14:textId="77777777" w:rsidR="00D11124" w:rsidRPr="001D42B4" w:rsidRDefault="001D42B4">
      <w:pPr>
        <w:pStyle w:val="FootnoteText"/>
        <w:rPr>
          <w:lang w:val="da-DK"/>
        </w:rPr>
      </w:pPr>
      <w:r>
        <w:rPr>
          <w:rStyle w:val="FootnoteReference"/>
        </w:rPr>
        <w:footnoteRef/>
      </w:r>
      <w:r w:rsidRPr="001D42B4">
        <w:rPr>
          <w:lang w:val="da-DK"/>
        </w:rPr>
        <w:t xml:space="preserve"> </w:t>
      </w:r>
      <w:r w:rsidRPr="001D42B4">
        <w:rPr>
          <w:lang w:val="da-DK"/>
        </w:rPr>
        <w:t>Dent,J. 1984, p94</w:t>
      </w:r>
    </w:p>
  </w:footnote>
  <w:footnote w:id="4">
    <w:p w14:paraId="4AE4D68D" w14:textId="77777777" w:rsidR="00D11124" w:rsidRPr="001D42B4" w:rsidRDefault="001D42B4">
      <w:pPr>
        <w:pStyle w:val="FootnoteText"/>
        <w:rPr>
          <w:lang w:val="da-DK"/>
        </w:rPr>
      </w:pPr>
      <w:r>
        <w:rPr>
          <w:rStyle w:val="FootnoteReference"/>
        </w:rPr>
        <w:footnoteRef/>
      </w:r>
      <w:r w:rsidRPr="001D42B4">
        <w:rPr>
          <w:lang w:val="da-DK"/>
        </w:rPr>
        <w:t xml:space="preserve"> </w:t>
      </w:r>
      <w:r w:rsidRPr="001D42B4">
        <w:rPr>
          <w:lang w:val="da-DK"/>
        </w:rPr>
        <w:t>Dent,J.1984,p97</w:t>
      </w:r>
    </w:p>
  </w:footnote>
  <w:footnote w:id="5">
    <w:p w14:paraId="4807CAE5" w14:textId="77777777" w:rsidR="00D11124" w:rsidRPr="001D42B4" w:rsidRDefault="001D42B4">
      <w:pPr>
        <w:pStyle w:val="FootnoteText"/>
        <w:rPr>
          <w:lang w:val="da-DK"/>
        </w:rPr>
      </w:pPr>
      <w:r>
        <w:rPr>
          <w:rStyle w:val="FootnoteReference"/>
        </w:rPr>
        <w:footnoteRef/>
      </w:r>
      <w:r w:rsidRPr="001D42B4">
        <w:rPr>
          <w:lang w:val="da-DK"/>
        </w:rPr>
        <w:t xml:space="preserve"> </w:t>
      </w:r>
      <w:r w:rsidRPr="001D42B4">
        <w:rPr>
          <w:lang w:val="da-DK"/>
        </w:rPr>
        <w:t>Dent,J. 1984, p95</w:t>
      </w:r>
    </w:p>
  </w:footnote>
  <w:footnote w:id="6">
    <w:p w14:paraId="6DFF8DB4" w14:textId="77777777" w:rsidR="00D11124" w:rsidRPr="001D42B4" w:rsidRDefault="001D42B4">
      <w:pPr>
        <w:pStyle w:val="FootnoteText"/>
        <w:rPr>
          <w:lang w:val="da-DK"/>
        </w:rPr>
      </w:pPr>
      <w:r>
        <w:rPr>
          <w:rStyle w:val="FootnoteReference"/>
        </w:rPr>
        <w:footnoteRef/>
      </w:r>
      <w:r w:rsidRPr="001D42B4">
        <w:rPr>
          <w:lang w:val="da-DK"/>
        </w:rPr>
        <w:t xml:space="preserve"> </w:t>
      </w:r>
      <w:r w:rsidRPr="001D42B4">
        <w:rPr>
          <w:lang w:val="da-DK"/>
        </w:rPr>
        <w:t>Dent,J.1984, p98</w:t>
      </w:r>
    </w:p>
  </w:footnote>
  <w:footnote w:id="7">
    <w:p w14:paraId="7FEC1C69" w14:textId="77777777" w:rsidR="00D11124" w:rsidRPr="001D42B4" w:rsidRDefault="001D42B4">
      <w:pPr>
        <w:pStyle w:val="FootnoteText"/>
        <w:rPr>
          <w:lang w:val="da-DK"/>
        </w:rPr>
      </w:pPr>
      <w:r>
        <w:rPr>
          <w:rStyle w:val="FootnoteReference"/>
        </w:rPr>
        <w:footnoteRef/>
      </w:r>
      <w:r w:rsidRPr="001D42B4">
        <w:rPr>
          <w:lang w:val="da-DK"/>
        </w:rPr>
        <w:t xml:space="preserve"> </w:t>
      </w:r>
      <w:r w:rsidRPr="001D42B4">
        <w:rPr>
          <w:lang w:val="da-DK"/>
        </w:rPr>
        <w:t>Halkon,P.2013,p82</w:t>
      </w:r>
    </w:p>
  </w:footnote>
  <w:footnote w:id="8">
    <w:p w14:paraId="200AE940" w14:textId="77777777" w:rsidR="00D11124" w:rsidRPr="001D42B4" w:rsidRDefault="001D42B4">
      <w:pPr>
        <w:pStyle w:val="FootnoteText"/>
        <w:rPr>
          <w:lang w:val="da-DK"/>
        </w:rPr>
      </w:pPr>
      <w:r>
        <w:rPr>
          <w:rStyle w:val="FootnoteReference"/>
        </w:rPr>
        <w:footnoteRef/>
      </w:r>
      <w:r w:rsidRPr="001D42B4">
        <w:rPr>
          <w:lang w:val="da-DK"/>
        </w:rPr>
        <w:t xml:space="preserve"> </w:t>
      </w:r>
      <w:r w:rsidRPr="001D42B4">
        <w:rPr>
          <w:lang w:val="da-DK"/>
        </w:rPr>
        <w:t>Halkon,P.2013.p82</w:t>
      </w:r>
    </w:p>
  </w:footnote>
  <w:footnote w:id="9">
    <w:p w14:paraId="5DA2EE87" w14:textId="77777777" w:rsidR="00D11124" w:rsidRPr="001D42B4" w:rsidRDefault="001D42B4">
      <w:pPr>
        <w:pStyle w:val="FootnoteText"/>
        <w:rPr>
          <w:lang w:val="da-DK"/>
        </w:rPr>
      </w:pPr>
      <w:r>
        <w:rPr>
          <w:rStyle w:val="FootnoteReference"/>
        </w:rPr>
        <w:footnoteRef/>
      </w:r>
      <w:r w:rsidRPr="001D42B4">
        <w:rPr>
          <w:lang w:val="da-DK"/>
        </w:rPr>
        <w:t xml:space="preserve"> </w:t>
      </w:r>
      <w:r w:rsidRPr="001D42B4">
        <w:rPr>
          <w:lang w:val="da-DK"/>
        </w:rPr>
        <w:t>Halkon,P.2013,p82</w:t>
      </w:r>
    </w:p>
  </w:footnote>
  <w:footnote w:id="10">
    <w:p w14:paraId="4EA58650" w14:textId="77777777" w:rsidR="00D11124" w:rsidRPr="001D42B4" w:rsidRDefault="001D42B4">
      <w:pPr>
        <w:pStyle w:val="FootnoteText"/>
        <w:rPr>
          <w:lang w:val="da-DK"/>
        </w:rPr>
      </w:pPr>
      <w:r>
        <w:rPr>
          <w:rStyle w:val="FootnoteReference"/>
        </w:rPr>
        <w:footnoteRef/>
      </w:r>
      <w:r w:rsidRPr="001D42B4">
        <w:rPr>
          <w:lang w:val="da-DK"/>
        </w:rPr>
        <w:t xml:space="preserve"> </w:t>
      </w:r>
      <w:r w:rsidRPr="001D42B4">
        <w:rPr>
          <w:lang w:val="da-DK"/>
        </w:rPr>
        <w:t>Halkon,P.2013,p82</w:t>
      </w:r>
    </w:p>
  </w:footnote>
  <w:footnote w:id="11">
    <w:p w14:paraId="3F1E79AA" w14:textId="77777777" w:rsidR="00D11124" w:rsidRPr="001D42B4" w:rsidRDefault="001D42B4">
      <w:pPr>
        <w:pStyle w:val="FootnoteText"/>
        <w:rPr>
          <w:lang w:val="da-DK"/>
        </w:rPr>
      </w:pPr>
      <w:r>
        <w:rPr>
          <w:rStyle w:val="FootnoteReference"/>
        </w:rPr>
        <w:footnoteRef/>
      </w:r>
      <w:r w:rsidRPr="001D42B4">
        <w:rPr>
          <w:lang w:val="da-DK"/>
        </w:rPr>
        <w:t xml:space="preserve"> </w:t>
      </w:r>
      <w:r w:rsidRPr="001D42B4">
        <w:rPr>
          <w:lang w:val="da-DK"/>
        </w:rPr>
        <w:t>Ray et al, 2012, p170</w:t>
      </w:r>
    </w:p>
  </w:footnote>
  <w:footnote w:id="12">
    <w:p w14:paraId="0F2E36FE" w14:textId="77777777" w:rsidR="00D11124" w:rsidRPr="001D42B4" w:rsidRDefault="001D42B4">
      <w:pPr>
        <w:pStyle w:val="FootnoteText"/>
        <w:rPr>
          <w:lang w:val="da-DK"/>
        </w:rPr>
      </w:pPr>
      <w:r>
        <w:rPr>
          <w:rStyle w:val="FootnoteReference"/>
        </w:rPr>
        <w:footnoteRef/>
      </w:r>
      <w:r w:rsidRPr="001D42B4">
        <w:rPr>
          <w:lang w:val="da-DK"/>
        </w:rPr>
        <w:t xml:space="preserve"> </w:t>
      </w:r>
      <w:r w:rsidRPr="001D42B4">
        <w:rPr>
          <w:lang w:val="da-DK"/>
        </w:rPr>
        <w:t>Ray et al,2012,p170</w:t>
      </w:r>
    </w:p>
  </w:footnote>
  <w:footnote w:id="13">
    <w:p w14:paraId="7B0065A4" w14:textId="77777777" w:rsidR="00D11124" w:rsidRPr="001D42B4" w:rsidRDefault="001D42B4">
      <w:pPr>
        <w:pStyle w:val="FootnoteText"/>
        <w:rPr>
          <w:lang w:val="da-DK"/>
        </w:rPr>
      </w:pPr>
      <w:r>
        <w:rPr>
          <w:rStyle w:val="FootnoteReference"/>
        </w:rPr>
        <w:footnoteRef/>
      </w:r>
      <w:r w:rsidRPr="001D42B4">
        <w:rPr>
          <w:lang w:val="da-DK"/>
        </w:rPr>
        <w:t xml:space="preserve"> </w:t>
      </w:r>
      <w:r w:rsidRPr="001D42B4">
        <w:rPr>
          <w:lang w:val="da-DK"/>
        </w:rPr>
        <w:t>Ray et al,2012,p164</w:t>
      </w:r>
    </w:p>
  </w:footnote>
  <w:footnote w:id="14">
    <w:p w14:paraId="59484DB2" w14:textId="77777777" w:rsidR="00D11124" w:rsidRDefault="001D42B4">
      <w:pPr>
        <w:pStyle w:val="FootnoteText"/>
        <w:rPr>
          <w:lang w:val="en-GB"/>
        </w:rPr>
      </w:pPr>
      <w:r>
        <w:rPr>
          <w:rStyle w:val="FootnoteReference"/>
        </w:rPr>
        <w:footnoteRef/>
      </w:r>
      <w:r>
        <w:t xml:space="preserve"> </w:t>
      </w:r>
      <w:r>
        <w:rPr>
          <w:lang w:val="en-GB"/>
        </w:rPr>
        <w:t xml:space="preserve">Ray et </w:t>
      </w:r>
      <w:r>
        <w:rPr>
          <w:lang w:val="en-GB"/>
        </w:rPr>
        <w:t>ak,2010,p164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7591FD"/>
    <w:multiLevelType w:val="singleLevel"/>
    <w:tmpl w:val="277591FD"/>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7C83F2E"/>
    <w:rsid w:val="000E1E21"/>
    <w:rsid w:val="001D42B4"/>
    <w:rsid w:val="00D11124"/>
    <w:rsid w:val="045664A7"/>
    <w:rsid w:val="13604FAF"/>
    <w:rsid w:val="27C83F2E"/>
    <w:rsid w:val="359A350C"/>
    <w:rsid w:val="35FC3F97"/>
    <w:rsid w:val="373927FE"/>
    <w:rsid w:val="405B5406"/>
    <w:rsid w:val="464E1162"/>
    <w:rsid w:val="46655ECC"/>
    <w:rsid w:val="571E1C91"/>
    <w:rsid w:val="576C2585"/>
    <w:rsid w:val="5D4B48AF"/>
    <w:rsid w:val="619764ED"/>
    <w:rsid w:val="67D834A9"/>
    <w:rsid w:val="6A362984"/>
    <w:rsid w:val="6C7851C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30EF6C"/>
  <w15:docId w15:val="{6E01538F-FF86-4ADD-914D-9FC13C13F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zh-CN" w:bidi="ar-SA"/>
      </w:rPr>
    </w:rPrDefault>
    <w:pPrDefault>
      <w:pPr>
        <w:spacing w:after="160" w:line="259"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Theme="minorHAnsi" w:eastAsiaTheme="minorEastAsia" w:hAnsiTheme="minorHAnsi" w:cstheme="min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pPr>
      <w:snapToGrid w:val="0"/>
    </w:pPr>
    <w:rPr>
      <w:sz w:val="18"/>
      <w:szCs w:val="18"/>
    </w:rPr>
  </w:style>
  <w:style w:type="character" w:styleId="FootnoteReference">
    <w:name w:val="footnote reference"/>
    <w:basedOn w:val="DefaultParagraphFont"/>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1318</Words>
  <Characters>6121</Characters>
  <Application>Microsoft Office Word</Application>
  <DocSecurity>0</DocSecurity>
  <Lines>136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Nicholas</dc:creator>
  <cp:lastModifiedBy>Ralph Haeussler</cp:lastModifiedBy>
  <cp:revision>3</cp:revision>
  <dcterms:created xsi:type="dcterms:W3CDTF">2019-01-27T22:13:00Z</dcterms:created>
  <dcterms:modified xsi:type="dcterms:W3CDTF">2019-01-27T22:14:00Z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2057-10.2.0.7587</vt:lpwstr>
  </property>
</Properties>
</file>