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2A13432" w14:textId="77777777" w:rsidR="00185267" w:rsidRPr="00185267" w:rsidRDefault="00185267" w:rsidP="00185267">
      <w:pPr>
        <w:spacing w:after="0" w:line="360" w:lineRule="atLeast"/>
        <w:rPr>
          <w:rFonts w:ascii="Times New Roman" w:eastAsia="Times New Roman" w:hAnsi="Times New Roman" w:cs="Times New Roman"/>
          <w:kern w:val="0"/>
          <w14:ligatures w14:val="none"/>
        </w:rPr>
      </w:pPr>
      <w:r w:rsidRPr="00185267">
        <w:rPr>
          <w:rFonts w:ascii="Times New Roman" w:eastAsia="Times New Roman" w:hAnsi="Times New Roman" w:cs="Times New Roman"/>
          <w:noProof/>
          <w:kern w:val="0"/>
          <w14:ligatures w14:val="none"/>
        </w:rPr>
        <mc:AlternateContent>
          <mc:Choice Requires="wps">
            <w:drawing>
              <wp:inline distT="0" distB="0" distL="0" distR="0" wp14:anchorId="68470732" wp14:editId="07EBF118">
                <wp:extent cx="5731510" cy="1270"/>
                <wp:effectExtent l="0" t="31750" r="0" b="36830"/>
                <wp:docPr id="394747231"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solidFill>
                          <a:srgbClr val="1F232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A8BD3C5"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" fillcolor="#1f2329" stroked="f">
                <w10:anchorlock/>
              </v:rect>
            </w:pict>
          </mc:Fallback>
        </mc:AlternateContent>
      </w:r>
    </w:p>
    <w:p w14:paraId="0D5C4EAA" w14:textId="77777777" w:rsidR="00185267" w:rsidRPr="00185267" w:rsidRDefault="00185267" w:rsidP="00185267">
      <w:pPr>
        <w:spacing w:after="0" w:line="360" w:lineRule="atLeast"/>
        <w:outlineLvl w:val="0"/>
        <w:rPr>
          <w:rFonts w:ascii="Times New Roman" w:eastAsia="Times New Roman" w:hAnsi="Times New Roman" w:cs="Times New Roman"/>
          <w:color w:val="1F2329"/>
          <w:kern w:val="36"/>
          <w14:ligatures w14:val="none"/>
        </w:rPr>
      </w:pPr>
      <w:r w:rsidRPr="00185267">
        <w:rPr>
          <w:rFonts w:ascii="Times New Roman" w:eastAsia="Times New Roman" w:hAnsi="Times New Roman" w:cs="Times New Roman"/>
          <w:color w:val="1F2329"/>
          <w:kern w:val="36"/>
          <w14:ligatures w14:val="none"/>
        </w:rPr>
        <w:t>REPORT: ANXIETY</w:t>
      </w:r>
    </w:p>
    <w:p w14:paraId="294283D6"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Name: Nasreen Gulzar</w:t>
      </w:r>
    </w:p>
    <w:p w14:paraId="77C8656E"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Student ID: 2535473</w:t>
      </w:r>
    </w:p>
    <w:p w14:paraId="5DE8321B"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Course: HSE Level 4</w:t>
      </w:r>
    </w:p>
    <w:p w14:paraId="2FD72D78"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Word Count: 1,500</w:t>
      </w:r>
    </w:p>
    <w:p w14:paraId="6CF83181"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Font: Arial, Size 11</w:t>
      </w:r>
    </w:p>
    <w:p w14:paraId="089004B3" w14:textId="77777777" w:rsidR="00185267" w:rsidRPr="00185267" w:rsidRDefault="00185267" w:rsidP="00185267">
      <w:pPr>
        <w:spacing w:after="0" w:line="360" w:lineRule="atLeast"/>
        <w:rPr>
          <w:rFonts w:ascii="Times New Roman" w:eastAsia="Times New Roman" w:hAnsi="Times New Roman" w:cs="Times New Roman"/>
          <w:kern w:val="0"/>
          <w14:ligatures w14:val="none"/>
        </w:rPr>
      </w:pPr>
      <w:r w:rsidRPr="00185267">
        <w:rPr>
          <w:rFonts w:ascii="Times New Roman" w:eastAsia="Times New Roman" w:hAnsi="Times New Roman" w:cs="Times New Roman"/>
          <w:noProof/>
          <w:kern w:val="0"/>
          <w14:ligatures w14:val="none"/>
        </w:rPr>
        <mc:AlternateContent>
          <mc:Choice Requires="wps">
            <w:drawing>
              <wp:inline distT="0" distB="0" distL="0" distR="0" wp14:anchorId="018CD6BA" wp14:editId="1316491B">
                <wp:extent cx="5731510" cy="1270"/>
                <wp:effectExtent l="0" t="31750" r="0" b="36830"/>
                <wp:docPr id="187310763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solidFill>
                          <a:srgbClr val="1F232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1A9657E"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" fillcolor="#1f2329" stroked="f">
                <w10:anchorlock/>
              </v:rect>
            </w:pict>
          </mc:Fallback>
        </mc:AlternateContent>
      </w:r>
    </w:p>
    <w:p w14:paraId="1810EA9F" w14:textId="77777777" w:rsidR="00185267" w:rsidRPr="00185267" w:rsidRDefault="00185267" w:rsidP="00185267">
      <w:pPr>
        <w:spacing w:after="0" w:line="360" w:lineRule="atLeast"/>
        <w:outlineLvl w:val="1"/>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1.0 INTRODUCTION — 150 words</w:t>
      </w:r>
    </w:p>
    <w:p w14:paraId="5C0593F3"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Anxiety is a natural human response to stress, but when it becomes persistent, excessive, or disproportionate to actual risk, it develops into a clinical mental health condition. Anxiety disorders include generalised anxiety disorder (GAD), panic disorder, social anxiety disorder, and specific phobias — each with distinct features but all causing significant distress and impairment. Unlike temporary worry, clinical anxiety is enduring; key signs and symptoms include persistent nervousness, restlessness, rapid heartbeat, shortness of breath, difficulty concentrating, sleep disturbance, muscle tension, and avoidance of people, places, or situations. Physical symptoms are often mistaken for illness, delaying correct diagnosis and support.</w:t>
      </w:r>
    </w:p>
    <w:p w14:paraId="5D09C856"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Globally, anxiety disorders affect approximately 301 million people — around 4% of the world’s population — making them the most common group of mental health conditions, with rates rising notably since 2020. In the UK, around 8 in 100 adults report generalised anxiety symptoms; over 1 in 4 people will experience an anxiety disorder at some point in their life, with higher prevalence among women, young adults, and those facing poverty or social isolation. This report examines screening, management, impacts, and community support services for anxiety.</w:t>
      </w:r>
    </w:p>
    <w:p w14:paraId="5B577D22" w14:textId="77777777" w:rsidR="00185267" w:rsidRPr="00185267" w:rsidRDefault="00185267" w:rsidP="00185267">
      <w:pPr>
        <w:spacing w:after="0" w:line="360" w:lineRule="atLeast"/>
        <w:rPr>
          <w:rFonts w:ascii="Times New Roman" w:eastAsia="Times New Roman" w:hAnsi="Times New Roman" w:cs="Times New Roman"/>
          <w:kern w:val="0"/>
          <w14:ligatures w14:val="none"/>
        </w:rPr>
      </w:pPr>
      <w:r w:rsidRPr="00185267">
        <w:rPr>
          <w:rFonts w:ascii="Times New Roman" w:eastAsia="Times New Roman" w:hAnsi="Times New Roman" w:cs="Times New Roman"/>
          <w:noProof/>
          <w:kern w:val="0"/>
          <w14:ligatures w14:val="none"/>
        </w:rPr>
        <mc:AlternateContent>
          <mc:Choice Requires="wps">
            <w:drawing>
              <wp:inline distT="0" distB="0" distL="0" distR="0" wp14:anchorId="58FF58BD" wp14:editId="56FC3E63">
                <wp:extent cx="5731510" cy="1270"/>
                <wp:effectExtent l="0" t="31750" r="0" b="36830"/>
                <wp:docPr id="914807747"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solidFill>
                          <a:srgbClr val="1F232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31E35D9"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" fillcolor="#1f2329" stroked="f">
                <w10:anchorlock/>
              </v:rect>
            </w:pict>
          </mc:Fallback>
        </mc:AlternateContent>
      </w:r>
    </w:p>
    <w:p w14:paraId="46685EC9" w14:textId="77777777" w:rsidR="00185267" w:rsidRPr="00185267" w:rsidRDefault="00185267" w:rsidP="00185267">
      <w:pPr>
        <w:spacing w:after="0" w:line="360" w:lineRule="atLeast"/>
        <w:outlineLvl w:val="1"/>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2.0 MAIN SECTION — 1,200 words</w:t>
      </w:r>
    </w:p>
    <w:p w14:paraId="2D093244" w14:textId="77777777" w:rsidR="00185267" w:rsidRPr="00185267" w:rsidRDefault="00185267" w:rsidP="00185267">
      <w:pPr>
        <w:spacing w:after="0" w:line="360" w:lineRule="atLeast"/>
        <w:outlineLvl w:val="2"/>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2.1 Screening and Monitoring Approaches</w:t>
      </w:r>
    </w:p>
    <w:p w14:paraId="54DA2E19"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Anxiety is frequently under</w:t>
      </w:r>
      <w:r w:rsidRPr="00185267">
        <w:rPr>
          <w:rFonts w:ascii="Times New Roman" w:eastAsia="Times New Roman" w:hAnsi="Times New Roman" w:cs="Times New Roman"/>
          <w:color w:val="1F2329"/>
          <w:kern w:val="0"/>
          <w14:ligatures w14:val="none"/>
        </w:rPr>
        <w:noBreakHyphen/>
        <w:t>recognised because symptoms overlap with physical illness and stigma may prevent people from seeking help. Standardised, evidence</w:t>
      </w:r>
      <w:r w:rsidRPr="00185267">
        <w:rPr>
          <w:rFonts w:ascii="Times New Roman" w:eastAsia="Times New Roman" w:hAnsi="Times New Roman" w:cs="Times New Roman"/>
          <w:color w:val="1F2329"/>
          <w:kern w:val="0"/>
          <w14:ligatures w14:val="none"/>
        </w:rPr>
        <w:noBreakHyphen/>
        <w:t>based tools ensure consistent identification and ongoing review:</w:t>
      </w:r>
    </w:p>
    <w:p w14:paraId="5127554A"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Primary Care Screening — GPs and practice nurses are usually the first point of contact. The most widely used tool is the GAD</w:t>
      </w:r>
      <w:r w:rsidRPr="00185267">
        <w:rPr>
          <w:rFonts w:ascii="Times New Roman" w:eastAsia="Times New Roman" w:hAnsi="Times New Roman" w:cs="Times New Roman"/>
          <w:color w:val="1F2329"/>
          <w:kern w:val="0"/>
          <w14:ligatures w14:val="none"/>
        </w:rPr>
        <w:noBreakHyphen/>
        <w:t>7, a 7</w:t>
      </w:r>
      <w:r w:rsidRPr="00185267">
        <w:rPr>
          <w:rFonts w:ascii="Times New Roman" w:eastAsia="Times New Roman" w:hAnsi="Times New Roman" w:cs="Times New Roman"/>
          <w:color w:val="1F2329"/>
          <w:kern w:val="0"/>
          <w14:ligatures w14:val="none"/>
        </w:rPr>
        <w:noBreakHyphen/>
        <w:t>item questionnaire assessing worry, control, restlessness, and fear over the previous two weeks. Scores range 0–21: 8+ indicates probable anxiety, with severity graded as mild, moderate, or severe. It is quick to complete, validated for UK populations, and repeated at follow</w:t>
      </w:r>
      <w:r w:rsidRPr="00185267">
        <w:rPr>
          <w:rFonts w:ascii="Times New Roman" w:eastAsia="Times New Roman" w:hAnsi="Times New Roman" w:cs="Times New Roman"/>
          <w:color w:val="1F2329"/>
          <w:kern w:val="0"/>
          <w14:ligatures w14:val="none"/>
        </w:rPr>
        <w:noBreakHyphen/>
        <w:t>up to measure progress. The PHQ</w:t>
      </w:r>
      <w:r w:rsidRPr="00185267">
        <w:rPr>
          <w:rFonts w:ascii="Times New Roman" w:eastAsia="Times New Roman" w:hAnsi="Times New Roman" w:cs="Times New Roman"/>
          <w:color w:val="1F2329"/>
          <w:kern w:val="0"/>
          <w14:ligatures w14:val="none"/>
        </w:rPr>
        <w:noBreakHyphen/>
        <w:t>9 depression scale is often used alongside it, as anxiety and depression frequently co</w:t>
      </w:r>
      <w:r w:rsidRPr="00185267">
        <w:rPr>
          <w:rFonts w:ascii="Times New Roman" w:eastAsia="Times New Roman" w:hAnsi="Times New Roman" w:cs="Times New Roman"/>
          <w:color w:val="1F2329"/>
          <w:kern w:val="0"/>
          <w14:ligatures w14:val="none"/>
        </w:rPr>
        <w:noBreakHyphen/>
        <w:t xml:space="preserve">occur. Routine </w:t>
      </w:r>
      <w:r w:rsidRPr="00185267">
        <w:rPr>
          <w:rFonts w:ascii="Times New Roman" w:eastAsia="Times New Roman" w:hAnsi="Times New Roman" w:cs="Times New Roman"/>
          <w:color w:val="1F2329"/>
          <w:kern w:val="0"/>
          <w14:ligatures w14:val="none"/>
        </w:rPr>
        <w:lastRenderedPageBreak/>
        <w:t>enquiry in consultations — asking how someone is coping emotionally — also improves detection.</w:t>
      </w:r>
    </w:p>
    <w:p w14:paraId="6CFFDA69"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Specialist Assessment — Where symptoms are severe, persistent, or complex, referral to mental health services leads to comprehensive evaluation. Clinicians use structured interviews such as the Structured Clinical Interview for DSM</w:t>
      </w:r>
      <w:r w:rsidRPr="00185267">
        <w:rPr>
          <w:rFonts w:ascii="Times New Roman" w:eastAsia="Times New Roman" w:hAnsi="Times New Roman" w:cs="Times New Roman"/>
          <w:color w:val="1F2329"/>
          <w:kern w:val="0"/>
          <w14:ligatures w14:val="none"/>
        </w:rPr>
        <w:noBreakHyphen/>
        <w:t>5 (SCID) to confirm diagnosis and distinguish between conditions — for example, separating panic attacks from generalised anxiety or social anxiety. They also assess impact on work, relationships, and daily living, plus risk of self</w:t>
      </w:r>
      <w:r w:rsidRPr="00185267">
        <w:rPr>
          <w:rFonts w:ascii="Times New Roman" w:eastAsia="Times New Roman" w:hAnsi="Times New Roman" w:cs="Times New Roman"/>
          <w:color w:val="1F2329"/>
          <w:kern w:val="0"/>
          <w14:ligatures w14:val="none"/>
        </w:rPr>
        <w:noBreakHyphen/>
        <w:t>harm or self</w:t>
      </w:r>
      <w:r w:rsidRPr="00185267">
        <w:rPr>
          <w:rFonts w:ascii="Times New Roman" w:eastAsia="Times New Roman" w:hAnsi="Times New Roman" w:cs="Times New Roman"/>
          <w:color w:val="1F2329"/>
          <w:kern w:val="0"/>
          <w14:ligatures w14:val="none"/>
        </w:rPr>
        <w:noBreakHyphen/>
        <w:t>neglect.</w:t>
      </w:r>
    </w:p>
    <w:p w14:paraId="2E6AE8E1"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Ongoing Monitoring — Progress is tracked through repeated symptom scales, goal reviews, and regular check</w:t>
      </w:r>
      <w:r w:rsidRPr="00185267">
        <w:rPr>
          <w:rFonts w:ascii="Times New Roman" w:eastAsia="Times New Roman" w:hAnsi="Times New Roman" w:cs="Times New Roman"/>
          <w:color w:val="1F2329"/>
          <w:kern w:val="0"/>
          <w14:ligatures w14:val="none"/>
        </w:rPr>
        <w:noBreakHyphen/>
        <w:t>ins. People receiving therapy complete measures before each session; those on medication have 3</w:t>
      </w:r>
      <w:r w:rsidRPr="00185267">
        <w:rPr>
          <w:rFonts w:ascii="Times New Roman" w:eastAsia="Times New Roman" w:hAnsi="Times New Roman" w:cs="Times New Roman"/>
          <w:color w:val="1F2329"/>
          <w:kern w:val="0"/>
          <w14:ligatures w14:val="none"/>
        </w:rPr>
        <w:noBreakHyphen/>
        <w:t xml:space="preserve"> to 6</w:t>
      </w:r>
      <w:r w:rsidRPr="00185267">
        <w:rPr>
          <w:rFonts w:ascii="Times New Roman" w:eastAsia="Times New Roman" w:hAnsi="Times New Roman" w:cs="Times New Roman"/>
          <w:color w:val="1F2329"/>
          <w:kern w:val="0"/>
          <w14:ligatures w14:val="none"/>
        </w:rPr>
        <w:noBreakHyphen/>
        <w:t>month reviews to assess effectiveness, side</w:t>
      </w:r>
      <w:r w:rsidRPr="00185267">
        <w:rPr>
          <w:rFonts w:ascii="Times New Roman" w:eastAsia="Times New Roman" w:hAnsi="Times New Roman" w:cs="Times New Roman"/>
          <w:color w:val="1F2329"/>
          <w:kern w:val="0"/>
          <w14:ligatures w14:val="none"/>
        </w:rPr>
        <w:noBreakHyphen/>
        <w:t>effects, and recovery. Self</w:t>
      </w:r>
      <w:r w:rsidRPr="00185267">
        <w:rPr>
          <w:rFonts w:ascii="Times New Roman" w:eastAsia="Times New Roman" w:hAnsi="Times New Roman" w:cs="Times New Roman"/>
          <w:color w:val="1F2329"/>
          <w:kern w:val="0"/>
          <w14:ligatures w14:val="none"/>
        </w:rPr>
        <w:noBreakHyphen/>
        <w:t>monitoring tools — apps, journals, or mood diaries — help individuals recognise triggers and patterns, building awareness and control.</w:t>
      </w:r>
    </w:p>
    <w:p w14:paraId="5674C772" w14:textId="77777777" w:rsidR="00185267" w:rsidRPr="00185267" w:rsidRDefault="00185267" w:rsidP="00185267">
      <w:pPr>
        <w:spacing w:after="0" w:line="360" w:lineRule="atLeast"/>
        <w:outlineLvl w:val="2"/>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2.2 Management of Anxiety</w:t>
      </w:r>
    </w:p>
    <w:p w14:paraId="591433BC"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Management is person</w:t>
      </w:r>
      <w:r w:rsidRPr="00185267">
        <w:rPr>
          <w:rFonts w:ascii="Times New Roman" w:eastAsia="Times New Roman" w:hAnsi="Times New Roman" w:cs="Times New Roman"/>
          <w:color w:val="1F2329"/>
          <w:kern w:val="0"/>
          <w14:ligatures w14:val="none"/>
        </w:rPr>
        <w:noBreakHyphen/>
        <w:t>centred, stepped, and tailored to severity — NICE guidelines form the UK standard:</w:t>
      </w:r>
    </w:p>
    <w:p w14:paraId="77118C89"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Low</w:t>
      </w:r>
      <w:r w:rsidRPr="00185267">
        <w:rPr>
          <w:rFonts w:ascii="Times New Roman" w:eastAsia="Times New Roman" w:hAnsi="Times New Roman" w:cs="Times New Roman"/>
          <w:color w:val="1F2329"/>
          <w:kern w:val="0"/>
          <w14:ligatures w14:val="none"/>
        </w:rPr>
        <w:noBreakHyphen/>
        <w:t>Intensity Support — For mild or recent</w:t>
      </w:r>
      <w:r w:rsidRPr="00185267">
        <w:rPr>
          <w:rFonts w:ascii="Times New Roman" w:eastAsia="Times New Roman" w:hAnsi="Times New Roman" w:cs="Times New Roman"/>
          <w:color w:val="1F2329"/>
          <w:kern w:val="0"/>
          <w14:ligatures w14:val="none"/>
        </w:rPr>
        <w:noBreakHyphen/>
        <w:t>onset anxiety, first steps include guided self</w:t>
      </w:r>
      <w:r w:rsidRPr="00185267">
        <w:rPr>
          <w:rFonts w:ascii="Times New Roman" w:eastAsia="Times New Roman" w:hAnsi="Times New Roman" w:cs="Times New Roman"/>
          <w:color w:val="1F2329"/>
          <w:kern w:val="0"/>
          <w14:ligatures w14:val="none"/>
        </w:rPr>
        <w:noBreakHyphen/>
        <w:t>help based on cognitive behavioural principles, stress management advice, and referral to local wellbeing programmes. These build confidence and skills without waiting for specialist therapy.</w:t>
      </w:r>
    </w:p>
    <w:p w14:paraId="77494A6B"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Psychological Therapies — The first</w:t>
      </w:r>
      <w:r w:rsidRPr="00185267">
        <w:rPr>
          <w:rFonts w:ascii="Times New Roman" w:eastAsia="Times New Roman" w:hAnsi="Times New Roman" w:cs="Times New Roman"/>
          <w:color w:val="1F2329"/>
          <w:kern w:val="0"/>
          <w14:ligatures w14:val="none"/>
        </w:rPr>
        <w:noBreakHyphen/>
        <w:t>line recommended treatment for most anxiety disorders is Cognitive Behavioural Therapy (CBT). It helps people identify unhelpful thoughts and behaviours and replace them with balanced, realistic alternatives; exposure therapy — gradually facing feared situations in safe steps — is particularly effective for phobias and social anxiety. Therapy is delivered one</w:t>
      </w:r>
      <w:r w:rsidRPr="00185267">
        <w:rPr>
          <w:rFonts w:ascii="Times New Roman" w:eastAsia="Times New Roman" w:hAnsi="Times New Roman" w:cs="Times New Roman"/>
          <w:color w:val="1F2329"/>
          <w:kern w:val="0"/>
          <w14:ligatures w14:val="none"/>
        </w:rPr>
        <w:noBreakHyphen/>
        <w:t>to</w:t>
      </w:r>
      <w:r w:rsidRPr="00185267">
        <w:rPr>
          <w:rFonts w:ascii="Times New Roman" w:eastAsia="Times New Roman" w:hAnsi="Times New Roman" w:cs="Times New Roman"/>
          <w:color w:val="1F2329"/>
          <w:kern w:val="0"/>
          <w14:ligatures w14:val="none"/>
        </w:rPr>
        <w:noBreakHyphen/>
        <w:t>one, in groups, or digitally via NHS</w:t>
      </w:r>
      <w:r w:rsidRPr="00185267">
        <w:rPr>
          <w:rFonts w:ascii="Times New Roman" w:eastAsia="Times New Roman" w:hAnsi="Times New Roman" w:cs="Times New Roman"/>
          <w:color w:val="1F2329"/>
          <w:kern w:val="0"/>
          <w14:ligatures w14:val="none"/>
        </w:rPr>
        <w:noBreakHyphen/>
        <w:t>approved platforms. Other approaches include counselling, mindfulness</w:t>
      </w:r>
      <w:r w:rsidRPr="00185267">
        <w:rPr>
          <w:rFonts w:ascii="Times New Roman" w:eastAsia="Times New Roman" w:hAnsi="Times New Roman" w:cs="Times New Roman"/>
          <w:color w:val="1F2329"/>
          <w:kern w:val="0"/>
          <w14:ligatures w14:val="none"/>
        </w:rPr>
        <w:noBreakHyphen/>
        <w:t>based stress reduction, and interpersonal therapy, chosen to suit individual needs.</w:t>
      </w:r>
    </w:p>
    <w:p w14:paraId="51B8E53A"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Pharmacological Treatment — Medication is offered alongside or instead of therapy, especially where symptoms are moderate</w:t>
      </w:r>
      <w:r w:rsidRPr="00185267">
        <w:rPr>
          <w:rFonts w:ascii="Times New Roman" w:eastAsia="Times New Roman" w:hAnsi="Times New Roman" w:cs="Times New Roman"/>
          <w:color w:val="1F2329"/>
          <w:kern w:val="0"/>
          <w14:ligatures w14:val="none"/>
        </w:rPr>
        <w:noBreakHyphen/>
        <w:t>to</w:t>
      </w:r>
      <w:r w:rsidRPr="00185267">
        <w:rPr>
          <w:rFonts w:ascii="Times New Roman" w:eastAsia="Times New Roman" w:hAnsi="Times New Roman" w:cs="Times New Roman"/>
          <w:color w:val="1F2329"/>
          <w:kern w:val="0"/>
          <w14:ligatures w14:val="none"/>
        </w:rPr>
        <w:noBreakHyphen/>
        <w:t xml:space="preserve">severe. Selective Serotonin </w:t>
      </w:r>
      <w:proofErr w:type="spellStart"/>
      <w:r w:rsidRPr="00185267">
        <w:rPr>
          <w:rFonts w:ascii="Times New Roman" w:eastAsia="Times New Roman" w:hAnsi="Times New Roman" w:cs="Times New Roman"/>
          <w:color w:val="1F2329"/>
          <w:kern w:val="0"/>
          <w14:ligatures w14:val="none"/>
        </w:rPr>
        <w:t>Reuptake</w:t>
      </w:r>
      <w:proofErr w:type="spellEnd"/>
      <w:r w:rsidRPr="00185267">
        <w:rPr>
          <w:rFonts w:ascii="Times New Roman" w:eastAsia="Times New Roman" w:hAnsi="Times New Roman" w:cs="Times New Roman"/>
          <w:color w:val="1F2329"/>
          <w:kern w:val="0"/>
          <w14:ligatures w14:val="none"/>
        </w:rPr>
        <w:t xml:space="preserve"> Inhibitors (SSRIs) are prescribed first; they adjust brain chemical balance and reduce physical and emotional anxiety symptoms, though effects take 4–6 weeks. Serotonin–Noradrenaline </w:t>
      </w:r>
      <w:proofErr w:type="spellStart"/>
      <w:r w:rsidRPr="00185267">
        <w:rPr>
          <w:rFonts w:ascii="Times New Roman" w:eastAsia="Times New Roman" w:hAnsi="Times New Roman" w:cs="Times New Roman"/>
          <w:color w:val="1F2329"/>
          <w:kern w:val="0"/>
          <w14:ligatures w14:val="none"/>
        </w:rPr>
        <w:t>Reuptake</w:t>
      </w:r>
      <w:proofErr w:type="spellEnd"/>
      <w:r w:rsidRPr="00185267">
        <w:rPr>
          <w:rFonts w:ascii="Times New Roman" w:eastAsia="Times New Roman" w:hAnsi="Times New Roman" w:cs="Times New Roman"/>
          <w:color w:val="1F2329"/>
          <w:kern w:val="0"/>
          <w14:ligatures w14:val="none"/>
        </w:rPr>
        <w:t xml:space="preserve"> Inhibitors (SNRIs) are alternatives. Short</w:t>
      </w:r>
      <w:r w:rsidRPr="00185267">
        <w:rPr>
          <w:rFonts w:ascii="Times New Roman" w:eastAsia="Times New Roman" w:hAnsi="Times New Roman" w:cs="Times New Roman"/>
          <w:color w:val="1F2329"/>
          <w:kern w:val="0"/>
          <w14:ligatures w14:val="none"/>
        </w:rPr>
        <w:noBreakHyphen/>
        <w:t>term courses of anti</w:t>
      </w:r>
      <w:r w:rsidRPr="00185267">
        <w:rPr>
          <w:rFonts w:ascii="Times New Roman" w:eastAsia="Times New Roman" w:hAnsi="Times New Roman" w:cs="Times New Roman"/>
          <w:color w:val="1F2329"/>
          <w:kern w:val="0"/>
          <w14:ligatures w14:val="none"/>
        </w:rPr>
        <w:noBreakHyphen/>
        <w:t>anxiety medication such as benzodiazepines are avoided long</w:t>
      </w:r>
      <w:r w:rsidRPr="00185267">
        <w:rPr>
          <w:rFonts w:ascii="Times New Roman" w:eastAsia="Times New Roman" w:hAnsi="Times New Roman" w:cs="Times New Roman"/>
          <w:color w:val="1F2329"/>
          <w:kern w:val="0"/>
          <w14:ligatures w14:val="none"/>
        </w:rPr>
        <w:noBreakHyphen/>
        <w:t>term due to dependence risk, but may be used briefly in crisis.</w:t>
      </w:r>
    </w:p>
    <w:p w14:paraId="3D3ED3BD"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Lifestyle and Self</w:t>
      </w:r>
      <w:r w:rsidRPr="00185267">
        <w:rPr>
          <w:rFonts w:ascii="Times New Roman" w:eastAsia="Times New Roman" w:hAnsi="Times New Roman" w:cs="Times New Roman"/>
          <w:color w:val="1F2329"/>
          <w:kern w:val="0"/>
          <w14:ligatures w14:val="none"/>
        </w:rPr>
        <w:noBreakHyphen/>
        <w:t>Care — Regular physical activity, sufficient sleep, reduced caffeine and alcohol, and stress</w:t>
      </w:r>
      <w:r w:rsidRPr="00185267">
        <w:rPr>
          <w:rFonts w:ascii="Times New Roman" w:eastAsia="Times New Roman" w:hAnsi="Times New Roman" w:cs="Times New Roman"/>
          <w:color w:val="1F2329"/>
          <w:kern w:val="0"/>
          <w14:ligatures w14:val="none"/>
        </w:rPr>
        <w:noBreakHyphen/>
        <w:t>reduction techniques all support recovery. These are not “cures” but strengthen resilience and boost treatment effectiveness.</w:t>
      </w:r>
    </w:p>
    <w:p w14:paraId="2E4DC231" w14:textId="77777777" w:rsidR="00185267" w:rsidRPr="00185267" w:rsidRDefault="00185267" w:rsidP="00185267">
      <w:pPr>
        <w:spacing w:after="0" w:line="360" w:lineRule="atLeast"/>
        <w:outlineLvl w:val="2"/>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2.3 Consequences of Anxiety</w:t>
      </w:r>
    </w:p>
    <w:p w14:paraId="781FA50B"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lastRenderedPageBreak/>
        <w:t>Without timely, effective support, anxiety has far</w:t>
      </w:r>
      <w:r w:rsidRPr="00185267">
        <w:rPr>
          <w:rFonts w:ascii="Times New Roman" w:eastAsia="Times New Roman" w:hAnsi="Times New Roman" w:cs="Times New Roman"/>
          <w:color w:val="1F2329"/>
          <w:kern w:val="0"/>
          <w14:ligatures w14:val="none"/>
        </w:rPr>
        <w:noBreakHyphen/>
        <w:t>reaching effects across every area of life:</w:t>
      </w:r>
    </w:p>
    <w:p w14:paraId="710B8FA1"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Personal and Psychological — Constant fear and tension cause exhaustion, low self</w:t>
      </w:r>
      <w:r w:rsidRPr="00185267">
        <w:rPr>
          <w:rFonts w:ascii="Times New Roman" w:eastAsia="Times New Roman" w:hAnsi="Times New Roman" w:cs="Times New Roman"/>
          <w:color w:val="1F2329"/>
          <w:kern w:val="0"/>
          <w14:ligatures w14:val="none"/>
        </w:rPr>
        <w:noBreakHyphen/>
        <w:t>esteem, and feelings of hopelessness. People may withdraw from friends, family, and activities they once enjoyed, deepening isolation. Anxiety frequently coexists with depression, eating difficulties, and sleep disorders; in severe cases, it contributes to self</w:t>
      </w:r>
      <w:r w:rsidRPr="00185267">
        <w:rPr>
          <w:rFonts w:ascii="Times New Roman" w:eastAsia="Times New Roman" w:hAnsi="Times New Roman" w:cs="Times New Roman"/>
          <w:color w:val="1F2329"/>
          <w:kern w:val="0"/>
          <w14:ligatures w14:val="none"/>
        </w:rPr>
        <w:noBreakHyphen/>
        <w:t>harm or suicidal thoughts.</w:t>
      </w:r>
    </w:p>
    <w:p w14:paraId="6391FE42"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Physical Health — Chronic stress keeps the body in “fight</w:t>
      </w:r>
      <w:r w:rsidRPr="00185267">
        <w:rPr>
          <w:rFonts w:ascii="Times New Roman" w:eastAsia="Times New Roman" w:hAnsi="Times New Roman" w:cs="Times New Roman"/>
          <w:color w:val="1F2329"/>
          <w:kern w:val="0"/>
          <w14:ligatures w14:val="none"/>
        </w:rPr>
        <w:noBreakHyphen/>
        <w:t>or</w:t>
      </w:r>
      <w:r w:rsidRPr="00185267">
        <w:rPr>
          <w:rFonts w:ascii="Times New Roman" w:eastAsia="Times New Roman" w:hAnsi="Times New Roman" w:cs="Times New Roman"/>
          <w:color w:val="1F2329"/>
          <w:kern w:val="0"/>
          <w14:ligatures w14:val="none"/>
        </w:rPr>
        <w:noBreakHyphen/>
        <w:t>flight” mode, raising risk of high blood pressure, heart disease, digestive disorders, and chronic pain. Sleep disturbance weakens immunity and slows recovery from illness. Physical symptoms such as chest tightness or dizziness may trigger emergency visits, creating a cycle of fear and further anxiety.</w:t>
      </w:r>
    </w:p>
    <w:p w14:paraId="72D42408"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Social and Economic — Anxiety can impair attendance and performance at work or college; long</w:t>
      </w:r>
      <w:r w:rsidRPr="00185267">
        <w:rPr>
          <w:rFonts w:ascii="Times New Roman" w:eastAsia="Times New Roman" w:hAnsi="Times New Roman" w:cs="Times New Roman"/>
          <w:color w:val="1F2329"/>
          <w:kern w:val="0"/>
          <w14:ligatures w14:val="none"/>
        </w:rPr>
        <w:noBreakHyphen/>
        <w:t>term absence is common, leading to loss of income, financial strain, and benefit dependency. Relationships suffer — family and friends may struggle to understand, or become drawn into accommodating avoidance behaviours, creating tension. Young people may fall behind at school, affecting qualifications and future opportunities.</w:t>
      </w:r>
    </w:p>
    <w:p w14:paraId="4F7742FD"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Systemic Impact — Anxiety is a leading cause of disability and healthcare burden in the UK; early intervention reduces these costs and improves outcomes for individuals and communities.</w:t>
      </w:r>
    </w:p>
    <w:p w14:paraId="2D51B5F5" w14:textId="77777777" w:rsidR="00185267" w:rsidRPr="00185267" w:rsidRDefault="00185267" w:rsidP="00185267">
      <w:pPr>
        <w:spacing w:after="0" w:line="360" w:lineRule="atLeast"/>
        <w:outlineLvl w:val="2"/>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2.4 Health and Social Care Support Services</w:t>
      </w:r>
    </w:p>
    <w:p w14:paraId="32BE4DDF"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Anxiety support in the UK is delivered through an integrated network spanning NHS, local authority, and voluntary sectors:</w:t>
      </w:r>
    </w:p>
    <w:p w14:paraId="49BE43FF"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Primary Care and IAPT — GPs assess, signpost, and refer. The Improving Access to Psychological Therapies (IAPT)programme provides free, fast, talking therapies across England — self</w:t>
      </w:r>
      <w:r w:rsidRPr="00185267">
        <w:rPr>
          <w:rFonts w:ascii="Times New Roman" w:eastAsia="Times New Roman" w:hAnsi="Times New Roman" w:cs="Times New Roman"/>
          <w:color w:val="1F2329"/>
          <w:kern w:val="0"/>
          <w14:ligatures w14:val="none"/>
        </w:rPr>
        <w:noBreakHyphen/>
        <w:t>referral is accepted in many areas, removing barriers to access.</w:t>
      </w:r>
    </w:p>
    <w:p w14:paraId="23435B44"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Specialist Mental Health Services — Community mental health teams support people with severe or complex needs. They include psychiatrists, psychologists, mental health nurses, and occupational therapists offering therapy, medication management, and help returning to work or daily activities.</w:t>
      </w:r>
    </w:p>
    <w:p w14:paraId="6A10FA12"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Social Care and Community Support — Local authorities provide social workers and care coordinators who assist those whose anxiety severely limits independent living — helping with appointments, building confidence, and linking to groups. Voluntary organisations such as Mind, Rethink Mental Illness, and Anxiety UK offer helplines, peer support groups, online resources, and advocacy — often filling gaps where NHS capacity is stretched. Faith groups, community centres, and wellbeing projects also provide safe, local spaces to connect and recover.</w:t>
      </w:r>
    </w:p>
    <w:p w14:paraId="2856717D"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 xml:space="preserve">Children, Young People and Workplace Support — Young people access CYPMHS (Children and Young People’s Mental Health Services); employers </w:t>
      </w:r>
      <w:r w:rsidRPr="00185267">
        <w:rPr>
          <w:rFonts w:ascii="Times New Roman" w:eastAsia="Times New Roman" w:hAnsi="Times New Roman" w:cs="Times New Roman"/>
          <w:color w:val="1F2329"/>
          <w:kern w:val="0"/>
          <w14:ligatures w14:val="none"/>
        </w:rPr>
        <w:lastRenderedPageBreak/>
        <w:t>increasingly offer counselling, flexible working, and mental health first aiders — recognising anxiety as a major workplace issue.</w:t>
      </w:r>
    </w:p>
    <w:p w14:paraId="174C7FEF" w14:textId="77777777" w:rsidR="00185267" w:rsidRPr="00185267" w:rsidRDefault="00185267" w:rsidP="00185267">
      <w:pPr>
        <w:spacing w:after="0" w:line="360" w:lineRule="atLeast"/>
        <w:rPr>
          <w:rFonts w:ascii="Times New Roman" w:eastAsia="Times New Roman" w:hAnsi="Times New Roman" w:cs="Times New Roman"/>
          <w:kern w:val="0"/>
          <w14:ligatures w14:val="none"/>
        </w:rPr>
      </w:pPr>
      <w:r w:rsidRPr="00185267">
        <w:rPr>
          <w:rFonts w:ascii="Times New Roman" w:eastAsia="Times New Roman" w:hAnsi="Times New Roman" w:cs="Times New Roman"/>
          <w:noProof/>
          <w:kern w:val="0"/>
          <w14:ligatures w14:val="none"/>
        </w:rPr>
        <mc:AlternateContent>
          <mc:Choice Requires="wps">
            <w:drawing>
              <wp:inline distT="0" distB="0" distL="0" distR="0" wp14:anchorId="25F23787" wp14:editId="58490E88">
                <wp:extent cx="5731510" cy="1270"/>
                <wp:effectExtent l="0" t="33655" r="0" b="38735"/>
                <wp:docPr id="430620248"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solidFill>
                          <a:srgbClr val="1F232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3D846A7"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" fillcolor="#1f2329" stroked="f">
                <w10:anchorlock/>
              </v:rect>
            </w:pict>
          </mc:Fallback>
        </mc:AlternateContent>
      </w:r>
    </w:p>
    <w:p w14:paraId="6CD4BE27" w14:textId="77777777" w:rsidR="00185267" w:rsidRPr="00185267" w:rsidRDefault="00185267" w:rsidP="00185267">
      <w:pPr>
        <w:spacing w:after="0" w:line="360" w:lineRule="atLeast"/>
        <w:outlineLvl w:val="1"/>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3.0 CONCLUSION — 150 words</w:t>
      </w:r>
    </w:p>
    <w:p w14:paraId="388FBF33" w14:textId="77777777" w:rsidR="00185267" w:rsidRPr="00185267" w:rsidRDefault="00185267" w:rsidP="00185267">
      <w:p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Anxiety disorders are the most prevalent mental health condition worldwide and in the UK, affecting millions across all ages and backgrounds. While common, they are frequently misunderstood and under</w:t>
      </w:r>
      <w:r w:rsidRPr="00185267">
        <w:rPr>
          <w:rFonts w:ascii="Times New Roman" w:eastAsia="Times New Roman" w:hAnsi="Times New Roman" w:cs="Times New Roman"/>
          <w:color w:val="1F2329"/>
          <w:kern w:val="0"/>
          <w14:ligatures w14:val="none"/>
        </w:rPr>
        <w:noBreakHyphen/>
        <w:t>recognised, leading to unnecessary suffering. The good news is that anxiety is highly treatable: evidence</w:t>
      </w:r>
      <w:r w:rsidRPr="00185267">
        <w:rPr>
          <w:rFonts w:ascii="Times New Roman" w:eastAsia="Times New Roman" w:hAnsi="Times New Roman" w:cs="Times New Roman"/>
          <w:color w:val="1F2329"/>
          <w:kern w:val="0"/>
          <w14:ligatures w14:val="none"/>
        </w:rPr>
        <w:noBreakHyphen/>
        <w:t>based screening tools enable early identification, and CBT, medication, and lifestyle approaches achieve recovery for most people. However, delays, stigma, and service gaps mean many do not receive the help they need. The consequences of untreated anxiety — physical illness, social withdrawal, financial hardship, and emotional distress — are devastating, yet preventable. Effective support requires coordinated action across health, social care, workplaces, and communities, combining professional treatment with practical help and empathy. For individuals, families, and society, investing in accessible, timely mental health care is not only compassionate — it is essential.</w:t>
      </w:r>
    </w:p>
    <w:p w14:paraId="7DA6EA0E" w14:textId="77777777" w:rsidR="00185267" w:rsidRPr="00185267" w:rsidRDefault="00185267" w:rsidP="00185267">
      <w:pPr>
        <w:spacing w:after="0" w:line="360" w:lineRule="atLeast"/>
        <w:rPr>
          <w:rFonts w:ascii="Times New Roman" w:eastAsia="Times New Roman" w:hAnsi="Times New Roman" w:cs="Times New Roman"/>
          <w:kern w:val="0"/>
          <w14:ligatures w14:val="none"/>
        </w:rPr>
      </w:pPr>
      <w:r w:rsidRPr="00185267">
        <w:rPr>
          <w:rFonts w:ascii="Times New Roman" w:eastAsia="Times New Roman" w:hAnsi="Times New Roman" w:cs="Times New Roman"/>
          <w:noProof/>
          <w:kern w:val="0"/>
          <w14:ligatures w14:val="none"/>
        </w:rPr>
        <mc:AlternateContent>
          <mc:Choice Requires="wps">
            <w:drawing>
              <wp:inline distT="0" distB="0" distL="0" distR="0" wp14:anchorId="05BF651B" wp14:editId="1A966D4A">
                <wp:extent cx="5731510" cy="1270"/>
                <wp:effectExtent l="0" t="33655" r="0" b="38735"/>
                <wp:docPr id="21010115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solidFill>
                          <a:srgbClr val="1F232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CE19EF"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" fillcolor="#1f2329" stroked="f">
                <w10:anchorlock/>
              </v:rect>
            </w:pict>
          </mc:Fallback>
        </mc:AlternateContent>
      </w:r>
    </w:p>
    <w:p w14:paraId="076E15D2" w14:textId="77777777" w:rsidR="00185267" w:rsidRPr="00185267" w:rsidRDefault="00185267" w:rsidP="00185267">
      <w:pPr>
        <w:spacing w:after="0" w:line="360" w:lineRule="atLeast"/>
        <w:outlineLvl w:val="1"/>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4.0 REFERENCES</w:t>
      </w:r>
    </w:p>
    <w:p w14:paraId="2547E0FF" w14:textId="77777777" w:rsidR="00185267" w:rsidRPr="00185267" w:rsidRDefault="00185267" w:rsidP="00185267">
      <w:pPr>
        <w:numPr>
          <w:ilvl w:val="0"/>
          <w:numId w:val="1"/>
        </w:num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NHS Digital. (2025). </w:t>
      </w:r>
      <w:r w:rsidRPr="00185267">
        <w:rPr>
          <w:rFonts w:ascii="Times New Roman" w:eastAsia="Times New Roman" w:hAnsi="Times New Roman" w:cs="Times New Roman"/>
          <w:i/>
          <w:iCs/>
          <w:color w:val="1F2329"/>
          <w:kern w:val="0"/>
          <w14:ligatures w14:val="none"/>
        </w:rPr>
        <w:t>Mental Health Statistics: Adults in England</w:t>
      </w:r>
      <w:r w:rsidRPr="00185267">
        <w:rPr>
          <w:rFonts w:ascii="Times New Roman" w:eastAsia="Times New Roman" w:hAnsi="Times New Roman" w:cs="Times New Roman"/>
          <w:color w:val="1F2329"/>
          <w:kern w:val="0"/>
          <w14:ligatures w14:val="none"/>
        </w:rPr>
        <w:t>. London: NHS Digital.</w:t>
      </w:r>
    </w:p>
    <w:p w14:paraId="518F69F5" w14:textId="77777777" w:rsidR="00185267" w:rsidRPr="00185267" w:rsidRDefault="00185267" w:rsidP="00185267">
      <w:pPr>
        <w:numPr>
          <w:ilvl w:val="0"/>
          <w:numId w:val="1"/>
        </w:num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National Institute for Health and Care Excellence. (2022). </w:t>
      </w:r>
      <w:r w:rsidRPr="00185267">
        <w:rPr>
          <w:rFonts w:ascii="Times New Roman" w:eastAsia="Times New Roman" w:hAnsi="Times New Roman" w:cs="Times New Roman"/>
          <w:i/>
          <w:iCs/>
          <w:color w:val="1F2329"/>
          <w:kern w:val="0"/>
          <w14:ligatures w14:val="none"/>
        </w:rPr>
        <w:t>Generalised Anxiety Disorder and Panic Disorder in Adults (CG113)</w:t>
      </w:r>
      <w:r w:rsidRPr="00185267">
        <w:rPr>
          <w:rFonts w:ascii="Times New Roman" w:eastAsia="Times New Roman" w:hAnsi="Times New Roman" w:cs="Times New Roman"/>
          <w:color w:val="1F2329"/>
          <w:kern w:val="0"/>
          <w14:ligatures w14:val="none"/>
        </w:rPr>
        <w:t>. London: NICE.</w:t>
      </w:r>
    </w:p>
    <w:p w14:paraId="05E0B53F" w14:textId="77777777" w:rsidR="00185267" w:rsidRPr="00185267" w:rsidRDefault="00185267" w:rsidP="00185267">
      <w:pPr>
        <w:numPr>
          <w:ilvl w:val="0"/>
          <w:numId w:val="1"/>
        </w:num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 xml:space="preserve">World Health </w:t>
      </w:r>
      <w:proofErr w:type="spellStart"/>
      <w:r w:rsidRPr="00185267">
        <w:rPr>
          <w:rFonts w:ascii="Times New Roman" w:eastAsia="Times New Roman" w:hAnsi="Times New Roman" w:cs="Times New Roman"/>
          <w:color w:val="1F2329"/>
          <w:kern w:val="0"/>
          <w14:ligatures w14:val="none"/>
        </w:rPr>
        <w:t>Organization</w:t>
      </w:r>
      <w:proofErr w:type="spellEnd"/>
      <w:r w:rsidRPr="00185267">
        <w:rPr>
          <w:rFonts w:ascii="Times New Roman" w:eastAsia="Times New Roman" w:hAnsi="Times New Roman" w:cs="Times New Roman"/>
          <w:color w:val="1F2329"/>
          <w:kern w:val="0"/>
          <w14:ligatures w14:val="none"/>
        </w:rPr>
        <w:t>. (2023). </w:t>
      </w:r>
      <w:r w:rsidRPr="00185267">
        <w:rPr>
          <w:rFonts w:ascii="Times New Roman" w:eastAsia="Times New Roman" w:hAnsi="Times New Roman" w:cs="Times New Roman"/>
          <w:i/>
          <w:iCs/>
          <w:color w:val="1F2329"/>
          <w:kern w:val="0"/>
          <w14:ligatures w14:val="none"/>
        </w:rPr>
        <w:t>Mental Health: Anxiety and Depression</w:t>
      </w:r>
      <w:r w:rsidRPr="00185267">
        <w:rPr>
          <w:rFonts w:ascii="Times New Roman" w:eastAsia="Times New Roman" w:hAnsi="Times New Roman" w:cs="Times New Roman"/>
          <w:color w:val="1F2329"/>
          <w:kern w:val="0"/>
          <w14:ligatures w14:val="none"/>
        </w:rPr>
        <w:t>. Geneva: WHO.</w:t>
      </w:r>
    </w:p>
    <w:p w14:paraId="1895F22E" w14:textId="77777777" w:rsidR="00185267" w:rsidRPr="00185267" w:rsidRDefault="00185267" w:rsidP="00185267">
      <w:pPr>
        <w:numPr>
          <w:ilvl w:val="0"/>
          <w:numId w:val="1"/>
        </w:num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Mind. (2024). </w:t>
      </w:r>
      <w:r w:rsidRPr="00185267">
        <w:rPr>
          <w:rFonts w:ascii="Times New Roman" w:eastAsia="Times New Roman" w:hAnsi="Times New Roman" w:cs="Times New Roman"/>
          <w:i/>
          <w:iCs/>
          <w:color w:val="1F2329"/>
          <w:kern w:val="0"/>
          <w14:ligatures w14:val="none"/>
        </w:rPr>
        <w:t>Anxiety: Information and Support</w:t>
      </w:r>
      <w:r w:rsidRPr="00185267">
        <w:rPr>
          <w:rFonts w:ascii="Times New Roman" w:eastAsia="Times New Roman" w:hAnsi="Times New Roman" w:cs="Times New Roman"/>
          <w:color w:val="1F2329"/>
          <w:kern w:val="0"/>
          <w14:ligatures w14:val="none"/>
        </w:rPr>
        <w:t>. London: Mind.</w:t>
      </w:r>
    </w:p>
    <w:p w14:paraId="4B787C58" w14:textId="77777777" w:rsidR="00185267" w:rsidRPr="00185267" w:rsidRDefault="00185267" w:rsidP="00185267">
      <w:pPr>
        <w:numPr>
          <w:ilvl w:val="0"/>
          <w:numId w:val="1"/>
        </w:numPr>
        <w:spacing w:after="0" w:line="360" w:lineRule="atLeast"/>
        <w:rPr>
          <w:rFonts w:ascii="Times New Roman" w:eastAsia="Times New Roman" w:hAnsi="Times New Roman" w:cs="Times New Roman"/>
          <w:color w:val="1F2329"/>
          <w:kern w:val="0"/>
          <w14:ligatures w14:val="none"/>
        </w:rPr>
      </w:pPr>
      <w:r w:rsidRPr="00185267">
        <w:rPr>
          <w:rFonts w:ascii="Times New Roman" w:eastAsia="Times New Roman" w:hAnsi="Times New Roman" w:cs="Times New Roman"/>
          <w:color w:val="1F2329"/>
          <w:kern w:val="0"/>
          <w14:ligatures w14:val="none"/>
        </w:rPr>
        <w:t>NHS England. (2024). </w:t>
      </w:r>
      <w:r w:rsidRPr="00185267">
        <w:rPr>
          <w:rFonts w:ascii="Times New Roman" w:eastAsia="Times New Roman" w:hAnsi="Times New Roman" w:cs="Times New Roman"/>
          <w:i/>
          <w:iCs/>
          <w:color w:val="1F2329"/>
          <w:kern w:val="0"/>
          <w14:ligatures w14:val="none"/>
        </w:rPr>
        <w:t>IAPT Annual Report 2023/24</w:t>
      </w:r>
      <w:r w:rsidRPr="00185267">
        <w:rPr>
          <w:rFonts w:ascii="Times New Roman" w:eastAsia="Times New Roman" w:hAnsi="Times New Roman" w:cs="Times New Roman"/>
          <w:color w:val="1F2329"/>
          <w:kern w:val="0"/>
          <w14:ligatures w14:val="none"/>
        </w:rPr>
        <w:t>. London: NHS England.</w:t>
      </w:r>
    </w:p>
    <w:p w14:paraId="320168A3" w14:textId="77777777" w:rsidR="00185267" w:rsidRDefault="00185267"/>
    <w:sectPr w:rsidR="001852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DFC653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664746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267"/>
    <w:rsid w:val="00185267"/>
    <w:rsid w:val="006B7E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916CDD"/>
  <w15:chartTrackingRefBased/>
  <w15:docId w15:val="{DA011152-605A-834C-BFE1-B296478C6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52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52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852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52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52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52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52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52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52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52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52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52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52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52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52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52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52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5267"/>
    <w:rPr>
      <w:rFonts w:eastAsiaTheme="majorEastAsia" w:cstheme="majorBidi"/>
      <w:color w:val="272727" w:themeColor="text1" w:themeTint="D8"/>
    </w:rPr>
  </w:style>
  <w:style w:type="paragraph" w:styleId="Title">
    <w:name w:val="Title"/>
    <w:basedOn w:val="Normal"/>
    <w:next w:val="Normal"/>
    <w:link w:val="TitleChar"/>
    <w:uiPriority w:val="10"/>
    <w:qFormat/>
    <w:rsid w:val="001852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52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52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52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5267"/>
    <w:pPr>
      <w:spacing w:before="160"/>
      <w:jc w:val="center"/>
    </w:pPr>
    <w:rPr>
      <w:i/>
      <w:iCs/>
      <w:color w:val="404040" w:themeColor="text1" w:themeTint="BF"/>
    </w:rPr>
  </w:style>
  <w:style w:type="character" w:customStyle="1" w:styleId="QuoteChar">
    <w:name w:val="Quote Char"/>
    <w:basedOn w:val="DefaultParagraphFont"/>
    <w:link w:val="Quote"/>
    <w:uiPriority w:val="29"/>
    <w:rsid w:val="00185267"/>
    <w:rPr>
      <w:i/>
      <w:iCs/>
      <w:color w:val="404040" w:themeColor="text1" w:themeTint="BF"/>
    </w:rPr>
  </w:style>
  <w:style w:type="paragraph" w:styleId="ListParagraph">
    <w:name w:val="List Paragraph"/>
    <w:basedOn w:val="Normal"/>
    <w:uiPriority w:val="34"/>
    <w:qFormat/>
    <w:rsid w:val="00185267"/>
    <w:pPr>
      <w:ind w:left="720"/>
      <w:contextualSpacing/>
    </w:pPr>
  </w:style>
  <w:style w:type="character" w:styleId="IntenseEmphasis">
    <w:name w:val="Intense Emphasis"/>
    <w:basedOn w:val="DefaultParagraphFont"/>
    <w:uiPriority w:val="21"/>
    <w:qFormat/>
    <w:rsid w:val="00185267"/>
    <w:rPr>
      <w:i/>
      <w:iCs/>
      <w:color w:val="0F4761" w:themeColor="accent1" w:themeShade="BF"/>
    </w:rPr>
  </w:style>
  <w:style w:type="paragraph" w:styleId="IntenseQuote">
    <w:name w:val="Intense Quote"/>
    <w:basedOn w:val="Normal"/>
    <w:next w:val="Normal"/>
    <w:link w:val="IntenseQuoteChar"/>
    <w:uiPriority w:val="30"/>
    <w:qFormat/>
    <w:rsid w:val="001852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5267"/>
    <w:rPr>
      <w:i/>
      <w:iCs/>
      <w:color w:val="0F4761" w:themeColor="accent1" w:themeShade="BF"/>
    </w:rPr>
  </w:style>
  <w:style w:type="character" w:styleId="IntenseReference">
    <w:name w:val="Intense Reference"/>
    <w:basedOn w:val="DefaultParagraphFont"/>
    <w:uiPriority w:val="32"/>
    <w:qFormat/>
    <w:rsid w:val="00185267"/>
    <w:rPr>
      <w:b/>
      <w:bCs/>
      <w:smallCaps/>
      <w:color w:val="0F4761" w:themeColor="accent1" w:themeShade="BF"/>
      <w:spacing w:val="5"/>
    </w:rPr>
  </w:style>
  <w:style w:type="character" w:styleId="Strong">
    <w:name w:val="Strong"/>
    <w:basedOn w:val="DefaultParagraphFont"/>
    <w:uiPriority w:val="22"/>
    <w:qFormat/>
    <w:rsid w:val="00185267"/>
    <w:rPr>
      <w:b/>
      <w:bCs/>
    </w:rPr>
  </w:style>
  <w:style w:type="character" w:customStyle="1" w:styleId="apple-converted-space">
    <w:name w:val="apple-converted-space"/>
    <w:basedOn w:val="DefaultParagraphFont"/>
    <w:rsid w:val="00185267"/>
  </w:style>
  <w:style w:type="character" w:styleId="Emphasis">
    <w:name w:val="Emphasis"/>
    <w:basedOn w:val="DefaultParagraphFont"/>
    <w:uiPriority w:val="20"/>
    <w:qFormat/>
    <w:rsid w:val="0018526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1424</Words>
  <Characters>8119</Characters>
  <Application>Microsoft Office Word</Application>
  <DocSecurity>0</DocSecurity>
  <Lines>67</Lines>
  <Paragraphs>19</Paragraphs>
  <ScaleCrop>false</ScaleCrop>
  <Company/>
  <LinksUpToDate>false</LinksUpToDate>
  <CharactersWithSpaces>9524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Nasreen Gulzar (2537473)</dc:creator>
  <cp:keywords/>
  <dc:description/>
  <cp:lastModifiedBy>Nasreen Gulzar (2537473)</cp:lastModifiedBy>
  <cp:revision>2</cp:revision>
  <dcterms:created xsi:type="dcterms:W3CDTF">2026-10-06T12:28:00Z</dcterms:created>
  <dcterms:modified xsi:type="dcterms:W3CDTF">2026-10-06T12:28:00Z</dcterms:modified>
</cp:coreProperties>
</file>