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FE02B" w14:textId="77777777" w:rsidR="006F50C8" w:rsidRPr="00B10FD1" w:rsidRDefault="006F50C8" w:rsidP="006240B2">
      <w:pPr>
        <w:pStyle w:val="NormalWeb"/>
        <w:spacing w:before="120" w:beforeAutospacing="0" w:after="120" w:afterAutospacing="0" w:line="360" w:lineRule="auto"/>
        <w:jc w:val="both"/>
        <w:rPr>
          <w:rFonts w:ascii="Arial" w:hAnsi="Arial" w:cs="Arial"/>
          <w:b/>
          <w:color w:val="000000" w:themeColor="text1"/>
        </w:rPr>
      </w:pPr>
    </w:p>
    <w:p w14:paraId="7B8795BA" w14:textId="77777777" w:rsidR="00ED6137" w:rsidRPr="00B10FD1" w:rsidRDefault="006240B2" w:rsidP="006240B2">
      <w:pPr>
        <w:pStyle w:val="NormalWeb"/>
        <w:spacing w:before="120" w:beforeAutospacing="0" w:after="120" w:afterAutospacing="0" w:line="360" w:lineRule="auto"/>
        <w:jc w:val="center"/>
        <w:rPr>
          <w:rFonts w:ascii="Arial" w:hAnsi="Arial" w:cs="Arial"/>
          <w:b/>
          <w:color w:val="000000" w:themeColor="text1"/>
        </w:rPr>
      </w:pPr>
      <w:r w:rsidRPr="00B10FD1">
        <w:rPr>
          <w:rFonts w:ascii="Arial" w:hAnsi="Arial" w:cs="Arial"/>
          <w:b/>
          <w:noProof/>
          <w:sz w:val="36"/>
        </w:rPr>
        <w:drawing>
          <wp:inline distT="0" distB="0" distL="0" distR="0" wp14:anchorId="49CDB294" wp14:editId="7348C36F">
            <wp:extent cx="3752850" cy="1181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52850" cy="1181100"/>
                    </a:xfrm>
                    <a:prstGeom prst="rect">
                      <a:avLst/>
                    </a:prstGeom>
                  </pic:spPr>
                </pic:pic>
              </a:graphicData>
            </a:graphic>
          </wp:inline>
        </w:drawing>
      </w:r>
    </w:p>
    <w:p w14:paraId="1B88050C" w14:textId="77777777" w:rsidR="00ED6137" w:rsidRPr="00B10FD1" w:rsidRDefault="00ED6137" w:rsidP="006240B2">
      <w:pPr>
        <w:pStyle w:val="NormalWeb"/>
        <w:spacing w:before="120" w:beforeAutospacing="0" w:after="120" w:afterAutospacing="0" w:line="360" w:lineRule="auto"/>
        <w:jc w:val="both"/>
        <w:rPr>
          <w:rFonts w:ascii="Arial" w:hAnsi="Arial" w:cs="Arial"/>
          <w:b/>
          <w:color w:val="000000" w:themeColor="text1"/>
        </w:rPr>
      </w:pPr>
    </w:p>
    <w:p w14:paraId="4C36563B" w14:textId="77777777" w:rsidR="00ED6137" w:rsidRPr="00B10FD1" w:rsidRDefault="00ED6137" w:rsidP="006240B2">
      <w:pPr>
        <w:pStyle w:val="NormalWeb"/>
        <w:spacing w:before="120" w:beforeAutospacing="0" w:after="120" w:afterAutospacing="0" w:line="360" w:lineRule="auto"/>
        <w:jc w:val="both"/>
        <w:rPr>
          <w:rFonts w:ascii="Arial" w:hAnsi="Arial" w:cs="Arial"/>
          <w:b/>
          <w:color w:val="000000" w:themeColor="text1"/>
        </w:rPr>
      </w:pPr>
    </w:p>
    <w:p w14:paraId="5B96EA1A" w14:textId="77777777" w:rsidR="006F50C8" w:rsidRPr="00B10FD1" w:rsidRDefault="006F50C8" w:rsidP="006240B2">
      <w:pPr>
        <w:pStyle w:val="NormalWeb"/>
        <w:spacing w:before="120" w:beforeAutospacing="0" w:after="120" w:afterAutospacing="0" w:line="360" w:lineRule="auto"/>
        <w:jc w:val="both"/>
        <w:rPr>
          <w:rFonts w:ascii="Arial" w:hAnsi="Arial" w:cs="Arial"/>
          <w:b/>
          <w:color w:val="000000" w:themeColor="text1"/>
        </w:rPr>
      </w:pPr>
    </w:p>
    <w:p w14:paraId="479FCB06" w14:textId="77777777" w:rsidR="006F50C8" w:rsidRPr="00B10FD1" w:rsidRDefault="006F50C8" w:rsidP="006240B2">
      <w:pPr>
        <w:pStyle w:val="NormalWeb"/>
        <w:spacing w:before="120" w:beforeAutospacing="0" w:after="120" w:afterAutospacing="0" w:line="360" w:lineRule="auto"/>
        <w:jc w:val="both"/>
        <w:rPr>
          <w:rFonts w:ascii="Arial" w:hAnsi="Arial" w:cs="Arial"/>
          <w:b/>
          <w:color w:val="000000" w:themeColor="text1"/>
        </w:rPr>
      </w:pPr>
    </w:p>
    <w:p w14:paraId="583C8E61" w14:textId="77777777" w:rsidR="006F50C8" w:rsidRPr="00B10FD1" w:rsidRDefault="006F50C8" w:rsidP="006240B2">
      <w:pPr>
        <w:pStyle w:val="NormalWeb"/>
        <w:spacing w:before="120" w:beforeAutospacing="0" w:after="120" w:afterAutospacing="0" w:line="360" w:lineRule="auto"/>
        <w:jc w:val="center"/>
        <w:rPr>
          <w:rFonts w:ascii="Arial" w:hAnsi="Arial" w:cs="Arial"/>
          <w:b/>
          <w:color w:val="000000" w:themeColor="text1"/>
          <w:sz w:val="36"/>
        </w:rPr>
      </w:pPr>
    </w:p>
    <w:p w14:paraId="262EF9FA" w14:textId="77777777" w:rsidR="003405B7" w:rsidRPr="00B10FD1" w:rsidRDefault="008676DC" w:rsidP="006240B2">
      <w:pPr>
        <w:pStyle w:val="NormalWeb"/>
        <w:spacing w:before="120" w:beforeAutospacing="0" w:after="120" w:afterAutospacing="0" w:line="360" w:lineRule="auto"/>
        <w:jc w:val="center"/>
        <w:rPr>
          <w:rFonts w:ascii="Arial" w:hAnsi="Arial" w:cs="Arial"/>
          <w:b/>
          <w:sz w:val="36"/>
        </w:rPr>
      </w:pPr>
      <w:r w:rsidRPr="00B10FD1">
        <w:rPr>
          <w:rFonts w:ascii="Arial" w:hAnsi="Arial" w:cs="Arial"/>
          <w:b/>
          <w:sz w:val="36"/>
        </w:rPr>
        <w:t>Institute of Inner-City Learning</w:t>
      </w:r>
    </w:p>
    <w:p w14:paraId="7338C462" w14:textId="77777777" w:rsidR="003405B7" w:rsidRPr="00B10FD1" w:rsidRDefault="008676DC" w:rsidP="006240B2">
      <w:pPr>
        <w:pStyle w:val="NormalWeb"/>
        <w:spacing w:before="120" w:beforeAutospacing="0" w:after="120" w:afterAutospacing="0" w:line="360" w:lineRule="auto"/>
        <w:jc w:val="center"/>
        <w:rPr>
          <w:rFonts w:ascii="Arial" w:hAnsi="Arial" w:cs="Arial"/>
          <w:b/>
          <w:sz w:val="36"/>
        </w:rPr>
      </w:pPr>
      <w:r w:rsidRPr="00B10FD1">
        <w:rPr>
          <w:rFonts w:ascii="Arial" w:hAnsi="Arial" w:cs="Arial"/>
          <w:b/>
          <w:sz w:val="36"/>
        </w:rPr>
        <w:t>Birmingham Campus</w:t>
      </w:r>
    </w:p>
    <w:p w14:paraId="63D2D843" w14:textId="77777777" w:rsidR="008676DC" w:rsidRPr="00B10FD1" w:rsidRDefault="008676DC" w:rsidP="006240B2">
      <w:pPr>
        <w:pStyle w:val="NormalWeb"/>
        <w:spacing w:before="120" w:beforeAutospacing="0" w:after="120" w:afterAutospacing="0" w:line="360" w:lineRule="auto"/>
        <w:jc w:val="center"/>
        <w:rPr>
          <w:rFonts w:ascii="Arial" w:hAnsi="Arial" w:cs="Arial"/>
          <w:b/>
          <w:color w:val="000000" w:themeColor="text1"/>
          <w:sz w:val="36"/>
        </w:rPr>
      </w:pPr>
      <w:r w:rsidRPr="00B10FD1">
        <w:rPr>
          <w:rFonts w:ascii="Arial" w:hAnsi="Arial" w:cs="Arial"/>
          <w:b/>
          <w:sz w:val="36"/>
        </w:rPr>
        <w:t>BSc (Hons) Health and Social Care</w:t>
      </w:r>
    </w:p>
    <w:p w14:paraId="2ABF7B80" w14:textId="77777777" w:rsidR="006F50C8" w:rsidRPr="00B10FD1" w:rsidRDefault="006F50C8" w:rsidP="006240B2">
      <w:pPr>
        <w:pStyle w:val="NormalWeb"/>
        <w:spacing w:before="120" w:beforeAutospacing="0" w:after="120" w:afterAutospacing="0" w:line="360" w:lineRule="auto"/>
        <w:jc w:val="both"/>
        <w:rPr>
          <w:rFonts w:ascii="Arial" w:hAnsi="Arial" w:cs="Arial"/>
          <w:b/>
          <w:color w:val="000000" w:themeColor="text1"/>
        </w:rPr>
      </w:pPr>
    </w:p>
    <w:p w14:paraId="0EF1AC54" w14:textId="77777777" w:rsidR="003405B7" w:rsidRPr="00B10FD1" w:rsidRDefault="003405B7" w:rsidP="006240B2">
      <w:pPr>
        <w:pStyle w:val="NormalWeb"/>
        <w:spacing w:before="120" w:beforeAutospacing="0" w:after="120" w:afterAutospacing="0" w:line="360" w:lineRule="auto"/>
        <w:jc w:val="both"/>
        <w:rPr>
          <w:rFonts w:ascii="Arial" w:hAnsi="Arial" w:cs="Arial"/>
          <w:b/>
          <w:color w:val="000000" w:themeColor="text1"/>
        </w:rPr>
      </w:pPr>
    </w:p>
    <w:p w14:paraId="686CC949" w14:textId="77777777" w:rsidR="003405B7" w:rsidRPr="00B10FD1" w:rsidRDefault="003405B7" w:rsidP="006240B2">
      <w:pPr>
        <w:pStyle w:val="NormalWeb"/>
        <w:spacing w:before="120" w:beforeAutospacing="0" w:after="120" w:afterAutospacing="0" w:line="360" w:lineRule="auto"/>
        <w:jc w:val="both"/>
        <w:rPr>
          <w:rFonts w:ascii="Arial" w:hAnsi="Arial" w:cs="Arial"/>
          <w:b/>
          <w:color w:val="000000" w:themeColor="text1"/>
        </w:rPr>
      </w:pPr>
    </w:p>
    <w:p w14:paraId="3072ED42" w14:textId="77777777" w:rsidR="003405B7" w:rsidRPr="00B10FD1" w:rsidRDefault="003405B7" w:rsidP="006240B2">
      <w:pPr>
        <w:pStyle w:val="NormalWeb"/>
        <w:spacing w:before="120" w:beforeAutospacing="0" w:after="120" w:afterAutospacing="0" w:line="360" w:lineRule="auto"/>
        <w:jc w:val="both"/>
        <w:rPr>
          <w:rFonts w:ascii="Arial" w:hAnsi="Arial" w:cs="Arial"/>
          <w:b/>
          <w:color w:val="000000" w:themeColor="text1"/>
        </w:rPr>
      </w:pPr>
    </w:p>
    <w:p w14:paraId="4404BA7E" w14:textId="77777777" w:rsidR="003405B7" w:rsidRPr="00B10FD1" w:rsidRDefault="003405B7" w:rsidP="006240B2">
      <w:pPr>
        <w:pStyle w:val="NormalWeb"/>
        <w:spacing w:before="120" w:beforeAutospacing="0" w:after="120" w:afterAutospacing="0" w:line="360" w:lineRule="auto"/>
        <w:jc w:val="both"/>
        <w:rPr>
          <w:rFonts w:ascii="Arial" w:hAnsi="Arial" w:cs="Arial"/>
          <w:b/>
          <w:color w:val="000000" w:themeColor="text1"/>
        </w:rPr>
      </w:pPr>
    </w:p>
    <w:p w14:paraId="0473527D" w14:textId="77777777" w:rsidR="003405B7" w:rsidRPr="00B10FD1" w:rsidRDefault="003405B7" w:rsidP="006240B2">
      <w:pPr>
        <w:pStyle w:val="NormalWeb"/>
        <w:spacing w:before="120" w:beforeAutospacing="0" w:after="120" w:afterAutospacing="0" w:line="360" w:lineRule="auto"/>
        <w:jc w:val="both"/>
        <w:rPr>
          <w:rFonts w:ascii="Arial" w:hAnsi="Arial" w:cs="Arial"/>
          <w:b/>
          <w:color w:val="000000" w:themeColor="text1"/>
        </w:rPr>
      </w:pPr>
    </w:p>
    <w:p w14:paraId="5730294D" w14:textId="77777777" w:rsidR="003405B7" w:rsidRPr="00B10FD1" w:rsidRDefault="003405B7" w:rsidP="006240B2">
      <w:pPr>
        <w:pStyle w:val="NormalWeb"/>
        <w:spacing w:before="120" w:beforeAutospacing="0" w:after="120" w:afterAutospacing="0" w:line="360" w:lineRule="auto"/>
        <w:jc w:val="both"/>
        <w:rPr>
          <w:rFonts w:ascii="Arial" w:hAnsi="Arial" w:cs="Arial"/>
          <w:b/>
          <w:color w:val="000000" w:themeColor="text1"/>
        </w:rPr>
      </w:pPr>
    </w:p>
    <w:p w14:paraId="6DAD4909" w14:textId="77777777" w:rsidR="003405B7" w:rsidRPr="00B10FD1" w:rsidRDefault="003405B7" w:rsidP="006240B2">
      <w:pPr>
        <w:pStyle w:val="NormalWeb"/>
        <w:spacing w:before="120" w:beforeAutospacing="0" w:after="120" w:afterAutospacing="0" w:line="360" w:lineRule="auto"/>
        <w:jc w:val="both"/>
        <w:rPr>
          <w:rFonts w:ascii="Arial" w:hAnsi="Arial" w:cs="Arial"/>
          <w:b/>
          <w:color w:val="000000" w:themeColor="text1"/>
        </w:rPr>
      </w:pPr>
    </w:p>
    <w:p w14:paraId="2BD7C4D9" w14:textId="77777777" w:rsidR="003405B7" w:rsidRPr="00B10FD1" w:rsidRDefault="003405B7" w:rsidP="006240B2">
      <w:pPr>
        <w:pStyle w:val="NormalWeb"/>
        <w:spacing w:before="120" w:beforeAutospacing="0" w:after="120" w:afterAutospacing="0" w:line="360" w:lineRule="auto"/>
        <w:jc w:val="both"/>
        <w:rPr>
          <w:rFonts w:ascii="Arial" w:hAnsi="Arial" w:cs="Arial"/>
          <w:b/>
          <w:color w:val="000000" w:themeColor="text1"/>
        </w:rPr>
      </w:pPr>
    </w:p>
    <w:p w14:paraId="0FA785F0" w14:textId="77777777" w:rsidR="003405B7" w:rsidRPr="00B10FD1" w:rsidRDefault="003405B7" w:rsidP="006240B2">
      <w:pPr>
        <w:pStyle w:val="NormalWeb"/>
        <w:spacing w:before="120" w:beforeAutospacing="0" w:after="120" w:afterAutospacing="0" w:line="360" w:lineRule="auto"/>
        <w:jc w:val="center"/>
        <w:rPr>
          <w:rFonts w:ascii="Arial" w:hAnsi="Arial" w:cs="Arial"/>
          <w:b/>
          <w:sz w:val="32"/>
        </w:rPr>
      </w:pPr>
      <w:r w:rsidRPr="00B10FD1">
        <w:rPr>
          <w:rFonts w:ascii="Arial" w:hAnsi="Arial" w:cs="Arial"/>
          <w:b/>
          <w:sz w:val="32"/>
        </w:rPr>
        <w:lastRenderedPageBreak/>
        <w:t>DECLARATION</w:t>
      </w:r>
    </w:p>
    <w:p w14:paraId="28C9F825" w14:textId="77777777" w:rsidR="003405B7" w:rsidRPr="00B10FD1" w:rsidRDefault="003405B7" w:rsidP="006240B2">
      <w:pPr>
        <w:pStyle w:val="NormalWeb"/>
        <w:spacing w:before="120" w:beforeAutospacing="0" w:after="120" w:afterAutospacing="0" w:line="360" w:lineRule="auto"/>
        <w:jc w:val="both"/>
        <w:rPr>
          <w:rFonts w:ascii="Arial" w:hAnsi="Arial" w:cs="Arial"/>
          <w:sz w:val="22"/>
        </w:rPr>
      </w:pPr>
      <w:r w:rsidRPr="00B10FD1">
        <w:rPr>
          <w:rFonts w:ascii="Arial" w:hAnsi="Arial" w:cs="Arial"/>
          <w:sz w:val="22"/>
        </w:rPr>
        <w:t>I confirm that this work has not been submitted, in whole or in part, for any other award, and it is not concurrently under consideration for any qualification.</w:t>
      </w:r>
    </w:p>
    <w:p w14:paraId="67416082" w14:textId="0162FD60" w:rsidR="003405B7" w:rsidRPr="005834FB" w:rsidRDefault="003405B7" w:rsidP="006240B2">
      <w:pPr>
        <w:pStyle w:val="NormalWeb"/>
        <w:spacing w:before="120" w:beforeAutospacing="0" w:after="120" w:afterAutospacing="0"/>
        <w:jc w:val="both"/>
        <w:rPr>
          <w:rFonts w:ascii="Arial" w:hAnsi="Arial" w:cs="Arial"/>
          <w:sz w:val="22"/>
          <w:u w:val="single"/>
        </w:rPr>
      </w:pPr>
      <w:r w:rsidRPr="005834FB">
        <w:rPr>
          <w:rFonts w:ascii="Arial" w:hAnsi="Arial" w:cs="Arial"/>
          <w:sz w:val="22"/>
          <w:u w:val="single"/>
        </w:rPr>
        <w:t>Signed:</w:t>
      </w:r>
      <w:r w:rsidR="005834FB" w:rsidRPr="005834FB">
        <w:rPr>
          <w:rFonts w:ascii="Arial" w:hAnsi="Arial" w:cs="Arial"/>
          <w:sz w:val="22"/>
          <w:u w:val="single"/>
        </w:rPr>
        <w:t xml:space="preserve"> </w:t>
      </w:r>
      <w:proofErr w:type="spellStart"/>
      <w:r w:rsidR="005834FB" w:rsidRPr="005834FB">
        <w:rPr>
          <w:rFonts w:ascii="Arial" w:hAnsi="Arial" w:cs="Arial"/>
          <w:sz w:val="22"/>
          <w:u w:val="single"/>
        </w:rPr>
        <w:t>shabana</w:t>
      </w:r>
      <w:proofErr w:type="spellEnd"/>
    </w:p>
    <w:p w14:paraId="5220367D" w14:textId="516A268D" w:rsidR="003405B7" w:rsidRPr="00B10FD1" w:rsidRDefault="003405B7" w:rsidP="006240B2">
      <w:pPr>
        <w:pStyle w:val="NormalWeb"/>
        <w:spacing w:before="120" w:beforeAutospacing="0" w:after="120" w:afterAutospacing="0"/>
        <w:jc w:val="both"/>
        <w:rPr>
          <w:rFonts w:ascii="Arial" w:hAnsi="Arial" w:cs="Arial"/>
          <w:sz w:val="22"/>
        </w:rPr>
      </w:pPr>
      <w:r w:rsidRPr="00B10FD1">
        <w:rPr>
          <w:rFonts w:ascii="Arial" w:hAnsi="Arial" w:cs="Arial"/>
          <w:sz w:val="22"/>
        </w:rPr>
        <w:t xml:space="preserve">Name: </w:t>
      </w:r>
      <w:r w:rsidRPr="005834FB">
        <w:rPr>
          <w:rFonts w:ascii="Arial" w:hAnsi="Arial" w:cs="Arial"/>
          <w:sz w:val="22"/>
          <w:u w:val="single"/>
        </w:rPr>
        <w:t>Shabana</w:t>
      </w:r>
      <w:r w:rsidR="005834FB" w:rsidRPr="005834FB">
        <w:rPr>
          <w:rFonts w:ascii="Arial" w:hAnsi="Arial" w:cs="Arial"/>
          <w:sz w:val="22"/>
          <w:u w:val="single"/>
        </w:rPr>
        <w:t xml:space="preserve"> sharif</w:t>
      </w:r>
    </w:p>
    <w:p w14:paraId="38D73C64" w14:textId="121E5034" w:rsidR="003405B7" w:rsidRPr="00B10FD1" w:rsidRDefault="003405B7" w:rsidP="006240B2">
      <w:pPr>
        <w:pStyle w:val="NormalWeb"/>
        <w:spacing w:before="120" w:beforeAutospacing="0" w:after="120" w:afterAutospacing="0"/>
        <w:jc w:val="both"/>
        <w:rPr>
          <w:rFonts w:ascii="Arial" w:hAnsi="Arial" w:cs="Arial"/>
          <w:sz w:val="22"/>
        </w:rPr>
      </w:pPr>
      <w:r w:rsidRPr="00B10FD1">
        <w:rPr>
          <w:rFonts w:ascii="Arial" w:hAnsi="Arial" w:cs="Arial"/>
          <w:sz w:val="22"/>
        </w:rPr>
        <w:t xml:space="preserve">Date: </w:t>
      </w:r>
      <w:r w:rsidR="005834FB" w:rsidRPr="005834FB">
        <w:rPr>
          <w:rFonts w:ascii="Arial" w:hAnsi="Arial" w:cs="Arial"/>
          <w:sz w:val="22"/>
          <w:u w:val="single"/>
        </w:rPr>
        <w:t>28.11.2025</w:t>
      </w:r>
    </w:p>
    <w:p w14:paraId="3434A025" w14:textId="77777777" w:rsidR="003405B7" w:rsidRPr="00B10FD1" w:rsidRDefault="003405B7" w:rsidP="006240B2">
      <w:pPr>
        <w:pStyle w:val="NormalWeb"/>
        <w:spacing w:before="120" w:beforeAutospacing="0" w:after="120" w:afterAutospacing="0" w:line="360" w:lineRule="auto"/>
        <w:jc w:val="both"/>
        <w:rPr>
          <w:rFonts w:ascii="Arial" w:hAnsi="Arial" w:cs="Arial"/>
          <w:b/>
          <w:sz w:val="22"/>
        </w:rPr>
      </w:pPr>
      <w:r w:rsidRPr="00B10FD1">
        <w:rPr>
          <w:rFonts w:ascii="Arial" w:hAnsi="Arial" w:cs="Arial"/>
          <w:b/>
          <w:sz w:val="22"/>
        </w:rPr>
        <w:t>STATEMENT 1</w:t>
      </w:r>
    </w:p>
    <w:p w14:paraId="61F080C8" w14:textId="77777777" w:rsidR="003405B7" w:rsidRPr="00B10FD1" w:rsidRDefault="003405B7" w:rsidP="006240B2">
      <w:pPr>
        <w:pStyle w:val="NormalWeb"/>
        <w:spacing w:before="120" w:beforeAutospacing="0" w:after="120" w:afterAutospacing="0" w:line="360" w:lineRule="auto"/>
        <w:jc w:val="both"/>
        <w:rPr>
          <w:rFonts w:ascii="Arial" w:hAnsi="Arial" w:cs="Arial"/>
          <w:sz w:val="22"/>
        </w:rPr>
      </w:pPr>
      <w:r w:rsidRPr="00B10FD1">
        <w:rPr>
          <w:rFonts w:ascii="Arial" w:hAnsi="Arial" w:cs="Arial"/>
          <w:sz w:val="22"/>
        </w:rPr>
        <w:t>I submit this dissertation in partial fulfilment of the requirements for the award of the BSc degree.</w:t>
      </w:r>
    </w:p>
    <w:p w14:paraId="62897496" w14:textId="25B0A143" w:rsidR="003405B7" w:rsidRPr="00B10FD1" w:rsidRDefault="003405B7" w:rsidP="006240B2">
      <w:pPr>
        <w:pStyle w:val="NormalWeb"/>
        <w:spacing w:before="120" w:beforeAutospacing="0" w:after="120" w:afterAutospacing="0"/>
        <w:jc w:val="both"/>
        <w:rPr>
          <w:rFonts w:ascii="Arial" w:hAnsi="Arial" w:cs="Arial"/>
          <w:sz w:val="22"/>
        </w:rPr>
      </w:pPr>
      <w:proofErr w:type="spellStart"/>
      <w:proofErr w:type="gramStart"/>
      <w:r w:rsidRPr="00B10FD1">
        <w:rPr>
          <w:rFonts w:ascii="Arial" w:hAnsi="Arial" w:cs="Arial"/>
          <w:sz w:val="22"/>
        </w:rPr>
        <w:t>Signed</w:t>
      </w:r>
      <w:r w:rsidRPr="005834FB">
        <w:rPr>
          <w:rFonts w:ascii="Arial" w:hAnsi="Arial" w:cs="Arial"/>
          <w:sz w:val="22"/>
          <w:u w:val="single"/>
        </w:rPr>
        <w:t>:</w:t>
      </w:r>
      <w:r w:rsidR="005834FB" w:rsidRPr="005834FB">
        <w:rPr>
          <w:rFonts w:ascii="Arial" w:hAnsi="Arial" w:cs="Arial"/>
          <w:sz w:val="22"/>
          <w:u w:val="single"/>
        </w:rPr>
        <w:t>Shabana</w:t>
      </w:r>
      <w:proofErr w:type="spellEnd"/>
      <w:proofErr w:type="gramEnd"/>
    </w:p>
    <w:p w14:paraId="4E4A88F7" w14:textId="302283DB" w:rsidR="003405B7" w:rsidRPr="00B10FD1" w:rsidRDefault="003405B7" w:rsidP="006240B2">
      <w:pPr>
        <w:pStyle w:val="NormalWeb"/>
        <w:spacing w:before="120" w:beforeAutospacing="0" w:after="120" w:afterAutospacing="0"/>
        <w:jc w:val="both"/>
        <w:rPr>
          <w:rFonts w:ascii="Arial" w:hAnsi="Arial" w:cs="Arial"/>
          <w:sz w:val="22"/>
        </w:rPr>
      </w:pPr>
      <w:r w:rsidRPr="00B10FD1">
        <w:rPr>
          <w:rFonts w:ascii="Arial" w:hAnsi="Arial" w:cs="Arial"/>
          <w:sz w:val="22"/>
        </w:rPr>
        <w:t xml:space="preserve">Name: </w:t>
      </w:r>
      <w:r w:rsidRPr="005834FB">
        <w:rPr>
          <w:rFonts w:ascii="Arial" w:hAnsi="Arial" w:cs="Arial"/>
          <w:sz w:val="22"/>
          <w:u w:val="single"/>
        </w:rPr>
        <w:t>Shabana</w:t>
      </w:r>
      <w:r w:rsidR="005834FB" w:rsidRPr="005834FB">
        <w:rPr>
          <w:rFonts w:ascii="Arial" w:hAnsi="Arial" w:cs="Arial"/>
          <w:sz w:val="22"/>
          <w:u w:val="single"/>
        </w:rPr>
        <w:t xml:space="preserve"> sharif</w:t>
      </w:r>
    </w:p>
    <w:p w14:paraId="1C7549D8" w14:textId="4FF5A198" w:rsidR="003405B7" w:rsidRPr="00B10FD1" w:rsidRDefault="003405B7" w:rsidP="006240B2">
      <w:pPr>
        <w:pStyle w:val="NormalWeb"/>
        <w:spacing w:before="120" w:beforeAutospacing="0" w:after="120" w:afterAutospacing="0"/>
        <w:jc w:val="both"/>
        <w:rPr>
          <w:rFonts w:ascii="Arial" w:hAnsi="Arial" w:cs="Arial"/>
          <w:sz w:val="22"/>
        </w:rPr>
      </w:pPr>
      <w:r w:rsidRPr="00B10FD1">
        <w:rPr>
          <w:rFonts w:ascii="Arial" w:hAnsi="Arial" w:cs="Arial"/>
          <w:sz w:val="22"/>
        </w:rPr>
        <w:t xml:space="preserve">Date: </w:t>
      </w:r>
      <w:r w:rsidR="005834FB" w:rsidRPr="005834FB">
        <w:rPr>
          <w:rFonts w:ascii="Arial" w:hAnsi="Arial" w:cs="Arial"/>
          <w:sz w:val="22"/>
          <w:u w:val="single"/>
        </w:rPr>
        <w:t>28.11.2025</w:t>
      </w:r>
    </w:p>
    <w:p w14:paraId="5A9E9C57" w14:textId="77777777" w:rsidR="003405B7" w:rsidRPr="00B10FD1" w:rsidRDefault="003405B7" w:rsidP="006240B2">
      <w:pPr>
        <w:pStyle w:val="NormalWeb"/>
        <w:spacing w:before="120" w:beforeAutospacing="0" w:after="120" w:afterAutospacing="0" w:line="360" w:lineRule="auto"/>
        <w:jc w:val="both"/>
        <w:rPr>
          <w:rFonts w:ascii="Arial" w:hAnsi="Arial" w:cs="Arial"/>
          <w:b/>
          <w:sz w:val="22"/>
        </w:rPr>
      </w:pPr>
      <w:r w:rsidRPr="00B10FD1">
        <w:rPr>
          <w:rFonts w:ascii="Arial" w:hAnsi="Arial" w:cs="Arial"/>
          <w:b/>
          <w:sz w:val="22"/>
        </w:rPr>
        <w:t>STATEMENT 2</w:t>
      </w:r>
    </w:p>
    <w:p w14:paraId="11E08A47" w14:textId="77777777" w:rsidR="003405B7" w:rsidRPr="00B10FD1" w:rsidRDefault="003405B7" w:rsidP="006240B2">
      <w:pPr>
        <w:pStyle w:val="NormalWeb"/>
        <w:spacing w:before="120" w:beforeAutospacing="0" w:after="120" w:afterAutospacing="0" w:line="360" w:lineRule="auto"/>
        <w:jc w:val="both"/>
        <w:rPr>
          <w:rFonts w:ascii="Arial" w:hAnsi="Arial" w:cs="Arial"/>
          <w:sz w:val="22"/>
        </w:rPr>
      </w:pPr>
      <w:r w:rsidRPr="00B10FD1">
        <w:rPr>
          <w:rFonts w:ascii="Arial" w:hAnsi="Arial" w:cs="Arial"/>
          <w:sz w:val="22"/>
        </w:rPr>
        <w:t>This dissertation is the product of my own independent study, except where specific acknowledgements are made. All sources have been cited with full references, and a complete bibliography is included.</w:t>
      </w:r>
    </w:p>
    <w:p w14:paraId="6E258302" w14:textId="1D6BE591" w:rsidR="003405B7" w:rsidRPr="00B10FD1" w:rsidRDefault="003405B7" w:rsidP="006240B2">
      <w:pPr>
        <w:pStyle w:val="NormalWeb"/>
        <w:spacing w:before="120" w:beforeAutospacing="0" w:after="120" w:afterAutospacing="0"/>
        <w:jc w:val="both"/>
        <w:rPr>
          <w:rFonts w:ascii="Arial" w:hAnsi="Arial" w:cs="Arial"/>
          <w:sz w:val="22"/>
        </w:rPr>
      </w:pPr>
      <w:r w:rsidRPr="00B10FD1">
        <w:rPr>
          <w:rFonts w:ascii="Arial" w:hAnsi="Arial" w:cs="Arial"/>
          <w:sz w:val="22"/>
        </w:rPr>
        <w:t xml:space="preserve">Signed: </w:t>
      </w:r>
      <w:r w:rsidR="005834FB">
        <w:rPr>
          <w:rFonts w:ascii="Arial" w:hAnsi="Arial" w:cs="Arial"/>
          <w:sz w:val="22"/>
        </w:rPr>
        <w:t>Shabana</w:t>
      </w:r>
    </w:p>
    <w:p w14:paraId="301FCCED" w14:textId="4FF41DAE" w:rsidR="003405B7" w:rsidRPr="00B10FD1" w:rsidRDefault="003405B7" w:rsidP="006240B2">
      <w:pPr>
        <w:pStyle w:val="NormalWeb"/>
        <w:spacing w:before="120" w:beforeAutospacing="0" w:after="120" w:afterAutospacing="0"/>
        <w:jc w:val="both"/>
        <w:rPr>
          <w:rFonts w:ascii="Arial" w:hAnsi="Arial" w:cs="Arial"/>
          <w:sz w:val="22"/>
        </w:rPr>
      </w:pPr>
      <w:r w:rsidRPr="00B10FD1">
        <w:rPr>
          <w:rFonts w:ascii="Arial" w:hAnsi="Arial" w:cs="Arial"/>
          <w:sz w:val="22"/>
        </w:rPr>
        <w:t>Name: Shabana</w:t>
      </w:r>
      <w:r w:rsidR="005834FB">
        <w:rPr>
          <w:rFonts w:ascii="Arial" w:hAnsi="Arial" w:cs="Arial"/>
          <w:sz w:val="22"/>
        </w:rPr>
        <w:t xml:space="preserve"> sharif</w:t>
      </w:r>
    </w:p>
    <w:p w14:paraId="4F057AD6" w14:textId="328A0D3F" w:rsidR="003405B7" w:rsidRPr="00B10FD1" w:rsidRDefault="003405B7" w:rsidP="006240B2">
      <w:pPr>
        <w:pStyle w:val="NormalWeb"/>
        <w:spacing w:before="120" w:beforeAutospacing="0" w:after="120" w:afterAutospacing="0"/>
        <w:jc w:val="both"/>
        <w:rPr>
          <w:rFonts w:ascii="Arial" w:hAnsi="Arial" w:cs="Arial"/>
          <w:sz w:val="22"/>
        </w:rPr>
      </w:pPr>
      <w:r w:rsidRPr="00B10FD1">
        <w:rPr>
          <w:rFonts w:ascii="Arial" w:hAnsi="Arial" w:cs="Arial"/>
          <w:sz w:val="22"/>
        </w:rPr>
        <w:t>Date:</w:t>
      </w:r>
      <w:r w:rsidR="005834FB">
        <w:rPr>
          <w:rFonts w:ascii="Arial" w:hAnsi="Arial" w:cs="Arial"/>
          <w:sz w:val="22"/>
        </w:rPr>
        <w:t>28.11.2025</w:t>
      </w:r>
    </w:p>
    <w:p w14:paraId="20463C4F" w14:textId="77777777" w:rsidR="003405B7" w:rsidRPr="00B10FD1" w:rsidRDefault="003405B7" w:rsidP="006240B2">
      <w:pPr>
        <w:pStyle w:val="NormalWeb"/>
        <w:spacing w:before="120" w:beforeAutospacing="0" w:after="120" w:afterAutospacing="0" w:line="360" w:lineRule="auto"/>
        <w:jc w:val="both"/>
        <w:rPr>
          <w:rFonts w:ascii="Arial" w:hAnsi="Arial" w:cs="Arial"/>
          <w:b/>
          <w:sz w:val="22"/>
        </w:rPr>
      </w:pPr>
      <w:r w:rsidRPr="00B10FD1">
        <w:rPr>
          <w:rFonts w:ascii="Arial" w:hAnsi="Arial" w:cs="Arial"/>
          <w:b/>
          <w:sz w:val="22"/>
        </w:rPr>
        <w:t>STATEMENT 3</w:t>
      </w:r>
    </w:p>
    <w:p w14:paraId="41847100" w14:textId="77777777" w:rsidR="003405B7" w:rsidRPr="00B10FD1" w:rsidRDefault="003405B7" w:rsidP="006240B2">
      <w:pPr>
        <w:pStyle w:val="NormalWeb"/>
        <w:spacing w:before="120" w:beforeAutospacing="0" w:after="120" w:afterAutospacing="0" w:line="360" w:lineRule="auto"/>
        <w:jc w:val="both"/>
        <w:rPr>
          <w:rFonts w:ascii="Arial" w:hAnsi="Arial" w:cs="Arial"/>
          <w:sz w:val="22"/>
        </w:rPr>
      </w:pPr>
      <w:r w:rsidRPr="00B10FD1">
        <w:rPr>
          <w:rFonts w:ascii="Arial" w:hAnsi="Arial" w:cs="Arial"/>
          <w:sz w:val="22"/>
        </w:rPr>
        <w:t xml:space="preserve">If this dissertation is accepted, I </w:t>
      </w:r>
      <w:proofErr w:type="spellStart"/>
      <w:r w:rsidRPr="00B10FD1">
        <w:rPr>
          <w:rFonts w:ascii="Arial" w:hAnsi="Arial" w:cs="Arial"/>
          <w:sz w:val="22"/>
        </w:rPr>
        <w:t>authorise</w:t>
      </w:r>
      <w:proofErr w:type="spellEnd"/>
      <w:r w:rsidRPr="00B10FD1">
        <w:rPr>
          <w:rFonts w:ascii="Arial" w:hAnsi="Arial" w:cs="Arial"/>
          <w:sz w:val="22"/>
        </w:rPr>
        <w:t xml:space="preserve"> its availability for photocopying and interlibrary loan, and consent to the title and abstract being shared with external organisations.</w:t>
      </w:r>
    </w:p>
    <w:p w14:paraId="10EFDFB9" w14:textId="639B31AF" w:rsidR="003405B7" w:rsidRPr="00B10FD1" w:rsidRDefault="003405B7" w:rsidP="006240B2">
      <w:pPr>
        <w:pStyle w:val="NormalWeb"/>
        <w:spacing w:before="120" w:beforeAutospacing="0" w:after="120" w:afterAutospacing="0"/>
        <w:jc w:val="both"/>
        <w:rPr>
          <w:rFonts w:ascii="Arial" w:hAnsi="Arial" w:cs="Arial"/>
          <w:sz w:val="22"/>
        </w:rPr>
      </w:pPr>
      <w:r w:rsidRPr="00B10FD1">
        <w:rPr>
          <w:rFonts w:ascii="Arial" w:hAnsi="Arial" w:cs="Arial"/>
          <w:sz w:val="22"/>
        </w:rPr>
        <w:t xml:space="preserve">Signed: </w:t>
      </w:r>
      <w:r w:rsidR="005834FB" w:rsidRPr="005834FB">
        <w:rPr>
          <w:rFonts w:ascii="Arial" w:hAnsi="Arial" w:cs="Arial"/>
          <w:sz w:val="22"/>
          <w:u w:val="single"/>
        </w:rPr>
        <w:t>Shabana</w:t>
      </w:r>
    </w:p>
    <w:p w14:paraId="5D668410" w14:textId="4B885E7F" w:rsidR="003405B7" w:rsidRPr="00B10FD1" w:rsidRDefault="003405B7" w:rsidP="006240B2">
      <w:pPr>
        <w:pStyle w:val="NormalWeb"/>
        <w:spacing w:before="120" w:beforeAutospacing="0" w:after="120" w:afterAutospacing="0"/>
        <w:jc w:val="both"/>
        <w:rPr>
          <w:rFonts w:ascii="Arial" w:hAnsi="Arial" w:cs="Arial"/>
          <w:sz w:val="22"/>
        </w:rPr>
      </w:pPr>
      <w:r w:rsidRPr="00B10FD1">
        <w:rPr>
          <w:rFonts w:ascii="Arial" w:hAnsi="Arial" w:cs="Arial"/>
          <w:sz w:val="22"/>
        </w:rPr>
        <w:t>Name: Shabana</w:t>
      </w:r>
      <w:r w:rsidR="005834FB">
        <w:rPr>
          <w:rFonts w:ascii="Arial" w:hAnsi="Arial" w:cs="Arial"/>
          <w:sz w:val="22"/>
        </w:rPr>
        <w:t xml:space="preserve"> sharif</w:t>
      </w:r>
    </w:p>
    <w:p w14:paraId="40E53B12" w14:textId="5110D19E" w:rsidR="003405B7" w:rsidRPr="00B10FD1" w:rsidRDefault="003405B7" w:rsidP="006240B2">
      <w:pPr>
        <w:pStyle w:val="NormalWeb"/>
        <w:spacing w:before="120" w:beforeAutospacing="0" w:after="120" w:afterAutospacing="0"/>
        <w:jc w:val="both"/>
        <w:rPr>
          <w:rFonts w:ascii="Arial" w:hAnsi="Arial" w:cs="Arial"/>
          <w:sz w:val="22"/>
        </w:rPr>
      </w:pPr>
      <w:r w:rsidRPr="00B10FD1">
        <w:rPr>
          <w:rFonts w:ascii="Arial" w:hAnsi="Arial" w:cs="Arial"/>
          <w:sz w:val="22"/>
        </w:rPr>
        <w:t>Date:</w:t>
      </w:r>
      <w:r w:rsidR="005834FB">
        <w:rPr>
          <w:rFonts w:ascii="Arial" w:hAnsi="Arial" w:cs="Arial"/>
          <w:sz w:val="22"/>
        </w:rPr>
        <w:t>28.11.2025</w:t>
      </w:r>
    </w:p>
    <w:p w14:paraId="3517F28A" w14:textId="77777777" w:rsidR="003405B7" w:rsidRPr="00B10FD1" w:rsidRDefault="003405B7" w:rsidP="006240B2">
      <w:pPr>
        <w:pStyle w:val="NormalWeb"/>
        <w:spacing w:before="120" w:beforeAutospacing="0" w:after="120" w:afterAutospacing="0" w:line="360" w:lineRule="auto"/>
        <w:jc w:val="both"/>
        <w:rPr>
          <w:rFonts w:ascii="Arial" w:hAnsi="Arial" w:cs="Arial"/>
          <w:b/>
          <w:sz w:val="22"/>
        </w:rPr>
      </w:pPr>
      <w:r w:rsidRPr="00B10FD1">
        <w:rPr>
          <w:rFonts w:ascii="Arial" w:hAnsi="Arial" w:cs="Arial"/>
          <w:b/>
          <w:sz w:val="22"/>
        </w:rPr>
        <w:t>STATEMENT 4</w:t>
      </w:r>
    </w:p>
    <w:p w14:paraId="72C0592B" w14:textId="77777777" w:rsidR="003405B7" w:rsidRPr="00B10FD1" w:rsidRDefault="003405B7" w:rsidP="006240B2">
      <w:pPr>
        <w:pStyle w:val="NormalWeb"/>
        <w:spacing w:before="120" w:beforeAutospacing="0" w:after="120" w:afterAutospacing="0" w:line="360" w:lineRule="auto"/>
        <w:jc w:val="both"/>
        <w:rPr>
          <w:rFonts w:ascii="Arial" w:hAnsi="Arial" w:cs="Arial"/>
          <w:sz w:val="22"/>
        </w:rPr>
      </w:pPr>
      <w:r w:rsidRPr="00B10FD1">
        <w:rPr>
          <w:rFonts w:ascii="Arial" w:hAnsi="Arial" w:cs="Arial"/>
          <w:sz w:val="22"/>
        </w:rPr>
        <w:t xml:space="preserve">If this dissertation is accepted, I consent to it being made available on the university’s IT systems to </w:t>
      </w:r>
      <w:proofErr w:type="spellStart"/>
      <w:r w:rsidRPr="00B10FD1">
        <w:rPr>
          <w:rFonts w:ascii="Arial" w:hAnsi="Arial" w:cs="Arial"/>
          <w:sz w:val="22"/>
        </w:rPr>
        <w:t>authorised</w:t>
      </w:r>
      <w:proofErr w:type="spellEnd"/>
      <w:r w:rsidRPr="00B10FD1">
        <w:rPr>
          <w:rFonts w:ascii="Arial" w:hAnsi="Arial" w:cs="Arial"/>
          <w:sz w:val="22"/>
        </w:rPr>
        <w:t xml:space="preserve"> users.</w:t>
      </w:r>
    </w:p>
    <w:p w14:paraId="5829B9EF" w14:textId="7780653E" w:rsidR="003405B7" w:rsidRPr="00B10FD1" w:rsidRDefault="003405B7" w:rsidP="006240B2">
      <w:pPr>
        <w:pStyle w:val="NormalWeb"/>
        <w:spacing w:before="120" w:beforeAutospacing="0" w:after="120" w:afterAutospacing="0"/>
        <w:jc w:val="both"/>
        <w:rPr>
          <w:rFonts w:ascii="Arial" w:hAnsi="Arial" w:cs="Arial"/>
          <w:sz w:val="22"/>
        </w:rPr>
      </w:pPr>
      <w:r w:rsidRPr="00B10FD1">
        <w:rPr>
          <w:rFonts w:ascii="Arial" w:hAnsi="Arial" w:cs="Arial"/>
          <w:sz w:val="22"/>
        </w:rPr>
        <w:t>Signed:</w:t>
      </w:r>
      <w:r w:rsidR="005834FB">
        <w:rPr>
          <w:rFonts w:ascii="Arial" w:hAnsi="Arial" w:cs="Arial"/>
          <w:sz w:val="22"/>
        </w:rPr>
        <w:t xml:space="preserve"> Shabana</w:t>
      </w:r>
    </w:p>
    <w:p w14:paraId="53CEF4A4" w14:textId="1ABF8A24" w:rsidR="003405B7" w:rsidRPr="00B10FD1" w:rsidRDefault="003405B7" w:rsidP="006240B2">
      <w:pPr>
        <w:pStyle w:val="NormalWeb"/>
        <w:spacing w:before="120" w:beforeAutospacing="0" w:after="120" w:afterAutospacing="0"/>
        <w:jc w:val="both"/>
        <w:rPr>
          <w:rFonts w:ascii="Arial" w:hAnsi="Arial" w:cs="Arial"/>
          <w:sz w:val="22"/>
        </w:rPr>
      </w:pPr>
      <w:r w:rsidRPr="00B10FD1">
        <w:rPr>
          <w:rFonts w:ascii="Arial" w:hAnsi="Arial" w:cs="Arial"/>
          <w:sz w:val="22"/>
        </w:rPr>
        <w:t>Name: Shabana</w:t>
      </w:r>
      <w:r w:rsidR="005834FB">
        <w:rPr>
          <w:rFonts w:ascii="Arial" w:hAnsi="Arial" w:cs="Arial"/>
          <w:sz w:val="22"/>
        </w:rPr>
        <w:t xml:space="preserve"> sharif</w:t>
      </w:r>
    </w:p>
    <w:p w14:paraId="458C2A38" w14:textId="51DC7192" w:rsidR="003405B7" w:rsidRPr="00B10FD1" w:rsidRDefault="003405B7" w:rsidP="006240B2">
      <w:pPr>
        <w:pStyle w:val="NormalWeb"/>
        <w:spacing w:before="120" w:beforeAutospacing="0" w:after="120" w:afterAutospacing="0"/>
        <w:jc w:val="both"/>
        <w:rPr>
          <w:rFonts w:ascii="Arial" w:hAnsi="Arial" w:cs="Arial"/>
          <w:sz w:val="22"/>
        </w:rPr>
      </w:pPr>
      <w:r w:rsidRPr="00B10FD1">
        <w:rPr>
          <w:rFonts w:ascii="Arial" w:hAnsi="Arial" w:cs="Arial"/>
          <w:sz w:val="22"/>
        </w:rPr>
        <w:t xml:space="preserve">Date: </w:t>
      </w:r>
      <w:r w:rsidR="005834FB">
        <w:rPr>
          <w:rFonts w:ascii="Arial" w:hAnsi="Arial" w:cs="Arial"/>
          <w:sz w:val="22"/>
        </w:rPr>
        <w:t>28.11.2025</w:t>
      </w:r>
    </w:p>
    <w:p w14:paraId="2D3C7CBD" w14:textId="77777777" w:rsidR="003405B7" w:rsidRPr="00B10FD1" w:rsidRDefault="003405B7" w:rsidP="006240B2">
      <w:pPr>
        <w:pStyle w:val="NormalWeb"/>
        <w:spacing w:before="120" w:beforeAutospacing="0" w:after="120" w:afterAutospacing="0" w:line="360" w:lineRule="auto"/>
        <w:jc w:val="both"/>
        <w:rPr>
          <w:rFonts w:ascii="Arial" w:hAnsi="Arial" w:cs="Arial"/>
          <w:b/>
          <w:color w:val="000000" w:themeColor="text1"/>
        </w:rPr>
      </w:pPr>
    </w:p>
    <w:p w14:paraId="048A22B3" w14:textId="77777777" w:rsidR="003405B7" w:rsidRPr="00B10FD1" w:rsidRDefault="003405B7" w:rsidP="006240B2">
      <w:pPr>
        <w:pStyle w:val="NormalWeb"/>
        <w:spacing w:before="120" w:beforeAutospacing="0" w:after="120" w:afterAutospacing="0" w:line="360" w:lineRule="auto"/>
        <w:jc w:val="both"/>
        <w:rPr>
          <w:rFonts w:ascii="Arial" w:hAnsi="Arial" w:cs="Arial"/>
          <w:b/>
          <w:color w:val="000000" w:themeColor="text1"/>
        </w:rPr>
      </w:pPr>
    </w:p>
    <w:p w14:paraId="4261DDCE" w14:textId="77777777" w:rsidR="006240B2" w:rsidRPr="00B10FD1" w:rsidRDefault="006240B2" w:rsidP="006240B2">
      <w:pPr>
        <w:pStyle w:val="NormalWeb"/>
        <w:spacing w:before="120" w:beforeAutospacing="0" w:after="120" w:afterAutospacing="0" w:line="360" w:lineRule="auto"/>
        <w:rPr>
          <w:rFonts w:ascii="Arial" w:hAnsi="Arial" w:cs="Arial"/>
          <w:b/>
          <w:color w:val="000000" w:themeColor="text1"/>
        </w:rPr>
      </w:pPr>
    </w:p>
    <w:p w14:paraId="3F870B31" w14:textId="77777777" w:rsidR="006240B2" w:rsidRPr="00B10FD1" w:rsidRDefault="006240B2" w:rsidP="006240B2">
      <w:pPr>
        <w:pStyle w:val="NormalWeb"/>
        <w:spacing w:before="120" w:beforeAutospacing="0" w:after="120" w:afterAutospacing="0" w:line="360" w:lineRule="auto"/>
        <w:rPr>
          <w:rFonts w:ascii="Arial" w:hAnsi="Arial" w:cs="Arial"/>
          <w:b/>
          <w:color w:val="000000" w:themeColor="text1"/>
          <w:sz w:val="32"/>
        </w:rPr>
      </w:pPr>
    </w:p>
    <w:p w14:paraId="3AC52B19" w14:textId="77777777" w:rsidR="006240B2" w:rsidRPr="00B10FD1" w:rsidRDefault="006240B2" w:rsidP="006240B2">
      <w:pPr>
        <w:pStyle w:val="NormalWeb"/>
        <w:spacing w:before="120" w:beforeAutospacing="0" w:after="120" w:afterAutospacing="0" w:line="360" w:lineRule="auto"/>
        <w:jc w:val="center"/>
        <w:rPr>
          <w:rFonts w:ascii="Arial" w:hAnsi="Arial" w:cs="Arial"/>
          <w:b/>
          <w:color w:val="000000" w:themeColor="text1"/>
          <w:sz w:val="32"/>
        </w:rPr>
      </w:pPr>
    </w:p>
    <w:p w14:paraId="39131ED2" w14:textId="77777777" w:rsidR="006F50C8" w:rsidRPr="00B10FD1" w:rsidRDefault="006F50C8" w:rsidP="006240B2">
      <w:pPr>
        <w:pStyle w:val="NormalWeb"/>
        <w:spacing w:before="120" w:beforeAutospacing="0" w:after="120" w:afterAutospacing="0" w:line="360" w:lineRule="auto"/>
        <w:jc w:val="center"/>
        <w:rPr>
          <w:rFonts w:ascii="Arial" w:hAnsi="Arial" w:cs="Arial"/>
          <w:b/>
          <w:color w:val="000000" w:themeColor="text1"/>
          <w:sz w:val="32"/>
        </w:rPr>
      </w:pPr>
      <w:r w:rsidRPr="00B10FD1">
        <w:rPr>
          <w:rFonts w:ascii="Arial" w:hAnsi="Arial" w:cs="Arial"/>
          <w:b/>
          <w:color w:val="000000" w:themeColor="text1"/>
          <w:sz w:val="32"/>
        </w:rPr>
        <w:t>The Impact of Social Isolation On the Mental Health of Older Adults in The UK: A Systematic Review of Qualitative Evidence</w:t>
      </w:r>
    </w:p>
    <w:p w14:paraId="2D9235BB" w14:textId="77777777" w:rsidR="006240B2" w:rsidRPr="00B10FD1" w:rsidRDefault="006240B2" w:rsidP="006240B2">
      <w:pPr>
        <w:pStyle w:val="NormalWeb"/>
        <w:spacing w:before="120" w:beforeAutospacing="0" w:after="120" w:afterAutospacing="0" w:line="360" w:lineRule="auto"/>
        <w:jc w:val="center"/>
        <w:rPr>
          <w:rFonts w:ascii="Arial" w:hAnsi="Arial" w:cs="Arial"/>
          <w:b/>
          <w:color w:val="000000" w:themeColor="text1"/>
          <w:sz w:val="32"/>
        </w:rPr>
      </w:pPr>
    </w:p>
    <w:p w14:paraId="5D241FCC" w14:textId="77777777" w:rsidR="006240B2" w:rsidRPr="00B10FD1" w:rsidRDefault="006240B2" w:rsidP="006240B2">
      <w:pPr>
        <w:pStyle w:val="NormalWeb"/>
        <w:spacing w:before="120" w:beforeAutospacing="0" w:after="120" w:afterAutospacing="0" w:line="360" w:lineRule="auto"/>
        <w:jc w:val="center"/>
        <w:rPr>
          <w:rFonts w:ascii="Arial" w:hAnsi="Arial" w:cs="Arial"/>
          <w:b/>
          <w:color w:val="000000" w:themeColor="text1"/>
          <w:sz w:val="32"/>
        </w:rPr>
      </w:pPr>
    </w:p>
    <w:p w14:paraId="4DE4BF48" w14:textId="6D6D373B" w:rsidR="006F50C8" w:rsidRPr="00B10FD1" w:rsidRDefault="003405B7" w:rsidP="006240B2">
      <w:pPr>
        <w:pStyle w:val="NormalWeb"/>
        <w:spacing w:before="120" w:beforeAutospacing="0" w:after="120" w:afterAutospacing="0" w:line="360" w:lineRule="auto"/>
        <w:jc w:val="center"/>
        <w:rPr>
          <w:rFonts w:ascii="Arial" w:hAnsi="Arial" w:cs="Arial"/>
          <w:b/>
          <w:color w:val="000000" w:themeColor="text1"/>
        </w:rPr>
      </w:pPr>
      <w:r w:rsidRPr="00B10FD1">
        <w:rPr>
          <w:rFonts w:ascii="Arial" w:hAnsi="Arial" w:cs="Arial"/>
          <w:b/>
          <w:color w:val="000000" w:themeColor="text1"/>
        </w:rPr>
        <w:t xml:space="preserve">Student </w:t>
      </w:r>
      <w:proofErr w:type="spellStart"/>
      <w:proofErr w:type="gramStart"/>
      <w:r w:rsidRPr="00B10FD1">
        <w:rPr>
          <w:rFonts w:ascii="Arial" w:hAnsi="Arial" w:cs="Arial"/>
          <w:b/>
          <w:color w:val="000000" w:themeColor="text1"/>
        </w:rPr>
        <w:t>Name:</w:t>
      </w:r>
      <w:r w:rsidR="005834FB">
        <w:rPr>
          <w:rFonts w:ascii="Arial" w:hAnsi="Arial" w:cs="Arial"/>
          <w:b/>
          <w:color w:val="000000" w:themeColor="text1"/>
        </w:rPr>
        <w:t>Shabana</w:t>
      </w:r>
      <w:proofErr w:type="spellEnd"/>
      <w:proofErr w:type="gramEnd"/>
      <w:r w:rsidR="005834FB">
        <w:rPr>
          <w:rFonts w:ascii="Arial" w:hAnsi="Arial" w:cs="Arial"/>
          <w:b/>
          <w:color w:val="000000" w:themeColor="text1"/>
        </w:rPr>
        <w:t xml:space="preserve"> sharif</w:t>
      </w:r>
    </w:p>
    <w:p w14:paraId="5B8B15C1" w14:textId="364A2ECC" w:rsidR="003405B7" w:rsidRPr="00B10FD1" w:rsidRDefault="003405B7" w:rsidP="006240B2">
      <w:pPr>
        <w:pStyle w:val="NormalWeb"/>
        <w:spacing w:before="120" w:beforeAutospacing="0" w:after="120" w:afterAutospacing="0" w:line="360" w:lineRule="auto"/>
        <w:jc w:val="center"/>
        <w:rPr>
          <w:rFonts w:ascii="Arial" w:hAnsi="Arial" w:cs="Arial"/>
          <w:b/>
          <w:color w:val="000000" w:themeColor="text1"/>
        </w:rPr>
      </w:pPr>
      <w:r w:rsidRPr="00B10FD1">
        <w:rPr>
          <w:rFonts w:ascii="Arial" w:hAnsi="Arial" w:cs="Arial"/>
          <w:b/>
          <w:color w:val="000000" w:themeColor="text1"/>
        </w:rPr>
        <w:t>Student ID:</w:t>
      </w:r>
      <w:r w:rsidR="005834FB">
        <w:rPr>
          <w:rFonts w:ascii="Arial" w:hAnsi="Arial" w:cs="Arial"/>
          <w:b/>
          <w:color w:val="000000" w:themeColor="text1"/>
        </w:rPr>
        <w:t>2026633</w:t>
      </w:r>
    </w:p>
    <w:p w14:paraId="01CE7CD6" w14:textId="77777777" w:rsidR="006F50C8" w:rsidRPr="00B10FD1" w:rsidRDefault="006F50C8" w:rsidP="006240B2">
      <w:pPr>
        <w:pStyle w:val="NormalWeb"/>
        <w:spacing w:before="120" w:beforeAutospacing="0" w:after="120" w:afterAutospacing="0" w:line="360" w:lineRule="auto"/>
        <w:jc w:val="center"/>
        <w:rPr>
          <w:rFonts w:ascii="Arial" w:hAnsi="Arial" w:cs="Arial"/>
          <w:b/>
          <w:color w:val="000000" w:themeColor="text1"/>
        </w:rPr>
      </w:pPr>
    </w:p>
    <w:p w14:paraId="6997CA8C" w14:textId="77777777" w:rsidR="006240B2" w:rsidRPr="00B10FD1" w:rsidRDefault="006240B2" w:rsidP="006240B2">
      <w:pPr>
        <w:pStyle w:val="NormalWeb"/>
        <w:spacing w:before="120" w:beforeAutospacing="0" w:after="120" w:afterAutospacing="0" w:line="360" w:lineRule="auto"/>
        <w:jc w:val="center"/>
        <w:rPr>
          <w:rFonts w:ascii="Arial" w:hAnsi="Arial" w:cs="Arial"/>
          <w:b/>
          <w:color w:val="000000" w:themeColor="text1"/>
        </w:rPr>
      </w:pPr>
    </w:p>
    <w:p w14:paraId="7F424E86" w14:textId="77777777" w:rsidR="006240B2" w:rsidRPr="00B10FD1" w:rsidRDefault="006240B2" w:rsidP="006240B2">
      <w:pPr>
        <w:pStyle w:val="NormalWeb"/>
        <w:spacing w:before="120" w:beforeAutospacing="0" w:after="120" w:afterAutospacing="0" w:line="360" w:lineRule="auto"/>
        <w:jc w:val="center"/>
        <w:rPr>
          <w:rFonts w:ascii="Arial" w:hAnsi="Arial" w:cs="Arial"/>
          <w:b/>
          <w:color w:val="000000" w:themeColor="text1"/>
        </w:rPr>
      </w:pPr>
    </w:p>
    <w:p w14:paraId="2DCB7094" w14:textId="77777777" w:rsidR="006F50C8" w:rsidRPr="00B10FD1" w:rsidRDefault="003405B7" w:rsidP="006240B2">
      <w:pPr>
        <w:pStyle w:val="NormalWeb"/>
        <w:spacing w:before="120" w:beforeAutospacing="0" w:after="120" w:afterAutospacing="0" w:line="360" w:lineRule="auto"/>
        <w:jc w:val="center"/>
        <w:rPr>
          <w:rFonts w:ascii="Arial" w:hAnsi="Arial" w:cs="Arial"/>
          <w:b/>
          <w:color w:val="000000" w:themeColor="text1"/>
        </w:rPr>
      </w:pPr>
      <w:r w:rsidRPr="00B10FD1">
        <w:rPr>
          <w:rFonts w:ascii="Arial" w:hAnsi="Arial" w:cs="Arial"/>
          <w:b/>
        </w:rPr>
        <w:t>Dissertation submitted as part of the requirements for the award BSc (Hons) Health and Social Care</w:t>
      </w:r>
    </w:p>
    <w:p w14:paraId="70AAA804" w14:textId="77777777" w:rsidR="006F50C8" w:rsidRPr="00B10FD1" w:rsidRDefault="006F50C8" w:rsidP="006240B2">
      <w:pPr>
        <w:pStyle w:val="NormalWeb"/>
        <w:spacing w:before="120" w:beforeAutospacing="0" w:after="120" w:afterAutospacing="0" w:line="360" w:lineRule="auto"/>
        <w:jc w:val="both"/>
        <w:rPr>
          <w:rFonts w:ascii="Arial" w:hAnsi="Arial" w:cs="Arial"/>
          <w:color w:val="000000" w:themeColor="text1"/>
        </w:rPr>
      </w:pPr>
    </w:p>
    <w:p w14:paraId="5DFCA1E1" w14:textId="77777777" w:rsidR="006240B2" w:rsidRPr="00B10FD1" w:rsidRDefault="006240B2" w:rsidP="006240B2">
      <w:pPr>
        <w:pStyle w:val="NormalWeb"/>
        <w:spacing w:before="120" w:beforeAutospacing="0" w:after="120" w:afterAutospacing="0" w:line="360" w:lineRule="auto"/>
        <w:jc w:val="both"/>
        <w:rPr>
          <w:rFonts w:ascii="Arial" w:hAnsi="Arial" w:cs="Arial"/>
          <w:color w:val="000000" w:themeColor="text1"/>
        </w:rPr>
      </w:pPr>
    </w:p>
    <w:p w14:paraId="3FDB1B77" w14:textId="77777777" w:rsidR="006F50C8" w:rsidRPr="00B10FD1" w:rsidRDefault="006F50C8" w:rsidP="006240B2">
      <w:pPr>
        <w:pStyle w:val="NormalWeb"/>
        <w:spacing w:before="120" w:beforeAutospacing="0" w:after="120" w:afterAutospacing="0" w:line="360" w:lineRule="auto"/>
        <w:jc w:val="both"/>
        <w:rPr>
          <w:rFonts w:ascii="Arial" w:hAnsi="Arial" w:cs="Arial"/>
          <w:color w:val="000000" w:themeColor="text1"/>
        </w:rPr>
      </w:pPr>
    </w:p>
    <w:p w14:paraId="53B97F31" w14:textId="77777777" w:rsidR="006F50C8" w:rsidRPr="00B10FD1" w:rsidRDefault="006F50C8" w:rsidP="006240B2">
      <w:pPr>
        <w:pStyle w:val="NormalWeb"/>
        <w:spacing w:before="120" w:beforeAutospacing="0" w:after="120" w:afterAutospacing="0" w:line="360" w:lineRule="auto"/>
        <w:jc w:val="both"/>
        <w:rPr>
          <w:rFonts w:ascii="Arial" w:hAnsi="Arial" w:cs="Arial"/>
          <w:color w:val="000000" w:themeColor="text1"/>
        </w:rPr>
      </w:pPr>
    </w:p>
    <w:p w14:paraId="0E516846" w14:textId="77777777" w:rsidR="006F50C8" w:rsidRPr="00B10FD1" w:rsidRDefault="006240B2" w:rsidP="006240B2">
      <w:pPr>
        <w:pStyle w:val="NormalWeb"/>
        <w:spacing w:before="120" w:beforeAutospacing="0" w:after="120" w:afterAutospacing="0" w:line="360" w:lineRule="auto"/>
        <w:jc w:val="center"/>
        <w:rPr>
          <w:rFonts w:ascii="Arial" w:hAnsi="Arial" w:cs="Arial"/>
          <w:b/>
          <w:color w:val="000000" w:themeColor="text1"/>
          <w:sz w:val="28"/>
        </w:rPr>
      </w:pPr>
      <w:r w:rsidRPr="00B10FD1">
        <w:rPr>
          <w:rFonts w:ascii="Arial" w:hAnsi="Arial" w:cs="Arial"/>
          <w:b/>
          <w:color w:val="000000" w:themeColor="text1"/>
          <w:sz w:val="28"/>
        </w:rPr>
        <w:t>September, 2025</w:t>
      </w:r>
    </w:p>
    <w:p w14:paraId="641A075D" w14:textId="77777777" w:rsidR="006F50C8" w:rsidRPr="00B10FD1" w:rsidRDefault="006F50C8" w:rsidP="006240B2">
      <w:pPr>
        <w:pStyle w:val="NormalWeb"/>
        <w:spacing w:before="120" w:beforeAutospacing="0" w:after="120" w:afterAutospacing="0" w:line="360" w:lineRule="auto"/>
        <w:jc w:val="both"/>
        <w:rPr>
          <w:rFonts w:ascii="Arial" w:hAnsi="Arial" w:cs="Arial"/>
          <w:color w:val="000000" w:themeColor="text1"/>
        </w:rPr>
      </w:pPr>
    </w:p>
    <w:p w14:paraId="559974FE" w14:textId="77777777" w:rsidR="006F50C8" w:rsidRPr="00B10FD1" w:rsidRDefault="006F50C8" w:rsidP="006240B2">
      <w:pPr>
        <w:pStyle w:val="NormalWeb"/>
        <w:spacing w:before="120" w:beforeAutospacing="0" w:after="120" w:afterAutospacing="0" w:line="360" w:lineRule="auto"/>
        <w:jc w:val="both"/>
        <w:rPr>
          <w:rFonts w:ascii="Arial" w:hAnsi="Arial" w:cs="Arial"/>
          <w:color w:val="000000" w:themeColor="text1"/>
        </w:rPr>
      </w:pPr>
    </w:p>
    <w:p w14:paraId="7B2A17ED" w14:textId="77777777" w:rsidR="0037302C" w:rsidRPr="00B10FD1" w:rsidRDefault="0037302C" w:rsidP="006240B2">
      <w:pPr>
        <w:pStyle w:val="NormalWeb"/>
        <w:spacing w:before="120" w:beforeAutospacing="0" w:after="120" w:afterAutospacing="0" w:line="360" w:lineRule="auto"/>
        <w:jc w:val="center"/>
        <w:rPr>
          <w:rFonts w:ascii="Arial" w:hAnsi="Arial" w:cs="Arial"/>
          <w:b/>
          <w:sz w:val="32"/>
        </w:rPr>
      </w:pPr>
      <w:r w:rsidRPr="00B10FD1">
        <w:rPr>
          <w:rFonts w:ascii="Arial" w:hAnsi="Arial" w:cs="Arial"/>
          <w:b/>
          <w:sz w:val="32"/>
        </w:rPr>
        <w:lastRenderedPageBreak/>
        <w:t>ACKNOWLEDGEMENTS</w:t>
      </w:r>
    </w:p>
    <w:p w14:paraId="18E4CF45" w14:textId="77777777" w:rsidR="0037302C" w:rsidRPr="00B10FD1" w:rsidRDefault="0037302C" w:rsidP="006240B2">
      <w:pPr>
        <w:pStyle w:val="NormalWeb"/>
        <w:spacing w:before="120" w:beforeAutospacing="0" w:after="120" w:afterAutospacing="0" w:line="360" w:lineRule="auto"/>
        <w:jc w:val="both"/>
        <w:rPr>
          <w:rFonts w:ascii="Arial" w:hAnsi="Arial" w:cs="Arial"/>
          <w:sz w:val="22"/>
        </w:rPr>
      </w:pPr>
      <w:r w:rsidRPr="00B10FD1">
        <w:rPr>
          <w:rFonts w:ascii="Arial" w:hAnsi="Arial" w:cs="Arial"/>
          <w:sz w:val="22"/>
        </w:rPr>
        <w:t>I would like to express my sincere gratitude to my supervisor for their guidance, constructive feedback and encouragement throughout this project. I am also thankful to the academic and administrative staff who supported me with resources, advice and timely assistance.</w:t>
      </w:r>
    </w:p>
    <w:p w14:paraId="1CF03A66" w14:textId="77777777" w:rsidR="0037302C" w:rsidRPr="00B10FD1" w:rsidRDefault="0037302C" w:rsidP="006240B2">
      <w:pPr>
        <w:pStyle w:val="NormalWeb"/>
        <w:spacing w:before="120" w:beforeAutospacing="0" w:after="120" w:afterAutospacing="0" w:line="360" w:lineRule="auto"/>
        <w:jc w:val="both"/>
        <w:rPr>
          <w:rFonts w:ascii="Arial" w:hAnsi="Arial" w:cs="Arial"/>
          <w:sz w:val="22"/>
        </w:rPr>
      </w:pPr>
      <w:r w:rsidRPr="00B10FD1">
        <w:rPr>
          <w:rFonts w:ascii="Arial" w:hAnsi="Arial" w:cs="Arial"/>
          <w:sz w:val="22"/>
        </w:rPr>
        <w:t>My appreciation extends to the authors and researchers whose work informed this dissertation, and to the librarians and digital support teams who facilitated access to materials. I am deeply grateful to the practitioners and community organisations working to reduce digital exclusion among older adults, their insights shaped the relevance of this study.</w:t>
      </w:r>
    </w:p>
    <w:p w14:paraId="46FD1499" w14:textId="77777777" w:rsidR="0037302C" w:rsidRPr="00B10FD1" w:rsidRDefault="0037302C" w:rsidP="006240B2">
      <w:pPr>
        <w:pStyle w:val="NormalWeb"/>
        <w:spacing w:before="120" w:beforeAutospacing="0" w:after="120" w:afterAutospacing="0" w:line="360" w:lineRule="auto"/>
        <w:jc w:val="both"/>
        <w:rPr>
          <w:rFonts w:ascii="Arial" w:hAnsi="Arial" w:cs="Arial"/>
          <w:sz w:val="22"/>
        </w:rPr>
      </w:pPr>
      <w:r w:rsidRPr="00B10FD1">
        <w:rPr>
          <w:rFonts w:ascii="Arial" w:hAnsi="Arial" w:cs="Arial"/>
          <w:sz w:val="22"/>
        </w:rPr>
        <w:t>To my classmates and friends, thank you for your thoughtful discussions and moral support. Above all, I am indebted to my family for their unwavering patience, understanding and belief in me; this work would not have been possible without their constant encouragement.</w:t>
      </w:r>
    </w:p>
    <w:p w14:paraId="760C1E9A" w14:textId="77777777" w:rsidR="0037302C" w:rsidRPr="00B10FD1" w:rsidRDefault="0037302C" w:rsidP="006240B2">
      <w:pPr>
        <w:pStyle w:val="NormalWeb"/>
        <w:spacing w:before="120" w:beforeAutospacing="0" w:after="120" w:afterAutospacing="0" w:line="360" w:lineRule="auto"/>
        <w:jc w:val="both"/>
        <w:rPr>
          <w:rFonts w:ascii="Arial" w:hAnsi="Arial" w:cs="Arial"/>
          <w:color w:val="000000" w:themeColor="text1"/>
        </w:rPr>
      </w:pPr>
    </w:p>
    <w:p w14:paraId="49FEDECC" w14:textId="77777777" w:rsidR="006240B2" w:rsidRPr="00B10FD1" w:rsidRDefault="006240B2" w:rsidP="006240B2">
      <w:pPr>
        <w:pStyle w:val="NormalWeb"/>
        <w:spacing w:before="120" w:beforeAutospacing="0" w:after="120" w:afterAutospacing="0" w:line="360" w:lineRule="auto"/>
        <w:jc w:val="both"/>
        <w:rPr>
          <w:rFonts w:ascii="Arial" w:hAnsi="Arial" w:cs="Arial"/>
          <w:color w:val="000000" w:themeColor="text1"/>
        </w:rPr>
      </w:pPr>
    </w:p>
    <w:p w14:paraId="51B624D4" w14:textId="77777777" w:rsidR="006240B2" w:rsidRPr="00B10FD1" w:rsidRDefault="006240B2" w:rsidP="006240B2">
      <w:pPr>
        <w:pStyle w:val="NormalWeb"/>
        <w:spacing w:before="120" w:beforeAutospacing="0" w:after="120" w:afterAutospacing="0" w:line="360" w:lineRule="auto"/>
        <w:jc w:val="both"/>
        <w:rPr>
          <w:rFonts w:ascii="Arial" w:hAnsi="Arial" w:cs="Arial"/>
          <w:color w:val="000000" w:themeColor="text1"/>
        </w:rPr>
      </w:pPr>
    </w:p>
    <w:p w14:paraId="53AFC85C" w14:textId="77777777" w:rsidR="006240B2" w:rsidRPr="00B10FD1" w:rsidRDefault="006240B2" w:rsidP="006240B2">
      <w:pPr>
        <w:pStyle w:val="NormalWeb"/>
        <w:spacing w:before="120" w:beforeAutospacing="0" w:after="120" w:afterAutospacing="0" w:line="360" w:lineRule="auto"/>
        <w:jc w:val="both"/>
        <w:rPr>
          <w:rFonts w:ascii="Arial" w:hAnsi="Arial" w:cs="Arial"/>
          <w:color w:val="000000" w:themeColor="text1"/>
        </w:rPr>
      </w:pPr>
    </w:p>
    <w:p w14:paraId="19A6481E" w14:textId="77777777" w:rsidR="006240B2" w:rsidRPr="00B10FD1" w:rsidRDefault="006240B2" w:rsidP="006240B2">
      <w:pPr>
        <w:pStyle w:val="NormalWeb"/>
        <w:spacing w:before="120" w:beforeAutospacing="0" w:after="120" w:afterAutospacing="0" w:line="360" w:lineRule="auto"/>
        <w:jc w:val="both"/>
        <w:rPr>
          <w:rFonts w:ascii="Arial" w:hAnsi="Arial" w:cs="Arial"/>
          <w:color w:val="000000" w:themeColor="text1"/>
        </w:rPr>
      </w:pPr>
    </w:p>
    <w:p w14:paraId="1B296072" w14:textId="77777777" w:rsidR="006240B2" w:rsidRPr="00B10FD1" w:rsidRDefault="006240B2" w:rsidP="006240B2">
      <w:pPr>
        <w:pStyle w:val="NormalWeb"/>
        <w:spacing w:before="120" w:beforeAutospacing="0" w:after="120" w:afterAutospacing="0" w:line="360" w:lineRule="auto"/>
        <w:jc w:val="both"/>
        <w:rPr>
          <w:rFonts w:ascii="Arial" w:hAnsi="Arial" w:cs="Arial"/>
          <w:color w:val="000000" w:themeColor="text1"/>
        </w:rPr>
      </w:pPr>
    </w:p>
    <w:p w14:paraId="1D65BC13" w14:textId="77777777" w:rsidR="006240B2" w:rsidRPr="00B10FD1" w:rsidRDefault="006240B2" w:rsidP="006240B2">
      <w:pPr>
        <w:pStyle w:val="NormalWeb"/>
        <w:spacing w:before="120" w:beforeAutospacing="0" w:after="120" w:afterAutospacing="0" w:line="360" w:lineRule="auto"/>
        <w:jc w:val="both"/>
        <w:rPr>
          <w:rFonts w:ascii="Arial" w:hAnsi="Arial" w:cs="Arial"/>
          <w:color w:val="000000" w:themeColor="text1"/>
        </w:rPr>
      </w:pPr>
    </w:p>
    <w:p w14:paraId="62ECE364" w14:textId="77777777" w:rsidR="006240B2" w:rsidRPr="00B10FD1" w:rsidRDefault="006240B2" w:rsidP="006240B2">
      <w:pPr>
        <w:pStyle w:val="NormalWeb"/>
        <w:spacing w:before="120" w:beforeAutospacing="0" w:after="120" w:afterAutospacing="0" w:line="360" w:lineRule="auto"/>
        <w:jc w:val="both"/>
        <w:rPr>
          <w:rFonts w:ascii="Arial" w:hAnsi="Arial" w:cs="Arial"/>
          <w:color w:val="000000" w:themeColor="text1"/>
        </w:rPr>
      </w:pPr>
    </w:p>
    <w:p w14:paraId="34DC5FE6" w14:textId="77777777" w:rsidR="006240B2" w:rsidRPr="00B10FD1" w:rsidRDefault="006240B2" w:rsidP="006240B2">
      <w:pPr>
        <w:pStyle w:val="NormalWeb"/>
        <w:spacing w:before="120" w:beforeAutospacing="0" w:after="120" w:afterAutospacing="0" w:line="360" w:lineRule="auto"/>
        <w:jc w:val="both"/>
        <w:rPr>
          <w:rFonts w:ascii="Arial" w:hAnsi="Arial" w:cs="Arial"/>
          <w:color w:val="000000" w:themeColor="text1"/>
        </w:rPr>
      </w:pPr>
    </w:p>
    <w:p w14:paraId="0557DBF7" w14:textId="77777777" w:rsidR="006240B2" w:rsidRPr="00B10FD1" w:rsidRDefault="006240B2" w:rsidP="006240B2">
      <w:pPr>
        <w:pStyle w:val="NormalWeb"/>
        <w:spacing w:before="120" w:beforeAutospacing="0" w:after="120" w:afterAutospacing="0" w:line="360" w:lineRule="auto"/>
        <w:jc w:val="both"/>
        <w:rPr>
          <w:rFonts w:ascii="Arial" w:hAnsi="Arial" w:cs="Arial"/>
          <w:color w:val="000000" w:themeColor="text1"/>
        </w:rPr>
      </w:pPr>
    </w:p>
    <w:p w14:paraId="169E4B4E" w14:textId="77777777" w:rsidR="006240B2" w:rsidRPr="00B10FD1" w:rsidRDefault="006240B2" w:rsidP="006240B2">
      <w:pPr>
        <w:pStyle w:val="NormalWeb"/>
        <w:spacing w:before="120" w:beforeAutospacing="0" w:after="120" w:afterAutospacing="0" w:line="360" w:lineRule="auto"/>
        <w:jc w:val="both"/>
        <w:rPr>
          <w:rFonts w:ascii="Arial" w:hAnsi="Arial" w:cs="Arial"/>
          <w:color w:val="000000" w:themeColor="text1"/>
        </w:rPr>
      </w:pPr>
    </w:p>
    <w:p w14:paraId="51BBA821" w14:textId="77777777" w:rsidR="006240B2" w:rsidRPr="00B10FD1" w:rsidRDefault="006240B2" w:rsidP="006240B2">
      <w:pPr>
        <w:pStyle w:val="NormalWeb"/>
        <w:spacing w:before="120" w:beforeAutospacing="0" w:after="120" w:afterAutospacing="0" w:line="360" w:lineRule="auto"/>
        <w:jc w:val="both"/>
        <w:rPr>
          <w:rFonts w:ascii="Arial" w:hAnsi="Arial" w:cs="Arial"/>
          <w:color w:val="000000" w:themeColor="text1"/>
        </w:rPr>
      </w:pPr>
    </w:p>
    <w:p w14:paraId="272DEE0E" w14:textId="77777777" w:rsidR="006240B2" w:rsidRPr="00B10FD1" w:rsidRDefault="006240B2" w:rsidP="006240B2">
      <w:pPr>
        <w:pStyle w:val="NormalWeb"/>
        <w:spacing w:before="120" w:beforeAutospacing="0" w:after="120" w:afterAutospacing="0" w:line="360" w:lineRule="auto"/>
        <w:jc w:val="both"/>
        <w:rPr>
          <w:rFonts w:ascii="Arial" w:hAnsi="Arial" w:cs="Arial"/>
          <w:color w:val="000000" w:themeColor="text1"/>
        </w:rPr>
      </w:pPr>
    </w:p>
    <w:p w14:paraId="2812506D" w14:textId="77777777" w:rsidR="006240B2" w:rsidRDefault="006240B2" w:rsidP="006240B2">
      <w:pPr>
        <w:pStyle w:val="NormalWeb"/>
        <w:spacing w:before="120" w:beforeAutospacing="0" w:after="120" w:afterAutospacing="0" w:line="360" w:lineRule="auto"/>
        <w:jc w:val="both"/>
        <w:rPr>
          <w:rFonts w:ascii="Arial" w:hAnsi="Arial" w:cs="Arial"/>
          <w:color w:val="000000" w:themeColor="text1"/>
        </w:rPr>
      </w:pPr>
    </w:p>
    <w:p w14:paraId="61A4280F" w14:textId="77777777" w:rsidR="00206831" w:rsidRPr="00B10FD1" w:rsidRDefault="00206831" w:rsidP="006240B2">
      <w:pPr>
        <w:pStyle w:val="NormalWeb"/>
        <w:spacing w:before="120" w:beforeAutospacing="0" w:after="120" w:afterAutospacing="0" w:line="360" w:lineRule="auto"/>
        <w:jc w:val="both"/>
        <w:rPr>
          <w:rFonts w:ascii="Arial" w:hAnsi="Arial" w:cs="Arial"/>
          <w:color w:val="000000" w:themeColor="text1"/>
        </w:rPr>
      </w:pPr>
    </w:p>
    <w:p w14:paraId="71A1A5B5" w14:textId="77777777" w:rsidR="00217CFC" w:rsidRPr="00B10FD1" w:rsidRDefault="001725E3" w:rsidP="001725E3">
      <w:pPr>
        <w:pStyle w:val="NormalWeb"/>
        <w:spacing w:before="120" w:beforeAutospacing="0" w:after="120" w:afterAutospacing="0" w:line="360" w:lineRule="auto"/>
        <w:jc w:val="center"/>
        <w:rPr>
          <w:rFonts w:ascii="Arial" w:hAnsi="Arial" w:cs="Arial"/>
          <w:b/>
          <w:color w:val="000000" w:themeColor="text1"/>
          <w:sz w:val="32"/>
        </w:rPr>
      </w:pPr>
      <w:r w:rsidRPr="00B10FD1">
        <w:rPr>
          <w:rFonts w:ascii="Arial" w:hAnsi="Arial" w:cs="Arial"/>
          <w:b/>
          <w:color w:val="000000" w:themeColor="text1"/>
          <w:sz w:val="32"/>
        </w:rPr>
        <w:lastRenderedPageBreak/>
        <w:t>ABSTRACT</w:t>
      </w:r>
    </w:p>
    <w:p w14:paraId="615EFDEC" w14:textId="77777777" w:rsidR="00217CFC" w:rsidRPr="00B10FD1" w:rsidRDefault="006A6EA6" w:rsidP="006240B2">
      <w:pPr>
        <w:pStyle w:val="NormalWeb"/>
        <w:spacing w:before="120" w:beforeAutospacing="0" w:after="120" w:afterAutospacing="0" w:line="360" w:lineRule="auto"/>
        <w:jc w:val="both"/>
        <w:rPr>
          <w:rFonts w:ascii="Arial" w:hAnsi="Arial" w:cs="Arial"/>
          <w:sz w:val="22"/>
        </w:rPr>
      </w:pPr>
      <w:r w:rsidRPr="00B10FD1">
        <w:rPr>
          <w:rFonts w:ascii="Arial" w:hAnsi="Arial" w:cs="Arial"/>
          <w:b/>
          <w:sz w:val="22"/>
        </w:rPr>
        <w:t>Purpose, Aims and Objectives:</w:t>
      </w:r>
      <w:r w:rsidR="00217CFC" w:rsidRPr="00B10FD1">
        <w:rPr>
          <w:rFonts w:ascii="Arial" w:hAnsi="Arial" w:cs="Arial"/>
          <w:sz w:val="22"/>
        </w:rPr>
        <w:t xml:space="preserve"> This dissertation explores how social isolation and digital exclusion intersect to affect the mental health and care experiences of older adults in the UK. The aim was to understand mechanisms, consequences, and effective responses, addressing four objectives: (1) describe how digital exclusion manifests (access, skills/confidence, motivation); (2) examine consequences for access to services, mental health, wellbeing and care experience; (3) assess the efficacy of UK policies and interventions; and (4) generate evidence-based recommendations. Given the NHS’s rapid </w:t>
      </w:r>
      <w:proofErr w:type="spellStart"/>
      <w:r w:rsidR="00217CFC" w:rsidRPr="00B10FD1">
        <w:rPr>
          <w:rFonts w:ascii="Arial" w:hAnsi="Arial" w:cs="Arial"/>
          <w:sz w:val="22"/>
        </w:rPr>
        <w:t>digitisation</w:t>
      </w:r>
      <w:proofErr w:type="spellEnd"/>
      <w:r w:rsidR="00217CFC" w:rsidRPr="00B10FD1">
        <w:rPr>
          <w:rFonts w:ascii="Arial" w:hAnsi="Arial" w:cs="Arial"/>
          <w:sz w:val="22"/>
        </w:rPr>
        <w:t>, the topic is directly relevant to equity and quality in health and social care.</w:t>
      </w:r>
    </w:p>
    <w:p w14:paraId="1440399A" w14:textId="77777777" w:rsidR="00217CFC" w:rsidRPr="00B10FD1" w:rsidRDefault="006A6EA6" w:rsidP="006240B2">
      <w:pPr>
        <w:pStyle w:val="NormalWeb"/>
        <w:spacing w:before="120" w:beforeAutospacing="0" w:after="120" w:afterAutospacing="0" w:line="360" w:lineRule="auto"/>
        <w:jc w:val="both"/>
        <w:rPr>
          <w:rFonts w:ascii="Arial" w:hAnsi="Arial" w:cs="Arial"/>
          <w:sz w:val="22"/>
        </w:rPr>
      </w:pPr>
      <w:r w:rsidRPr="00B10FD1">
        <w:rPr>
          <w:rFonts w:ascii="Arial" w:hAnsi="Arial" w:cs="Arial"/>
          <w:b/>
          <w:sz w:val="22"/>
        </w:rPr>
        <w:t>Methods:</w:t>
      </w:r>
      <w:r w:rsidRPr="00B10FD1">
        <w:rPr>
          <w:rFonts w:ascii="Arial" w:hAnsi="Arial" w:cs="Arial"/>
          <w:sz w:val="22"/>
        </w:rPr>
        <w:t xml:space="preserve"> </w:t>
      </w:r>
      <w:r w:rsidR="00217CFC" w:rsidRPr="00B10FD1">
        <w:rPr>
          <w:rFonts w:ascii="Arial" w:hAnsi="Arial" w:cs="Arial"/>
          <w:sz w:val="22"/>
        </w:rPr>
        <w:t xml:space="preserve">A systematic review of qualitative and mixed-methods studies (2015–2025) was conducted using a transparent search strategy and PRISMA flow; 44 articles met inclusion criteria. Data were </w:t>
      </w:r>
      <w:proofErr w:type="spellStart"/>
      <w:r w:rsidR="00217CFC" w:rsidRPr="00B10FD1">
        <w:rPr>
          <w:rFonts w:ascii="Arial" w:hAnsi="Arial" w:cs="Arial"/>
          <w:sz w:val="22"/>
        </w:rPr>
        <w:t>synthesised</w:t>
      </w:r>
      <w:proofErr w:type="spellEnd"/>
      <w:r w:rsidR="00217CFC" w:rsidRPr="00B10FD1">
        <w:rPr>
          <w:rFonts w:ascii="Arial" w:hAnsi="Arial" w:cs="Arial"/>
          <w:sz w:val="22"/>
        </w:rPr>
        <w:t xml:space="preserve"> using thematic analysis of published literature, focusing on UK contexts and older adults’ experiences in health and social care.</w:t>
      </w:r>
    </w:p>
    <w:p w14:paraId="7EEE8DE0" w14:textId="77777777" w:rsidR="00217CFC" w:rsidRPr="00B10FD1" w:rsidRDefault="00217CFC" w:rsidP="006240B2">
      <w:pPr>
        <w:pStyle w:val="NormalWeb"/>
        <w:spacing w:before="120" w:beforeAutospacing="0" w:after="120" w:afterAutospacing="0" w:line="360" w:lineRule="auto"/>
        <w:jc w:val="both"/>
        <w:rPr>
          <w:rFonts w:ascii="Arial" w:hAnsi="Arial" w:cs="Arial"/>
          <w:sz w:val="22"/>
        </w:rPr>
      </w:pPr>
      <w:r w:rsidRPr="00B10FD1">
        <w:rPr>
          <w:rFonts w:ascii="Arial" w:hAnsi="Arial" w:cs="Arial"/>
          <w:b/>
          <w:sz w:val="22"/>
        </w:rPr>
        <w:t>Findings</w:t>
      </w:r>
      <w:r w:rsidR="006A6EA6" w:rsidRPr="00B10FD1">
        <w:rPr>
          <w:rFonts w:ascii="Arial" w:hAnsi="Arial" w:cs="Arial"/>
          <w:b/>
          <w:sz w:val="22"/>
        </w:rPr>
        <w:t>:</w:t>
      </w:r>
      <w:r w:rsidRPr="00B10FD1">
        <w:rPr>
          <w:rFonts w:ascii="Arial" w:hAnsi="Arial" w:cs="Arial"/>
          <w:sz w:val="22"/>
        </w:rPr>
        <w:t xml:space="preserve"> Four themes emerged. (1) Disengagement and barriers: layered divides in access, skills/confidence and meaningful use create “digital thresholds” to care. (2) Consequences: friction at first contact leads to delayed/foregone care, heightened anxiety and loneliness, and erosion of trust/dignity. (3) What works: parity of offline and digital routes, assisted-digital support at point of need, and place-based partnerships (libraries/VCSE) show promise when co-designed and adequately resourced. (4) Recommendations: a minimum effective package bundling </w:t>
      </w:r>
      <w:proofErr w:type="spellStart"/>
      <w:r w:rsidRPr="00B10FD1">
        <w:rPr>
          <w:rFonts w:ascii="Arial" w:hAnsi="Arial" w:cs="Arial"/>
          <w:sz w:val="22"/>
        </w:rPr>
        <w:t>device+data+skills</w:t>
      </w:r>
      <w:proofErr w:type="spellEnd"/>
      <w:r w:rsidRPr="00B10FD1">
        <w:rPr>
          <w:rFonts w:ascii="Arial" w:hAnsi="Arial" w:cs="Arial"/>
          <w:sz w:val="22"/>
        </w:rPr>
        <w:t>, parity by design, local commissioning guided by exclusion maps, and equity KPIs.</w:t>
      </w:r>
    </w:p>
    <w:p w14:paraId="20C5CEC7" w14:textId="77777777" w:rsidR="00217CFC" w:rsidRPr="00B10FD1" w:rsidRDefault="006A6EA6" w:rsidP="006240B2">
      <w:pPr>
        <w:pStyle w:val="NormalWeb"/>
        <w:spacing w:before="120" w:beforeAutospacing="0" w:after="120" w:afterAutospacing="0" w:line="360" w:lineRule="auto"/>
        <w:jc w:val="both"/>
        <w:rPr>
          <w:rFonts w:ascii="Arial" w:hAnsi="Arial" w:cs="Arial"/>
          <w:sz w:val="22"/>
        </w:rPr>
      </w:pPr>
      <w:r w:rsidRPr="00B10FD1">
        <w:rPr>
          <w:rFonts w:ascii="Arial" w:hAnsi="Arial" w:cs="Arial"/>
          <w:b/>
          <w:sz w:val="22"/>
        </w:rPr>
        <w:t xml:space="preserve">Limitations: </w:t>
      </w:r>
      <w:r w:rsidR="00217CFC" w:rsidRPr="00B10FD1">
        <w:rPr>
          <w:rFonts w:ascii="Arial" w:hAnsi="Arial" w:cs="Arial"/>
          <w:sz w:val="22"/>
        </w:rPr>
        <w:t>English-language focus; heterogeneity of settings/measures; limited evaluation of first-contact tools (online booking/e-triage); potential publication bias.</w:t>
      </w:r>
    </w:p>
    <w:p w14:paraId="5F9A5A45" w14:textId="77777777" w:rsidR="00217CFC" w:rsidRPr="00B10FD1" w:rsidRDefault="006A6EA6" w:rsidP="006240B2">
      <w:pPr>
        <w:pStyle w:val="NormalWeb"/>
        <w:spacing w:before="120" w:beforeAutospacing="0" w:after="120" w:afterAutospacing="0" w:line="360" w:lineRule="auto"/>
        <w:jc w:val="both"/>
        <w:rPr>
          <w:rFonts w:ascii="Arial" w:hAnsi="Arial" w:cs="Arial"/>
          <w:sz w:val="22"/>
        </w:rPr>
      </w:pPr>
      <w:r w:rsidRPr="00B10FD1">
        <w:rPr>
          <w:rFonts w:ascii="Arial" w:hAnsi="Arial" w:cs="Arial"/>
          <w:b/>
          <w:sz w:val="22"/>
        </w:rPr>
        <w:t>Recommendations:</w:t>
      </w:r>
      <w:r w:rsidRPr="00B10FD1">
        <w:rPr>
          <w:rFonts w:ascii="Arial" w:hAnsi="Arial" w:cs="Arial"/>
          <w:sz w:val="22"/>
        </w:rPr>
        <w:t xml:space="preserve"> </w:t>
      </w:r>
      <w:r w:rsidR="00217CFC" w:rsidRPr="00B10FD1">
        <w:rPr>
          <w:rFonts w:ascii="Arial" w:hAnsi="Arial" w:cs="Arial"/>
          <w:sz w:val="22"/>
        </w:rPr>
        <w:t>For practice and policy: embed assisted-digital support and parity by design; fund multi-year, community-anchored inclusion bundles; measure inclusive outcomes (completed access, confidence, belonging). For education: micro-credentials for frontline “digital champions” and co-design skills. For research: close the first-contact evidence gap with equity-led evaluations integrated into routine service improvement.</w:t>
      </w:r>
    </w:p>
    <w:p w14:paraId="3F85E8D3" w14:textId="77777777" w:rsidR="00217CFC" w:rsidRPr="00B10FD1" w:rsidRDefault="00217CFC" w:rsidP="006240B2">
      <w:pPr>
        <w:pStyle w:val="NormalWeb"/>
        <w:spacing w:before="120" w:beforeAutospacing="0" w:after="120" w:afterAutospacing="0" w:line="360" w:lineRule="auto"/>
        <w:jc w:val="both"/>
        <w:rPr>
          <w:rFonts w:ascii="Arial" w:hAnsi="Arial" w:cs="Arial"/>
          <w:color w:val="000000" w:themeColor="text1"/>
        </w:rPr>
      </w:pPr>
    </w:p>
    <w:p w14:paraId="0F41C5BD" w14:textId="77777777" w:rsidR="001725E3" w:rsidRPr="00B10FD1" w:rsidRDefault="001725E3" w:rsidP="006240B2">
      <w:pPr>
        <w:pStyle w:val="NormalWeb"/>
        <w:spacing w:before="120" w:beforeAutospacing="0" w:after="120" w:afterAutospacing="0" w:line="360" w:lineRule="auto"/>
        <w:jc w:val="both"/>
        <w:rPr>
          <w:rFonts w:ascii="Arial" w:hAnsi="Arial" w:cs="Arial"/>
          <w:color w:val="000000" w:themeColor="text1"/>
        </w:rPr>
      </w:pPr>
    </w:p>
    <w:p w14:paraId="694BAA64" w14:textId="77777777" w:rsidR="009A61CD" w:rsidRPr="00DE48E8" w:rsidRDefault="009A61CD" w:rsidP="00DE48E8">
      <w:pPr>
        <w:pStyle w:val="NormalWeb"/>
        <w:spacing w:before="120" w:beforeAutospacing="0" w:after="120" w:afterAutospacing="0" w:line="360" w:lineRule="auto"/>
        <w:jc w:val="center"/>
        <w:rPr>
          <w:rFonts w:ascii="Arial" w:hAnsi="Arial" w:cs="Arial"/>
          <w:b/>
          <w:color w:val="000000" w:themeColor="text1"/>
          <w:sz w:val="36"/>
        </w:rPr>
      </w:pPr>
      <w:r w:rsidRPr="00DE48E8">
        <w:rPr>
          <w:rFonts w:ascii="Arial" w:hAnsi="Arial" w:cs="Arial"/>
          <w:b/>
          <w:color w:val="000000" w:themeColor="text1"/>
          <w:sz w:val="36"/>
        </w:rPr>
        <w:lastRenderedPageBreak/>
        <w:t>Table of Contents</w:t>
      </w:r>
    </w:p>
    <w:p w14:paraId="16D4AA27" w14:textId="1C7B72FE" w:rsidR="00DE48E8" w:rsidRPr="00DE48E8" w:rsidRDefault="009A61CD" w:rsidP="00DE48E8">
      <w:pPr>
        <w:pStyle w:val="TOC1"/>
        <w:tabs>
          <w:tab w:val="right" w:leader="dot" w:pos="9350"/>
        </w:tabs>
        <w:spacing w:before="120" w:after="120" w:line="360" w:lineRule="auto"/>
        <w:rPr>
          <w:rFonts w:eastAsiaTheme="minorEastAsia" w:cs="Arial"/>
          <w:noProof/>
        </w:rPr>
      </w:pPr>
      <w:r w:rsidRPr="00DE48E8">
        <w:rPr>
          <w:rFonts w:cs="Arial"/>
          <w:color w:val="000000" w:themeColor="text1"/>
        </w:rPr>
        <w:fldChar w:fldCharType="begin"/>
      </w:r>
      <w:r w:rsidRPr="00DE48E8">
        <w:rPr>
          <w:rFonts w:cs="Arial"/>
          <w:color w:val="000000" w:themeColor="text1"/>
        </w:rPr>
        <w:instrText xml:space="preserve"> TOC \o "1-3" \h \z \u </w:instrText>
      </w:r>
      <w:r w:rsidRPr="00DE48E8">
        <w:rPr>
          <w:rFonts w:cs="Arial"/>
          <w:color w:val="000000" w:themeColor="text1"/>
        </w:rPr>
        <w:fldChar w:fldCharType="separate"/>
      </w:r>
      <w:hyperlink w:anchor="_Toc209284736" w:history="1">
        <w:r w:rsidR="00DE48E8" w:rsidRPr="00DE48E8">
          <w:rPr>
            <w:rStyle w:val="Hyperlink"/>
            <w:rFonts w:cs="Arial"/>
            <w:b/>
            <w:noProof/>
          </w:rPr>
          <w:t>CHAPTER 1: Introduction</w:t>
        </w:r>
        <w:r w:rsidR="00DE48E8" w:rsidRPr="00DE48E8">
          <w:rPr>
            <w:rFonts w:cs="Arial"/>
            <w:noProof/>
            <w:webHidden/>
          </w:rPr>
          <w:tab/>
        </w:r>
        <w:r w:rsidR="00DE48E8" w:rsidRPr="00DE48E8">
          <w:rPr>
            <w:rFonts w:cs="Arial"/>
            <w:noProof/>
            <w:webHidden/>
          </w:rPr>
          <w:fldChar w:fldCharType="begin"/>
        </w:r>
        <w:r w:rsidR="00DE48E8" w:rsidRPr="00DE48E8">
          <w:rPr>
            <w:rFonts w:cs="Arial"/>
            <w:noProof/>
            <w:webHidden/>
          </w:rPr>
          <w:instrText xml:space="preserve"> PAGEREF _Toc209284736 \h </w:instrText>
        </w:r>
        <w:r w:rsidR="00DE48E8" w:rsidRPr="00DE48E8">
          <w:rPr>
            <w:rFonts w:cs="Arial"/>
            <w:noProof/>
            <w:webHidden/>
          </w:rPr>
        </w:r>
        <w:r w:rsidR="00DE48E8" w:rsidRPr="00DE48E8">
          <w:rPr>
            <w:rFonts w:cs="Arial"/>
            <w:noProof/>
            <w:webHidden/>
          </w:rPr>
          <w:fldChar w:fldCharType="separate"/>
        </w:r>
        <w:r w:rsidR="00204CA5">
          <w:rPr>
            <w:rFonts w:cs="Arial"/>
            <w:noProof/>
            <w:webHidden/>
          </w:rPr>
          <w:t>11</w:t>
        </w:r>
        <w:r w:rsidR="00DE48E8" w:rsidRPr="00DE48E8">
          <w:rPr>
            <w:rFonts w:cs="Arial"/>
            <w:noProof/>
            <w:webHidden/>
          </w:rPr>
          <w:fldChar w:fldCharType="end"/>
        </w:r>
      </w:hyperlink>
    </w:p>
    <w:p w14:paraId="77905C40" w14:textId="08121318"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37" w:history="1">
        <w:r w:rsidRPr="00DE48E8">
          <w:rPr>
            <w:rStyle w:val="Hyperlink"/>
            <w:rFonts w:cs="Arial"/>
            <w:noProof/>
          </w:rPr>
          <w:t>1.1 Introduction</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_Toc209284737 \h </w:instrText>
        </w:r>
        <w:r w:rsidRPr="00DE48E8">
          <w:rPr>
            <w:rFonts w:cs="Arial"/>
            <w:noProof/>
            <w:webHidden/>
          </w:rPr>
        </w:r>
        <w:r w:rsidRPr="00DE48E8">
          <w:rPr>
            <w:rFonts w:cs="Arial"/>
            <w:noProof/>
            <w:webHidden/>
          </w:rPr>
          <w:fldChar w:fldCharType="separate"/>
        </w:r>
        <w:r w:rsidR="00204CA5">
          <w:rPr>
            <w:rFonts w:cs="Arial"/>
            <w:noProof/>
            <w:webHidden/>
          </w:rPr>
          <w:t>11</w:t>
        </w:r>
        <w:r w:rsidRPr="00DE48E8">
          <w:rPr>
            <w:rFonts w:cs="Arial"/>
            <w:noProof/>
            <w:webHidden/>
          </w:rPr>
          <w:fldChar w:fldCharType="end"/>
        </w:r>
      </w:hyperlink>
    </w:p>
    <w:p w14:paraId="78300B64" w14:textId="36185B7E"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38" w:history="1">
        <w:r w:rsidRPr="00DE48E8">
          <w:rPr>
            <w:rStyle w:val="Hyperlink"/>
            <w:rFonts w:cs="Arial"/>
            <w:noProof/>
          </w:rPr>
          <w:t>1.2 Definitions and Terminology</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_Toc209284738 \h </w:instrText>
        </w:r>
        <w:r w:rsidRPr="00DE48E8">
          <w:rPr>
            <w:rFonts w:cs="Arial"/>
            <w:noProof/>
            <w:webHidden/>
          </w:rPr>
        </w:r>
        <w:r w:rsidRPr="00DE48E8">
          <w:rPr>
            <w:rFonts w:cs="Arial"/>
            <w:noProof/>
            <w:webHidden/>
          </w:rPr>
          <w:fldChar w:fldCharType="separate"/>
        </w:r>
        <w:r w:rsidR="00204CA5">
          <w:rPr>
            <w:rFonts w:cs="Arial"/>
            <w:noProof/>
            <w:webHidden/>
          </w:rPr>
          <w:t>11</w:t>
        </w:r>
        <w:r w:rsidRPr="00DE48E8">
          <w:rPr>
            <w:rFonts w:cs="Arial"/>
            <w:noProof/>
            <w:webHidden/>
          </w:rPr>
          <w:fldChar w:fldCharType="end"/>
        </w:r>
      </w:hyperlink>
    </w:p>
    <w:p w14:paraId="6631FD2D" w14:textId="03E70448"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39" w:history="1">
        <w:r w:rsidRPr="00DE48E8">
          <w:rPr>
            <w:rStyle w:val="Hyperlink"/>
            <w:rFonts w:cs="Arial"/>
            <w:noProof/>
          </w:rPr>
          <w:t>1.2.1 Key Definitions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_Toc209284739 \h </w:instrText>
        </w:r>
        <w:r w:rsidRPr="00DE48E8">
          <w:rPr>
            <w:rFonts w:cs="Arial"/>
            <w:noProof/>
            <w:webHidden/>
          </w:rPr>
        </w:r>
        <w:r w:rsidRPr="00DE48E8">
          <w:rPr>
            <w:rFonts w:cs="Arial"/>
            <w:noProof/>
            <w:webHidden/>
          </w:rPr>
          <w:fldChar w:fldCharType="separate"/>
        </w:r>
        <w:r w:rsidR="00204CA5">
          <w:rPr>
            <w:rFonts w:cs="Arial"/>
            <w:noProof/>
            <w:webHidden/>
          </w:rPr>
          <w:t>12</w:t>
        </w:r>
        <w:r w:rsidRPr="00DE48E8">
          <w:rPr>
            <w:rFonts w:cs="Arial"/>
            <w:noProof/>
            <w:webHidden/>
          </w:rPr>
          <w:fldChar w:fldCharType="end"/>
        </w:r>
      </w:hyperlink>
    </w:p>
    <w:p w14:paraId="26CA9F4F" w14:textId="0935A9AA"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40" w:history="1">
        <w:r w:rsidRPr="00DE48E8">
          <w:rPr>
            <w:rStyle w:val="Hyperlink"/>
            <w:rFonts w:cs="Arial"/>
            <w:noProof/>
          </w:rPr>
          <w:t>1.2.2 Acronyms and Abbreviations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_Toc209284740 \h </w:instrText>
        </w:r>
        <w:r w:rsidRPr="00DE48E8">
          <w:rPr>
            <w:rFonts w:cs="Arial"/>
            <w:noProof/>
            <w:webHidden/>
          </w:rPr>
        </w:r>
        <w:r w:rsidRPr="00DE48E8">
          <w:rPr>
            <w:rFonts w:cs="Arial"/>
            <w:noProof/>
            <w:webHidden/>
          </w:rPr>
          <w:fldChar w:fldCharType="separate"/>
        </w:r>
        <w:r w:rsidR="00204CA5">
          <w:rPr>
            <w:rFonts w:cs="Arial"/>
            <w:noProof/>
            <w:webHidden/>
          </w:rPr>
          <w:t>12</w:t>
        </w:r>
        <w:r w:rsidRPr="00DE48E8">
          <w:rPr>
            <w:rFonts w:cs="Arial"/>
            <w:noProof/>
            <w:webHidden/>
          </w:rPr>
          <w:fldChar w:fldCharType="end"/>
        </w:r>
      </w:hyperlink>
    </w:p>
    <w:p w14:paraId="464E6C1F" w14:textId="14FB7D47"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41" w:history="1">
        <w:r w:rsidRPr="00DE48E8">
          <w:rPr>
            <w:rStyle w:val="Hyperlink"/>
            <w:rFonts w:cs="Arial"/>
            <w:noProof/>
          </w:rPr>
          <w:t>1.3 Rationale for Research</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_Toc209284741 \h </w:instrText>
        </w:r>
        <w:r w:rsidRPr="00DE48E8">
          <w:rPr>
            <w:rFonts w:cs="Arial"/>
            <w:noProof/>
            <w:webHidden/>
          </w:rPr>
        </w:r>
        <w:r w:rsidRPr="00DE48E8">
          <w:rPr>
            <w:rFonts w:cs="Arial"/>
            <w:noProof/>
            <w:webHidden/>
          </w:rPr>
          <w:fldChar w:fldCharType="separate"/>
        </w:r>
        <w:r w:rsidR="00204CA5">
          <w:rPr>
            <w:rFonts w:cs="Arial"/>
            <w:noProof/>
            <w:webHidden/>
          </w:rPr>
          <w:t>13</w:t>
        </w:r>
        <w:r w:rsidRPr="00DE48E8">
          <w:rPr>
            <w:rFonts w:cs="Arial"/>
            <w:noProof/>
            <w:webHidden/>
          </w:rPr>
          <w:fldChar w:fldCharType="end"/>
        </w:r>
      </w:hyperlink>
    </w:p>
    <w:p w14:paraId="4996B39C" w14:textId="548142F9"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42" w:history="1">
        <w:r w:rsidRPr="00DE48E8">
          <w:rPr>
            <w:rStyle w:val="Hyperlink"/>
            <w:rFonts w:cs="Arial"/>
            <w:noProof/>
          </w:rPr>
          <w:t>1.4 Aims and Objectives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_Toc209284742 \h </w:instrText>
        </w:r>
        <w:r w:rsidRPr="00DE48E8">
          <w:rPr>
            <w:rFonts w:cs="Arial"/>
            <w:noProof/>
            <w:webHidden/>
          </w:rPr>
        </w:r>
        <w:r w:rsidRPr="00DE48E8">
          <w:rPr>
            <w:rFonts w:cs="Arial"/>
            <w:noProof/>
            <w:webHidden/>
          </w:rPr>
          <w:fldChar w:fldCharType="separate"/>
        </w:r>
        <w:r w:rsidR="00204CA5">
          <w:rPr>
            <w:rFonts w:cs="Arial"/>
            <w:noProof/>
            <w:webHidden/>
          </w:rPr>
          <w:t>13</w:t>
        </w:r>
        <w:r w:rsidRPr="00DE48E8">
          <w:rPr>
            <w:rFonts w:cs="Arial"/>
            <w:noProof/>
            <w:webHidden/>
          </w:rPr>
          <w:fldChar w:fldCharType="end"/>
        </w:r>
      </w:hyperlink>
    </w:p>
    <w:p w14:paraId="3575330D" w14:textId="77566027"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43" w:history="1">
        <w:r w:rsidRPr="00DE48E8">
          <w:rPr>
            <w:rStyle w:val="Hyperlink"/>
            <w:rFonts w:cs="Arial"/>
            <w:noProof/>
          </w:rPr>
          <w:t>1.4.1 Aim:</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_Toc209284743 \h </w:instrText>
        </w:r>
        <w:r w:rsidRPr="00DE48E8">
          <w:rPr>
            <w:rFonts w:cs="Arial"/>
            <w:noProof/>
            <w:webHidden/>
          </w:rPr>
        </w:r>
        <w:r w:rsidRPr="00DE48E8">
          <w:rPr>
            <w:rFonts w:cs="Arial"/>
            <w:noProof/>
            <w:webHidden/>
          </w:rPr>
          <w:fldChar w:fldCharType="separate"/>
        </w:r>
        <w:r w:rsidR="00204CA5">
          <w:rPr>
            <w:rFonts w:cs="Arial"/>
            <w:noProof/>
            <w:webHidden/>
          </w:rPr>
          <w:t>13</w:t>
        </w:r>
        <w:r w:rsidRPr="00DE48E8">
          <w:rPr>
            <w:rFonts w:cs="Arial"/>
            <w:noProof/>
            <w:webHidden/>
          </w:rPr>
          <w:fldChar w:fldCharType="end"/>
        </w:r>
      </w:hyperlink>
    </w:p>
    <w:p w14:paraId="6C344938" w14:textId="53B7F1A3"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44" w:history="1">
        <w:r w:rsidRPr="00DE48E8">
          <w:rPr>
            <w:rStyle w:val="Hyperlink"/>
            <w:rFonts w:cs="Arial"/>
            <w:noProof/>
          </w:rPr>
          <w:t>1.4.2 Objectives: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_Toc209284744 \h </w:instrText>
        </w:r>
        <w:r w:rsidRPr="00DE48E8">
          <w:rPr>
            <w:rFonts w:cs="Arial"/>
            <w:noProof/>
            <w:webHidden/>
          </w:rPr>
        </w:r>
        <w:r w:rsidRPr="00DE48E8">
          <w:rPr>
            <w:rFonts w:cs="Arial"/>
            <w:noProof/>
            <w:webHidden/>
          </w:rPr>
          <w:fldChar w:fldCharType="separate"/>
        </w:r>
        <w:r w:rsidR="00204CA5">
          <w:rPr>
            <w:rFonts w:cs="Arial"/>
            <w:noProof/>
            <w:webHidden/>
          </w:rPr>
          <w:t>14</w:t>
        </w:r>
        <w:r w:rsidRPr="00DE48E8">
          <w:rPr>
            <w:rFonts w:cs="Arial"/>
            <w:noProof/>
            <w:webHidden/>
          </w:rPr>
          <w:fldChar w:fldCharType="end"/>
        </w:r>
      </w:hyperlink>
    </w:p>
    <w:p w14:paraId="2CE9DED5" w14:textId="5B11E580"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45" w:history="1">
        <w:r w:rsidRPr="00DE48E8">
          <w:rPr>
            <w:rStyle w:val="Hyperlink"/>
            <w:rFonts w:cs="Arial"/>
            <w:noProof/>
          </w:rPr>
          <w:t>1.5 Conclusion</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_Toc209284745 \h </w:instrText>
        </w:r>
        <w:r w:rsidRPr="00DE48E8">
          <w:rPr>
            <w:rFonts w:cs="Arial"/>
            <w:noProof/>
            <w:webHidden/>
          </w:rPr>
        </w:r>
        <w:r w:rsidRPr="00DE48E8">
          <w:rPr>
            <w:rFonts w:cs="Arial"/>
            <w:noProof/>
            <w:webHidden/>
          </w:rPr>
          <w:fldChar w:fldCharType="separate"/>
        </w:r>
        <w:r w:rsidR="00204CA5">
          <w:rPr>
            <w:rFonts w:cs="Arial"/>
            <w:noProof/>
            <w:webHidden/>
          </w:rPr>
          <w:t>14</w:t>
        </w:r>
        <w:r w:rsidRPr="00DE48E8">
          <w:rPr>
            <w:rFonts w:cs="Arial"/>
            <w:noProof/>
            <w:webHidden/>
          </w:rPr>
          <w:fldChar w:fldCharType="end"/>
        </w:r>
      </w:hyperlink>
    </w:p>
    <w:p w14:paraId="23166407" w14:textId="4D2F408E" w:rsidR="00DE48E8" w:rsidRPr="00DE48E8" w:rsidRDefault="00DE48E8" w:rsidP="00DE48E8">
      <w:pPr>
        <w:pStyle w:val="TOC1"/>
        <w:tabs>
          <w:tab w:val="right" w:leader="dot" w:pos="9350"/>
        </w:tabs>
        <w:spacing w:before="120" w:after="120" w:line="360" w:lineRule="auto"/>
        <w:rPr>
          <w:rFonts w:eastAsiaTheme="minorEastAsia" w:cs="Arial"/>
          <w:noProof/>
        </w:rPr>
      </w:pPr>
      <w:hyperlink w:anchor="_Toc209284746" w:history="1">
        <w:r w:rsidRPr="00DE48E8">
          <w:rPr>
            <w:rStyle w:val="Hyperlink"/>
            <w:rFonts w:cs="Arial"/>
            <w:b/>
            <w:noProof/>
          </w:rPr>
          <w:t>CHAPTER 2 – Background Information and Analysis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_Toc209284746 \h </w:instrText>
        </w:r>
        <w:r w:rsidRPr="00DE48E8">
          <w:rPr>
            <w:rFonts w:cs="Arial"/>
            <w:noProof/>
            <w:webHidden/>
          </w:rPr>
        </w:r>
        <w:r w:rsidRPr="00DE48E8">
          <w:rPr>
            <w:rFonts w:cs="Arial"/>
            <w:noProof/>
            <w:webHidden/>
          </w:rPr>
          <w:fldChar w:fldCharType="separate"/>
        </w:r>
        <w:r w:rsidR="00204CA5">
          <w:rPr>
            <w:rFonts w:cs="Arial"/>
            <w:noProof/>
            <w:webHidden/>
          </w:rPr>
          <w:t>15</w:t>
        </w:r>
        <w:r w:rsidRPr="00DE48E8">
          <w:rPr>
            <w:rFonts w:cs="Arial"/>
            <w:noProof/>
            <w:webHidden/>
          </w:rPr>
          <w:fldChar w:fldCharType="end"/>
        </w:r>
      </w:hyperlink>
    </w:p>
    <w:p w14:paraId="2D08216F" w14:textId="45C4ED1F"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47" w:history="1">
        <w:r w:rsidRPr="00DE48E8">
          <w:rPr>
            <w:rStyle w:val="Hyperlink"/>
            <w:rFonts w:cs="Arial"/>
            <w:noProof/>
          </w:rPr>
          <w:t>2.1 Introduction</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_Toc209284747 \h </w:instrText>
        </w:r>
        <w:r w:rsidRPr="00DE48E8">
          <w:rPr>
            <w:rFonts w:cs="Arial"/>
            <w:noProof/>
            <w:webHidden/>
          </w:rPr>
        </w:r>
        <w:r w:rsidRPr="00DE48E8">
          <w:rPr>
            <w:rFonts w:cs="Arial"/>
            <w:noProof/>
            <w:webHidden/>
          </w:rPr>
          <w:fldChar w:fldCharType="separate"/>
        </w:r>
        <w:r w:rsidR="00204CA5">
          <w:rPr>
            <w:rFonts w:cs="Arial"/>
            <w:noProof/>
            <w:webHidden/>
          </w:rPr>
          <w:t>15</w:t>
        </w:r>
        <w:r w:rsidRPr="00DE48E8">
          <w:rPr>
            <w:rFonts w:cs="Arial"/>
            <w:noProof/>
            <w:webHidden/>
          </w:rPr>
          <w:fldChar w:fldCharType="end"/>
        </w:r>
      </w:hyperlink>
    </w:p>
    <w:p w14:paraId="2BF75E57" w14:textId="057B5F07"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48" w:history="1">
        <w:r w:rsidRPr="00DE48E8">
          <w:rPr>
            <w:rStyle w:val="Hyperlink"/>
            <w:rFonts w:cs="Arial"/>
            <w:noProof/>
          </w:rPr>
          <w:t>2.2 Historical Background</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_Toc209284748 \h </w:instrText>
        </w:r>
        <w:r w:rsidRPr="00DE48E8">
          <w:rPr>
            <w:rFonts w:cs="Arial"/>
            <w:noProof/>
            <w:webHidden/>
          </w:rPr>
        </w:r>
        <w:r w:rsidRPr="00DE48E8">
          <w:rPr>
            <w:rFonts w:cs="Arial"/>
            <w:noProof/>
            <w:webHidden/>
          </w:rPr>
          <w:fldChar w:fldCharType="separate"/>
        </w:r>
        <w:r w:rsidR="00204CA5">
          <w:rPr>
            <w:rFonts w:cs="Arial"/>
            <w:noProof/>
            <w:webHidden/>
          </w:rPr>
          <w:t>15</w:t>
        </w:r>
        <w:r w:rsidRPr="00DE48E8">
          <w:rPr>
            <w:rFonts w:cs="Arial"/>
            <w:noProof/>
            <w:webHidden/>
          </w:rPr>
          <w:fldChar w:fldCharType="end"/>
        </w:r>
      </w:hyperlink>
    </w:p>
    <w:p w14:paraId="4BEB003A" w14:textId="3EB4FB2B"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49" w:history="1">
        <w:r w:rsidRPr="00DE48E8">
          <w:rPr>
            <w:rStyle w:val="Hyperlink"/>
            <w:rFonts w:cs="Arial"/>
            <w:noProof/>
          </w:rPr>
          <w:t>2.3 Theoretical Background</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_Toc209284749 \h </w:instrText>
        </w:r>
        <w:r w:rsidRPr="00DE48E8">
          <w:rPr>
            <w:rFonts w:cs="Arial"/>
            <w:noProof/>
            <w:webHidden/>
          </w:rPr>
        </w:r>
        <w:r w:rsidRPr="00DE48E8">
          <w:rPr>
            <w:rFonts w:cs="Arial"/>
            <w:noProof/>
            <w:webHidden/>
          </w:rPr>
          <w:fldChar w:fldCharType="separate"/>
        </w:r>
        <w:r w:rsidR="00204CA5">
          <w:rPr>
            <w:rFonts w:cs="Arial"/>
            <w:noProof/>
            <w:webHidden/>
          </w:rPr>
          <w:t>16</w:t>
        </w:r>
        <w:r w:rsidRPr="00DE48E8">
          <w:rPr>
            <w:rFonts w:cs="Arial"/>
            <w:noProof/>
            <w:webHidden/>
          </w:rPr>
          <w:fldChar w:fldCharType="end"/>
        </w:r>
      </w:hyperlink>
    </w:p>
    <w:p w14:paraId="11749BFF" w14:textId="6C3AB795"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50" w:history="1">
        <w:r w:rsidRPr="00DE48E8">
          <w:rPr>
            <w:rStyle w:val="Hyperlink"/>
            <w:rFonts w:cs="Arial"/>
            <w:noProof/>
          </w:rPr>
          <w:t>2.4 National/Local UK Context</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_Toc209284750 \h </w:instrText>
        </w:r>
        <w:r w:rsidRPr="00DE48E8">
          <w:rPr>
            <w:rFonts w:cs="Arial"/>
            <w:noProof/>
            <w:webHidden/>
          </w:rPr>
        </w:r>
        <w:r w:rsidRPr="00DE48E8">
          <w:rPr>
            <w:rFonts w:cs="Arial"/>
            <w:noProof/>
            <w:webHidden/>
          </w:rPr>
          <w:fldChar w:fldCharType="separate"/>
        </w:r>
        <w:r w:rsidR="00204CA5">
          <w:rPr>
            <w:rFonts w:cs="Arial"/>
            <w:noProof/>
            <w:webHidden/>
          </w:rPr>
          <w:t>18</w:t>
        </w:r>
        <w:r w:rsidRPr="00DE48E8">
          <w:rPr>
            <w:rFonts w:cs="Arial"/>
            <w:noProof/>
            <w:webHidden/>
          </w:rPr>
          <w:fldChar w:fldCharType="end"/>
        </w:r>
      </w:hyperlink>
    </w:p>
    <w:p w14:paraId="419140D5" w14:textId="0CE19826"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51" w:history="1">
        <w:r w:rsidRPr="00DE48E8">
          <w:rPr>
            <w:rStyle w:val="Hyperlink"/>
            <w:rFonts w:cs="Arial"/>
            <w:noProof/>
          </w:rPr>
          <w:t>2.4.1 UK Perspective</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_Toc209284751 \h </w:instrText>
        </w:r>
        <w:r w:rsidRPr="00DE48E8">
          <w:rPr>
            <w:rFonts w:cs="Arial"/>
            <w:noProof/>
            <w:webHidden/>
          </w:rPr>
        </w:r>
        <w:r w:rsidRPr="00DE48E8">
          <w:rPr>
            <w:rFonts w:cs="Arial"/>
            <w:noProof/>
            <w:webHidden/>
          </w:rPr>
          <w:fldChar w:fldCharType="separate"/>
        </w:r>
        <w:r w:rsidR="00204CA5">
          <w:rPr>
            <w:rFonts w:cs="Arial"/>
            <w:noProof/>
            <w:webHidden/>
          </w:rPr>
          <w:t>18</w:t>
        </w:r>
        <w:r w:rsidRPr="00DE48E8">
          <w:rPr>
            <w:rFonts w:cs="Arial"/>
            <w:noProof/>
            <w:webHidden/>
          </w:rPr>
          <w:fldChar w:fldCharType="end"/>
        </w:r>
      </w:hyperlink>
    </w:p>
    <w:p w14:paraId="7C70F1E2" w14:textId="416C9EAD"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52" w:history="1">
        <w:r w:rsidRPr="00DE48E8">
          <w:rPr>
            <w:rStyle w:val="Hyperlink"/>
            <w:rFonts w:cs="Arial"/>
            <w:noProof/>
          </w:rPr>
          <w:t>2.4.2 Policy and Regulation</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_Toc209284752 \h </w:instrText>
        </w:r>
        <w:r w:rsidRPr="00DE48E8">
          <w:rPr>
            <w:rFonts w:cs="Arial"/>
            <w:noProof/>
            <w:webHidden/>
          </w:rPr>
        </w:r>
        <w:r w:rsidRPr="00DE48E8">
          <w:rPr>
            <w:rFonts w:cs="Arial"/>
            <w:noProof/>
            <w:webHidden/>
          </w:rPr>
          <w:fldChar w:fldCharType="separate"/>
        </w:r>
        <w:r w:rsidR="00204CA5">
          <w:rPr>
            <w:rFonts w:cs="Arial"/>
            <w:noProof/>
            <w:webHidden/>
          </w:rPr>
          <w:t>18</w:t>
        </w:r>
        <w:r w:rsidRPr="00DE48E8">
          <w:rPr>
            <w:rFonts w:cs="Arial"/>
            <w:noProof/>
            <w:webHidden/>
          </w:rPr>
          <w:fldChar w:fldCharType="end"/>
        </w:r>
      </w:hyperlink>
    </w:p>
    <w:p w14:paraId="13FC6862" w14:textId="2C46F9D3"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53" w:history="1">
        <w:r w:rsidRPr="00DE48E8">
          <w:rPr>
            <w:rStyle w:val="Hyperlink"/>
            <w:rFonts w:cs="Arial"/>
            <w:noProof/>
          </w:rPr>
          <w:t>2.4.3 Local Context</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_Toc209284753 \h </w:instrText>
        </w:r>
        <w:r w:rsidRPr="00DE48E8">
          <w:rPr>
            <w:rFonts w:cs="Arial"/>
            <w:noProof/>
            <w:webHidden/>
          </w:rPr>
        </w:r>
        <w:r w:rsidRPr="00DE48E8">
          <w:rPr>
            <w:rFonts w:cs="Arial"/>
            <w:noProof/>
            <w:webHidden/>
          </w:rPr>
          <w:fldChar w:fldCharType="separate"/>
        </w:r>
        <w:r w:rsidR="00204CA5">
          <w:rPr>
            <w:rFonts w:cs="Arial"/>
            <w:noProof/>
            <w:webHidden/>
          </w:rPr>
          <w:t>19</w:t>
        </w:r>
        <w:r w:rsidRPr="00DE48E8">
          <w:rPr>
            <w:rFonts w:cs="Arial"/>
            <w:noProof/>
            <w:webHidden/>
          </w:rPr>
          <w:fldChar w:fldCharType="end"/>
        </w:r>
      </w:hyperlink>
    </w:p>
    <w:p w14:paraId="553D460D" w14:textId="021669F0"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54" w:history="1">
        <w:r w:rsidRPr="00DE48E8">
          <w:rPr>
            <w:rStyle w:val="Hyperlink"/>
            <w:rFonts w:cs="Arial"/>
            <w:noProof/>
          </w:rPr>
          <w:t>2.5 Conclusion</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_Toc209284754 \h </w:instrText>
        </w:r>
        <w:r w:rsidRPr="00DE48E8">
          <w:rPr>
            <w:rFonts w:cs="Arial"/>
            <w:noProof/>
            <w:webHidden/>
          </w:rPr>
        </w:r>
        <w:r w:rsidRPr="00DE48E8">
          <w:rPr>
            <w:rFonts w:cs="Arial"/>
            <w:noProof/>
            <w:webHidden/>
          </w:rPr>
          <w:fldChar w:fldCharType="separate"/>
        </w:r>
        <w:r w:rsidR="00204CA5">
          <w:rPr>
            <w:rFonts w:cs="Arial"/>
            <w:noProof/>
            <w:webHidden/>
          </w:rPr>
          <w:t>19</w:t>
        </w:r>
        <w:r w:rsidRPr="00DE48E8">
          <w:rPr>
            <w:rFonts w:cs="Arial"/>
            <w:noProof/>
            <w:webHidden/>
          </w:rPr>
          <w:fldChar w:fldCharType="end"/>
        </w:r>
      </w:hyperlink>
    </w:p>
    <w:p w14:paraId="2AB54162" w14:textId="3830E0D5" w:rsidR="00DE48E8" w:rsidRPr="00DE48E8" w:rsidRDefault="00DE48E8" w:rsidP="00DE48E8">
      <w:pPr>
        <w:pStyle w:val="TOC1"/>
        <w:tabs>
          <w:tab w:val="right" w:leader="dot" w:pos="9350"/>
        </w:tabs>
        <w:spacing w:before="120" w:after="120" w:line="360" w:lineRule="auto"/>
        <w:rPr>
          <w:rFonts w:eastAsiaTheme="minorEastAsia" w:cs="Arial"/>
          <w:noProof/>
        </w:rPr>
      </w:pPr>
      <w:hyperlink w:anchor="_Toc209284755" w:history="1">
        <w:r w:rsidRPr="00DE48E8">
          <w:rPr>
            <w:rStyle w:val="Hyperlink"/>
            <w:rFonts w:cs="Arial"/>
            <w:b/>
            <w:noProof/>
          </w:rPr>
          <w:t>CHAPTER 3: Methodology</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_Toc209284755 \h </w:instrText>
        </w:r>
        <w:r w:rsidRPr="00DE48E8">
          <w:rPr>
            <w:rFonts w:cs="Arial"/>
            <w:noProof/>
            <w:webHidden/>
          </w:rPr>
        </w:r>
        <w:r w:rsidRPr="00DE48E8">
          <w:rPr>
            <w:rFonts w:cs="Arial"/>
            <w:noProof/>
            <w:webHidden/>
          </w:rPr>
          <w:fldChar w:fldCharType="separate"/>
        </w:r>
        <w:r w:rsidR="00204CA5">
          <w:rPr>
            <w:rFonts w:cs="Arial"/>
            <w:noProof/>
            <w:webHidden/>
          </w:rPr>
          <w:t>21</w:t>
        </w:r>
        <w:r w:rsidRPr="00DE48E8">
          <w:rPr>
            <w:rFonts w:cs="Arial"/>
            <w:noProof/>
            <w:webHidden/>
          </w:rPr>
          <w:fldChar w:fldCharType="end"/>
        </w:r>
      </w:hyperlink>
    </w:p>
    <w:p w14:paraId="069A0C38" w14:textId="74453C47"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56" w:history="1">
        <w:r w:rsidRPr="00DE48E8">
          <w:rPr>
            <w:rStyle w:val="Hyperlink"/>
            <w:rFonts w:cs="Arial"/>
            <w:noProof/>
          </w:rPr>
          <w:t>3.1 Introduction</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_Toc209284756 \h </w:instrText>
        </w:r>
        <w:r w:rsidRPr="00DE48E8">
          <w:rPr>
            <w:rFonts w:cs="Arial"/>
            <w:noProof/>
            <w:webHidden/>
          </w:rPr>
        </w:r>
        <w:r w:rsidRPr="00DE48E8">
          <w:rPr>
            <w:rFonts w:cs="Arial"/>
            <w:noProof/>
            <w:webHidden/>
          </w:rPr>
          <w:fldChar w:fldCharType="separate"/>
        </w:r>
        <w:r w:rsidR="00204CA5">
          <w:rPr>
            <w:rFonts w:cs="Arial"/>
            <w:noProof/>
            <w:webHidden/>
          </w:rPr>
          <w:t>25</w:t>
        </w:r>
        <w:r w:rsidRPr="00DE48E8">
          <w:rPr>
            <w:rFonts w:cs="Arial"/>
            <w:noProof/>
            <w:webHidden/>
          </w:rPr>
          <w:fldChar w:fldCharType="end"/>
        </w:r>
      </w:hyperlink>
    </w:p>
    <w:p w14:paraId="5ED37BFC" w14:textId="210DB687"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57" w:history="1">
        <w:r w:rsidRPr="00DE48E8">
          <w:rPr>
            <w:rStyle w:val="Hyperlink"/>
            <w:rFonts w:cs="Arial"/>
            <w:noProof/>
          </w:rPr>
          <w:t>3.2 Search Strategy</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_Toc209284757 \h </w:instrText>
        </w:r>
        <w:r w:rsidRPr="00DE48E8">
          <w:rPr>
            <w:rFonts w:cs="Arial"/>
            <w:noProof/>
            <w:webHidden/>
          </w:rPr>
        </w:r>
        <w:r w:rsidRPr="00DE48E8">
          <w:rPr>
            <w:rFonts w:cs="Arial"/>
            <w:noProof/>
            <w:webHidden/>
          </w:rPr>
          <w:fldChar w:fldCharType="separate"/>
        </w:r>
        <w:r w:rsidR="00204CA5">
          <w:rPr>
            <w:rFonts w:cs="Arial"/>
            <w:noProof/>
            <w:webHidden/>
          </w:rPr>
          <w:t>25</w:t>
        </w:r>
        <w:r w:rsidRPr="00DE48E8">
          <w:rPr>
            <w:rFonts w:cs="Arial"/>
            <w:noProof/>
            <w:webHidden/>
          </w:rPr>
          <w:fldChar w:fldCharType="end"/>
        </w:r>
      </w:hyperlink>
    </w:p>
    <w:p w14:paraId="724862DD" w14:textId="36A13B15"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58" w:history="1">
        <w:r w:rsidRPr="00DE48E8">
          <w:rPr>
            <w:rStyle w:val="Hyperlink"/>
            <w:rFonts w:cs="Arial"/>
            <w:noProof/>
          </w:rPr>
          <w:t>3.3 Searching for Information</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_Toc209284758 \h </w:instrText>
        </w:r>
        <w:r w:rsidRPr="00DE48E8">
          <w:rPr>
            <w:rFonts w:cs="Arial"/>
            <w:noProof/>
            <w:webHidden/>
          </w:rPr>
        </w:r>
        <w:r w:rsidRPr="00DE48E8">
          <w:rPr>
            <w:rFonts w:cs="Arial"/>
            <w:noProof/>
            <w:webHidden/>
          </w:rPr>
          <w:fldChar w:fldCharType="separate"/>
        </w:r>
        <w:r w:rsidR="00204CA5">
          <w:rPr>
            <w:rFonts w:cs="Arial"/>
            <w:noProof/>
            <w:webHidden/>
          </w:rPr>
          <w:t>26</w:t>
        </w:r>
        <w:r w:rsidRPr="00DE48E8">
          <w:rPr>
            <w:rFonts w:cs="Arial"/>
            <w:noProof/>
            <w:webHidden/>
          </w:rPr>
          <w:fldChar w:fldCharType="end"/>
        </w:r>
      </w:hyperlink>
    </w:p>
    <w:p w14:paraId="5E059CD6" w14:textId="434A939E"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59" w:history="1">
        <w:r w:rsidRPr="00DE48E8">
          <w:rPr>
            <w:rStyle w:val="Hyperlink"/>
            <w:rFonts w:cs="Arial"/>
            <w:noProof/>
          </w:rPr>
          <w:t>3.4 Research Validation</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_Toc209284759 \h </w:instrText>
        </w:r>
        <w:r w:rsidRPr="00DE48E8">
          <w:rPr>
            <w:rFonts w:cs="Arial"/>
            <w:noProof/>
            <w:webHidden/>
          </w:rPr>
        </w:r>
        <w:r w:rsidRPr="00DE48E8">
          <w:rPr>
            <w:rFonts w:cs="Arial"/>
            <w:noProof/>
            <w:webHidden/>
          </w:rPr>
          <w:fldChar w:fldCharType="separate"/>
        </w:r>
        <w:r w:rsidR="00204CA5">
          <w:rPr>
            <w:rFonts w:cs="Arial"/>
            <w:noProof/>
            <w:webHidden/>
          </w:rPr>
          <w:t>28</w:t>
        </w:r>
        <w:r w:rsidRPr="00DE48E8">
          <w:rPr>
            <w:rFonts w:cs="Arial"/>
            <w:noProof/>
            <w:webHidden/>
          </w:rPr>
          <w:fldChar w:fldCharType="end"/>
        </w:r>
      </w:hyperlink>
    </w:p>
    <w:p w14:paraId="185EB4F5" w14:textId="746B0C7A"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60" w:history="1">
        <w:r w:rsidRPr="00DE48E8">
          <w:rPr>
            <w:rStyle w:val="Hyperlink"/>
            <w:rFonts w:cs="Arial"/>
            <w:noProof/>
          </w:rPr>
          <w:t>3.5 Inclusion and Exclusion Criteria</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_Toc209284760 \h </w:instrText>
        </w:r>
        <w:r w:rsidRPr="00DE48E8">
          <w:rPr>
            <w:rFonts w:cs="Arial"/>
            <w:noProof/>
            <w:webHidden/>
          </w:rPr>
        </w:r>
        <w:r w:rsidRPr="00DE48E8">
          <w:rPr>
            <w:rFonts w:cs="Arial"/>
            <w:noProof/>
            <w:webHidden/>
          </w:rPr>
          <w:fldChar w:fldCharType="separate"/>
        </w:r>
        <w:r w:rsidR="00204CA5">
          <w:rPr>
            <w:rFonts w:cs="Arial"/>
            <w:noProof/>
            <w:webHidden/>
          </w:rPr>
          <w:t>28</w:t>
        </w:r>
        <w:r w:rsidRPr="00DE48E8">
          <w:rPr>
            <w:rFonts w:cs="Arial"/>
            <w:noProof/>
            <w:webHidden/>
          </w:rPr>
          <w:fldChar w:fldCharType="end"/>
        </w:r>
      </w:hyperlink>
    </w:p>
    <w:p w14:paraId="0450CE1C" w14:textId="7B5BF9C6"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61" w:history="1">
        <w:r w:rsidRPr="00DE48E8">
          <w:rPr>
            <w:rStyle w:val="Hyperlink"/>
            <w:rFonts w:cs="Arial"/>
            <w:noProof/>
          </w:rPr>
          <w:t>3.6 Analyzing Research</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_Toc209284761 \h </w:instrText>
        </w:r>
        <w:r w:rsidRPr="00DE48E8">
          <w:rPr>
            <w:rFonts w:cs="Arial"/>
            <w:noProof/>
            <w:webHidden/>
          </w:rPr>
        </w:r>
        <w:r w:rsidRPr="00DE48E8">
          <w:rPr>
            <w:rFonts w:cs="Arial"/>
            <w:noProof/>
            <w:webHidden/>
          </w:rPr>
          <w:fldChar w:fldCharType="separate"/>
        </w:r>
        <w:r w:rsidR="00204CA5">
          <w:rPr>
            <w:rFonts w:cs="Arial"/>
            <w:noProof/>
            <w:webHidden/>
          </w:rPr>
          <w:t>29</w:t>
        </w:r>
        <w:r w:rsidRPr="00DE48E8">
          <w:rPr>
            <w:rFonts w:cs="Arial"/>
            <w:noProof/>
            <w:webHidden/>
          </w:rPr>
          <w:fldChar w:fldCharType="end"/>
        </w:r>
      </w:hyperlink>
    </w:p>
    <w:p w14:paraId="2AFFB701" w14:textId="58AD0118"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62" w:history="1">
        <w:r w:rsidRPr="00DE48E8">
          <w:rPr>
            <w:rStyle w:val="Hyperlink"/>
            <w:rFonts w:cs="Arial"/>
            <w:noProof/>
          </w:rPr>
          <w:t>3.7 Ethical Considerations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_Toc209284762 \h </w:instrText>
        </w:r>
        <w:r w:rsidRPr="00DE48E8">
          <w:rPr>
            <w:rFonts w:cs="Arial"/>
            <w:noProof/>
            <w:webHidden/>
          </w:rPr>
        </w:r>
        <w:r w:rsidRPr="00DE48E8">
          <w:rPr>
            <w:rFonts w:cs="Arial"/>
            <w:noProof/>
            <w:webHidden/>
          </w:rPr>
          <w:fldChar w:fldCharType="separate"/>
        </w:r>
        <w:r w:rsidR="00204CA5">
          <w:rPr>
            <w:rFonts w:cs="Arial"/>
            <w:noProof/>
            <w:webHidden/>
          </w:rPr>
          <w:t>30</w:t>
        </w:r>
        <w:r w:rsidRPr="00DE48E8">
          <w:rPr>
            <w:rFonts w:cs="Arial"/>
            <w:noProof/>
            <w:webHidden/>
          </w:rPr>
          <w:fldChar w:fldCharType="end"/>
        </w:r>
      </w:hyperlink>
    </w:p>
    <w:p w14:paraId="2F1C68FF" w14:textId="7B57FE92"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63" w:history="1">
        <w:r w:rsidRPr="00DE48E8">
          <w:rPr>
            <w:rStyle w:val="Hyperlink"/>
            <w:rFonts w:cs="Arial"/>
            <w:noProof/>
          </w:rPr>
          <w:t>3.8 Chapter Conclusion</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_Toc209284763 \h </w:instrText>
        </w:r>
        <w:r w:rsidRPr="00DE48E8">
          <w:rPr>
            <w:rFonts w:cs="Arial"/>
            <w:noProof/>
            <w:webHidden/>
          </w:rPr>
        </w:r>
        <w:r w:rsidRPr="00DE48E8">
          <w:rPr>
            <w:rFonts w:cs="Arial"/>
            <w:noProof/>
            <w:webHidden/>
          </w:rPr>
          <w:fldChar w:fldCharType="separate"/>
        </w:r>
        <w:r w:rsidR="00204CA5">
          <w:rPr>
            <w:rFonts w:cs="Arial"/>
            <w:noProof/>
            <w:webHidden/>
          </w:rPr>
          <w:t>30</w:t>
        </w:r>
        <w:r w:rsidRPr="00DE48E8">
          <w:rPr>
            <w:rFonts w:cs="Arial"/>
            <w:noProof/>
            <w:webHidden/>
          </w:rPr>
          <w:fldChar w:fldCharType="end"/>
        </w:r>
      </w:hyperlink>
    </w:p>
    <w:p w14:paraId="6FF4CAFC" w14:textId="76B59E9B" w:rsidR="00DE48E8" w:rsidRPr="00DE48E8" w:rsidRDefault="00DE48E8" w:rsidP="00DE48E8">
      <w:pPr>
        <w:pStyle w:val="TOC1"/>
        <w:tabs>
          <w:tab w:val="right" w:leader="dot" w:pos="9350"/>
        </w:tabs>
        <w:spacing w:before="120" w:after="120" w:line="360" w:lineRule="auto"/>
        <w:rPr>
          <w:rFonts w:eastAsiaTheme="minorEastAsia" w:cs="Arial"/>
          <w:noProof/>
        </w:rPr>
      </w:pPr>
      <w:hyperlink w:anchor="_Toc209284764" w:history="1">
        <w:r w:rsidRPr="00DE48E8">
          <w:rPr>
            <w:rStyle w:val="Hyperlink"/>
            <w:rFonts w:cs="Arial"/>
            <w:b/>
            <w:noProof/>
          </w:rPr>
          <w:t>CHAPTER 4 – Findings and Discussion</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_Toc209284764 \h </w:instrText>
        </w:r>
        <w:r w:rsidRPr="00DE48E8">
          <w:rPr>
            <w:rFonts w:cs="Arial"/>
            <w:noProof/>
            <w:webHidden/>
          </w:rPr>
        </w:r>
        <w:r w:rsidRPr="00DE48E8">
          <w:rPr>
            <w:rFonts w:cs="Arial"/>
            <w:noProof/>
            <w:webHidden/>
          </w:rPr>
          <w:fldChar w:fldCharType="separate"/>
        </w:r>
        <w:r w:rsidR="00204CA5">
          <w:rPr>
            <w:rFonts w:cs="Arial"/>
            <w:noProof/>
            <w:webHidden/>
          </w:rPr>
          <w:t>31</w:t>
        </w:r>
        <w:r w:rsidRPr="00DE48E8">
          <w:rPr>
            <w:rFonts w:cs="Arial"/>
            <w:noProof/>
            <w:webHidden/>
          </w:rPr>
          <w:fldChar w:fldCharType="end"/>
        </w:r>
      </w:hyperlink>
    </w:p>
    <w:p w14:paraId="1D1C2946" w14:textId="03279EB9"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65" w:history="1">
        <w:r w:rsidRPr="00DE48E8">
          <w:rPr>
            <w:rStyle w:val="Hyperlink"/>
            <w:rFonts w:cs="Arial"/>
            <w:noProof/>
          </w:rPr>
          <w:t>4.1 Introduction</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_Toc209284765 \h </w:instrText>
        </w:r>
        <w:r w:rsidRPr="00DE48E8">
          <w:rPr>
            <w:rFonts w:cs="Arial"/>
            <w:noProof/>
            <w:webHidden/>
          </w:rPr>
        </w:r>
        <w:r w:rsidRPr="00DE48E8">
          <w:rPr>
            <w:rFonts w:cs="Arial"/>
            <w:noProof/>
            <w:webHidden/>
          </w:rPr>
          <w:fldChar w:fldCharType="separate"/>
        </w:r>
        <w:r w:rsidR="00204CA5">
          <w:rPr>
            <w:rFonts w:cs="Arial"/>
            <w:noProof/>
            <w:webHidden/>
          </w:rPr>
          <w:t>31</w:t>
        </w:r>
        <w:r w:rsidRPr="00DE48E8">
          <w:rPr>
            <w:rFonts w:cs="Arial"/>
            <w:noProof/>
            <w:webHidden/>
          </w:rPr>
          <w:fldChar w:fldCharType="end"/>
        </w:r>
      </w:hyperlink>
    </w:p>
    <w:p w14:paraId="5C68227E" w14:textId="12748E36"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66" w:history="1">
        <w:r w:rsidRPr="00DE48E8">
          <w:rPr>
            <w:rStyle w:val="Hyperlink"/>
            <w:rFonts w:cs="Arial"/>
            <w:noProof/>
          </w:rPr>
          <w:t>4.2 Thematic Analysis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_Toc209284766 \h </w:instrText>
        </w:r>
        <w:r w:rsidRPr="00DE48E8">
          <w:rPr>
            <w:rFonts w:cs="Arial"/>
            <w:noProof/>
            <w:webHidden/>
          </w:rPr>
        </w:r>
        <w:r w:rsidRPr="00DE48E8">
          <w:rPr>
            <w:rFonts w:cs="Arial"/>
            <w:noProof/>
            <w:webHidden/>
          </w:rPr>
          <w:fldChar w:fldCharType="separate"/>
        </w:r>
        <w:r w:rsidR="00204CA5">
          <w:rPr>
            <w:rFonts w:cs="Arial"/>
            <w:noProof/>
            <w:webHidden/>
          </w:rPr>
          <w:t>31</w:t>
        </w:r>
        <w:r w:rsidRPr="00DE48E8">
          <w:rPr>
            <w:rFonts w:cs="Arial"/>
            <w:noProof/>
            <w:webHidden/>
          </w:rPr>
          <w:fldChar w:fldCharType="end"/>
        </w:r>
      </w:hyperlink>
    </w:p>
    <w:p w14:paraId="2200213A" w14:textId="05F1122F"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67" w:history="1">
        <w:r w:rsidRPr="00DE48E8">
          <w:rPr>
            <w:rStyle w:val="Hyperlink"/>
            <w:rFonts w:cs="Arial"/>
            <w:noProof/>
          </w:rPr>
          <w:t>4.3 Theme 1 – Disengagement and Barriers: how digital exclusion manifests for older adults in UK health &amp; social care</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_Toc209284767 \h </w:instrText>
        </w:r>
        <w:r w:rsidRPr="00DE48E8">
          <w:rPr>
            <w:rFonts w:cs="Arial"/>
            <w:noProof/>
            <w:webHidden/>
          </w:rPr>
        </w:r>
        <w:r w:rsidRPr="00DE48E8">
          <w:rPr>
            <w:rFonts w:cs="Arial"/>
            <w:noProof/>
            <w:webHidden/>
          </w:rPr>
          <w:fldChar w:fldCharType="separate"/>
        </w:r>
        <w:r w:rsidR="00204CA5">
          <w:rPr>
            <w:rFonts w:cs="Arial"/>
            <w:noProof/>
            <w:webHidden/>
          </w:rPr>
          <w:t>31</w:t>
        </w:r>
        <w:r w:rsidRPr="00DE48E8">
          <w:rPr>
            <w:rFonts w:cs="Arial"/>
            <w:noProof/>
            <w:webHidden/>
          </w:rPr>
          <w:fldChar w:fldCharType="end"/>
        </w:r>
      </w:hyperlink>
    </w:p>
    <w:p w14:paraId="7A0785A9" w14:textId="74354252"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68" w:history="1">
        <w:r w:rsidRPr="00DE48E8">
          <w:rPr>
            <w:rStyle w:val="Hyperlink"/>
            <w:rFonts w:cs="Arial"/>
            <w:noProof/>
          </w:rPr>
          <w:t>4.3.1 Definition and scope</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_Toc209284768 \h </w:instrText>
        </w:r>
        <w:r w:rsidRPr="00DE48E8">
          <w:rPr>
            <w:rFonts w:cs="Arial"/>
            <w:noProof/>
            <w:webHidden/>
          </w:rPr>
        </w:r>
        <w:r w:rsidRPr="00DE48E8">
          <w:rPr>
            <w:rFonts w:cs="Arial"/>
            <w:noProof/>
            <w:webHidden/>
          </w:rPr>
          <w:fldChar w:fldCharType="separate"/>
        </w:r>
        <w:r w:rsidR="00204CA5">
          <w:rPr>
            <w:rFonts w:cs="Arial"/>
            <w:noProof/>
            <w:webHidden/>
          </w:rPr>
          <w:t>32</w:t>
        </w:r>
        <w:r w:rsidRPr="00DE48E8">
          <w:rPr>
            <w:rFonts w:cs="Arial"/>
            <w:noProof/>
            <w:webHidden/>
          </w:rPr>
          <w:fldChar w:fldCharType="end"/>
        </w:r>
      </w:hyperlink>
    </w:p>
    <w:p w14:paraId="0D9F8B33" w14:textId="7F5654F3"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69" w:history="1">
        <w:r w:rsidRPr="00DE48E8">
          <w:rPr>
            <w:rStyle w:val="Hyperlink"/>
            <w:rFonts w:cs="Arial"/>
            <w:noProof/>
          </w:rPr>
          <w:t>4.3.2 Historical/contextual Background</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_Toc209284769 \h </w:instrText>
        </w:r>
        <w:r w:rsidRPr="00DE48E8">
          <w:rPr>
            <w:rFonts w:cs="Arial"/>
            <w:noProof/>
            <w:webHidden/>
          </w:rPr>
        </w:r>
        <w:r w:rsidRPr="00DE48E8">
          <w:rPr>
            <w:rFonts w:cs="Arial"/>
            <w:noProof/>
            <w:webHidden/>
          </w:rPr>
          <w:fldChar w:fldCharType="separate"/>
        </w:r>
        <w:r w:rsidR="00204CA5">
          <w:rPr>
            <w:rFonts w:cs="Arial"/>
            <w:noProof/>
            <w:webHidden/>
          </w:rPr>
          <w:t>32</w:t>
        </w:r>
        <w:r w:rsidRPr="00DE48E8">
          <w:rPr>
            <w:rFonts w:cs="Arial"/>
            <w:noProof/>
            <w:webHidden/>
          </w:rPr>
          <w:fldChar w:fldCharType="end"/>
        </w:r>
      </w:hyperlink>
    </w:p>
    <w:p w14:paraId="3CABDF19" w14:textId="36BFBDCE"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70" w:history="1">
        <w:r w:rsidRPr="00DE48E8">
          <w:rPr>
            <w:rStyle w:val="Hyperlink"/>
            <w:rFonts w:cs="Arial"/>
            <w:noProof/>
          </w:rPr>
          <w:t>4.3.3 Scale and Salience</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_Toc209284770 \h </w:instrText>
        </w:r>
        <w:r w:rsidRPr="00DE48E8">
          <w:rPr>
            <w:rFonts w:cs="Arial"/>
            <w:noProof/>
            <w:webHidden/>
          </w:rPr>
        </w:r>
        <w:r w:rsidRPr="00DE48E8">
          <w:rPr>
            <w:rFonts w:cs="Arial"/>
            <w:noProof/>
            <w:webHidden/>
          </w:rPr>
          <w:fldChar w:fldCharType="separate"/>
        </w:r>
        <w:r w:rsidR="00204CA5">
          <w:rPr>
            <w:rFonts w:cs="Arial"/>
            <w:noProof/>
            <w:webHidden/>
          </w:rPr>
          <w:t>32</w:t>
        </w:r>
        <w:r w:rsidRPr="00DE48E8">
          <w:rPr>
            <w:rFonts w:cs="Arial"/>
            <w:noProof/>
            <w:webHidden/>
          </w:rPr>
          <w:fldChar w:fldCharType="end"/>
        </w:r>
      </w:hyperlink>
    </w:p>
    <w:p w14:paraId="289A8512" w14:textId="0478A684"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71" w:history="1">
        <w:r w:rsidRPr="00DE48E8">
          <w:rPr>
            <w:rStyle w:val="Hyperlink"/>
            <w:rFonts w:cs="Arial"/>
            <w:noProof/>
          </w:rPr>
          <w:t>4.3.4 Distinctive Obstacles in Health &amp; Social Care</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_Toc209284771 \h </w:instrText>
        </w:r>
        <w:r w:rsidRPr="00DE48E8">
          <w:rPr>
            <w:rFonts w:cs="Arial"/>
            <w:noProof/>
            <w:webHidden/>
          </w:rPr>
        </w:r>
        <w:r w:rsidRPr="00DE48E8">
          <w:rPr>
            <w:rFonts w:cs="Arial"/>
            <w:noProof/>
            <w:webHidden/>
          </w:rPr>
          <w:fldChar w:fldCharType="separate"/>
        </w:r>
        <w:r w:rsidR="00204CA5">
          <w:rPr>
            <w:rFonts w:cs="Arial"/>
            <w:noProof/>
            <w:webHidden/>
          </w:rPr>
          <w:t>32</w:t>
        </w:r>
        <w:r w:rsidRPr="00DE48E8">
          <w:rPr>
            <w:rFonts w:cs="Arial"/>
            <w:noProof/>
            <w:webHidden/>
          </w:rPr>
          <w:fldChar w:fldCharType="end"/>
        </w:r>
      </w:hyperlink>
    </w:p>
    <w:p w14:paraId="4AEFC5DA" w14:textId="38268A9E"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72" w:history="1">
        <w:r w:rsidRPr="00DE48E8">
          <w:rPr>
            <w:rStyle w:val="Hyperlink"/>
            <w:rFonts w:cs="Arial"/>
            <w:noProof/>
          </w:rPr>
          <w:t>4.3.5 Theoretical Framing</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_Toc209284772 \h </w:instrText>
        </w:r>
        <w:r w:rsidRPr="00DE48E8">
          <w:rPr>
            <w:rFonts w:cs="Arial"/>
            <w:noProof/>
            <w:webHidden/>
          </w:rPr>
        </w:r>
        <w:r w:rsidRPr="00DE48E8">
          <w:rPr>
            <w:rFonts w:cs="Arial"/>
            <w:noProof/>
            <w:webHidden/>
          </w:rPr>
          <w:fldChar w:fldCharType="separate"/>
        </w:r>
        <w:r w:rsidR="00204CA5">
          <w:rPr>
            <w:rFonts w:cs="Arial"/>
            <w:noProof/>
            <w:webHidden/>
          </w:rPr>
          <w:t>33</w:t>
        </w:r>
        <w:r w:rsidRPr="00DE48E8">
          <w:rPr>
            <w:rFonts w:cs="Arial"/>
            <w:noProof/>
            <w:webHidden/>
          </w:rPr>
          <w:fldChar w:fldCharType="end"/>
        </w:r>
      </w:hyperlink>
    </w:p>
    <w:p w14:paraId="6B860C84" w14:textId="5FAC8752"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73" w:history="1">
        <w:r w:rsidRPr="00DE48E8">
          <w:rPr>
            <w:rStyle w:val="Hyperlink"/>
            <w:rFonts w:cs="Arial"/>
            <w:noProof/>
          </w:rPr>
          <w:t>4.3.6 Illustrative UK examples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_Toc209284773 \h </w:instrText>
        </w:r>
        <w:r w:rsidRPr="00DE48E8">
          <w:rPr>
            <w:rFonts w:cs="Arial"/>
            <w:noProof/>
            <w:webHidden/>
          </w:rPr>
        </w:r>
        <w:r w:rsidRPr="00DE48E8">
          <w:rPr>
            <w:rFonts w:cs="Arial"/>
            <w:noProof/>
            <w:webHidden/>
          </w:rPr>
          <w:fldChar w:fldCharType="separate"/>
        </w:r>
        <w:r w:rsidR="00204CA5">
          <w:rPr>
            <w:rFonts w:cs="Arial"/>
            <w:noProof/>
            <w:webHidden/>
          </w:rPr>
          <w:t>33</w:t>
        </w:r>
        <w:r w:rsidRPr="00DE48E8">
          <w:rPr>
            <w:rFonts w:cs="Arial"/>
            <w:noProof/>
            <w:webHidden/>
          </w:rPr>
          <w:fldChar w:fldCharType="end"/>
        </w:r>
      </w:hyperlink>
    </w:p>
    <w:p w14:paraId="109B195E" w14:textId="65436C0A"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74" w:history="1">
        <w:r w:rsidRPr="00DE48E8">
          <w:rPr>
            <w:rStyle w:val="Hyperlink"/>
            <w:rFonts w:cs="Arial"/>
            <w:noProof/>
          </w:rPr>
          <w:t>4.3.7 Relevance to The Research Objective 1</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_Toc209284774 \h </w:instrText>
        </w:r>
        <w:r w:rsidRPr="00DE48E8">
          <w:rPr>
            <w:rFonts w:cs="Arial"/>
            <w:noProof/>
            <w:webHidden/>
          </w:rPr>
        </w:r>
        <w:r w:rsidRPr="00DE48E8">
          <w:rPr>
            <w:rFonts w:cs="Arial"/>
            <w:noProof/>
            <w:webHidden/>
          </w:rPr>
          <w:fldChar w:fldCharType="separate"/>
        </w:r>
        <w:r w:rsidR="00204CA5">
          <w:rPr>
            <w:rFonts w:cs="Arial"/>
            <w:noProof/>
            <w:webHidden/>
          </w:rPr>
          <w:t>34</w:t>
        </w:r>
        <w:r w:rsidRPr="00DE48E8">
          <w:rPr>
            <w:rFonts w:cs="Arial"/>
            <w:noProof/>
            <w:webHidden/>
          </w:rPr>
          <w:fldChar w:fldCharType="end"/>
        </w:r>
      </w:hyperlink>
    </w:p>
    <w:p w14:paraId="2928F6E7" w14:textId="6E6D86A9"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75" w:history="1">
        <w:r w:rsidRPr="00DE48E8">
          <w:rPr>
            <w:rStyle w:val="Hyperlink"/>
            <w:rFonts w:cs="Arial"/>
            <w:noProof/>
          </w:rPr>
          <w:t>4.3.8 Connections to Other Themes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_Toc209284775 \h </w:instrText>
        </w:r>
        <w:r w:rsidRPr="00DE48E8">
          <w:rPr>
            <w:rFonts w:cs="Arial"/>
            <w:noProof/>
            <w:webHidden/>
          </w:rPr>
        </w:r>
        <w:r w:rsidRPr="00DE48E8">
          <w:rPr>
            <w:rFonts w:cs="Arial"/>
            <w:noProof/>
            <w:webHidden/>
          </w:rPr>
          <w:fldChar w:fldCharType="separate"/>
        </w:r>
        <w:r w:rsidR="00204CA5">
          <w:rPr>
            <w:rFonts w:cs="Arial"/>
            <w:noProof/>
            <w:webHidden/>
          </w:rPr>
          <w:t>34</w:t>
        </w:r>
        <w:r w:rsidRPr="00DE48E8">
          <w:rPr>
            <w:rFonts w:cs="Arial"/>
            <w:noProof/>
            <w:webHidden/>
          </w:rPr>
          <w:fldChar w:fldCharType="end"/>
        </w:r>
      </w:hyperlink>
    </w:p>
    <w:p w14:paraId="2394C7E6" w14:textId="2EC784F0"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76" w:history="1">
        <w:r w:rsidRPr="00DE48E8">
          <w:rPr>
            <w:rStyle w:val="Hyperlink"/>
            <w:rFonts w:cs="Arial"/>
            <w:noProof/>
          </w:rPr>
          <w:t>4.4 Theme 2 – Consequences: access to services, mental health, wellbeing and care experience</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_Toc209284776 \h </w:instrText>
        </w:r>
        <w:r w:rsidRPr="00DE48E8">
          <w:rPr>
            <w:rFonts w:cs="Arial"/>
            <w:noProof/>
            <w:webHidden/>
          </w:rPr>
        </w:r>
        <w:r w:rsidRPr="00DE48E8">
          <w:rPr>
            <w:rFonts w:cs="Arial"/>
            <w:noProof/>
            <w:webHidden/>
          </w:rPr>
          <w:fldChar w:fldCharType="separate"/>
        </w:r>
        <w:r w:rsidR="00204CA5">
          <w:rPr>
            <w:rFonts w:cs="Arial"/>
            <w:noProof/>
            <w:webHidden/>
          </w:rPr>
          <w:t>34</w:t>
        </w:r>
        <w:r w:rsidRPr="00DE48E8">
          <w:rPr>
            <w:rFonts w:cs="Arial"/>
            <w:noProof/>
            <w:webHidden/>
          </w:rPr>
          <w:fldChar w:fldCharType="end"/>
        </w:r>
      </w:hyperlink>
    </w:p>
    <w:p w14:paraId="1DC57D13" w14:textId="3D5AB5AE"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77" w:history="1">
        <w:r w:rsidRPr="00DE48E8">
          <w:rPr>
            <w:rStyle w:val="Hyperlink"/>
            <w:rFonts w:cs="Arial"/>
            <w:noProof/>
          </w:rPr>
          <w:t>4.4.1 Definition and Scope</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_Toc209284777 \h </w:instrText>
        </w:r>
        <w:r w:rsidRPr="00DE48E8">
          <w:rPr>
            <w:rFonts w:cs="Arial"/>
            <w:noProof/>
            <w:webHidden/>
          </w:rPr>
        </w:r>
        <w:r w:rsidRPr="00DE48E8">
          <w:rPr>
            <w:rFonts w:cs="Arial"/>
            <w:noProof/>
            <w:webHidden/>
          </w:rPr>
          <w:fldChar w:fldCharType="separate"/>
        </w:r>
        <w:r w:rsidR="00204CA5">
          <w:rPr>
            <w:rFonts w:cs="Arial"/>
            <w:noProof/>
            <w:webHidden/>
          </w:rPr>
          <w:t>34</w:t>
        </w:r>
        <w:r w:rsidRPr="00DE48E8">
          <w:rPr>
            <w:rFonts w:cs="Arial"/>
            <w:noProof/>
            <w:webHidden/>
          </w:rPr>
          <w:fldChar w:fldCharType="end"/>
        </w:r>
      </w:hyperlink>
    </w:p>
    <w:p w14:paraId="3C5C166C" w14:textId="704AE299"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78" w:history="1">
        <w:r w:rsidRPr="00DE48E8">
          <w:rPr>
            <w:rStyle w:val="Hyperlink"/>
            <w:rFonts w:cs="Arial"/>
            <w:noProof/>
          </w:rPr>
          <w:t>4.4.2 Background and Mechanisms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_Toc209284778 \h </w:instrText>
        </w:r>
        <w:r w:rsidRPr="00DE48E8">
          <w:rPr>
            <w:rFonts w:cs="Arial"/>
            <w:noProof/>
            <w:webHidden/>
          </w:rPr>
        </w:r>
        <w:r w:rsidRPr="00DE48E8">
          <w:rPr>
            <w:rFonts w:cs="Arial"/>
            <w:noProof/>
            <w:webHidden/>
          </w:rPr>
          <w:fldChar w:fldCharType="separate"/>
        </w:r>
        <w:r w:rsidR="00204CA5">
          <w:rPr>
            <w:rFonts w:cs="Arial"/>
            <w:noProof/>
            <w:webHidden/>
          </w:rPr>
          <w:t>34</w:t>
        </w:r>
        <w:r w:rsidRPr="00DE48E8">
          <w:rPr>
            <w:rFonts w:cs="Arial"/>
            <w:noProof/>
            <w:webHidden/>
          </w:rPr>
          <w:fldChar w:fldCharType="end"/>
        </w:r>
      </w:hyperlink>
    </w:p>
    <w:p w14:paraId="33D502E1" w14:textId="59936F3D"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79" w:history="1">
        <w:r w:rsidRPr="00DE48E8">
          <w:rPr>
            <w:rStyle w:val="Hyperlink"/>
            <w:rFonts w:cs="Arial"/>
            <w:noProof/>
          </w:rPr>
          <w:t>4.4.3 Access to Services: Friction, Delay and Forgone Care</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_Toc209284779 \h </w:instrText>
        </w:r>
        <w:r w:rsidRPr="00DE48E8">
          <w:rPr>
            <w:rFonts w:cs="Arial"/>
            <w:noProof/>
            <w:webHidden/>
          </w:rPr>
        </w:r>
        <w:r w:rsidRPr="00DE48E8">
          <w:rPr>
            <w:rFonts w:cs="Arial"/>
            <w:noProof/>
            <w:webHidden/>
          </w:rPr>
          <w:fldChar w:fldCharType="separate"/>
        </w:r>
        <w:r w:rsidR="00204CA5">
          <w:rPr>
            <w:rFonts w:cs="Arial"/>
            <w:noProof/>
            <w:webHidden/>
          </w:rPr>
          <w:t>35</w:t>
        </w:r>
        <w:r w:rsidRPr="00DE48E8">
          <w:rPr>
            <w:rFonts w:cs="Arial"/>
            <w:noProof/>
            <w:webHidden/>
          </w:rPr>
          <w:fldChar w:fldCharType="end"/>
        </w:r>
      </w:hyperlink>
    </w:p>
    <w:p w14:paraId="0DDC3CD2" w14:textId="340323B7"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80" w:history="1">
        <w:r w:rsidRPr="00DE48E8">
          <w:rPr>
            <w:rStyle w:val="Hyperlink"/>
            <w:rFonts w:cs="Arial"/>
            <w:noProof/>
          </w:rPr>
          <w:t>4.4.4 Mental Health and Wellbeing</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_Toc209284780 \h </w:instrText>
        </w:r>
        <w:r w:rsidRPr="00DE48E8">
          <w:rPr>
            <w:rFonts w:cs="Arial"/>
            <w:noProof/>
            <w:webHidden/>
          </w:rPr>
        </w:r>
        <w:r w:rsidRPr="00DE48E8">
          <w:rPr>
            <w:rFonts w:cs="Arial"/>
            <w:noProof/>
            <w:webHidden/>
          </w:rPr>
          <w:fldChar w:fldCharType="separate"/>
        </w:r>
        <w:r w:rsidR="00204CA5">
          <w:rPr>
            <w:rFonts w:cs="Arial"/>
            <w:noProof/>
            <w:webHidden/>
          </w:rPr>
          <w:t>35</w:t>
        </w:r>
        <w:r w:rsidRPr="00DE48E8">
          <w:rPr>
            <w:rFonts w:cs="Arial"/>
            <w:noProof/>
            <w:webHidden/>
          </w:rPr>
          <w:fldChar w:fldCharType="end"/>
        </w:r>
      </w:hyperlink>
    </w:p>
    <w:p w14:paraId="5515F7EA" w14:textId="387198B1"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81" w:history="1">
        <w:r w:rsidRPr="00DE48E8">
          <w:rPr>
            <w:rStyle w:val="Hyperlink"/>
            <w:rFonts w:cs="Arial"/>
            <w:noProof/>
          </w:rPr>
          <w:t>4.4.5 Care Experience: Dignity, Choice and Continuity</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_Toc209284781 \h </w:instrText>
        </w:r>
        <w:r w:rsidRPr="00DE48E8">
          <w:rPr>
            <w:rFonts w:cs="Arial"/>
            <w:noProof/>
            <w:webHidden/>
          </w:rPr>
        </w:r>
        <w:r w:rsidRPr="00DE48E8">
          <w:rPr>
            <w:rFonts w:cs="Arial"/>
            <w:noProof/>
            <w:webHidden/>
          </w:rPr>
          <w:fldChar w:fldCharType="separate"/>
        </w:r>
        <w:r w:rsidR="00204CA5">
          <w:rPr>
            <w:rFonts w:cs="Arial"/>
            <w:noProof/>
            <w:webHidden/>
          </w:rPr>
          <w:t>36</w:t>
        </w:r>
        <w:r w:rsidRPr="00DE48E8">
          <w:rPr>
            <w:rFonts w:cs="Arial"/>
            <w:noProof/>
            <w:webHidden/>
          </w:rPr>
          <w:fldChar w:fldCharType="end"/>
        </w:r>
      </w:hyperlink>
    </w:p>
    <w:p w14:paraId="46D4AB9E" w14:textId="6844A086"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82" w:history="1">
        <w:r w:rsidRPr="00DE48E8">
          <w:rPr>
            <w:rStyle w:val="Hyperlink"/>
            <w:rFonts w:cs="Arial"/>
            <w:noProof/>
          </w:rPr>
          <w:t>4.4.6 Statistical Context (Triangulation)</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_Toc209284782 \h </w:instrText>
        </w:r>
        <w:r w:rsidRPr="00DE48E8">
          <w:rPr>
            <w:rFonts w:cs="Arial"/>
            <w:noProof/>
            <w:webHidden/>
          </w:rPr>
        </w:r>
        <w:r w:rsidRPr="00DE48E8">
          <w:rPr>
            <w:rFonts w:cs="Arial"/>
            <w:noProof/>
            <w:webHidden/>
          </w:rPr>
          <w:fldChar w:fldCharType="separate"/>
        </w:r>
        <w:r w:rsidR="00204CA5">
          <w:rPr>
            <w:rFonts w:cs="Arial"/>
            <w:noProof/>
            <w:webHidden/>
          </w:rPr>
          <w:t>36</w:t>
        </w:r>
        <w:r w:rsidRPr="00DE48E8">
          <w:rPr>
            <w:rFonts w:cs="Arial"/>
            <w:noProof/>
            <w:webHidden/>
          </w:rPr>
          <w:fldChar w:fldCharType="end"/>
        </w:r>
      </w:hyperlink>
    </w:p>
    <w:p w14:paraId="67C89D8B" w14:textId="4269CA9C"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83" w:history="1">
        <w:r w:rsidRPr="00DE48E8">
          <w:rPr>
            <w:rStyle w:val="Hyperlink"/>
            <w:rFonts w:cs="Arial"/>
            <w:noProof/>
          </w:rPr>
          <w:t>4.4.7 Illustrative Intervention Evidence (Mechanism Plausibility)</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_Toc209284783 \h </w:instrText>
        </w:r>
        <w:r w:rsidRPr="00DE48E8">
          <w:rPr>
            <w:rFonts w:cs="Arial"/>
            <w:noProof/>
            <w:webHidden/>
          </w:rPr>
        </w:r>
        <w:r w:rsidRPr="00DE48E8">
          <w:rPr>
            <w:rFonts w:cs="Arial"/>
            <w:noProof/>
            <w:webHidden/>
          </w:rPr>
          <w:fldChar w:fldCharType="separate"/>
        </w:r>
        <w:r w:rsidR="00204CA5">
          <w:rPr>
            <w:rFonts w:cs="Arial"/>
            <w:noProof/>
            <w:webHidden/>
          </w:rPr>
          <w:t>36</w:t>
        </w:r>
        <w:r w:rsidRPr="00DE48E8">
          <w:rPr>
            <w:rFonts w:cs="Arial"/>
            <w:noProof/>
            <w:webHidden/>
          </w:rPr>
          <w:fldChar w:fldCharType="end"/>
        </w:r>
      </w:hyperlink>
    </w:p>
    <w:p w14:paraId="1650D2D6" w14:textId="4A6AFE0A"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84" w:history="1">
        <w:r w:rsidRPr="00DE48E8">
          <w:rPr>
            <w:rStyle w:val="Hyperlink"/>
            <w:rFonts w:cs="Arial"/>
            <w:noProof/>
          </w:rPr>
          <w:t>4.4.8 Relevance to The Research Objective 2</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_Toc209284784 \h </w:instrText>
        </w:r>
        <w:r w:rsidRPr="00DE48E8">
          <w:rPr>
            <w:rFonts w:cs="Arial"/>
            <w:noProof/>
            <w:webHidden/>
          </w:rPr>
        </w:r>
        <w:r w:rsidRPr="00DE48E8">
          <w:rPr>
            <w:rFonts w:cs="Arial"/>
            <w:noProof/>
            <w:webHidden/>
          </w:rPr>
          <w:fldChar w:fldCharType="separate"/>
        </w:r>
        <w:r w:rsidR="00204CA5">
          <w:rPr>
            <w:rFonts w:cs="Arial"/>
            <w:noProof/>
            <w:webHidden/>
          </w:rPr>
          <w:t>36</w:t>
        </w:r>
        <w:r w:rsidRPr="00DE48E8">
          <w:rPr>
            <w:rFonts w:cs="Arial"/>
            <w:noProof/>
            <w:webHidden/>
          </w:rPr>
          <w:fldChar w:fldCharType="end"/>
        </w:r>
      </w:hyperlink>
    </w:p>
    <w:p w14:paraId="35B52074" w14:textId="014311E8"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85" w:history="1">
        <w:r w:rsidRPr="00DE48E8">
          <w:rPr>
            <w:rStyle w:val="Hyperlink"/>
            <w:rFonts w:cs="Arial"/>
            <w:noProof/>
          </w:rPr>
          <w:t>4.4.9 Connections to Other Themes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_Toc209284785 \h </w:instrText>
        </w:r>
        <w:r w:rsidRPr="00DE48E8">
          <w:rPr>
            <w:rFonts w:cs="Arial"/>
            <w:noProof/>
            <w:webHidden/>
          </w:rPr>
        </w:r>
        <w:r w:rsidRPr="00DE48E8">
          <w:rPr>
            <w:rFonts w:cs="Arial"/>
            <w:noProof/>
            <w:webHidden/>
          </w:rPr>
          <w:fldChar w:fldCharType="separate"/>
        </w:r>
        <w:r w:rsidR="00204CA5">
          <w:rPr>
            <w:rFonts w:cs="Arial"/>
            <w:noProof/>
            <w:webHidden/>
          </w:rPr>
          <w:t>37</w:t>
        </w:r>
        <w:r w:rsidRPr="00DE48E8">
          <w:rPr>
            <w:rFonts w:cs="Arial"/>
            <w:noProof/>
            <w:webHidden/>
          </w:rPr>
          <w:fldChar w:fldCharType="end"/>
        </w:r>
      </w:hyperlink>
    </w:p>
    <w:p w14:paraId="00AACB46" w14:textId="344ADA8D"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86" w:history="1">
        <w:r w:rsidRPr="00DE48E8">
          <w:rPr>
            <w:rStyle w:val="Hyperlink"/>
            <w:rFonts w:cs="Arial"/>
            <w:noProof/>
          </w:rPr>
          <w:t>4.5 Theme 3 – What works? Efficacy of UK policies and interventions to stimulate digital inclusion</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_Toc209284786 \h </w:instrText>
        </w:r>
        <w:r w:rsidRPr="00DE48E8">
          <w:rPr>
            <w:rFonts w:cs="Arial"/>
            <w:noProof/>
            <w:webHidden/>
          </w:rPr>
        </w:r>
        <w:r w:rsidRPr="00DE48E8">
          <w:rPr>
            <w:rFonts w:cs="Arial"/>
            <w:noProof/>
            <w:webHidden/>
          </w:rPr>
          <w:fldChar w:fldCharType="separate"/>
        </w:r>
        <w:r w:rsidR="00204CA5">
          <w:rPr>
            <w:rFonts w:cs="Arial"/>
            <w:noProof/>
            <w:webHidden/>
          </w:rPr>
          <w:t>37</w:t>
        </w:r>
        <w:r w:rsidRPr="00DE48E8">
          <w:rPr>
            <w:rFonts w:cs="Arial"/>
            <w:noProof/>
            <w:webHidden/>
          </w:rPr>
          <w:fldChar w:fldCharType="end"/>
        </w:r>
      </w:hyperlink>
    </w:p>
    <w:p w14:paraId="3344FAB2" w14:textId="7895BB98"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87" w:history="1">
        <w:r w:rsidRPr="00DE48E8">
          <w:rPr>
            <w:rStyle w:val="Hyperlink"/>
            <w:rFonts w:cs="Arial"/>
            <w:noProof/>
          </w:rPr>
          <w:t>4.5.1 Definition and scope</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_Toc209284787 \h </w:instrText>
        </w:r>
        <w:r w:rsidRPr="00DE48E8">
          <w:rPr>
            <w:rFonts w:cs="Arial"/>
            <w:noProof/>
            <w:webHidden/>
          </w:rPr>
        </w:r>
        <w:r w:rsidRPr="00DE48E8">
          <w:rPr>
            <w:rFonts w:cs="Arial"/>
            <w:noProof/>
            <w:webHidden/>
          </w:rPr>
          <w:fldChar w:fldCharType="separate"/>
        </w:r>
        <w:r w:rsidR="00204CA5">
          <w:rPr>
            <w:rFonts w:cs="Arial"/>
            <w:noProof/>
            <w:webHidden/>
          </w:rPr>
          <w:t>37</w:t>
        </w:r>
        <w:r w:rsidRPr="00DE48E8">
          <w:rPr>
            <w:rFonts w:cs="Arial"/>
            <w:noProof/>
            <w:webHidden/>
          </w:rPr>
          <w:fldChar w:fldCharType="end"/>
        </w:r>
      </w:hyperlink>
    </w:p>
    <w:p w14:paraId="78525654" w14:textId="01961DD2"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88" w:history="1">
        <w:r w:rsidRPr="00DE48E8">
          <w:rPr>
            <w:rStyle w:val="Hyperlink"/>
            <w:rFonts w:cs="Arial"/>
            <w:noProof/>
          </w:rPr>
          <w:t>4.5.2 Background and Policy Direction</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_Toc209284788 \h </w:instrText>
        </w:r>
        <w:r w:rsidRPr="00DE48E8">
          <w:rPr>
            <w:rFonts w:cs="Arial"/>
            <w:noProof/>
            <w:webHidden/>
          </w:rPr>
        </w:r>
        <w:r w:rsidRPr="00DE48E8">
          <w:rPr>
            <w:rFonts w:cs="Arial"/>
            <w:noProof/>
            <w:webHidden/>
          </w:rPr>
          <w:fldChar w:fldCharType="separate"/>
        </w:r>
        <w:r w:rsidR="00204CA5">
          <w:rPr>
            <w:rFonts w:cs="Arial"/>
            <w:noProof/>
            <w:webHidden/>
          </w:rPr>
          <w:t>37</w:t>
        </w:r>
        <w:r w:rsidRPr="00DE48E8">
          <w:rPr>
            <w:rFonts w:cs="Arial"/>
            <w:noProof/>
            <w:webHidden/>
          </w:rPr>
          <w:fldChar w:fldCharType="end"/>
        </w:r>
      </w:hyperlink>
    </w:p>
    <w:p w14:paraId="09C6CDCA" w14:textId="3BEC4B40"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89" w:history="1">
        <w:r w:rsidRPr="00DE48E8">
          <w:rPr>
            <w:rStyle w:val="Hyperlink"/>
            <w:rFonts w:cs="Arial"/>
            <w:noProof/>
          </w:rPr>
          <w:t>4.5.3 What Shows Promise in Practice?</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_Toc209284789 \h </w:instrText>
        </w:r>
        <w:r w:rsidRPr="00DE48E8">
          <w:rPr>
            <w:rFonts w:cs="Arial"/>
            <w:noProof/>
            <w:webHidden/>
          </w:rPr>
        </w:r>
        <w:r w:rsidRPr="00DE48E8">
          <w:rPr>
            <w:rFonts w:cs="Arial"/>
            <w:noProof/>
            <w:webHidden/>
          </w:rPr>
          <w:fldChar w:fldCharType="separate"/>
        </w:r>
        <w:r w:rsidR="00204CA5">
          <w:rPr>
            <w:rFonts w:cs="Arial"/>
            <w:noProof/>
            <w:webHidden/>
          </w:rPr>
          <w:t>38</w:t>
        </w:r>
        <w:r w:rsidRPr="00DE48E8">
          <w:rPr>
            <w:rFonts w:cs="Arial"/>
            <w:noProof/>
            <w:webHidden/>
          </w:rPr>
          <w:fldChar w:fldCharType="end"/>
        </w:r>
      </w:hyperlink>
    </w:p>
    <w:p w14:paraId="2AD18498" w14:textId="3B2B3C4E"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90" w:history="1">
        <w:r w:rsidRPr="00DE48E8">
          <w:rPr>
            <w:rStyle w:val="Hyperlink"/>
            <w:rFonts w:cs="Arial"/>
            <w:noProof/>
          </w:rPr>
          <w:t>4.5.4 What The Evidence Cautions?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_Toc209284790 \h </w:instrText>
        </w:r>
        <w:r w:rsidRPr="00DE48E8">
          <w:rPr>
            <w:rFonts w:cs="Arial"/>
            <w:noProof/>
            <w:webHidden/>
          </w:rPr>
        </w:r>
        <w:r w:rsidRPr="00DE48E8">
          <w:rPr>
            <w:rFonts w:cs="Arial"/>
            <w:noProof/>
            <w:webHidden/>
          </w:rPr>
          <w:fldChar w:fldCharType="separate"/>
        </w:r>
        <w:r w:rsidR="00204CA5">
          <w:rPr>
            <w:rFonts w:cs="Arial"/>
            <w:noProof/>
            <w:webHidden/>
          </w:rPr>
          <w:t>39</w:t>
        </w:r>
        <w:r w:rsidRPr="00DE48E8">
          <w:rPr>
            <w:rFonts w:cs="Arial"/>
            <w:noProof/>
            <w:webHidden/>
          </w:rPr>
          <w:fldChar w:fldCharType="end"/>
        </w:r>
      </w:hyperlink>
    </w:p>
    <w:p w14:paraId="42D87643" w14:textId="3AF456D0"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91" w:history="1">
        <w:r w:rsidRPr="00DE48E8">
          <w:rPr>
            <w:rStyle w:val="Hyperlink"/>
            <w:rFonts w:cs="Arial"/>
            <w:noProof/>
          </w:rPr>
          <w:t>4.5.5 Illustrative from Convergent Evidence</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_Toc209284791 \h </w:instrText>
        </w:r>
        <w:r w:rsidRPr="00DE48E8">
          <w:rPr>
            <w:rFonts w:cs="Arial"/>
            <w:noProof/>
            <w:webHidden/>
          </w:rPr>
        </w:r>
        <w:r w:rsidRPr="00DE48E8">
          <w:rPr>
            <w:rFonts w:cs="Arial"/>
            <w:noProof/>
            <w:webHidden/>
          </w:rPr>
          <w:fldChar w:fldCharType="separate"/>
        </w:r>
        <w:r w:rsidR="00204CA5">
          <w:rPr>
            <w:rFonts w:cs="Arial"/>
            <w:noProof/>
            <w:webHidden/>
          </w:rPr>
          <w:t>39</w:t>
        </w:r>
        <w:r w:rsidRPr="00DE48E8">
          <w:rPr>
            <w:rFonts w:cs="Arial"/>
            <w:noProof/>
            <w:webHidden/>
          </w:rPr>
          <w:fldChar w:fldCharType="end"/>
        </w:r>
      </w:hyperlink>
    </w:p>
    <w:p w14:paraId="053DC747" w14:textId="5BDCC4B1"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92" w:history="1">
        <w:r w:rsidRPr="00DE48E8">
          <w:rPr>
            <w:rStyle w:val="Hyperlink"/>
            <w:rFonts w:cs="Arial"/>
            <w:noProof/>
          </w:rPr>
          <w:t>4.5.6 Relevance to The Research Objective 3</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_Toc209284792 \h </w:instrText>
        </w:r>
        <w:r w:rsidRPr="00DE48E8">
          <w:rPr>
            <w:rFonts w:cs="Arial"/>
            <w:noProof/>
            <w:webHidden/>
          </w:rPr>
        </w:r>
        <w:r w:rsidRPr="00DE48E8">
          <w:rPr>
            <w:rFonts w:cs="Arial"/>
            <w:noProof/>
            <w:webHidden/>
          </w:rPr>
          <w:fldChar w:fldCharType="separate"/>
        </w:r>
        <w:r w:rsidR="00204CA5">
          <w:rPr>
            <w:rFonts w:cs="Arial"/>
            <w:noProof/>
            <w:webHidden/>
          </w:rPr>
          <w:t>40</w:t>
        </w:r>
        <w:r w:rsidRPr="00DE48E8">
          <w:rPr>
            <w:rFonts w:cs="Arial"/>
            <w:noProof/>
            <w:webHidden/>
          </w:rPr>
          <w:fldChar w:fldCharType="end"/>
        </w:r>
      </w:hyperlink>
    </w:p>
    <w:p w14:paraId="2E12A797" w14:textId="28F20307"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93" w:history="1">
        <w:r w:rsidRPr="00DE48E8">
          <w:rPr>
            <w:rStyle w:val="Hyperlink"/>
            <w:rFonts w:cs="Arial"/>
            <w:noProof/>
          </w:rPr>
          <w:t>4.5.7 Connections to Other Themes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_Toc209284793 \h </w:instrText>
        </w:r>
        <w:r w:rsidRPr="00DE48E8">
          <w:rPr>
            <w:rFonts w:cs="Arial"/>
            <w:noProof/>
            <w:webHidden/>
          </w:rPr>
        </w:r>
        <w:r w:rsidRPr="00DE48E8">
          <w:rPr>
            <w:rFonts w:cs="Arial"/>
            <w:noProof/>
            <w:webHidden/>
          </w:rPr>
          <w:fldChar w:fldCharType="separate"/>
        </w:r>
        <w:r w:rsidR="00204CA5">
          <w:rPr>
            <w:rFonts w:cs="Arial"/>
            <w:noProof/>
            <w:webHidden/>
          </w:rPr>
          <w:t>40</w:t>
        </w:r>
        <w:r w:rsidRPr="00DE48E8">
          <w:rPr>
            <w:rFonts w:cs="Arial"/>
            <w:noProof/>
            <w:webHidden/>
          </w:rPr>
          <w:fldChar w:fldCharType="end"/>
        </w:r>
      </w:hyperlink>
    </w:p>
    <w:p w14:paraId="1CB4198F" w14:textId="0DBE3354"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794" w:history="1">
        <w:r w:rsidRPr="00DE48E8">
          <w:rPr>
            <w:rStyle w:val="Hyperlink"/>
            <w:rFonts w:cs="Arial"/>
            <w:noProof/>
          </w:rPr>
          <w:t>4.6 Theme 4 – Recommendations: evidence-based, achievable actions for providers, policymakers and communities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_Toc209284794 \h </w:instrText>
        </w:r>
        <w:r w:rsidRPr="00DE48E8">
          <w:rPr>
            <w:rFonts w:cs="Arial"/>
            <w:noProof/>
            <w:webHidden/>
          </w:rPr>
        </w:r>
        <w:r w:rsidRPr="00DE48E8">
          <w:rPr>
            <w:rFonts w:cs="Arial"/>
            <w:noProof/>
            <w:webHidden/>
          </w:rPr>
          <w:fldChar w:fldCharType="separate"/>
        </w:r>
        <w:r w:rsidR="00204CA5">
          <w:rPr>
            <w:rFonts w:cs="Arial"/>
            <w:noProof/>
            <w:webHidden/>
          </w:rPr>
          <w:t>41</w:t>
        </w:r>
        <w:r w:rsidRPr="00DE48E8">
          <w:rPr>
            <w:rFonts w:cs="Arial"/>
            <w:noProof/>
            <w:webHidden/>
          </w:rPr>
          <w:fldChar w:fldCharType="end"/>
        </w:r>
      </w:hyperlink>
    </w:p>
    <w:p w14:paraId="44454449" w14:textId="7A20D051"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95" w:history="1">
        <w:r w:rsidRPr="00DE48E8">
          <w:rPr>
            <w:rStyle w:val="Hyperlink"/>
            <w:rFonts w:cs="Arial"/>
            <w:noProof/>
          </w:rPr>
          <w:t>4.6.1 Definition and orientation</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_Toc209284795 \h </w:instrText>
        </w:r>
        <w:r w:rsidRPr="00DE48E8">
          <w:rPr>
            <w:rFonts w:cs="Arial"/>
            <w:noProof/>
            <w:webHidden/>
          </w:rPr>
        </w:r>
        <w:r w:rsidRPr="00DE48E8">
          <w:rPr>
            <w:rFonts w:cs="Arial"/>
            <w:noProof/>
            <w:webHidden/>
          </w:rPr>
          <w:fldChar w:fldCharType="separate"/>
        </w:r>
        <w:r w:rsidR="00204CA5">
          <w:rPr>
            <w:rFonts w:cs="Arial"/>
            <w:noProof/>
            <w:webHidden/>
          </w:rPr>
          <w:t>41</w:t>
        </w:r>
        <w:r w:rsidRPr="00DE48E8">
          <w:rPr>
            <w:rFonts w:cs="Arial"/>
            <w:noProof/>
            <w:webHidden/>
          </w:rPr>
          <w:fldChar w:fldCharType="end"/>
        </w:r>
      </w:hyperlink>
    </w:p>
    <w:p w14:paraId="30598D58" w14:textId="7C22355A"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96" w:history="1">
        <w:r w:rsidRPr="00DE48E8">
          <w:rPr>
            <w:rStyle w:val="Hyperlink"/>
            <w:rFonts w:cs="Arial"/>
            <w:noProof/>
          </w:rPr>
          <w:t>4.6.2 Background</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_Toc209284796 \h </w:instrText>
        </w:r>
        <w:r w:rsidRPr="00DE48E8">
          <w:rPr>
            <w:rFonts w:cs="Arial"/>
            <w:noProof/>
            <w:webHidden/>
          </w:rPr>
        </w:r>
        <w:r w:rsidRPr="00DE48E8">
          <w:rPr>
            <w:rFonts w:cs="Arial"/>
            <w:noProof/>
            <w:webHidden/>
          </w:rPr>
          <w:fldChar w:fldCharType="separate"/>
        </w:r>
        <w:r w:rsidR="00204CA5">
          <w:rPr>
            <w:rFonts w:cs="Arial"/>
            <w:noProof/>
            <w:webHidden/>
          </w:rPr>
          <w:t>41</w:t>
        </w:r>
        <w:r w:rsidRPr="00DE48E8">
          <w:rPr>
            <w:rFonts w:cs="Arial"/>
            <w:noProof/>
            <w:webHidden/>
          </w:rPr>
          <w:fldChar w:fldCharType="end"/>
        </w:r>
      </w:hyperlink>
    </w:p>
    <w:p w14:paraId="7690473A" w14:textId="24E555B8"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97" w:history="1">
        <w:r w:rsidRPr="00DE48E8">
          <w:rPr>
            <w:rStyle w:val="Hyperlink"/>
            <w:rFonts w:cs="Arial"/>
            <w:noProof/>
          </w:rPr>
          <w:t>4.6.3 Recommendations for providers (NHS trusts, PCNs/GP practices, adult social care)</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_Toc209284797 \h </w:instrText>
        </w:r>
        <w:r w:rsidRPr="00DE48E8">
          <w:rPr>
            <w:rFonts w:cs="Arial"/>
            <w:noProof/>
            <w:webHidden/>
          </w:rPr>
        </w:r>
        <w:r w:rsidRPr="00DE48E8">
          <w:rPr>
            <w:rFonts w:cs="Arial"/>
            <w:noProof/>
            <w:webHidden/>
          </w:rPr>
          <w:fldChar w:fldCharType="separate"/>
        </w:r>
        <w:r w:rsidR="00204CA5">
          <w:rPr>
            <w:rFonts w:cs="Arial"/>
            <w:noProof/>
            <w:webHidden/>
          </w:rPr>
          <w:t>41</w:t>
        </w:r>
        <w:r w:rsidRPr="00DE48E8">
          <w:rPr>
            <w:rFonts w:cs="Arial"/>
            <w:noProof/>
            <w:webHidden/>
          </w:rPr>
          <w:fldChar w:fldCharType="end"/>
        </w:r>
      </w:hyperlink>
    </w:p>
    <w:p w14:paraId="1809693E" w14:textId="2B0B2B9F"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98" w:history="1">
        <w:r w:rsidRPr="00DE48E8">
          <w:rPr>
            <w:rStyle w:val="Hyperlink"/>
            <w:rFonts w:cs="Arial"/>
            <w:noProof/>
          </w:rPr>
          <w:t>4.6.4 Recommendations for commissioners and policymakers (ICBs/ICSs, local authorities, DHSC/NHSE)</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_Toc209284798 \h </w:instrText>
        </w:r>
        <w:r w:rsidRPr="00DE48E8">
          <w:rPr>
            <w:rFonts w:cs="Arial"/>
            <w:noProof/>
            <w:webHidden/>
          </w:rPr>
        </w:r>
        <w:r w:rsidRPr="00DE48E8">
          <w:rPr>
            <w:rFonts w:cs="Arial"/>
            <w:noProof/>
            <w:webHidden/>
          </w:rPr>
          <w:fldChar w:fldCharType="separate"/>
        </w:r>
        <w:r w:rsidR="00204CA5">
          <w:rPr>
            <w:rFonts w:cs="Arial"/>
            <w:noProof/>
            <w:webHidden/>
          </w:rPr>
          <w:t>42</w:t>
        </w:r>
        <w:r w:rsidRPr="00DE48E8">
          <w:rPr>
            <w:rFonts w:cs="Arial"/>
            <w:noProof/>
            <w:webHidden/>
          </w:rPr>
          <w:fldChar w:fldCharType="end"/>
        </w:r>
      </w:hyperlink>
    </w:p>
    <w:p w14:paraId="3C173C07" w14:textId="038C9C77"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799" w:history="1">
        <w:r w:rsidRPr="00DE48E8">
          <w:rPr>
            <w:rStyle w:val="Hyperlink"/>
            <w:rFonts w:cs="Arial"/>
            <w:noProof/>
          </w:rPr>
          <w:t>4.6.5 Recommendations for VCSEs, libraries and housing providers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_Toc209284799 \h </w:instrText>
        </w:r>
        <w:r w:rsidRPr="00DE48E8">
          <w:rPr>
            <w:rFonts w:cs="Arial"/>
            <w:noProof/>
            <w:webHidden/>
          </w:rPr>
        </w:r>
        <w:r w:rsidRPr="00DE48E8">
          <w:rPr>
            <w:rFonts w:cs="Arial"/>
            <w:noProof/>
            <w:webHidden/>
          </w:rPr>
          <w:fldChar w:fldCharType="separate"/>
        </w:r>
        <w:r w:rsidR="00204CA5">
          <w:rPr>
            <w:rFonts w:cs="Arial"/>
            <w:noProof/>
            <w:webHidden/>
          </w:rPr>
          <w:t>42</w:t>
        </w:r>
        <w:r w:rsidRPr="00DE48E8">
          <w:rPr>
            <w:rFonts w:cs="Arial"/>
            <w:noProof/>
            <w:webHidden/>
          </w:rPr>
          <w:fldChar w:fldCharType="end"/>
        </w:r>
      </w:hyperlink>
    </w:p>
    <w:p w14:paraId="62669D7A" w14:textId="793B7E59"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800" w:history="1">
        <w:r w:rsidRPr="00DE48E8">
          <w:rPr>
            <w:rStyle w:val="Hyperlink"/>
            <w:rFonts w:cs="Arial"/>
            <w:noProof/>
          </w:rPr>
          <w:t>4.6.6 Theoretical and ethical underpinnings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_Toc209284800 \h </w:instrText>
        </w:r>
        <w:r w:rsidRPr="00DE48E8">
          <w:rPr>
            <w:rFonts w:cs="Arial"/>
            <w:noProof/>
            <w:webHidden/>
          </w:rPr>
        </w:r>
        <w:r w:rsidRPr="00DE48E8">
          <w:rPr>
            <w:rFonts w:cs="Arial"/>
            <w:noProof/>
            <w:webHidden/>
          </w:rPr>
          <w:fldChar w:fldCharType="separate"/>
        </w:r>
        <w:r w:rsidR="00204CA5">
          <w:rPr>
            <w:rFonts w:cs="Arial"/>
            <w:noProof/>
            <w:webHidden/>
          </w:rPr>
          <w:t>43</w:t>
        </w:r>
        <w:r w:rsidRPr="00DE48E8">
          <w:rPr>
            <w:rFonts w:cs="Arial"/>
            <w:noProof/>
            <w:webHidden/>
          </w:rPr>
          <w:fldChar w:fldCharType="end"/>
        </w:r>
      </w:hyperlink>
    </w:p>
    <w:p w14:paraId="15B42F5C" w14:textId="76C00D24"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801" w:history="1">
        <w:r w:rsidRPr="00DE48E8">
          <w:rPr>
            <w:rStyle w:val="Hyperlink"/>
            <w:rFonts w:cs="Arial"/>
            <w:noProof/>
          </w:rPr>
          <w:t>4.6.7 Relevance to Research Objective 4</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_Toc209284801 \h </w:instrText>
        </w:r>
        <w:r w:rsidRPr="00DE48E8">
          <w:rPr>
            <w:rFonts w:cs="Arial"/>
            <w:noProof/>
            <w:webHidden/>
          </w:rPr>
        </w:r>
        <w:r w:rsidRPr="00DE48E8">
          <w:rPr>
            <w:rFonts w:cs="Arial"/>
            <w:noProof/>
            <w:webHidden/>
          </w:rPr>
          <w:fldChar w:fldCharType="separate"/>
        </w:r>
        <w:r w:rsidR="00204CA5">
          <w:rPr>
            <w:rFonts w:cs="Arial"/>
            <w:noProof/>
            <w:webHidden/>
          </w:rPr>
          <w:t>43</w:t>
        </w:r>
        <w:r w:rsidRPr="00DE48E8">
          <w:rPr>
            <w:rFonts w:cs="Arial"/>
            <w:noProof/>
            <w:webHidden/>
          </w:rPr>
          <w:fldChar w:fldCharType="end"/>
        </w:r>
      </w:hyperlink>
    </w:p>
    <w:p w14:paraId="3C898E53" w14:textId="64F983F8"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802" w:history="1">
        <w:r w:rsidRPr="00DE48E8">
          <w:rPr>
            <w:rStyle w:val="Hyperlink"/>
            <w:rFonts w:cs="Arial"/>
            <w:noProof/>
          </w:rPr>
          <w:t>4.6.8 Connections to Other Themes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_Toc209284802 \h </w:instrText>
        </w:r>
        <w:r w:rsidRPr="00DE48E8">
          <w:rPr>
            <w:rFonts w:cs="Arial"/>
            <w:noProof/>
            <w:webHidden/>
          </w:rPr>
        </w:r>
        <w:r w:rsidRPr="00DE48E8">
          <w:rPr>
            <w:rFonts w:cs="Arial"/>
            <w:noProof/>
            <w:webHidden/>
          </w:rPr>
          <w:fldChar w:fldCharType="separate"/>
        </w:r>
        <w:r w:rsidR="00204CA5">
          <w:rPr>
            <w:rFonts w:cs="Arial"/>
            <w:noProof/>
            <w:webHidden/>
          </w:rPr>
          <w:t>43</w:t>
        </w:r>
        <w:r w:rsidRPr="00DE48E8">
          <w:rPr>
            <w:rFonts w:cs="Arial"/>
            <w:noProof/>
            <w:webHidden/>
          </w:rPr>
          <w:fldChar w:fldCharType="end"/>
        </w:r>
      </w:hyperlink>
    </w:p>
    <w:p w14:paraId="0425DEF2" w14:textId="288879A8"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803" w:history="1">
        <w:r w:rsidRPr="00DE48E8">
          <w:rPr>
            <w:rStyle w:val="Hyperlink"/>
            <w:rFonts w:cs="Arial"/>
            <w:noProof/>
          </w:rPr>
          <w:t>4.7 Chapter Conclusion</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_Toc209284803 \h </w:instrText>
        </w:r>
        <w:r w:rsidRPr="00DE48E8">
          <w:rPr>
            <w:rFonts w:cs="Arial"/>
            <w:noProof/>
            <w:webHidden/>
          </w:rPr>
        </w:r>
        <w:r w:rsidRPr="00DE48E8">
          <w:rPr>
            <w:rFonts w:cs="Arial"/>
            <w:noProof/>
            <w:webHidden/>
          </w:rPr>
          <w:fldChar w:fldCharType="separate"/>
        </w:r>
        <w:r w:rsidR="00204CA5">
          <w:rPr>
            <w:rFonts w:cs="Arial"/>
            <w:noProof/>
            <w:webHidden/>
          </w:rPr>
          <w:t>44</w:t>
        </w:r>
        <w:r w:rsidRPr="00DE48E8">
          <w:rPr>
            <w:rFonts w:cs="Arial"/>
            <w:noProof/>
            <w:webHidden/>
          </w:rPr>
          <w:fldChar w:fldCharType="end"/>
        </w:r>
      </w:hyperlink>
    </w:p>
    <w:p w14:paraId="3BE6A6C2" w14:textId="73428686" w:rsidR="00DE48E8" w:rsidRPr="00DE48E8" w:rsidRDefault="00DE48E8" w:rsidP="00DE48E8">
      <w:pPr>
        <w:pStyle w:val="TOC1"/>
        <w:tabs>
          <w:tab w:val="right" w:leader="dot" w:pos="9350"/>
        </w:tabs>
        <w:spacing w:before="120" w:after="120" w:line="360" w:lineRule="auto"/>
        <w:rPr>
          <w:rFonts w:eastAsiaTheme="minorEastAsia" w:cs="Arial"/>
          <w:noProof/>
        </w:rPr>
      </w:pPr>
      <w:hyperlink w:anchor="_Toc209284804" w:history="1">
        <w:r w:rsidRPr="00DE48E8">
          <w:rPr>
            <w:rStyle w:val="Hyperlink"/>
            <w:rFonts w:eastAsia="Times New Roman" w:cs="Arial"/>
            <w:b/>
            <w:noProof/>
          </w:rPr>
          <w:t>CHAPTER 5 – Conclusion and Recommendations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_Toc209284804 \h </w:instrText>
        </w:r>
        <w:r w:rsidRPr="00DE48E8">
          <w:rPr>
            <w:rFonts w:cs="Arial"/>
            <w:noProof/>
            <w:webHidden/>
          </w:rPr>
        </w:r>
        <w:r w:rsidRPr="00DE48E8">
          <w:rPr>
            <w:rFonts w:cs="Arial"/>
            <w:noProof/>
            <w:webHidden/>
          </w:rPr>
          <w:fldChar w:fldCharType="separate"/>
        </w:r>
        <w:r w:rsidR="00204CA5">
          <w:rPr>
            <w:rFonts w:cs="Arial"/>
            <w:noProof/>
            <w:webHidden/>
          </w:rPr>
          <w:t>45</w:t>
        </w:r>
        <w:r w:rsidRPr="00DE48E8">
          <w:rPr>
            <w:rFonts w:cs="Arial"/>
            <w:noProof/>
            <w:webHidden/>
          </w:rPr>
          <w:fldChar w:fldCharType="end"/>
        </w:r>
      </w:hyperlink>
    </w:p>
    <w:p w14:paraId="1A9826D6" w14:textId="748DD2D8"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805" w:history="1">
        <w:r w:rsidRPr="00DE48E8">
          <w:rPr>
            <w:rStyle w:val="Hyperlink"/>
            <w:rFonts w:cs="Arial"/>
            <w:noProof/>
          </w:rPr>
          <w:t>5.1 Overall Conclusion</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_Toc209284805 \h </w:instrText>
        </w:r>
        <w:r w:rsidRPr="00DE48E8">
          <w:rPr>
            <w:rFonts w:cs="Arial"/>
            <w:noProof/>
            <w:webHidden/>
          </w:rPr>
        </w:r>
        <w:r w:rsidRPr="00DE48E8">
          <w:rPr>
            <w:rFonts w:cs="Arial"/>
            <w:noProof/>
            <w:webHidden/>
          </w:rPr>
          <w:fldChar w:fldCharType="separate"/>
        </w:r>
        <w:r w:rsidR="00204CA5">
          <w:rPr>
            <w:rFonts w:cs="Arial"/>
            <w:noProof/>
            <w:webHidden/>
          </w:rPr>
          <w:t>45</w:t>
        </w:r>
        <w:r w:rsidRPr="00DE48E8">
          <w:rPr>
            <w:rFonts w:cs="Arial"/>
            <w:noProof/>
            <w:webHidden/>
          </w:rPr>
          <w:fldChar w:fldCharType="end"/>
        </w:r>
      </w:hyperlink>
    </w:p>
    <w:p w14:paraId="5A16A8B9" w14:textId="1A9DCFF5"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806" w:history="1">
        <w:r w:rsidRPr="00DE48E8">
          <w:rPr>
            <w:rStyle w:val="Hyperlink"/>
            <w:rFonts w:cs="Arial"/>
            <w:noProof/>
          </w:rPr>
          <w:t>5.2 Recommendations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_Toc209284806 \h </w:instrText>
        </w:r>
        <w:r w:rsidRPr="00DE48E8">
          <w:rPr>
            <w:rFonts w:cs="Arial"/>
            <w:noProof/>
            <w:webHidden/>
          </w:rPr>
        </w:r>
        <w:r w:rsidRPr="00DE48E8">
          <w:rPr>
            <w:rFonts w:cs="Arial"/>
            <w:noProof/>
            <w:webHidden/>
          </w:rPr>
          <w:fldChar w:fldCharType="separate"/>
        </w:r>
        <w:r w:rsidR="00204CA5">
          <w:rPr>
            <w:rFonts w:cs="Arial"/>
            <w:noProof/>
            <w:webHidden/>
          </w:rPr>
          <w:t>45</w:t>
        </w:r>
        <w:r w:rsidRPr="00DE48E8">
          <w:rPr>
            <w:rFonts w:cs="Arial"/>
            <w:noProof/>
            <w:webHidden/>
          </w:rPr>
          <w:fldChar w:fldCharType="end"/>
        </w:r>
      </w:hyperlink>
    </w:p>
    <w:p w14:paraId="325397E6" w14:textId="2C8EB214"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807" w:history="1">
        <w:r w:rsidRPr="00DE48E8">
          <w:rPr>
            <w:rStyle w:val="Hyperlink"/>
            <w:rFonts w:cs="Arial"/>
            <w:noProof/>
          </w:rPr>
          <w:t>5.2.1 Recommendation 1: Embed assisted-digital support and parity by design at the first point of contact</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_Toc209284807 \h </w:instrText>
        </w:r>
        <w:r w:rsidRPr="00DE48E8">
          <w:rPr>
            <w:rFonts w:cs="Arial"/>
            <w:noProof/>
            <w:webHidden/>
          </w:rPr>
        </w:r>
        <w:r w:rsidRPr="00DE48E8">
          <w:rPr>
            <w:rFonts w:cs="Arial"/>
            <w:noProof/>
            <w:webHidden/>
          </w:rPr>
          <w:fldChar w:fldCharType="separate"/>
        </w:r>
        <w:r w:rsidR="00204CA5">
          <w:rPr>
            <w:rFonts w:cs="Arial"/>
            <w:noProof/>
            <w:webHidden/>
          </w:rPr>
          <w:t>45</w:t>
        </w:r>
        <w:r w:rsidRPr="00DE48E8">
          <w:rPr>
            <w:rFonts w:cs="Arial"/>
            <w:noProof/>
            <w:webHidden/>
          </w:rPr>
          <w:fldChar w:fldCharType="end"/>
        </w:r>
      </w:hyperlink>
    </w:p>
    <w:p w14:paraId="4BF73276" w14:textId="6B7CCB80"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808" w:history="1">
        <w:r w:rsidRPr="00DE48E8">
          <w:rPr>
            <w:rStyle w:val="Hyperlink"/>
            <w:rFonts w:cs="Arial"/>
            <w:noProof/>
          </w:rPr>
          <w:t>5.2.2 Recommendation 2: Commission place-based inclusion bundles—device + data + skills – co-designed with older adults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_Toc209284808 \h </w:instrText>
        </w:r>
        <w:r w:rsidRPr="00DE48E8">
          <w:rPr>
            <w:rFonts w:cs="Arial"/>
            <w:noProof/>
            <w:webHidden/>
          </w:rPr>
        </w:r>
        <w:r w:rsidRPr="00DE48E8">
          <w:rPr>
            <w:rFonts w:cs="Arial"/>
            <w:noProof/>
            <w:webHidden/>
          </w:rPr>
          <w:fldChar w:fldCharType="separate"/>
        </w:r>
        <w:r w:rsidR="00204CA5">
          <w:rPr>
            <w:rFonts w:cs="Arial"/>
            <w:noProof/>
            <w:webHidden/>
          </w:rPr>
          <w:t>46</w:t>
        </w:r>
        <w:r w:rsidRPr="00DE48E8">
          <w:rPr>
            <w:rFonts w:cs="Arial"/>
            <w:noProof/>
            <w:webHidden/>
          </w:rPr>
          <w:fldChar w:fldCharType="end"/>
        </w:r>
      </w:hyperlink>
    </w:p>
    <w:p w14:paraId="6557C5E3" w14:textId="33681F1C" w:rsidR="00DE48E8" w:rsidRPr="00DE48E8" w:rsidRDefault="00DE48E8" w:rsidP="00DE48E8">
      <w:pPr>
        <w:pStyle w:val="TOC3"/>
        <w:tabs>
          <w:tab w:val="right" w:leader="dot" w:pos="9350"/>
        </w:tabs>
        <w:spacing w:before="120" w:after="120" w:line="360" w:lineRule="auto"/>
        <w:rPr>
          <w:rFonts w:eastAsiaTheme="minorEastAsia" w:cs="Arial"/>
          <w:noProof/>
        </w:rPr>
      </w:pPr>
      <w:hyperlink w:anchor="_Toc209284809" w:history="1">
        <w:r w:rsidRPr="00DE48E8">
          <w:rPr>
            <w:rStyle w:val="Hyperlink"/>
            <w:rFonts w:cs="Arial"/>
            <w:noProof/>
          </w:rPr>
          <w:t>5.2.3 Recommendation 3: Close the first-contact evidence gap and mainstream equity-led evaluation</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_Toc209284809 \h </w:instrText>
        </w:r>
        <w:r w:rsidRPr="00DE48E8">
          <w:rPr>
            <w:rFonts w:cs="Arial"/>
            <w:noProof/>
            <w:webHidden/>
          </w:rPr>
        </w:r>
        <w:r w:rsidRPr="00DE48E8">
          <w:rPr>
            <w:rFonts w:cs="Arial"/>
            <w:noProof/>
            <w:webHidden/>
          </w:rPr>
          <w:fldChar w:fldCharType="separate"/>
        </w:r>
        <w:r w:rsidR="00204CA5">
          <w:rPr>
            <w:rFonts w:cs="Arial"/>
            <w:noProof/>
            <w:webHidden/>
          </w:rPr>
          <w:t>47</w:t>
        </w:r>
        <w:r w:rsidRPr="00DE48E8">
          <w:rPr>
            <w:rFonts w:cs="Arial"/>
            <w:noProof/>
            <w:webHidden/>
          </w:rPr>
          <w:fldChar w:fldCharType="end"/>
        </w:r>
      </w:hyperlink>
    </w:p>
    <w:p w14:paraId="734F7A51" w14:textId="558D0D8B" w:rsidR="00DE48E8" w:rsidRPr="00DE48E8" w:rsidRDefault="00DE48E8" w:rsidP="00DE48E8">
      <w:pPr>
        <w:pStyle w:val="TOC2"/>
        <w:tabs>
          <w:tab w:val="right" w:leader="dot" w:pos="9350"/>
        </w:tabs>
        <w:spacing w:before="120" w:after="120" w:line="360" w:lineRule="auto"/>
        <w:rPr>
          <w:rFonts w:eastAsiaTheme="minorEastAsia" w:cs="Arial"/>
          <w:noProof/>
        </w:rPr>
      </w:pPr>
      <w:hyperlink w:anchor="_Toc209284810" w:history="1">
        <w:r w:rsidRPr="00DE48E8">
          <w:rPr>
            <w:rStyle w:val="Hyperlink"/>
            <w:rFonts w:cs="Arial"/>
            <w:noProof/>
          </w:rPr>
          <w:t>5.3 Closing note</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_Toc209284810 \h </w:instrText>
        </w:r>
        <w:r w:rsidRPr="00DE48E8">
          <w:rPr>
            <w:rFonts w:cs="Arial"/>
            <w:noProof/>
            <w:webHidden/>
          </w:rPr>
        </w:r>
        <w:r w:rsidRPr="00DE48E8">
          <w:rPr>
            <w:rFonts w:cs="Arial"/>
            <w:noProof/>
            <w:webHidden/>
          </w:rPr>
          <w:fldChar w:fldCharType="separate"/>
        </w:r>
        <w:r w:rsidR="00204CA5">
          <w:rPr>
            <w:rFonts w:cs="Arial"/>
            <w:noProof/>
            <w:webHidden/>
          </w:rPr>
          <w:t>47</w:t>
        </w:r>
        <w:r w:rsidRPr="00DE48E8">
          <w:rPr>
            <w:rFonts w:cs="Arial"/>
            <w:noProof/>
            <w:webHidden/>
          </w:rPr>
          <w:fldChar w:fldCharType="end"/>
        </w:r>
      </w:hyperlink>
    </w:p>
    <w:p w14:paraId="4B1461FF" w14:textId="7A64DEAD" w:rsidR="00DE48E8" w:rsidRPr="00DE48E8" w:rsidRDefault="00DE48E8" w:rsidP="00DE48E8">
      <w:pPr>
        <w:pStyle w:val="TOC1"/>
        <w:tabs>
          <w:tab w:val="right" w:leader="dot" w:pos="9350"/>
        </w:tabs>
        <w:spacing w:before="120" w:after="120" w:line="360" w:lineRule="auto"/>
        <w:rPr>
          <w:rFonts w:eastAsiaTheme="minorEastAsia" w:cs="Arial"/>
          <w:noProof/>
        </w:rPr>
      </w:pPr>
      <w:hyperlink w:anchor="_Toc209284811" w:history="1">
        <w:r w:rsidRPr="00DE48E8">
          <w:rPr>
            <w:rStyle w:val="Hyperlink"/>
            <w:rFonts w:cs="Arial"/>
            <w:b/>
            <w:noProof/>
          </w:rPr>
          <w:t>CHAPTER 6: References and Appendices</w:t>
        </w:r>
        <w:r w:rsidRPr="00DE48E8">
          <w:rPr>
            <w:rFonts w:cs="Arial"/>
            <w:noProof/>
            <w:webHidden/>
          </w:rPr>
          <w:tab/>
        </w:r>
        <w:r w:rsidRPr="00DE48E8">
          <w:rPr>
            <w:rFonts w:cs="Arial"/>
            <w:noProof/>
            <w:webHidden/>
          </w:rPr>
          <w:fldChar w:fldCharType="begin"/>
        </w:r>
        <w:r w:rsidRPr="00DE48E8">
          <w:rPr>
            <w:rFonts w:cs="Arial"/>
            <w:noProof/>
            <w:webHidden/>
          </w:rPr>
          <w:instrText xml:space="preserve"> PAGEREF _Toc209284811 \h </w:instrText>
        </w:r>
        <w:r w:rsidRPr="00DE48E8">
          <w:rPr>
            <w:rFonts w:cs="Arial"/>
            <w:noProof/>
            <w:webHidden/>
          </w:rPr>
        </w:r>
        <w:r w:rsidRPr="00DE48E8">
          <w:rPr>
            <w:rFonts w:cs="Arial"/>
            <w:noProof/>
            <w:webHidden/>
          </w:rPr>
          <w:fldChar w:fldCharType="separate"/>
        </w:r>
        <w:r w:rsidR="00204CA5">
          <w:rPr>
            <w:rFonts w:cs="Arial"/>
            <w:noProof/>
            <w:webHidden/>
          </w:rPr>
          <w:t>49</w:t>
        </w:r>
        <w:r w:rsidRPr="00DE48E8">
          <w:rPr>
            <w:rFonts w:cs="Arial"/>
            <w:noProof/>
            <w:webHidden/>
          </w:rPr>
          <w:fldChar w:fldCharType="end"/>
        </w:r>
      </w:hyperlink>
    </w:p>
    <w:p w14:paraId="6800551E" w14:textId="77777777" w:rsidR="009A61CD" w:rsidRPr="00DE48E8" w:rsidRDefault="009A61CD" w:rsidP="00DE48E8">
      <w:pPr>
        <w:pStyle w:val="NormalWeb"/>
        <w:spacing w:before="120" w:beforeAutospacing="0" w:after="120" w:afterAutospacing="0" w:line="360" w:lineRule="auto"/>
        <w:jc w:val="both"/>
        <w:rPr>
          <w:rFonts w:ascii="Arial" w:hAnsi="Arial" w:cs="Arial"/>
          <w:color w:val="000000" w:themeColor="text1"/>
        </w:rPr>
      </w:pPr>
      <w:r w:rsidRPr="00DE48E8">
        <w:rPr>
          <w:rFonts w:ascii="Arial" w:hAnsi="Arial" w:cs="Arial"/>
          <w:color w:val="000000" w:themeColor="text1"/>
        </w:rPr>
        <w:fldChar w:fldCharType="end"/>
      </w:r>
    </w:p>
    <w:p w14:paraId="6FCE45CC" w14:textId="77777777" w:rsidR="00CF64C8" w:rsidRPr="00DE48E8" w:rsidRDefault="00CF64C8" w:rsidP="00DE48E8">
      <w:pPr>
        <w:pStyle w:val="NormalWeb"/>
        <w:spacing w:before="120" w:beforeAutospacing="0" w:after="120" w:afterAutospacing="0" w:line="360" w:lineRule="auto"/>
        <w:jc w:val="both"/>
        <w:rPr>
          <w:rFonts w:ascii="Arial" w:hAnsi="Arial" w:cs="Arial"/>
          <w:color w:val="000000" w:themeColor="text1"/>
        </w:rPr>
      </w:pPr>
    </w:p>
    <w:p w14:paraId="5758A482" w14:textId="77777777" w:rsidR="00CF64C8" w:rsidRPr="00B10FD1" w:rsidRDefault="00CF64C8" w:rsidP="002F617F">
      <w:pPr>
        <w:pStyle w:val="NormalWeb"/>
        <w:spacing w:before="120" w:beforeAutospacing="0" w:after="120" w:afterAutospacing="0" w:line="360" w:lineRule="auto"/>
        <w:jc w:val="both"/>
        <w:rPr>
          <w:rFonts w:ascii="Arial" w:hAnsi="Arial" w:cs="Arial"/>
          <w:color w:val="000000" w:themeColor="text1"/>
        </w:rPr>
      </w:pPr>
    </w:p>
    <w:p w14:paraId="7EAC03BD" w14:textId="77777777" w:rsidR="001725E3" w:rsidRPr="00B10FD1" w:rsidRDefault="001725E3" w:rsidP="002F617F">
      <w:pPr>
        <w:pStyle w:val="NormalWeb"/>
        <w:spacing w:before="120" w:beforeAutospacing="0" w:after="120" w:afterAutospacing="0" w:line="360" w:lineRule="auto"/>
        <w:jc w:val="both"/>
        <w:rPr>
          <w:rFonts w:ascii="Arial" w:hAnsi="Arial" w:cs="Arial"/>
          <w:color w:val="000000" w:themeColor="text1"/>
        </w:rPr>
      </w:pPr>
    </w:p>
    <w:p w14:paraId="281854CF" w14:textId="77777777" w:rsidR="001725E3" w:rsidRPr="00B10FD1" w:rsidRDefault="001725E3" w:rsidP="002F617F">
      <w:pPr>
        <w:pStyle w:val="NormalWeb"/>
        <w:spacing w:before="120" w:beforeAutospacing="0" w:after="120" w:afterAutospacing="0" w:line="360" w:lineRule="auto"/>
        <w:jc w:val="both"/>
        <w:rPr>
          <w:rFonts w:ascii="Arial" w:hAnsi="Arial" w:cs="Arial"/>
          <w:color w:val="000000" w:themeColor="text1"/>
        </w:rPr>
      </w:pPr>
    </w:p>
    <w:p w14:paraId="487A5972" w14:textId="77777777" w:rsidR="001725E3" w:rsidRPr="00B10FD1" w:rsidRDefault="001725E3" w:rsidP="002F617F">
      <w:pPr>
        <w:pStyle w:val="NormalWeb"/>
        <w:spacing w:before="120" w:beforeAutospacing="0" w:after="120" w:afterAutospacing="0" w:line="360" w:lineRule="auto"/>
        <w:jc w:val="both"/>
        <w:rPr>
          <w:rFonts w:ascii="Arial" w:hAnsi="Arial" w:cs="Arial"/>
          <w:color w:val="000000" w:themeColor="text1"/>
        </w:rPr>
      </w:pPr>
    </w:p>
    <w:p w14:paraId="18C658DC" w14:textId="77777777" w:rsidR="001725E3" w:rsidRPr="00B10FD1" w:rsidRDefault="001725E3" w:rsidP="002F617F">
      <w:pPr>
        <w:pStyle w:val="NormalWeb"/>
        <w:spacing w:before="120" w:beforeAutospacing="0" w:after="120" w:afterAutospacing="0" w:line="360" w:lineRule="auto"/>
        <w:jc w:val="both"/>
        <w:rPr>
          <w:rFonts w:ascii="Arial" w:hAnsi="Arial" w:cs="Arial"/>
          <w:color w:val="000000" w:themeColor="text1"/>
        </w:rPr>
      </w:pPr>
    </w:p>
    <w:p w14:paraId="0C4BBFB9" w14:textId="77777777" w:rsidR="001725E3" w:rsidRPr="00B10FD1" w:rsidRDefault="001725E3" w:rsidP="002F617F">
      <w:pPr>
        <w:pStyle w:val="NormalWeb"/>
        <w:spacing w:before="120" w:beforeAutospacing="0" w:after="120" w:afterAutospacing="0" w:line="360" w:lineRule="auto"/>
        <w:jc w:val="both"/>
        <w:rPr>
          <w:rFonts w:ascii="Arial" w:hAnsi="Arial" w:cs="Arial"/>
          <w:color w:val="000000" w:themeColor="text1"/>
        </w:rPr>
      </w:pPr>
    </w:p>
    <w:p w14:paraId="5106E0D7" w14:textId="77777777" w:rsidR="001725E3" w:rsidRPr="00B10FD1" w:rsidRDefault="001725E3" w:rsidP="002F617F">
      <w:pPr>
        <w:pStyle w:val="NormalWeb"/>
        <w:spacing w:before="120" w:beforeAutospacing="0" w:after="120" w:afterAutospacing="0" w:line="360" w:lineRule="auto"/>
        <w:jc w:val="both"/>
        <w:rPr>
          <w:rFonts w:ascii="Arial" w:hAnsi="Arial" w:cs="Arial"/>
          <w:color w:val="000000" w:themeColor="text1"/>
        </w:rPr>
      </w:pPr>
    </w:p>
    <w:p w14:paraId="0FEC80A2" w14:textId="77777777" w:rsidR="001725E3" w:rsidRPr="00B10FD1" w:rsidRDefault="001725E3" w:rsidP="002F617F">
      <w:pPr>
        <w:pStyle w:val="NormalWeb"/>
        <w:spacing w:before="120" w:beforeAutospacing="0" w:after="120" w:afterAutospacing="0" w:line="360" w:lineRule="auto"/>
        <w:jc w:val="both"/>
        <w:rPr>
          <w:rFonts w:ascii="Arial" w:hAnsi="Arial" w:cs="Arial"/>
          <w:color w:val="000000" w:themeColor="text1"/>
        </w:rPr>
      </w:pPr>
    </w:p>
    <w:p w14:paraId="7F0F893C" w14:textId="77777777" w:rsidR="001725E3" w:rsidRPr="00B10FD1" w:rsidRDefault="001725E3" w:rsidP="002F617F">
      <w:pPr>
        <w:pStyle w:val="NormalWeb"/>
        <w:spacing w:before="120" w:beforeAutospacing="0" w:after="120" w:afterAutospacing="0" w:line="360" w:lineRule="auto"/>
        <w:jc w:val="both"/>
        <w:rPr>
          <w:rFonts w:ascii="Arial" w:hAnsi="Arial" w:cs="Arial"/>
          <w:color w:val="000000" w:themeColor="text1"/>
        </w:rPr>
      </w:pPr>
    </w:p>
    <w:p w14:paraId="1210C074" w14:textId="77777777" w:rsidR="001725E3" w:rsidRPr="00B10FD1" w:rsidRDefault="001725E3" w:rsidP="002F617F">
      <w:pPr>
        <w:pStyle w:val="NormalWeb"/>
        <w:spacing w:before="120" w:beforeAutospacing="0" w:after="120" w:afterAutospacing="0" w:line="360" w:lineRule="auto"/>
        <w:jc w:val="both"/>
        <w:rPr>
          <w:rFonts w:ascii="Arial" w:hAnsi="Arial" w:cs="Arial"/>
          <w:color w:val="000000" w:themeColor="text1"/>
        </w:rPr>
      </w:pPr>
    </w:p>
    <w:p w14:paraId="27B3ED25" w14:textId="77777777" w:rsidR="001725E3" w:rsidRDefault="001725E3" w:rsidP="002F617F">
      <w:pPr>
        <w:pStyle w:val="NormalWeb"/>
        <w:spacing w:before="120" w:beforeAutospacing="0" w:after="120" w:afterAutospacing="0" w:line="360" w:lineRule="auto"/>
        <w:jc w:val="both"/>
        <w:rPr>
          <w:rFonts w:ascii="Arial" w:hAnsi="Arial" w:cs="Arial"/>
          <w:color w:val="000000" w:themeColor="text1"/>
        </w:rPr>
      </w:pPr>
    </w:p>
    <w:p w14:paraId="3C9D7776" w14:textId="77777777" w:rsidR="00A07454" w:rsidRDefault="00A07454" w:rsidP="002F617F">
      <w:pPr>
        <w:pStyle w:val="NormalWeb"/>
        <w:spacing w:before="120" w:beforeAutospacing="0" w:after="120" w:afterAutospacing="0" w:line="360" w:lineRule="auto"/>
        <w:jc w:val="both"/>
        <w:rPr>
          <w:rFonts w:ascii="Arial" w:hAnsi="Arial" w:cs="Arial"/>
          <w:color w:val="000000" w:themeColor="text1"/>
        </w:rPr>
      </w:pPr>
    </w:p>
    <w:p w14:paraId="7FFCCD98" w14:textId="77777777" w:rsidR="00A07454" w:rsidRDefault="00A07454" w:rsidP="002F617F">
      <w:pPr>
        <w:pStyle w:val="NormalWeb"/>
        <w:spacing w:before="120" w:beforeAutospacing="0" w:after="120" w:afterAutospacing="0" w:line="360" w:lineRule="auto"/>
        <w:jc w:val="both"/>
        <w:rPr>
          <w:rFonts w:ascii="Arial" w:hAnsi="Arial" w:cs="Arial"/>
          <w:color w:val="000000" w:themeColor="text1"/>
        </w:rPr>
      </w:pPr>
    </w:p>
    <w:p w14:paraId="2068375B" w14:textId="77777777" w:rsidR="00A07454" w:rsidRPr="00B10FD1" w:rsidRDefault="00A07454" w:rsidP="002F617F">
      <w:pPr>
        <w:pStyle w:val="NormalWeb"/>
        <w:spacing w:before="120" w:beforeAutospacing="0" w:after="120" w:afterAutospacing="0" w:line="360" w:lineRule="auto"/>
        <w:jc w:val="both"/>
        <w:rPr>
          <w:rFonts w:ascii="Arial" w:hAnsi="Arial" w:cs="Arial"/>
          <w:color w:val="000000" w:themeColor="text1"/>
        </w:rPr>
      </w:pPr>
    </w:p>
    <w:p w14:paraId="592070B4" w14:textId="77777777" w:rsidR="001725E3" w:rsidRPr="00B10FD1" w:rsidRDefault="001725E3" w:rsidP="002F617F">
      <w:pPr>
        <w:pStyle w:val="NormalWeb"/>
        <w:spacing w:before="120" w:beforeAutospacing="0" w:after="120" w:afterAutospacing="0" w:line="360" w:lineRule="auto"/>
        <w:jc w:val="both"/>
        <w:rPr>
          <w:rFonts w:ascii="Arial" w:hAnsi="Arial" w:cs="Arial"/>
          <w:color w:val="000000" w:themeColor="text1"/>
        </w:rPr>
      </w:pPr>
    </w:p>
    <w:p w14:paraId="4C9090A4" w14:textId="77777777" w:rsidR="001725E3" w:rsidRPr="00B10FD1" w:rsidRDefault="001725E3" w:rsidP="002F617F">
      <w:pPr>
        <w:pStyle w:val="NormalWeb"/>
        <w:spacing w:before="120" w:beforeAutospacing="0" w:after="120" w:afterAutospacing="0" w:line="360" w:lineRule="auto"/>
        <w:jc w:val="center"/>
        <w:rPr>
          <w:rFonts w:ascii="Arial" w:hAnsi="Arial" w:cs="Arial"/>
          <w:b/>
          <w:color w:val="000000" w:themeColor="text1"/>
          <w:sz w:val="32"/>
        </w:rPr>
      </w:pPr>
      <w:r w:rsidRPr="00B10FD1">
        <w:rPr>
          <w:rFonts w:ascii="Arial" w:hAnsi="Arial" w:cs="Arial"/>
          <w:b/>
          <w:color w:val="000000" w:themeColor="text1"/>
          <w:sz w:val="32"/>
        </w:rPr>
        <w:lastRenderedPageBreak/>
        <w:t>List of Figures</w:t>
      </w:r>
    </w:p>
    <w:p w14:paraId="6109C8F4" w14:textId="068D2EC5" w:rsidR="005E3A3B" w:rsidRPr="00B10FD1" w:rsidRDefault="001725E3" w:rsidP="002F617F">
      <w:pPr>
        <w:pStyle w:val="TableofFigures"/>
        <w:tabs>
          <w:tab w:val="right" w:leader="dot" w:pos="9350"/>
        </w:tabs>
        <w:spacing w:before="120" w:after="120" w:line="360" w:lineRule="auto"/>
        <w:rPr>
          <w:rFonts w:eastAsiaTheme="minorEastAsia" w:cs="Arial"/>
          <w:noProof/>
        </w:rPr>
      </w:pPr>
      <w:r w:rsidRPr="00B10FD1">
        <w:rPr>
          <w:rFonts w:cs="Arial"/>
          <w:color w:val="000000" w:themeColor="text1"/>
        </w:rPr>
        <w:fldChar w:fldCharType="begin"/>
      </w:r>
      <w:r w:rsidRPr="00B10FD1">
        <w:rPr>
          <w:rFonts w:cs="Arial"/>
          <w:color w:val="000000" w:themeColor="text1"/>
        </w:rPr>
        <w:instrText xml:space="preserve"> TOC \h \z \c "Figure" </w:instrText>
      </w:r>
      <w:r w:rsidRPr="00B10FD1">
        <w:rPr>
          <w:rFonts w:cs="Arial"/>
          <w:color w:val="000000" w:themeColor="text1"/>
        </w:rPr>
        <w:fldChar w:fldCharType="separate"/>
      </w:r>
      <w:hyperlink w:anchor="_Toc209282422" w:history="1">
        <w:r w:rsidR="005E3A3B" w:rsidRPr="00B10FD1">
          <w:rPr>
            <w:rStyle w:val="Hyperlink"/>
            <w:rFonts w:cs="Arial"/>
            <w:noProof/>
          </w:rPr>
          <w:t>Figure 1: Search Strategy (Created by using Visual Paradigm Tool)</w:t>
        </w:r>
        <w:r w:rsidR="005E3A3B" w:rsidRPr="00B10FD1">
          <w:rPr>
            <w:rFonts w:cs="Arial"/>
            <w:noProof/>
            <w:webHidden/>
          </w:rPr>
          <w:tab/>
        </w:r>
        <w:r w:rsidR="005E3A3B" w:rsidRPr="00B10FD1">
          <w:rPr>
            <w:rFonts w:cs="Arial"/>
            <w:noProof/>
            <w:webHidden/>
          </w:rPr>
          <w:fldChar w:fldCharType="begin"/>
        </w:r>
        <w:r w:rsidR="005E3A3B" w:rsidRPr="00B10FD1">
          <w:rPr>
            <w:rFonts w:cs="Arial"/>
            <w:noProof/>
            <w:webHidden/>
          </w:rPr>
          <w:instrText xml:space="preserve"> PAGEREF _Toc209282422 \h </w:instrText>
        </w:r>
        <w:r w:rsidR="005E3A3B" w:rsidRPr="00B10FD1">
          <w:rPr>
            <w:rFonts w:cs="Arial"/>
            <w:noProof/>
            <w:webHidden/>
          </w:rPr>
        </w:r>
        <w:r w:rsidR="005E3A3B" w:rsidRPr="00B10FD1">
          <w:rPr>
            <w:rFonts w:cs="Arial"/>
            <w:noProof/>
            <w:webHidden/>
          </w:rPr>
          <w:fldChar w:fldCharType="separate"/>
        </w:r>
        <w:r w:rsidR="00204CA5">
          <w:rPr>
            <w:rFonts w:cs="Arial"/>
            <w:noProof/>
            <w:webHidden/>
          </w:rPr>
          <w:t>26</w:t>
        </w:r>
        <w:r w:rsidR="005E3A3B" w:rsidRPr="00B10FD1">
          <w:rPr>
            <w:rFonts w:cs="Arial"/>
            <w:noProof/>
            <w:webHidden/>
          </w:rPr>
          <w:fldChar w:fldCharType="end"/>
        </w:r>
      </w:hyperlink>
    </w:p>
    <w:p w14:paraId="4F6F2FA0" w14:textId="704B436C" w:rsidR="005E3A3B" w:rsidRPr="00B10FD1" w:rsidRDefault="005E3A3B" w:rsidP="002F617F">
      <w:pPr>
        <w:pStyle w:val="TableofFigures"/>
        <w:tabs>
          <w:tab w:val="right" w:leader="dot" w:pos="9350"/>
        </w:tabs>
        <w:spacing w:before="120" w:after="120" w:line="360" w:lineRule="auto"/>
        <w:rPr>
          <w:rFonts w:eastAsiaTheme="minorEastAsia" w:cs="Arial"/>
          <w:noProof/>
        </w:rPr>
      </w:pPr>
      <w:hyperlink w:anchor="_Toc209282423" w:history="1">
        <w:r w:rsidRPr="00B10FD1">
          <w:rPr>
            <w:rStyle w:val="Hyperlink"/>
            <w:rFonts w:cs="Arial"/>
            <w:noProof/>
          </w:rPr>
          <w:t>Figure 2: PRISMA Diagram (Created by using Visual Paradigm Tool)</w:t>
        </w:r>
        <w:r w:rsidRPr="00B10FD1">
          <w:rPr>
            <w:rFonts w:cs="Arial"/>
            <w:noProof/>
            <w:webHidden/>
          </w:rPr>
          <w:tab/>
        </w:r>
        <w:r w:rsidRPr="00B10FD1">
          <w:rPr>
            <w:rFonts w:cs="Arial"/>
            <w:noProof/>
            <w:webHidden/>
          </w:rPr>
          <w:fldChar w:fldCharType="begin"/>
        </w:r>
        <w:r w:rsidRPr="00B10FD1">
          <w:rPr>
            <w:rFonts w:cs="Arial"/>
            <w:noProof/>
            <w:webHidden/>
          </w:rPr>
          <w:instrText xml:space="preserve"> PAGEREF _Toc209282423 \h </w:instrText>
        </w:r>
        <w:r w:rsidRPr="00B10FD1">
          <w:rPr>
            <w:rFonts w:cs="Arial"/>
            <w:noProof/>
            <w:webHidden/>
          </w:rPr>
        </w:r>
        <w:r w:rsidRPr="00B10FD1">
          <w:rPr>
            <w:rFonts w:cs="Arial"/>
            <w:noProof/>
            <w:webHidden/>
          </w:rPr>
          <w:fldChar w:fldCharType="separate"/>
        </w:r>
        <w:r w:rsidR="00204CA5">
          <w:rPr>
            <w:rFonts w:cs="Arial"/>
            <w:noProof/>
            <w:webHidden/>
          </w:rPr>
          <w:t>27</w:t>
        </w:r>
        <w:r w:rsidRPr="00B10FD1">
          <w:rPr>
            <w:rFonts w:cs="Arial"/>
            <w:noProof/>
            <w:webHidden/>
          </w:rPr>
          <w:fldChar w:fldCharType="end"/>
        </w:r>
      </w:hyperlink>
    </w:p>
    <w:p w14:paraId="7782F80B" w14:textId="77777777" w:rsidR="001725E3" w:rsidRPr="00B10FD1" w:rsidRDefault="001725E3" w:rsidP="002F617F">
      <w:pPr>
        <w:pStyle w:val="NormalWeb"/>
        <w:spacing w:before="120" w:beforeAutospacing="0" w:after="120" w:afterAutospacing="0" w:line="360" w:lineRule="auto"/>
        <w:jc w:val="both"/>
        <w:rPr>
          <w:rFonts w:ascii="Arial" w:hAnsi="Arial" w:cs="Arial"/>
          <w:color w:val="000000" w:themeColor="text1"/>
        </w:rPr>
      </w:pPr>
      <w:r w:rsidRPr="00B10FD1">
        <w:rPr>
          <w:rFonts w:ascii="Arial" w:hAnsi="Arial" w:cs="Arial"/>
          <w:color w:val="000000" w:themeColor="text1"/>
        </w:rPr>
        <w:fldChar w:fldCharType="end"/>
      </w:r>
    </w:p>
    <w:p w14:paraId="7672C5EA" w14:textId="77777777" w:rsidR="001725E3" w:rsidRPr="00B10FD1" w:rsidRDefault="001725E3" w:rsidP="002F617F">
      <w:pPr>
        <w:pStyle w:val="NormalWeb"/>
        <w:spacing w:before="120" w:beforeAutospacing="0" w:after="120" w:afterAutospacing="0" w:line="360" w:lineRule="auto"/>
        <w:jc w:val="both"/>
        <w:rPr>
          <w:rFonts w:ascii="Arial" w:hAnsi="Arial" w:cs="Arial"/>
          <w:color w:val="000000" w:themeColor="text1"/>
        </w:rPr>
      </w:pPr>
    </w:p>
    <w:p w14:paraId="2C1F8F08" w14:textId="77777777" w:rsidR="001725E3" w:rsidRPr="00B10FD1" w:rsidRDefault="001725E3" w:rsidP="002F617F">
      <w:pPr>
        <w:pStyle w:val="NormalWeb"/>
        <w:spacing w:before="120" w:beforeAutospacing="0" w:after="120" w:afterAutospacing="0" w:line="360" w:lineRule="auto"/>
        <w:jc w:val="center"/>
        <w:rPr>
          <w:rFonts w:ascii="Arial" w:hAnsi="Arial" w:cs="Arial"/>
          <w:b/>
          <w:color w:val="000000" w:themeColor="text1"/>
          <w:sz w:val="32"/>
        </w:rPr>
      </w:pPr>
      <w:r w:rsidRPr="00B10FD1">
        <w:rPr>
          <w:rFonts w:ascii="Arial" w:hAnsi="Arial" w:cs="Arial"/>
          <w:b/>
          <w:color w:val="000000" w:themeColor="text1"/>
          <w:sz w:val="32"/>
        </w:rPr>
        <w:t>List of Tables</w:t>
      </w:r>
    </w:p>
    <w:p w14:paraId="51BEE478" w14:textId="021DC9FE" w:rsidR="005E3A3B" w:rsidRPr="00B10FD1" w:rsidRDefault="005E3A3B" w:rsidP="002F617F">
      <w:pPr>
        <w:pStyle w:val="TableofFigures"/>
        <w:tabs>
          <w:tab w:val="right" w:leader="dot" w:pos="9350"/>
        </w:tabs>
        <w:spacing w:before="120" w:after="120" w:line="360" w:lineRule="auto"/>
        <w:rPr>
          <w:rFonts w:eastAsiaTheme="minorEastAsia" w:cs="Arial"/>
          <w:noProof/>
        </w:rPr>
      </w:pPr>
      <w:r w:rsidRPr="00B10FD1">
        <w:rPr>
          <w:rFonts w:cs="Arial"/>
          <w:b/>
          <w:color w:val="000000" w:themeColor="text1"/>
          <w:sz w:val="32"/>
        </w:rPr>
        <w:fldChar w:fldCharType="begin"/>
      </w:r>
      <w:r w:rsidRPr="00B10FD1">
        <w:rPr>
          <w:rFonts w:cs="Arial"/>
          <w:b/>
          <w:color w:val="000000" w:themeColor="text1"/>
          <w:sz w:val="32"/>
        </w:rPr>
        <w:instrText xml:space="preserve"> TOC \h \z \c "Table" </w:instrText>
      </w:r>
      <w:r w:rsidRPr="00B10FD1">
        <w:rPr>
          <w:rFonts w:cs="Arial"/>
          <w:b/>
          <w:color w:val="000000" w:themeColor="text1"/>
          <w:sz w:val="32"/>
        </w:rPr>
        <w:fldChar w:fldCharType="separate"/>
      </w:r>
      <w:hyperlink w:anchor="_Toc209282430" w:history="1">
        <w:r w:rsidRPr="00B10FD1">
          <w:rPr>
            <w:rStyle w:val="Hyperlink"/>
            <w:rFonts w:cs="Arial"/>
            <w:noProof/>
          </w:rPr>
          <w:t>Table 1: Acronyms and Abbreviations</w:t>
        </w:r>
        <w:r w:rsidRPr="00B10FD1">
          <w:rPr>
            <w:rFonts w:cs="Arial"/>
            <w:noProof/>
            <w:webHidden/>
          </w:rPr>
          <w:tab/>
        </w:r>
        <w:r w:rsidRPr="00B10FD1">
          <w:rPr>
            <w:rFonts w:cs="Arial"/>
            <w:noProof/>
            <w:webHidden/>
          </w:rPr>
          <w:fldChar w:fldCharType="begin"/>
        </w:r>
        <w:r w:rsidRPr="00B10FD1">
          <w:rPr>
            <w:rFonts w:cs="Arial"/>
            <w:noProof/>
            <w:webHidden/>
          </w:rPr>
          <w:instrText xml:space="preserve"> PAGEREF _Toc209282430 \h </w:instrText>
        </w:r>
        <w:r w:rsidRPr="00B10FD1">
          <w:rPr>
            <w:rFonts w:cs="Arial"/>
            <w:noProof/>
            <w:webHidden/>
          </w:rPr>
        </w:r>
        <w:r w:rsidRPr="00B10FD1">
          <w:rPr>
            <w:rFonts w:cs="Arial"/>
            <w:noProof/>
            <w:webHidden/>
          </w:rPr>
          <w:fldChar w:fldCharType="separate"/>
        </w:r>
        <w:r w:rsidR="00204CA5">
          <w:rPr>
            <w:rFonts w:cs="Arial"/>
            <w:noProof/>
            <w:webHidden/>
          </w:rPr>
          <w:t>12</w:t>
        </w:r>
        <w:r w:rsidRPr="00B10FD1">
          <w:rPr>
            <w:rFonts w:cs="Arial"/>
            <w:noProof/>
            <w:webHidden/>
          </w:rPr>
          <w:fldChar w:fldCharType="end"/>
        </w:r>
      </w:hyperlink>
    </w:p>
    <w:p w14:paraId="234FC323" w14:textId="20380340" w:rsidR="005E3A3B" w:rsidRPr="00B10FD1" w:rsidRDefault="005E3A3B" w:rsidP="002F617F">
      <w:pPr>
        <w:pStyle w:val="TableofFigures"/>
        <w:tabs>
          <w:tab w:val="right" w:leader="dot" w:pos="9350"/>
        </w:tabs>
        <w:spacing w:before="120" w:after="120" w:line="360" w:lineRule="auto"/>
        <w:rPr>
          <w:rFonts w:eastAsiaTheme="minorEastAsia" w:cs="Arial"/>
          <w:noProof/>
        </w:rPr>
      </w:pPr>
      <w:hyperlink w:anchor="_Toc209282431" w:history="1">
        <w:r w:rsidRPr="00B10FD1">
          <w:rPr>
            <w:rStyle w:val="Hyperlink"/>
            <w:rFonts w:cs="Arial"/>
            <w:noProof/>
          </w:rPr>
          <w:t>Table 2: PEO Elements</w:t>
        </w:r>
        <w:r w:rsidRPr="00B10FD1">
          <w:rPr>
            <w:rFonts w:cs="Arial"/>
            <w:noProof/>
            <w:webHidden/>
          </w:rPr>
          <w:tab/>
        </w:r>
        <w:r w:rsidRPr="00B10FD1">
          <w:rPr>
            <w:rFonts w:cs="Arial"/>
            <w:noProof/>
            <w:webHidden/>
          </w:rPr>
          <w:fldChar w:fldCharType="begin"/>
        </w:r>
        <w:r w:rsidRPr="00B10FD1">
          <w:rPr>
            <w:rFonts w:cs="Arial"/>
            <w:noProof/>
            <w:webHidden/>
          </w:rPr>
          <w:instrText xml:space="preserve"> PAGEREF _Toc209282431 \h </w:instrText>
        </w:r>
        <w:r w:rsidRPr="00B10FD1">
          <w:rPr>
            <w:rFonts w:cs="Arial"/>
            <w:noProof/>
            <w:webHidden/>
          </w:rPr>
        </w:r>
        <w:r w:rsidRPr="00B10FD1">
          <w:rPr>
            <w:rFonts w:cs="Arial"/>
            <w:noProof/>
            <w:webHidden/>
          </w:rPr>
          <w:fldChar w:fldCharType="separate"/>
        </w:r>
        <w:r w:rsidR="00204CA5">
          <w:rPr>
            <w:rFonts w:cs="Arial"/>
            <w:noProof/>
            <w:webHidden/>
          </w:rPr>
          <w:t>25</w:t>
        </w:r>
        <w:r w:rsidRPr="00B10FD1">
          <w:rPr>
            <w:rFonts w:cs="Arial"/>
            <w:noProof/>
            <w:webHidden/>
          </w:rPr>
          <w:fldChar w:fldCharType="end"/>
        </w:r>
      </w:hyperlink>
    </w:p>
    <w:p w14:paraId="45FDCCA3" w14:textId="2668D77C" w:rsidR="005E3A3B" w:rsidRPr="00B10FD1" w:rsidRDefault="005E3A3B" w:rsidP="002F617F">
      <w:pPr>
        <w:pStyle w:val="TableofFigures"/>
        <w:tabs>
          <w:tab w:val="right" w:leader="dot" w:pos="9350"/>
        </w:tabs>
        <w:spacing w:before="120" w:after="120" w:line="360" w:lineRule="auto"/>
        <w:rPr>
          <w:rFonts w:eastAsiaTheme="minorEastAsia" w:cs="Arial"/>
          <w:noProof/>
        </w:rPr>
      </w:pPr>
      <w:hyperlink w:anchor="_Toc209282432" w:history="1">
        <w:r w:rsidRPr="00B10FD1">
          <w:rPr>
            <w:rStyle w:val="Hyperlink"/>
            <w:rFonts w:cs="Arial"/>
            <w:noProof/>
          </w:rPr>
          <w:t>Table 3: Inclusion and Exclusion Criteria</w:t>
        </w:r>
        <w:r w:rsidRPr="00B10FD1">
          <w:rPr>
            <w:rFonts w:cs="Arial"/>
            <w:noProof/>
            <w:webHidden/>
          </w:rPr>
          <w:tab/>
        </w:r>
        <w:r w:rsidRPr="00B10FD1">
          <w:rPr>
            <w:rFonts w:cs="Arial"/>
            <w:noProof/>
            <w:webHidden/>
          </w:rPr>
          <w:fldChar w:fldCharType="begin"/>
        </w:r>
        <w:r w:rsidRPr="00B10FD1">
          <w:rPr>
            <w:rFonts w:cs="Arial"/>
            <w:noProof/>
            <w:webHidden/>
          </w:rPr>
          <w:instrText xml:space="preserve"> PAGEREF _Toc209282432 \h </w:instrText>
        </w:r>
        <w:r w:rsidRPr="00B10FD1">
          <w:rPr>
            <w:rFonts w:cs="Arial"/>
            <w:noProof/>
            <w:webHidden/>
          </w:rPr>
        </w:r>
        <w:r w:rsidRPr="00B10FD1">
          <w:rPr>
            <w:rFonts w:cs="Arial"/>
            <w:noProof/>
            <w:webHidden/>
          </w:rPr>
          <w:fldChar w:fldCharType="separate"/>
        </w:r>
        <w:r w:rsidR="00204CA5">
          <w:rPr>
            <w:rFonts w:cs="Arial"/>
            <w:noProof/>
            <w:webHidden/>
          </w:rPr>
          <w:t>29</w:t>
        </w:r>
        <w:r w:rsidRPr="00B10FD1">
          <w:rPr>
            <w:rFonts w:cs="Arial"/>
            <w:noProof/>
            <w:webHidden/>
          </w:rPr>
          <w:fldChar w:fldCharType="end"/>
        </w:r>
      </w:hyperlink>
    </w:p>
    <w:p w14:paraId="34A06886" w14:textId="12B297EC" w:rsidR="005E3A3B" w:rsidRPr="00B10FD1" w:rsidRDefault="005E3A3B" w:rsidP="002F617F">
      <w:pPr>
        <w:pStyle w:val="TableofFigures"/>
        <w:tabs>
          <w:tab w:val="right" w:leader="dot" w:pos="9350"/>
        </w:tabs>
        <w:spacing w:before="120" w:after="120" w:line="360" w:lineRule="auto"/>
        <w:rPr>
          <w:rFonts w:eastAsiaTheme="minorEastAsia" w:cs="Arial"/>
          <w:noProof/>
        </w:rPr>
      </w:pPr>
      <w:hyperlink w:anchor="_Toc209282433" w:history="1">
        <w:r w:rsidRPr="00B10FD1">
          <w:rPr>
            <w:rStyle w:val="Hyperlink"/>
            <w:rFonts w:cs="Arial"/>
            <w:noProof/>
          </w:rPr>
          <w:t>Table 4: Themes</w:t>
        </w:r>
        <w:r w:rsidRPr="00B10FD1">
          <w:rPr>
            <w:rFonts w:cs="Arial"/>
            <w:noProof/>
            <w:webHidden/>
          </w:rPr>
          <w:tab/>
        </w:r>
        <w:r w:rsidRPr="00B10FD1">
          <w:rPr>
            <w:rFonts w:cs="Arial"/>
            <w:noProof/>
            <w:webHidden/>
          </w:rPr>
          <w:fldChar w:fldCharType="begin"/>
        </w:r>
        <w:r w:rsidRPr="00B10FD1">
          <w:rPr>
            <w:rFonts w:cs="Arial"/>
            <w:noProof/>
            <w:webHidden/>
          </w:rPr>
          <w:instrText xml:space="preserve"> PAGEREF _Toc209282433 \h </w:instrText>
        </w:r>
        <w:r w:rsidRPr="00B10FD1">
          <w:rPr>
            <w:rFonts w:cs="Arial"/>
            <w:noProof/>
            <w:webHidden/>
          </w:rPr>
        </w:r>
        <w:r w:rsidRPr="00B10FD1">
          <w:rPr>
            <w:rFonts w:cs="Arial"/>
            <w:noProof/>
            <w:webHidden/>
          </w:rPr>
          <w:fldChar w:fldCharType="separate"/>
        </w:r>
        <w:r w:rsidR="00204CA5">
          <w:rPr>
            <w:rFonts w:cs="Arial"/>
            <w:noProof/>
            <w:webHidden/>
          </w:rPr>
          <w:t>61</w:t>
        </w:r>
        <w:r w:rsidRPr="00B10FD1">
          <w:rPr>
            <w:rFonts w:cs="Arial"/>
            <w:noProof/>
            <w:webHidden/>
          </w:rPr>
          <w:fldChar w:fldCharType="end"/>
        </w:r>
      </w:hyperlink>
    </w:p>
    <w:p w14:paraId="08D6B852" w14:textId="77777777" w:rsidR="005E3A3B" w:rsidRPr="00B10FD1" w:rsidRDefault="005E3A3B" w:rsidP="002F617F">
      <w:pPr>
        <w:pStyle w:val="NormalWeb"/>
        <w:spacing w:before="120" w:beforeAutospacing="0" w:after="120" w:afterAutospacing="0" w:line="360" w:lineRule="auto"/>
        <w:jc w:val="center"/>
        <w:rPr>
          <w:rFonts w:ascii="Arial" w:hAnsi="Arial" w:cs="Arial"/>
          <w:b/>
          <w:color w:val="000000" w:themeColor="text1"/>
          <w:sz w:val="32"/>
        </w:rPr>
      </w:pPr>
      <w:r w:rsidRPr="00B10FD1">
        <w:rPr>
          <w:rFonts w:ascii="Arial" w:hAnsi="Arial" w:cs="Arial"/>
          <w:b/>
          <w:color w:val="000000" w:themeColor="text1"/>
          <w:sz w:val="32"/>
        </w:rPr>
        <w:fldChar w:fldCharType="end"/>
      </w:r>
    </w:p>
    <w:p w14:paraId="3069DAE3" w14:textId="77777777" w:rsidR="001725E3" w:rsidRPr="00B10FD1" w:rsidRDefault="001725E3" w:rsidP="002F617F">
      <w:pPr>
        <w:pStyle w:val="NormalWeb"/>
        <w:spacing w:before="120" w:beforeAutospacing="0" w:after="120" w:afterAutospacing="0" w:line="360" w:lineRule="auto"/>
        <w:jc w:val="both"/>
        <w:rPr>
          <w:rFonts w:ascii="Arial" w:hAnsi="Arial" w:cs="Arial"/>
          <w:color w:val="000000" w:themeColor="text1"/>
        </w:rPr>
      </w:pPr>
    </w:p>
    <w:p w14:paraId="67FEF9AC" w14:textId="77777777" w:rsidR="001725E3" w:rsidRPr="00B10FD1" w:rsidRDefault="001725E3" w:rsidP="006240B2">
      <w:pPr>
        <w:pStyle w:val="NormalWeb"/>
        <w:spacing w:before="120" w:beforeAutospacing="0" w:after="120" w:afterAutospacing="0" w:line="360" w:lineRule="auto"/>
        <w:jc w:val="both"/>
        <w:rPr>
          <w:rFonts w:ascii="Arial" w:hAnsi="Arial" w:cs="Arial"/>
          <w:color w:val="000000" w:themeColor="text1"/>
        </w:rPr>
      </w:pPr>
    </w:p>
    <w:p w14:paraId="3BBD3911" w14:textId="77777777" w:rsidR="001725E3" w:rsidRPr="00B10FD1" w:rsidRDefault="001725E3" w:rsidP="006240B2">
      <w:pPr>
        <w:pStyle w:val="NormalWeb"/>
        <w:spacing w:before="120" w:beforeAutospacing="0" w:after="120" w:afterAutospacing="0" w:line="360" w:lineRule="auto"/>
        <w:jc w:val="both"/>
        <w:rPr>
          <w:rFonts w:ascii="Arial" w:hAnsi="Arial" w:cs="Arial"/>
          <w:color w:val="000000" w:themeColor="text1"/>
        </w:rPr>
      </w:pPr>
    </w:p>
    <w:p w14:paraId="65430522" w14:textId="77777777" w:rsidR="001725E3" w:rsidRPr="00B10FD1" w:rsidRDefault="001725E3" w:rsidP="006240B2">
      <w:pPr>
        <w:pStyle w:val="NormalWeb"/>
        <w:spacing w:before="120" w:beforeAutospacing="0" w:after="120" w:afterAutospacing="0" w:line="360" w:lineRule="auto"/>
        <w:jc w:val="both"/>
        <w:rPr>
          <w:rFonts w:ascii="Arial" w:hAnsi="Arial" w:cs="Arial"/>
          <w:color w:val="000000" w:themeColor="text1"/>
        </w:rPr>
      </w:pPr>
    </w:p>
    <w:p w14:paraId="5728DFE3" w14:textId="77777777" w:rsidR="001725E3" w:rsidRPr="00B10FD1" w:rsidRDefault="001725E3" w:rsidP="006240B2">
      <w:pPr>
        <w:pStyle w:val="NormalWeb"/>
        <w:spacing w:before="120" w:beforeAutospacing="0" w:after="120" w:afterAutospacing="0" w:line="360" w:lineRule="auto"/>
        <w:jc w:val="both"/>
        <w:rPr>
          <w:rFonts w:ascii="Arial" w:hAnsi="Arial" w:cs="Arial"/>
          <w:color w:val="000000" w:themeColor="text1"/>
        </w:rPr>
      </w:pPr>
    </w:p>
    <w:p w14:paraId="5621EEF1" w14:textId="77777777" w:rsidR="001725E3" w:rsidRPr="00B10FD1" w:rsidRDefault="001725E3" w:rsidP="006240B2">
      <w:pPr>
        <w:pStyle w:val="NormalWeb"/>
        <w:spacing w:before="120" w:beforeAutospacing="0" w:after="120" w:afterAutospacing="0" w:line="360" w:lineRule="auto"/>
        <w:jc w:val="both"/>
        <w:rPr>
          <w:rFonts w:ascii="Arial" w:hAnsi="Arial" w:cs="Arial"/>
          <w:color w:val="000000" w:themeColor="text1"/>
        </w:rPr>
      </w:pPr>
    </w:p>
    <w:p w14:paraId="6ED86778" w14:textId="77777777" w:rsidR="001725E3" w:rsidRPr="00B10FD1" w:rsidRDefault="001725E3" w:rsidP="006240B2">
      <w:pPr>
        <w:pStyle w:val="NormalWeb"/>
        <w:spacing w:before="120" w:beforeAutospacing="0" w:after="120" w:afterAutospacing="0" w:line="360" w:lineRule="auto"/>
        <w:jc w:val="both"/>
        <w:rPr>
          <w:rFonts w:ascii="Arial" w:hAnsi="Arial" w:cs="Arial"/>
          <w:color w:val="000000" w:themeColor="text1"/>
        </w:rPr>
      </w:pPr>
    </w:p>
    <w:p w14:paraId="7F065137" w14:textId="77777777" w:rsidR="001725E3" w:rsidRPr="00B10FD1" w:rsidRDefault="001725E3" w:rsidP="006240B2">
      <w:pPr>
        <w:pStyle w:val="NormalWeb"/>
        <w:spacing w:before="120" w:beforeAutospacing="0" w:after="120" w:afterAutospacing="0" w:line="360" w:lineRule="auto"/>
        <w:jc w:val="both"/>
        <w:rPr>
          <w:rFonts w:ascii="Arial" w:hAnsi="Arial" w:cs="Arial"/>
          <w:color w:val="000000" w:themeColor="text1"/>
        </w:rPr>
      </w:pPr>
    </w:p>
    <w:p w14:paraId="3066971A" w14:textId="77777777" w:rsidR="001725E3" w:rsidRPr="00B10FD1" w:rsidRDefault="001725E3" w:rsidP="006240B2">
      <w:pPr>
        <w:pStyle w:val="NormalWeb"/>
        <w:spacing w:before="120" w:beforeAutospacing="0" w:after="120" w:afterAutospacing="0" w:line="360" w:lineRule="auto"/>
        <w:jc w:val="both"/>
        <w:rPr>
          <w:rFonts w:ascii="Arial" w:hAnsi="Arial" w:cs="Arial"/>
          <w:color w:val="000000" w:themeColor="text1"/>
        </w:rPr>
      </w:pPr>
    </w:p>
    <w:p w14:paraId="6ABF9E7A" w14:textId="77777777" w:rsidR="001725E3" w:rsidRPr="00B10FD1" w:rsidRDefault="001725E3" w:rsidP="006240B2">
      <w:pPr>
        <w:pStyle w:val="NormalWeb"/>
        <w:spacing w:before="120" w:beforeAutospacing="0" w:after="120" w:afterAutospacing="0" w:line="360" w:lineRule="auto"/>
        <w:jc w:val="both"/>
        <w:rPr>
          <w:rFonts w:ascii="Arial" w:hAnsi="Arial" w:cs="Arial"/>
          <w:color w:val="000000" w:themeColor="text1"/>
        </w:rPr>
      </w:pPr>
    </w:p>
    <w:p w14:paraId="542FACF3" w14:textId="77777777" w:rsidR="001725E3" w:rsidRPr="00B10FD1" w:rsidRDefault="001725E3" w:rsidP="006240B2">
      <w:pPr>
        <w:pStyle w:val="NormalWeb"/>
        <w:spacing w:before="120" w:beforeAutospacing="0" w:after="120" w:afterAutospacing="0" w:line="360" w:lineRule="auto"/>
        <w:jc w:val="both"/>
        <w:rPr>
          <w:rFonts w:ascii="Arial" w:hAnsi="Arial" w:cs="Arial"/>
          <w:color w:val="000000" w:themeColor="text1"/>
        </w:rPr>
      </w:pPr>
    </w:p>
    <w:p w14:paraId="440ABF11" w14:textId="77777777" w:rsidR="001725E3" w:rsidRPr="00B10FD1" w:rsidRDefault="001725E3" w:rsidP="006240B2">
      <w:pPr>
        <w:pStyle w:val="NormalWeb"/>
        <w:spacing w:before="120" w:beforeAutospacing="0" w:after="120" w:afterAutospacing="0" w:line="360" w:lineRule="auto"/>
        <w:jc w:val="both"/>
        <w:rPr>
          <w:rFonts w:ascii="Arial" w:hAnsi="Arial" w:cs="Arial"/>
          <w:color w:val="000000" w:themeColor="text1"/>
        </w:rPr>
      </w:pPr>
    </w:p>
    <w:p w14:paraId="6B50D261" w14:textId="77777777" w:rsidR="001725E3" w:rsidRPr="00B10FD1" w:rsidRDefault="001725E3" w:rsidP="006240B2">
      <w:pPr>
        <w:pStyle w:val="NormalWeb"/>
        <w:spacing w:before="120" w:beforeAutospacing="0" w:after="120" w:afterAutospacing="0" w:line="360" w:lineRule="auto"/>
        <w:jc w:val="both"/>
        <w:rPr>
          <w:rFonts w:ascii="Arial" w:hAnsi="Arial" w:cs="Arial"/>
          <w:color w:val="000000" w:themeColor="text1"/>
        </w:rPr>
      </w:pPr>
    </w:p>
    <w:p w14:paraId="16A3BFF6" w14:textId="77777777" w:rsidR="009D1F2A" w:rsidRPr="00B10FD1" w:rsidRDefault="009A61CD" w:rsidP="001725E3">
      <w:pPr>
        <w:pStyle w:val="Heading1"/>
        <w:spacing w:before="120" w:after="120" w:line="360" w:lineRule="auto"/>
        <w:jc w:val="center"/>
        <w:rPr>
          <w:rFonts w:ascii="Arial" w:hAnsi="Arial" w:cs="Arial"/>
          <w:b/>
          <w:color w:val="000000" w:themeColor="text1"/>
        </w:rPr>
      </w:pPr>
      <w:bookmarkStart w:id="0" w:name="_Toc209284736"/>
      <w:r w:rsidRPr="00B10FD1">
        <w:rPr>
          <w:rFonts w:ascii="Arial" w:hAnsi="Arial" w:cs="Arial"/>
          <w:b/>
          <w:color w:val="000000" w:themeColor="text1"/>
        </w:rPr>
        <w:lastRenderedPageBreak/>
        <w:t>CHAPTER 1:</w:t>
      </w:r>
      <w:r w:rsidR="009D1F2A" w:rsidRPr="00B10FD1">
        <w:rPr>
          <w:rFonts w:ascii="Arial" w:hAnsi="Arial" w:cs="Arial"/>
          <w:b/>
          <w:color w:val="000000" w:themeColor="text1"/>
        </w:rPr>
        <w:t xml:space="preserve"> Introduction</w:t>
      </w:r>
      <w:bookmarkEnd w:id="0"/>
    </w:p>
    <w:p w14:paraId="2308096D" w14:textId="77777777" w:rsidR="002924E1" w:rsidRPr="00B10FD1" w:rsidRDefault="002924E1" w:rsidP="006240B2">
      <w:pPr>
        <w:pStyle w:val="Heading2"/>
        <w:spacing w:before="120" w:beforeAutospacing="0" w:after="120" w:afterAutospacing="0" w:line="360" w:lineRule="auto"/>
        <w:jc w:val="both"/>
        <w:rPr>
          <w:rFonts w:ascii="Arial" w:hAnsi="Arial" w:cs="Arial"/>
          <w:color w:val="000000" w:themeColor="text1"/>
        </w:rPr>
      </w:pPr>
      <w:bookmarkStart w:id="1" w:name="_Toc209284737"/>
      <w:r w:rsidRPr="00B10FD1">
        <w:rPr>
          <w:rFonts w:ascii="Arial" w:hAnsi="Arial" w:cs="Arial"/>
          <w:color w:val="000000" w:themeColor="text1"/>
        </w:rPr>
        <w:t>1.1 Introduction</w:t>
      </w:r>
      <w:bookmarkEnd w:id="1"/>
    </w:p>
    <w:p w14:paraId="065E51E6" w14:textId="77777777" w:rsidR="00E33EA9" w:rsidRPr="00B10FD1" w:rsidRDefault="002924E1"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Social isolation is a growing concern among older adults and United Kingdom</w:t>
      </w:r>
      <w:r w:rsidR="00D5192B" w:rsidRPr="00B10FD1">
        <w:rPr>
          <w:rFonts w:ascii="Arial" w:hAnsi="Arial" w:cs="Arial"/>
          <w:color w:val="000000" w:themeColor="text1"/>
          <w:sz w:val="22"/>
        </w:rPr>
        <w:t xml:space="preserve"> (UK)</w:t>
      </w:r>
      <w:r w:rsidRPr="00B10FD1">
        <w:rPr>
          <w:rFonts w:ascii="Arial" w:hAnsi="Arial" w:cs="Arial"/>
          <w:color w:val="000000" w:themeColor="text1"/>
          <w:sz w:val="22"/>
        </w:rPr>
        <w:t xml:space="preserve"> is no exception. As people age, they may face physical limitations, the loss of social networks, or reduced independence, which can lead to feelings of loneliness and disconnection</w:t>
      </w:r>
      <w:r w:rsidR="00F908C9" w:rsidRPr="00B10FD1">
        <w:rPr>
          <w:rFonts w:ascii="Arial" w:hAnsi="Arial" w:cs="Arial"/>
          <w:color w:val="000000" w:themeColor="text1"/>
          <w:sz w:val="22"/>
        </w:rPr>
        <w:t xml:space="preserve"> (Gerlach et al., 2024)</w:t>
      </w:r>
      <w:r w:rsidRPr="00B10FD1">
        <w:rPr>
          <w:rFonts w:ascii="Arial" w:hAnsi="Arial" w:cs="Arial"/>
          <w:color w:val="000000" w:themeColor="text1"/>
          <w:sz w:val="22"/>
        </w:rPr>
        <w:t xml:space="preserve">. </w:t>
      </w:r>
      <w:r w:rsidR="007A2AD8" w:rsidRPr="00B10FD1">
        <w:rPr>
          <w:rFonts w:ascii="Arial" w:hAnsi="Arial" w:cs="Arial"/>
          <w:color w:val="000000" w:themeColor="text1"/>
          <w:sz w:val="22"/>
        </w:rPr>
        <w:t xml:space="preserve">Traditionally, social relatedness has been an overlooked aspect in the provision of care in elder care but nowadays, according to </w:t>
      </w:r>
      <w:proofErr w:type="spellStart"/>
      <w:r w:rsidR="007A2AD8" w:rsidRPr="00B10FD1">
        <w:rPr>
          <w:rFonts w:ascii="Arial" w:hAnsi="Arial" w:cs="Arial"/>
          <w:color w:val="000000" w:themeColor="text1"/>
          <w:sz w:val="22"/>
        </w:rPr>
        <w:t>HoltLunstad</w:t>
      </w:r>
      <w:proofErr w:type="spellEnd"/>
      <w:r w:rsidR="007A2AD8" w:rsidRPr="00B10FD1">
        <w:rPr>
          <w:rFonts w:ascii="Arial" w:hAnsi="Arial" w:cs="Arial"/>
          <w:color w:val="000000" w:themeColor="text1"/>
          <w:sz w:val="22"/>
        </w:rPr>
        <w:t xml:space="preserve"> (2024), its role in the lives of people and their states was clarified immensely. </w:t>
      </w:r>
      <w:r w:rsidR="00AC2E92" w:rsidRPr="00B10FD1">
        <w:rPr>
          <w:rFonts w:ascii="Arial" w:hAnsi="Arial" w:cs="Arial"/>
          <w:color w:val="000000" w:themeColor="text1"/>
          <w:sz w:val="22"/>
        </w:rPr>
        <w:t>The increased understanding of depressions, anx</w:t>
      </w:r>
      <w:r w:rsidR="00CD1260" w:rsidRPr="00B10FD1">
        <w:rPr>
          <w:rFonts w:ascii="Arial" w:hAnsi="Arial" w:cs="Arial"/>
          <w:color w:val="000000" w:themeColor="text1"/>
          <w:sz w:val="22"/>
        </w:rPr>
        <w:t xml:space="preserve">iousness, and cognitive decline, </w:t>
      </w:r>
      <w:r w:rsidR="00AC2E92" w:rsidRPr="00B10FD1">
        <w:rPr>
          <w:rFonts w:ascii="Arial" w:hAnsi="Arial" w:cs="Arial"/>
          <w:color w:val="000000" w:themeColor="text1"/>
          <w:sz w:val="22"/>
        </w:rPr>
        <w:t>alon</w:t>
      </w:r>
      <w:r w:rsidR="00CD1260" w:rsidRPr="00B10FD1">
        <w:rPr>
          <w:rFonts w:ascii="Arial" w:hAnsi="Arial" w:cs="Arial"/>
          <w:color w:val="000000" w:themeColor="text1"/>
          <w:sz w:val="22"/>
        </w:rPr>
        <w:t xml:space="preserve">g with the subsequent isolation, </w:t>
      </w:r>
      <w:r w:rsidR="00AC2E92" w:rsidRPr="00B10FD1">
        <w:rPr>
          <w:rFonts w:ascii="Arial" w:hAnsi="Arial" w:cs="Arial"/>
          <w:color w:val="000000" w:themeColor="text1"/>
          <w:sz w:val="22"/>
        </w:rPr>
        <w:t xml:space="preserve">in the elderly population has triggered an immediate need for developing public-health initiatives. These initiatives </w:t>
      </w:r>
      <w:r w:rsidR="00E33EA9" w:rsidRPr="00B10FD1">
        <w:rPr>
          <w:rFonts w:ascii="Arial" w:hAnsi="Arial" w:cs="Arial"/>
          <w:color w:val="000000" w:themeColor="text1"/>
          <w:sz w:val="22"/>
        </w:rPr>
        <w:t>can</w:t>
      </w:r>
      <w:r w:rsidR="00AC2E92" w:rsidRPr="00B10FD1">
        <w:rPr>
          <w:rFonts w:ascii="Arial" w:hAnsi="Arial" w:cs="Arial"/>
          <w:color w:val="000000" w:themeColor="text1"/>
          <w:sz w:val="22"/>
        </w:rPr>
        <w:t xml:space="preserve"> target the social inclusion and e</w:t>
      </w:r>
      <w:r w:rsidR="00CD1260" w:rsidRPr="00B10FD1">
        <w:rPr>
          <w:rFonts w:ascii="Arial" w:hAnsi="Arial" w:cs="Arial"/>
          <w:color w:val="000000" w:themeColor="text1"/>
          <w:sz w:val="22"/>
        </w:rPr>
        <w:t>motional support of the elderly</w:t>
      </w:r>
      <w:r w:rsidR="007A2AD8" w:rsidRPr="00B10FD1">
        <w:rPr>
          <w:rFonts w:ascii="Arial" w:hAnsi="Arial" w:cs="Arial"/>
          <w:color w:val="000000" w:themeColor="text1"/>
          <w:sz w:val="22"/>
        </w:rPr>
        <w:t xml:space="preserve">. </w:t>
      </w:r>
      <w:r w:rsidR="00E33EA9" w:rsidRPr="00B10FD1">
        <w:rPr>
          <w:rFonts w:ascii="Arial" w:hAnsi="Arial" w:cs="Arial"/>
          <w:color w:val="000000" w:themeColor="text1"/>
          <w:sz w:val="22"/>
        </w:rPr>
        <w:t xml:space="preserve">National Academies Press (US) (2020) </w:t>
      </w:r>
      <w:r w:rsidR="007A2AD8" w:rsidRPr="00B10FD1">
        <w:rPr>
          <w:rFonts w:ascii="Arial" w:hAnsi="Arial" w:cs="Arial"/>
          <w:color w:val="000000" w:themeColor="text1"/>
          <w:sz w:val="22"/>
        </w:rPr>
        <w:t xml:space="preserve">further demonstrated that this concern is particularly applicable in the contemporary society, where the use of digital technologies is important in </w:t>
      </w:r>
      <w:r w:rsidR="00E33EA9" w:rsidRPr="00B10FD1">
        <w:rPr>
          <w:rFonts w:ascii="Arial" w:hAnsi="Arial" w:cs="Arial"/>
          <w:color w:val="000000" w:themeColor="text1"/>
          <w:sz w:val="22"/>
        </w:rPr>
        <w:t>health and social care services.</w:t>
      </w:r>
    </w:p>
    <w:p w14:paraId="6B7899FA" w14:textId="77777777" w:rsidR="003738F3" w:rsidRPr="00B10FD1" w:rsidRDefault="007A2AD8"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In the recent years, the movement towards variations of digital service delivery, including online appointments, e-consultations, and digital records, has taken place (Rosenlund et al., 2023). These tools are effective to most individuals, but they seem problematic to older adults who lack the expertise, availability, and confidence to utilize the tools (</w:t>
      </w:r>
      <w:proofErr w:type="spellStart"/>
      <w:r w:rsidRPr="00B10FD1">
        <w:rPr>
          <w:rFonts w:ascii="Arial" w:hAnsi="Arial" w:cs="Arial"/>
          <w:color w:val="000000" w:themeColor="text1"/>
          <w:sz w:val="22"/>
        </w:rPr>
        <w:t>Kunonga</w:t>
      </w:r>
      <w:proofErr w:type="spellEnd"/>
      <w:r w:rsidRPr="00B10FD1">
        <w:rPr>
          <w:rFonts w:ascii="Arial" w:hAnsi="Arial" w:cs="Arial"/>
          <w:color w:val="000000" w:themeColor="text1"/>
          <w:sz w:val="22"/>
        </w:rPr>
        <w:t xml:space="preserve"> et al., 2021). They can be even more separated by this digital exclusion along with important services and support systems. The COVID-19 pandemic enforced an increased object in the use of digital platforms, which, despite being beneficial to many, raised the gap on people who are digitally-excluded</w:t>
      </w:r>
      <w:r w:rsidR="00E5199B" w:rsidRPr="00B10FD1">
        <w:rPr>
          <w:rFonts w:ascii="Arial" w:hAnsi="Arial" w:cs="Arial"/>
          <w:color w:val="000000" w:themeColor="text1"/>
          <w:sz w:val="22"/>
        </w:rPr>
        <w:t xml:space="preserve"> (</w:t>
      </w:r>
      <w:proofErr w:type="spellStart"/>
      <w:r w:rsidR="00E5199B" w:rsidRPr="00B10FD1">
        <w:rPr>
          <w:rFonts w:ascii="Arial" w:hAnsi="Arial" w:cs="Arial"/>
          <w:color w:val="000000" w:themeColor="text1"/>
          <w:sz w:val="22"/>
        </w:rPr>
        <w:t>Garlatti</w:t>
      </w:r>
      <w:proofErr w:type="spellEnd"/>
      <w:r w:rsidR="00E5199B" w:rsidRPr="00B10FD1">
        <w:rPr>
          <w:rFonts w:ascii="Arial" w:hAnsi="Arial" w:cs="Arial"/>
          <w:color w:val="000000" w:themeColor="text1"/>
          <w:sz w:val="22"/>
        </w:rPr>
        <w:t xml:space="preserve"> et al., 2025)</w:t>
      </w:r>
      <w:r w:rsidR="00235714" w:rsidRPr="00B10FD1">
        <w:rPr>
          <w:rFonts w:ascii="Arial" w:hAnsi="Arial" w:cs="Arial"/>
          <w:color w:val="000000" w:themeColor="text1"/>
          <w:sz w:val="22"/>
        </w:rPr>
        <w:t>.</w:t>
      </w:r>
      <w:r w:rsidR="000C3DE6" w:rsidRPr="00B10FD1">
        <w:rPr>
          <w:rFonts w:ascii="Arial" w:hAnsi="Arial" w:cs="Arial"/>
          <w:color w:val="000000" w:themeColor="text1"/>
          <w:sz w:val="22"/>
        </w:rPr>
        <w:t xml:space="preserve"> </w:t>
      </w:r>
    </w:p>
    <w:p w14:paraId="0CB7F938" w14:textId="77777777" w:rsidR="0013132A" w:rsidRPr="00B10FD1" w:rsidRDefault="002924E1" w:rsidP="0013132A">
      <w:pPr>
        <w:spacing w:before="120" w:after="120" w:line="360" w:lineRule="auto"/>
        <w:jc w:val="both"/>
        <w:rPr>
          <w:rFonts w:cs="Arial"/>
          <w:color w:val="000000" w:themeColor="text1"/>
          <w:szCs w:val="24"/>
        </w:rPr>
      </w:pPr>
      <w:r w:rsidRPr="00B10FD1">
        <w:rPr>
          <w:rFonts w:cs="Arial"/>
          <w:color w:val="000000" w:themeColor="text1"/>
          <w:szCs w:val="24"/>
        </w:rPr>
        <w:t xml:space="preserve">This dissertation aims to explore the impact of social isolation on the mental health of older adults in the UK, with a focus on how digital exclusion contributes to this issue. By conducting a </w:t>
      </w:r>
      <w:r w:rsidR="003D0FA9" w:rsidRPr="00B10FD1">
        <w:rPr>
          <w:rFonts w:cs="Arial"/>
          <w:color w:val="000000" w:themeColor="text1"/>
          <w:szCs w:val="24"/>
        </w:rPr>
        <w:t>literature</w:t>
      </w:r>
      <w:r w:rsidRPr="00B10FD1">
        <w:rPr>
          <w:rFonts w:cs="Arial"/>
          <w:color w:val="000000" w:themeColor="text1"/>
          <w:szCs w:val="24"/>
        </w:rPr>
        <w:t xml:space="preserve"> review of qualitative evidence, the study will examine how older adults experience social isolation in a digital world. The goal is to provide practical recommendations to help health and social care providers reduce digital barriers. The research aims to support more inclusive service delivery and contribute to ongoing efforts to improve mental wellbeing and quality of life for older adults.</w:t>
      </w:r>
    </w:p>
    <w:p w14:paraId="08E09451" w14:textId="77777777" w:rsidR="0013132A" w:rsidRPr="00B10FD1" w:rsidRDefault="0013132A" w:rsidP="0013132A">
      <w:pPr>
        <w:spacing w:before="120" w:after="120" w:line="360" w:lineRule="auto"/>
        <w:jc w:val="both"/>
        <w:rPr>
          <w:rFonts w:cs="Arial"/>
          <w:color w:val="000000" w:themeColor="text1"/>
          <w:szCs w:val="24"/>
        </w:rPr>
      </w:pPr>
      <w:r w:rsidRPr="00B10FD1">
        <w:rPr>
          <w:rFonts w:cs="Arial"/>
        </w:rPr>
        <w:t>To ground the discussion, section</w:t>
      </w:r>
      <w:r w:rsidR="005F3A46" w:rsidRPr="00B10FD1">
        <w:rPr>
          <w:rFonts w:cs="Arial"/>
        </w:rPr>
        <w:t xml:space="preserve"> 1.2</w:t>
      </w:r>
      <w:r w:rsidRPr="00B10FD1">
        <w:rPr>
          <w:rFonts w:cs="Arial"/>
        </w:rPr>
        <w:t xml:space="preserve"> clarifies key terms and abbreviations used throughout this dissertation.</w:t>
      </w:r>
    </w:p>
    <w:p w14:paraId="2AA69908" w14:textId="77777777" w:rsidR="004A620A" w:rsidRPr="00B10FD1" w:rsidRDefault="004A620A" w:rsidP="006240B2">
      <w:pPr>
        <w:pStyle w:val="Heading2"/>
        <w:spacing w:before="120" w:beforeAutospacing="0" w:after="120" w:afterAutospacing="0" w:line="360" w:lineRule="auto"/>
        <w:jc w:val="both"/>
        <w:rPr>
          <w:rFonts w:ascii="Arial" w:hAnsi="Arial" w:cs="Arial"/>
          <w:color w:val="000000" w:themeColor="text1"/>
        </w:rPr>
      </w:pPr>
      <w:bookmarkStart w:id="2" w:name="_Toc209284738"/>
      <w:r w:rsidRPr="00B10FD1">
        <w:rPr>
          <w:rFonts w:ascii="Arial" w:hAnsi="Arial" w:cs="Arial"/>
          <w:color w:val="000000" w:themeColor="text1"/>
        </w:rPr>
        <w:t>1.2 Definitions and Terminology</w:t>
      </w:r>
      <w:bookmarkEnd w:id="2"/>
    </w:p>
    <w:p w14:paraId="544984D2" w14:textId="77777777" w:rsidR="004A620A" w:rsidRPr="00B10FD1" w:rsidRDefault="004A620A" w:rsidP="006240B2">
      <w:pPr>
        <w:spacing w:before="120" w:after="120" w:line="360" w:lineRule="auto"/>
        <w:jc w:val="both"/>
        <w:rPr>
          <w:rFonts w:eastAsia="Times New Roman" w:cs="Arial"/>
          <w:color w:val="000000" w:themeColor="text1"/>
          <w:szCs w:val="24"/>
        </w:rPr>
      </w:pPr>
      <w:r w:rsidRPr="00B10FD1">
        <w:rPr>
          <w:rFonts w:eastAsia="Times New Roman" w:cs="Arial"/>
          <w:color w:val="000000" w:themeColor="text1"/>
          <w:szCs w:val="24"/>
        </w:rPr>
        <w:lastRenderedPageBreak/>
        <w:t>To ensure clarity and understanding throughout this dissertation, key terms and abbreviations are defined below. These terms are central to the study and help establish the context for exploring the impact of social isolation and digital exclusion on the mental health of older adults in the UK.</w:t>
      </w:r>
    </w:p>
    <w:p w14:paraId="23795FFB" w14:textId="77777777" w:rsidR="004A620A" w:rsidRPr="00B10FD1" w:rsidRDefault="00701C79" w:rsidP="006240B2">
      <w:pPr>
        <w:pStyle w:val="Heading3"/>
        <w:spacing w:before="120" w:beforeAutospacing="0" w:after="120" w:afterAutospacing="0" w:line="360" w:lineRule="auto"/>
        <w:jc w:val="both"/>
        <w:rPr>
          <w:rFonts w:ascii="Arial" w:hAnsi="Arial" w:cs="Arial"/>
          <w:color w:val="000000" w:themeColor="text1"/>
        </w:rPr>
      </w:pPr>
      <w:bookmarkStart w:id="3" w:name="_Toc209284739"/>
      <w:r w:rsidRPr="00B10FD1">
        <w:rPr>
          <w:rFonts w:ascii="Arial" w:hAnsi="Arial" w:cs="Arial"/>
          <w:color w:val="000000" w:themeColor="text1"/>
        </w:rPr>
        <w:t xml:space="preserve">1.2.1 </w:t>
      </w:r>
      <w:r w:rsidR="004A620A" w:rsidRPr="00B10FD1">
        <w:rPr>
          <w:rFonts w:ascii="Arial" w:hAnsi="Arial" w:cs="Arial"/>
          <w:color w:val="000000" w:themeColor="text1"/>
        </w:rPr>
        <w:t>Key Definitions</w:t>
      </w:r>
      <w:bookmarkEnd w:id="3"/>
    </w:p>
    <w:p w14:paraId="0263E50C" w14:textId="77777777" w:rsidR="00AB41E6" w:rsidRPr="00B10FD1" w:rsidRDefault="00AB41E6" w:rsidP="006240B2">
      <w:pPr>
        <w:spacing w:before="120" w:after="120" w:line="360" w:lineRule="auto"/>
        <w:jc w:val="both"/>
        <w:rPr>
          <w:rFonts w:eastAsia="Times New Roman" w:cs="Arial"/>
          <w:bCs/>
          <w:color w:val="000000" w:themeColor="text1"/>
          <w:sz w:val="24"/>
          <w:szCs w:val="24"/>
        </w:rPr>
      </w:pPr>
      <w:r w:rsidRPr="00B10FD1">
        <w:rPr>
          <w:rFonts w:eastAsia="Times New Roman" w:cs="Arial"/>
          <w:b/>
          <w:bCs/>
          <w:color w:val="000000" w:themeColor="text1"/>
          <w:sz w:val="24"/>
          <w:szCs w:val="24"/>
        </w:rPr>
        <w:t xml:space="preserve">Older Adults: </w:t>
      </w:r>
      <w:r w:rsidRPr="00B10FD1">
        <w:rPr>
          <w:rFonts w:eastAsia="Times New Roman" w:cs="Arial"/>
          <w:bCs/>
          <w:color w:val="000000" w:themeColor="text1"/>
          <w:sz w:val="24"/>
          <w:szCs w:val="24"/>
        </w:rPr>
        <w:t xml:space="preserve">Older adults are those individuals who are above </w:t>
      </w:r>
      <w:r w:rsidR="00115B15" w:rsidRPr="00B10FD1">
        <w:rPr>
          <w:rFonts w:eastAsia="Times New Roman" w:cs="Arial"/>
          <w:bCs/>
          <w:color w:val="000000" w:themeColor="text1"/>
          <w:sz w:val="24"/>
          <w:szCs w:val="24"/>
        </w:rPr>
        <w:t>60</w:t>
      </w:r>
      <w:r w:rsidRPr="00B10FD1">
        <w:rPr>
          <w:rFonts w:eastAsia="Times New Roman" w:cs="Arial"/>
          <w:bCs/>
          <w:color w:val="000000" w:themeColor="text1"/>
          <w:sz w:val="24"/>
          <w:szCs w:val="24"/>
        </w:rPr>
        <w:t xml:space="preserve"> years. It is UNHCR (2025) definition and it constitutes the major population considered in this study.</w:t>
      </w:r>
    </w:p>
    <w:p w14:paraId="4D56AE10" w14:textId="77777777" w:rsidR="00AB41E6" w:rsidRPr="00B10FD1" w:rsidRDefault="00AB41E6" w:rsidP="006240B2">
      <w:pPr>
        <w:spacing w:before="120" w:after="120" w:line="360" w:lineRule="auto"/>
        <w:jc w:val="both"/>
        <w:rPr>
          <w:rFonts w:eastAsia="Times New Roman" w:cs="Arial"/>
          <w:b/>
          <w:bCs/>
          <w:color w:val="000000" w:themeColor="text1"/>
          <w:sz w:val="24"/>
          <w:szCs w:val="24"/>
        </w:rPr>
      </w:pPr>
      <w:r w:rsidRPr="00B10FD1">
        <w:rPr>
          <w:rFonts w:eastAsia="Times New Roman" w:cs="Arial"/>
          <w:b/>
          <w:bCs/>
          <w:color w:val="000000" w:themeColor="text1"/>
          <w:sz w:val="24"/>
          <w:szCs w:val="24"/>
        </w:rPr>
        <w:t xml:space="preserve">Social Isolation: </w:t>
      </w:r>
      <w:r w:rsidRPr="00B10FD1">
        <w:rPr>
          <w:rFonts w:eastAsia="Times New Roman" w:cs="Arial"/>
          <w:bCs/>
          <w:color w:val="000000" w:themeColor="text1"/>
          <w:sz w:val="24"/>
          <w:szCs w:val="24"/>
        </w:rPr>
        <w:t>Social isolation refers to absence of frequent contact or any meaningful communication with others. It is an objective form, contrary to loneliness, and it may cause severe effects on physical and mental well-being, particularly in the elderly population (Veazie et al., 2019).</w:t>
      </w:r>
    </w:p>
    <w:p w14:paraId="11607834" w14:textId="77777777" w:rsidR="00AB41E6" w:rsidRPr="00B10FD1" w:rsidRDefault="00AB41E6" w:rsidP="006240B2">
      <w:pPr>
        <w:spacing w:before="120" w:after="120" w:line="360" w:lineRule="auto"/>
        <w:jc w:val="both"/>
        <w:rPr>
          <w:rFonts w:eastAsia="Times New Roman" w:cs="Arial"/>
          <w:bCs/>
          <w:color w:val="000000" w:themeColor="text1"/>
          <w:sz w:val="24"/>
          <w:szCs w:val="24"/>
        </w:rPr>
      </w:pPr>
      <w:r w:rsidRPr="00B10FD1">
        <w:rPr>
          <w:rFonts w:eastAsia="Times New Roman" w:cs="Arial"/>
          <w:b/>
          <w:bCs/>
          <w:color w:val="000000" w:themeColor="text1"/>
          <w:sz w:val="24"/>
          <w:szCs w:val="24"/>
        </w:rPr>
        <w:t xml:space="preserve">Digital Exclusion: </w:t>
      </w:r>
      <w:r w:rsidR="00115B15" w:rsidRPr="00B10FD1">
        <w:rPr>
          <w:rFonts w:eastAsia="Times New Roman" w:cs="Arial"/>
          <w:bCs/>
          <w:color w:val="000000" w:themeColor="text1"/>
          <w:sz w:val="24"/>
          <w:szCs w:val="24"/>
        </w:rPr>
        <w:t xml:space="preserve">Digital exclusion refers to barriers that prevent people from accessing or effectively using digital devices and the internet </w:t>
      </w:r>
      <w:r w:rsidRPr="00B10FD1">
        <w:rPr>
          <w:rFonts w:eastAsia="Times New Roman" w:cs="Arial"/>
          <w:bCs/>
          <w:color w:val="000000" w:themeColor="text1"/>
          <w:sz w:val="24"/>
          <w:szCs w:val="24"/>
        </w:rPr>
        <w:t>(Tomczyk et al., 2023). Such barriers can be related to the absence of skills, affordability, poor access, physical, or cognitive disability. It is one of the major contributors to social isolation of the aged.</w:t>
      </w:r>
    </w:p>
    <w:p w14:paraId="3CF02BF2" w14:textId="77777777" w:rsidR="004A620A" w:rsidRPr="00B10FD1" w:rsidRDefault="00AB41E6" w:rsidP="006240B2">
      <w:pPr>
        <w:spacing w:before="120" w:after="120" w:line="360" w:lineRule="auto"/>
        <w:jc w:val="both"/>
        <w:rPr>
          <w:rFonts w:eastAsia="Times New Roman" w:cs="Arial"/>
          <w:color w:val="000000" w:themeColor="text1"/>
          <w:sz w:val="24"/>
          <w:szCs w:val="24"/>
        </w:rPr>
      </w:pPr>
      <w:r w:rsidRPr="00B10FD1">
        <w:rPr>
          <w:rFonts w:eastAsia="Times New Roman" w:cs="Arial"/>
          <w:b/>
          <w:bCs/>
          <w:color w:val="000000" w:themeColor="text1"/>
          <w:sz w:val="24"/>
          <w:szCs w:val="24"/>
        </w:rPr>
        <w:t xml:space="preserve">Mental Health: </w:t>
      </w:r>
      <w:r w:rsidR="00484BE6" w:rsidRPr="00B10FD1">
        <w:rPr>
          <w:rFonts w:eastAsia="Times New Roman" w:cs="Arial"/>
          <w:bCs/>
          <w:color w:val="000000" w:themeColor="text1"/>
          <w:sz w:val="24"/>
          <w:szCs w:val="24"/>
        </w:rPr>
        <w:t>Mental</w:t>
      </w:r>
      <w:r w:rsidRPr="00B10FD1">
        <w:rPr>
          <w:rFonts w:eastAsia="Times New Roman" w:cs="Arial"/>
          <w:bCs/>
          <w:color w:val="000000" w:themeColor="text1"/>
          <w:sz w:val="24"/>
          <w:szCs w:val="24"/>
        </w:rPr>
        <w:t xml:space="preserve"> health is all about the emotional, psychological as well as the social wellbeing of a person. In case of older people, it encompasses resilience to stress, sustaining relationships, and available support (WHO, 2022)</w:t>
      </w:r>
      <w:r w:rsidR="00B66A25" w:rsidRPr="00B10FD1">
        <w:rPr>
          <w:rFonts w:eastAsia="Times New Roman" w:cs="Arial"/>
          <w:color w:val="000000" w:themeColor="text1"/>
          <w:sz w:val="24"/>
          <w:szCs w:val="24"/>
        </w:rPr>
        <w:t>.</w:t>
      </w:r>
    </w:p>
    <w:p w14:paraId="64D2C093" w14:textId="77777777" w:rsidR="004A620A" w:rsidRPr="00B10FD1" w:rsidRDefault="00701C79" w:rsidP="006240B2">
      <w:pPr>
        <w:pStyle w:val="Heading3"/>
        <w:spacing w:before="120" w:beforeAutospacing="0" w:after="120" w:afterAutospacing="0" w:line="360" w:lineRule="auto"/>
        <w:jc w:val="both"/>
        <w:rPr>
          <w:rFonts w:ascii="Arial" w:hAnsi="Arial" w:cs="Arial"/>
          <w:color w:val="000000" w:themeColor="text1"/>
        </w:rPr>
      </w:pPr>
      <w:bookmarkStart w:id="4" w:name="_Toc209284740"/>
      <w:r w:rsidRPr="00B10FD1">
        <w:rPr>
          <w:rFonts w:ascii="Arial" w:hAnsi="Arial" w:cs="Arial"/>
          <w:color w:val="000000" w:themeColor="text1"/>
        </w:rPr>
        <w:t xml:space="preserve">1.2.2 </w:t>
      </w:r>
      <w:r w:rsidR="004A620A" w:rsidRPr="00B10FD1">
        <w:rPr>
          <w:rFonts w:ascii="Arial" w:hAnsi="Arial" w:cs="Arial"/>
          <w:color w:val="000000" w:themeColor="text1"/>
        </w:rPr>
        <w:t>Acronyms and Abbreviations</w:t>
      </w:r>
      <w:bookmarkEnd w:id="4"/>
    </w:p>
    <w:p w14:paraId="0432A332" w14:textId="77777777" w:rsidR="009B569B" w:rsidRPr="00B10FD1" w:rsidRDefault="009B569B" w:rsidP="006240B2">
      <w:pPr>
        <w:pStyle w:val="NormalWeb"/>
        <w:spacing w:before="120" w:beforeAutospacing="0" w:after="120" w:afterAutospacing="0" w:line="360" w:lineRule="auto"/>
        <w:jc w:val="both"/>
        <w:rPr>
          <w:rFonts w:ascii="Arial" w:hAnsi="Arial" w:cs="Arial"/>
          <w:color w:val="000000" w:themeColor="text1"/>
          <w:sz w:val="22"/>
          <w:szCs w:val="22"/>
        </w:rPr>
      </w:pPr>
      <w:r w:rsidRPr="00B10FD1">
        <w:rPr>
          <w:rFonts w:ascii="Arial" w:hAnsi="Arial" w:cs="Arial"/>
          <w:color w:val="000000" w:themeColor="text1"/>
          <w:sz w:val="22"/>
          <w:szCs w:val="22"/>
        </w:rPr>
        <w:t xml:space="preserve">These terms </w:t>
      </w:r>
      <w:r w:rsidR="00BC46FC" w:rsidRPr="00B10FD1">
        <w:rPr>
          <w:rFonts w:ascii="Arial" w:hAnsi="Arial" w:cs="Arial"/>
          <w:color w:val="000000" w:themeColor="text1"/>
          <w:sz w:val="22"/>
          <w:szCs w:val="22"/>
        </w:rPr>
        <w:t>are</w:t>
      </w:r>
      <w:r w:rsidRPr="00B10FD1">
        <w:rPr>
          <w:rFonts w:ascii="Arial" w:hAnsi="Arial" w:cs="Arial"/>
          <w:color w:val="000000" w:themeColor="text1"/>
          <w:sz w:val="22"/>
          <w:szCs w:val="22"/>
        </w:rPr>
        <w:t xml:space="preserve"> used consistently throughout the dissertation to maintain clarity and accuracy.</w:t>
      </w:r>
    </w:p>
    <w:p w14:paraId="25AB55D6" w14:textId="465C7A21" w:rsidR="00701C79" w:rsidRPr="00B10FD1" w:rsidRDefault="00701C79" w:rsidP="001725E3">
      <w:pPr>
        <w:pStyle w:val="Caption"/>
        <w:keepNext/>
        <w:spacing w:before="120" w:after="120" w:line="360" w:lineRule="auto"/>
        <w:jc w:val="center"/>
        <w:rPr>
          <w:rFonts w:cs="Arial"/>
          <w:szCs w:val="22"/>
        </w:rPr>
      </w:pPr>
      <w:bookmarkStart w:id="5" w:name="_Toc209282430"/>
      <w:r w:rsidRPr="00B10FD1">
        <w:rPr>
          <w:rFonts w:cs="Arial"/>
          <w:szCs w:val="22"/>
        </w:rPr>
        <w:t xml:space="preserve">Table </w:t>
      </w:r>
      <w:r w:rsidRPr="00B10FD1">
        <w:rPr>
          <w:rFonts w:cs="Arial"/>
          <w:szCs w:val="22"/>
        </w:rPr>
        <w:fldChar w:fldCharType="begin"/>
      </w:r>
      <w:r w:rsidRPr="00B10FD1">
        <w:rPr>
          <w:rFonts w:cs="Arial"/>
          <w:szCs w:val="22"/>
        </w:rPr>
        <w:instrText xml:space="preserve"> SEQ Table \* ARABIC </w:instrText>
      </w:r>
      <w:r w:rsidRPr="00B10FD1">
        <w:rPr>
          <w:rFonts w:cs="Arial"/>
          <w:szCs w:val="22"/>
        </w:rPr>
        <w:fldChar w:fldCharType="separate"/>
      </w:r>
      <w:r w:rsidR="00204CA5">
        <w:rPr>
          <w:rFonts w:cs="Arial"/>
          <w:noProof/>
          <w:szCs w:val="22"/>
        </w:rPr>
        <w:t>1</w:t>
      </w:r>
      <w:r w:rsidRPr="00B10FD1">
        <w:rPr>
          <w:rFonts w:cs="Arial"/>
          <w:szCs w:val="22"/>
        </w:rPr>
        <w:fldChar w:fldCharType="end"/>
      </w:r>
      <w:r w:rsidRPr="00B10FD1">
        <w:rPr>
          <w:rFonts w:cs="Arial"/>
          <w:szCs w:val="22"/>
        </w:rPr>
        <w:t>: Acronyms and Abbreviations</w:t>
      </w:r>
      <w:bookmarkEnd w:id="5"/>
    </w:p>
    <w:tbl>
      <w:tblPr>
        <w:tblStyle w:val="TableGrid"/>
        <w:tblW w:w="0" w:type="auto"/>
        <w:jc w:val="center"/>
        <w:tblLook w:val="04A0" w:firstRow="1" w:lastRow="0" w:firstColumn="1" w:lastColumn="0" w:noHBand="0" w:noVBand="1"/>
      </w:tblPr>
      <w:tblGrid>
        <w:gridCol w:w="1170"/>
        <w:gridCol w:w="4961"/>
      </w:tblGrid>
      <w:tr w:rsidR="00701C79" w:rsidRPr="00B10FD1" w14:paraId="2F9FC3E9" w14:textId="77777777" w:rsidTr="00701C79">
        <w:trPr>
          <w:jc w:val="center"/>
        </w:trPr>
        <w:tc>
          <w:tcPr>
            <w:tcW w:w="0" w:type="auto"/>
            <w:hideMark/>
          </w:tcPr>
          <w:p w14:paraId="3908ADB6" w14:textId="77777777" w:rsidR="004A620A" w:rsidRPr="00B10FD1" w:rsidRDefault="004A620A" w:rsidP="001725E3">
            <w:pPr>
              <w:spacing w:line="360" w:lineRule="auto"/>
              <w:jc w:val="both"/>
              <w:rPr>
                <w:rFonts w:eastAsia="Times New Roman" w:cs="Arial"/>
                <w:b/>
                <w:bCs/>
                <w:color w:val="000000" w:themeColor="text1"/>
              </w:rPr>
            </w:pPr>
            <w:r w:rsidRPr="00B10FD1">
              <w:rPr>
                <w:rFonts w:eastAsia="Times New Roman" w:cs="Arial"/>
                <w:b/>
                <w:bCs/>
                <w:color w:val="000000" w:themeColor="text1"/>
              </w:rPr>
              <w:t>Acronym</w:t>
            </w:r>
          </w:p>
        </w:tc>
        <w:tc>
          <w:tcPr>
            <w:tcW w:w="0" w:type="auto"/>
            <w:hideMark/>
          </w:tcPr>
          <w:p w14:paraId="1CFCF716" w14:textId="77777777" w:rsidR="004A620A" w:rsidRPr="00B10FD1" w:rsidRDefault="004A620A" w:rsidP="001725E3">
            <w:pPr>
              <w:spacing w:line="360" w:lineRule="auto"/>
              <w:jc w:val="both"/>
              <w:rPr>
                <w:rFonts w:eastAsia="Times New Roman" w:cs="Arial"/>
                <w:b/>
                <w:bCs/>
                <w:color w:val="000000" w:themeColor="text1"/>
              </w:rPr>
            </w:pPr>
            <w:r w:rsidRPr="00B10FD1">
              <w:rPr>
                <w:rFonts w:eastAsia="Times New Roman" w:cs="Arial"/>
                <w:b/>
                <w:bCs/>
                <w:color w:val="000000" w:themeColor="text1"/>
              </w:rPr>
              <w:t>Meaning</w:t>
            </w:r>
          </w:p>
        </w:tc>
      </w:tr>
      <w:tr w:rsidR="00701C79" w:rsidRPr="00B10FD1" w14:paraId="7E71197D" w14:textId="77777777" w:rsidTr="00701C79">
        <w:trPr>
          <w:jc w:val="center"/>
        </w:trPr>
        <w:tc>
          <w:tcPr>
            <w:tcW w:w="0" w:type="auto"/>
            <w:hideMark/>
          </w:tcPr>
          <w:p w14:paraId="1F2B8EF9" w14:textId="77777777" w:rsidR="004A620A" w:rsidRPr="00B10FD1" w:rsidRDefault="004A620A" w:rsidP="001725E3">
            <w:pPr>
              <w:spacing w:line="360" w:lineRule="auto"/>
              <w:jc w:val="both"/>
              <w:rPr>
                <w:rFonts w:eastAsia="Times New Roman" w:cs="Arial"/>
                <w:color w:val="000000" w:themeColor="text1"/>
              </w:rPr>
            </w:pPr>
            <w:r w:rsidRPr="00B10FD1">
              <w:rPr>
                <w:rFonts w:eastAsia="Times New Roman" w:cs="Arial"/>
                <w:color w:val="000000" w:themeColor="text1"/>
              </w:rPr>
              <w:t>NHS</w:t>
            </w:r>
          </w:p>
        </w:tc>
        <w:tc>
          <w:tcPr>
            <w:tcW w:w="0" w:type="auto"/>
            <w:hideMark/>
          </w:tcPr>
          <w:p w14:paraId="6518AB50" w14:textId="77777777" w:rsidR="004A620A" w:rsidRPr="00B10FD1" w:rsidRDefault="004A620A" w:rsidP="001725E3">
            <w:pPr>
              <w:spacing w:line="360" w:lineRule="auto"/>
              <w:jc w:val="both"/>
              <w:rPr>
                <w:rFonts w:eastAsia="Times New Roman" w:cs="Arial"/>
                <w:color w:val="000000" w:themeColor="text1"/>
              </w:rPr>
            </w:pPr>
            <w:r w:rsidRPr="00B10FD1">
              <w:rPr>
                <w:rFonts w:eastAsia="Times New Roman" w:cs="Arial"/>
                <w:color w:val="000000" w:themeColor="text1"/>
              </w:rPr>
              <w:t>National Health Service</w:t>
            </w:r>
          </w:p>
        </w:tc>
      </w:tr>
      <w:tr w:rsidR="00701C79" w:rsidRPr="00B10FD1" w14:paraId="2E7F314C" w14:textId="77777777" w:rsidTr="00701C79">
        <w:trPr>
          <w:jc w:val="center"/>
        </w:trPr>
        <w:tc>
          <w:tcPr>
            <w:tcW w:w="0" w:type="auto"/>
            <w:hideMark/>
          </w:tcPr>
          <w:p w14:paraId="53EBD329" w14:textId="77777777" w:rsidR="004A620A" w:rsidRPr="00B10FD1" w:rsidRDefault="004A620A" w:rsidP="001725E3">
            <w:pPr>
              <w:spacing w:line="360" w:lineRule="auto"/>
              <w:jc w:val="both"/>
              <w:rPr>
                <w:rFonts w:eastAsia="Times New Roman" w:cs="Arial"/>
                <w:color w:val="000000" w:themeColor="text1"/>
              </w:rPr>
            </w:pPr>
            <w:r w:rsidRPr="00B10FD1">
              <w:rPr>
                <w:rFonts w:eastAsia="Times New Roman" w:cs="Arial"/>
                <w:color w:val="000000" w:themeColor="text1"/>
              </w:rPr>
              <w:t>UK</w:t>
            </w:r>
          </w:p>
        </w:tc>
        <w:tc>
          <w:tcPr>
            <w:tcW w:w="0" w:type="auto"/>
            <w:hideMark/>
          </w:tcPr>
          <w:p w14:paraId="1910A463" w14:textId="77777777" w:rsidR="004A620A" w:rsidRPr="00B10FD1" w:rsidRDefault="004A620A" w:rsidP="001725E3">
            <w:pPr>
              <w:spacing w:line="360" w:lineRule="auto"/>
              <w:jc w:val="both"/>
              <w:rPr>
                <w:rFonts w:eastAsia="Times New Roman" w:cs="Arial"/>
                <w:color w:val="000000" w:themeColor="text1"/>
              </w:rPr>
            </w:pPr>
            <w:r w:rsidRPr="00B10FD1">
              <w:rPr>
                <w:rFonts w:eastAsia="Times New Roman" w:cs="Arial"/>
                <w:color w:val="000000" w:themeColor="text1"/>
              </w:rPr>
              <w:t>United Kingdom</w:t>
            </w:r>
          </w:p>
        </w:tc>
      </w:tr>
      <w:tr w:rsidR="00701C79" w:rsidRPr="00B10FD1" w14:paraId="07CB1C8B" w14:textId="77777777" w:rsidTr="00701C79">
        <w:trPr>
          <w:jc w:val="center"/>
        </w:trPr>
        <w:tc>
          <w:tcPr>
            <w:tcW w:w="0" w:type="auto"/>
            <w:hideMark/>
          </w:tcPr>
          <w:p w14:paraId="60930773" w14:textId="77777777" w:rsidR="004A620A" w:rsidRPr="00B10FD1" w:rsidRDefault="004A620A" w:rsidP="001725E3">
            <w:pPr>
              <w:spacing w:line="360" w:lineRule="auto"/>
              <w:jc w:val="both"/>
              <w:rPr>
                <w:rFonts w:eastAsia="Times New Roman" w:cs="Arial"/>
                <w:color w:val="000000" w:themeColor="text1"/>
              </w:rPr>
            </w:pPr>
            <w:r w:rsidRPr="00B10FD1">
              <w:rPr>
                <w:rFonts w:eastAsia="Times New Roman" w:cs="Arial"/>
                <w:color w:val="000000" w:themeColor="text1"/>
              </w:rPr>
              <w:t>ONS</w:t>
            </w:r>
          </w:p>
        </w:tc>
        <w:tc>
          <w:tcPr>
            <w:tcW w:w="0" w:type="auto"/>
            <w:hideMark/>
          </w:tcPr>
          <w:p w14:paraId="0391B4A0" w14:textId="77777777" w:rsidR="004A620A" w:rsidRPr="00B10FD1" w:rsidRDefault="004A620A" w:rsidP="001725E3">
            <w:pPr>
              <w:spacing w:line="360" w:lineRule="auto"/>
              <w:jc w:val="both"/>
              <w:rPr>
                <w:rFonts w:eastAsia="Times New Roman" w:cs="Arial"/>
                <w:color w:val="000000" w:themeColor="text1"/>
              </w:rPr>
            </w:pPr>
            <w:r w:rsidRPr="00B10FD1">
              <w:rPr>
                <w:rFonts w:eastAsia="Times New Roman" w:cs="Arial"/>
                <w:color w:val="000000" w:themeColor="text1"/>
              </w:rPr>
              <w:t>Office for National Statistics</w:t>
            </w:r>
          </w:p>
        </w:tc>
      </w:tr>
      <w:tr w:rsidR="00701C79" w:rsidRPr="00B10FD1" w14:paraId="3E58A136" w14:textId="77777777" w:rsidTr="00701C79">
        <w:trPr>
          <w:jc w:val="center"/>
        </w:trPr>
        <w:tc>
          <w:tcPr>
            <w:tcW w:w="0" w:type="auto"/>
            <w:hideMark/>
          </w:tcPr>
          <w:p w14:paraId="1612BFBD" w14:textId="77777777" w:rsidR="004A620A" w:rsidRPr="00B10FD1" w:rsidRDefault="004A620A" w:rsidP="001725E3">
            <w:pPr>
              <w:spacing w:line="360" w:lineRule="auto"/>
              <w:jc w:val="both"/>
              <w:rPr>
                <w:rFonts w:eastAsia="Times New Roman" w:cs="Arial"/>
                <w:color w:val="000000" w:themeColor="text1"/>
              </w:rPr>
            </w:pPr>
            <w:r w:rsidRPr="00B10FD1">
              <w:rPr>
                <w:rFonts w:eastAsia="Times New Roman" w:cs="Arial"/>
                <w:color w:val="000000" w:themeColor="text1"/>
              </w:rPr>
              <w:t>ICT</w:t>
            </w:r>
          </w:p>
        </w:tc>
        <w:tc>
          <w:tcPr>
            <w:tcW w:w="0" w:type="auto"/>
            <w:hideMark/>
          </w:tcPr>
          <w:p w14:paraId="685274D3" w14:textId="77777777" w:rsidR="004A620A" w:rsidRPr="00B10FD1" w:rsidRDefault="004A620A" w:rsidP="001725E3">
            <w:pPr>
              <w:spacing w:line="360" w:lineRule="auto"/>
              <w:jc w:val="both"/>
              <w:rPr>
                <w:rFonts w:eastAsia="Times New Roman" w:cs="Arial"/>
                <w:color w:val="000000" w:themeColor="text1"/>
              </w:rPr>
            </w:pPr>
            <w:r w:rsidRPr="00B10FD1">
              <w:rPr>
                <w:rFonts w:eastAsia="Times New Roman" w:cs="Arial"/>
                <w:color w:val="000000" w:themeColor="text1"/>
              </w:rPr>
              <w:t>Information and Communication Technology</w:t>
            </w:r>
          </w:p>
        </w:tc>
      </w:tr>
      <w:tr w:rsidR="00701C79" w:rsidRPr="00B10FD1" w14:paraId="7BCC76D5" w14:textId="77777777" w:rsidTr="00701C79">
        <w:trPr>
          <w:jc w:val="center"/>
        </w:trPr>
        <w:tc>
          <w:tcPr>
            <w:tcW w:w="0" w:type="auto"/>
            <w:hideMark/>
          </w:tcPr>
          <w:p w14:paraId="692D774C" w14:textId="77777777" w:rsidR="004A620A" w:rsidRPr="00B10FD1" w:rsidRDefault="004A620A" w:rsidP="001725E3">
            <w:pPr>
              <w:spacing w:line="360" w:lineRule="auto"/>
              <w:jc w:val="both"/>
              <w:rPr>
                <w:rFonts w:eastAsia="Times New Roman" w:cs="Arial"/>
                <w:color w:val="000000" w:themeColor="text1"/>
              </w:rPr>
            </w:pPr>
            <w:r w:rsidRPr="00B10FD1">
              <w:rPr>
                <w:rFonts w:eastAsia="Times New Roman" w:cs="Arial"/>
                <w:color w:val="000000" w:themeColor="text1"/>
              </w:rPr>
              <w:t>GP</w:t>
            </w:r>
          </w:p>
        </w:tc>
        <w:tc>
          <w:tcPr>
            <w:tcW w:w="0" w:type="auto"/>
            <w:hideMark/>
          </w:tcPr>
          <w:p w14:paraId="104680EB" w14:textId="77777777" w:rsidR="004A620A" w:rsidRPr="00B10FD1" w:rsidRDefault="004A620A" w:rsidP="001725E3">
            <w:pPr>
              <w:spacing w:line="360" w:lineRule="auto"/>
              <w:jc w:val="both"/>
              <w:rPr>
                <w:rFonts w:eastAsia="Times New Roman" w:cs="Arial"/>
                <w:color w:val="000000" w:themeColor="text1"/>
              </w:rPr>
            </w:pPr>
            <w:r w:rsidRPr="00B10FD1">
              <w:rPr>
                <w:rFonts w:eastAsia="Times New Roman" w:cs="Arial"/>
                <w:color w:val="000000" w:themeColor="text1"/>
              </w:rPr>
              <w:t>General Practitioner</w:t>
            </w:r>
          </w:p>
        </w:tc>
      </w:tr>
      <w:tr w:rsidR="00701C79" w:rsidRPr="00B10FD1" w14:paraId="4137BA19" w14:textId="77777777" w:rsidTr="00701C79">
        <w:trPr>
          <w:jc w:val="center"/>
        </w:trPr>
        <w:tc>
          <w:tcPr>
            <w:tcW w:w="0" w:type="auto"/>
          </w:tcPr>
          <w:p w14:paraId="6DF7C3CF" w14:textId="77777777" w:rsidR="00221E97" w:rsidRPr="00B10FD1" w:rsidRDefault="00221E97" w:rsidP="001725E3">
            <w:pPr>
              <w:spacing w:line="360" w:lineRule="auto"/>
              <w:jc w:val="both"/>
              <w:rPr>
                <w:rFonts w:eastAsia="Times New Roman" w:cs="Arial"/>
                <w:color w:val="000000" w:themeColor="text1"/>
              </w:rPr>
            </w:pPr>
            <w:r w:rsidRPr="00B10FD1">
              <w:rPr>
                <w:rFonts w:eastAsia="Times New Roman" w:cs="Arial"/>
                <w:color w:val="000000" w:themeColor="text1"/>
              </w:rPr>
              <w:t>WHO</w:t>
            </w:r>
          </w:p>
        </w:tc>
        <w:tc>
          <w:tcPr>
            <w:tcW w:w="0" w:type="auto"/>
          </w:tcPr>
          <w:p w14:paraId="551FD4E8" w14:textId="77777777" w:rsidR="00221E97" w:rsidRPr="00B10FD1" w:rsidRDefault="00221E97" w:rsidP="001725E3">
            <w:pPr>
              <w:spacing w:line="360" w:lineRule="auto"/>
              <w:jc w:val="both"/>
              <w:rPr>
                <w:rFonts w:eastAsia="Times New Roman" w:cs="Arial"/>
                <w:color w:val="000000" w:themeColor="text1"/>
              </w:rPr>
            </w:pPr>
            <w:r w:rsidRPr="00B10FD1">
              <w:rPr>
                <w:rFonts w:eastAsia="Times New Roman" w:cs="Arial"/>
                <w:color w:val="000000" w:themeColor="text1"/>
              </w:rPr>
              <w:t>World Health Organization</w:t>
            </w:r>
          </w:p>
        </w:tc>
      </w:tr>
      <w:tr w:rsidR="00701C79" w:rsidRPr="00B10FD1" w14:paraId="45675916" w14:textId="77777777" w:rsidTr="00701C79">
        <w:trPr>
          <w:jc w:val="center"/>
        </w:trPr>
        <w:tc>
          <w:tcPr>
            <w:tcW w:w="0" w:type="auto"/>
          </w:tcPr>
          <w:p w14:paraId="11EB278D" w14:textId="77777777" w:rsidR="00E21163" w:rsidRPr="00B10FD1" w:rsidRDefault="00832F82" w:rsidP="001725E3">
            <w:pPr>
              <w:pStyle w:val="NormalWeb"/>
              <w:spacing w:before="0" w:beforeAutospacing="0" w:after="0" w:afterAutospacing="0" w:line="360" w:lineRule="auto"/>
              <w:jc w:val="both"/>
              <w:rPr>
                <w:rFonts w:ascii="Arial" w:hAnsi="Arial" w:cs="Arial"/>
                <w:color w:val="000000" w:themeColor="text1"/>
                <w:sz w:val="22"/>
                <w:szCs w:val="22"/>
              </w:rPr>
            </w:pPr>
            <w:r w:rsidRPr="00B10FD1">
              <w:rPr>
                <w:rFonts w:ascii="Arial" w:hAnsi="Arial" w:cs="Arial"/>
                <w:color w:val="000000" w:themeColor="text1"/>
                <w:sz w:val="22"/>
                <w:szCs w:val="22"/>
              </w:rPr>
              <w:t>UNHCR</w:t>
            </w:r>
          </w:p>
          <w:p w14:paraId="0559173B" w14:textId="77777777" w:rsidR="00E21163" w:rsidRPr="00B10FD1" w:rsidRDefault="00E21163" w:rsidP="001725E3">
            <w:pPr>
              <w:spacing w:line="360" w:lineRule="auto"/>
              <w:jc w:val="both"/>
              <w:rPr>
                <w:rFonts w:eastAsia="Times New Roman" w:cs="Arial"/>
                <w:color w:val="000000" w:themeColor="text1"/>
              </w:rPr>
            </w:pPr>
          </w:p>
        </w:tc>
        <w:tc>
          <w:tcPr>
            <w:tcW w:w="0" w:type="auto"/>
          </w:tcPr>
          <w:p w14:paraId="45DCDF17" w14:textId="77777777" w:rsidR="00E21163" w:rsidRPr="00B10FD1" w:rsidRDefault="00E21163" w:rsidP="001725E3">
            <w:pPr>
              <w:spacing w:line="360" w:lineRule="auto"/>
              <w:jc w:val="both"/>
              <w:rPr>
                <w:rFonts w:eastAsia="Times New Roman" w:cs="Arial"/>
                <w:color w:val="000000" w:themeColor="text1"/>
              </w:rPr>
            </w:pPr>
            <w:r w:rsidRPr="00B10FD1">
              <w:rPr>
                <w:rFonts w:cs="Arial"/>
                <w:color w:val="000000" w:themeColor="text1"/>
              </w:rPr>
              <w:t>United Nations High Commissioner for Refugees</w:t>
            </w:r>
          </w:p>
        </w:tc>
      </w:tr>
    </w:tbl>
    <w:p w14:paraId="28D171C4" w14:textId="77777777" w:rsidR="009066BE" w:rsidRPr="00B10FD1" w:rsidRDefault="00924883" w:rsidP="00924883">
      <w:pPr>
        <w:pStyle w:val="NormalWeb"/>
        <w:spacing w:line="360" w:lineRule="auto"/>
        <w:jc w:val="both"/>
        <w:rPr>
          <w:rFonts w:ascii="Arial" w:hAnsi="Arial" w:cs="Arial"/>
          <w:sz w:val="22"/>
        </w:rPr>
      </w:pPr>
      <w:r w:rsidRPr="00B10FD1">
        <w:rPr>
          <w:rFonts w:ascii="Arial" w:hAnsi="Arial" w:cs="Arial"/>
          <w:sz w:val="22"/>
        </w:rPr>
        <w:lastRenderedPageBreak/>
        <w:t>With shared terminology established, the section</w:t>
      </w:r>
      <w:r w:rsidR="005F3A46" w:rsidRPr="00B10FD1">
        <w:rPr>
          <w:rFonts w:ascii="Arial" w:hAnsi="Arial" w:cs="Arial"/>
          <w:sz w:val="22"/>
        </w:rPr>
        <w:t xml:space="preserve"> 1.3</w:t>
      </w:r>
      <w:r w:rsidRPr="00B10FD1">
        <w:rPr>
          <w:rFonts w:ascii="Arial" w:hAnsi="Arial" w:cs="Arial"/>
          <w:sz w:val="22"/>
        </w:rPr>
        <w:t xml:space="preserve"> explains why this topic is urgent for UK health and social care.</w:t>
      </w:r>
    </w:p>
    <w:p w14:paraId="06063EB4" w14:textId="77777777" w:rsidR="00647FFA" w:rsidRPr="00B10FD1" w:rsidRDefault="00647FFA" w:rsidP="006240B2">
      <w:pPr>
        <w:pStyle w:val="Heading2"/>
        <w:spacing w:before="120" w:beforeAutospacing="0" w:after="120" w:afterAutospacing="0" w:line="360" w:lineRule="auto"/>
        <w:jc w:val="both"/>
        <w:rPr>
          <w:rFonts w:ascii="Arial" w:hAnsi="Arial" w:cs="Arial"/>
          <w:color w:val="000000" w:themeColor="text1"/>
        </w:rPr>
      </w:pPr>
      <w:bookmarkStart w:id="6" w:name="_Toc209284741"/>
      <w:r w:rsidRPr="00B10FD1">
        <w:rPr>
          <w:rFonts w:ascii="Arial" w:hAnsi="Arial" w:cs="Arial"/>
          <w:color w:val="000000" w:themeColor="text1"/>
        </w:rPr>
        <w:t>1.3 Rationale for Research</w:t>
      </w:r>
      <w:bookmarkEnd w:id="6"/>
    </w:p>
    <w:p w14:paraId="38A03258" w14:textId="77777777" w:rsidR="00975C96" w:rsidRPr="00B10FD1" w:rsidRDefault="00647FFA" w:rsidP="006240B2">
      <w:pPr>
        <w:spacing w:before="120" w:after="120" w:line="360" w:lineRule="auto"/>
        <w:jc w:val="both"/>
        <w:rPr>
          <w:rFonts w:cs="Arial"/>
          <w:color w:val="000000" w:themeColor="text1"/>
          <w:szCs w:val="24"/>
        </w:rPr>
      </w:pPr>
      <w:r w:rsidRPr="00B10FD1">
        <w:rPr>
          <w:rFonts w:cs="Arial"/>
          <w:color w:val="000000" w:themeColor="text1"/>
          <w:szCs w:val="24"/>
        </w:rPr>
        <w:t>This research focuses on the effects of social isolation and digital exclusion on the mental health of older adults in the UK. The topic is timely and important. Ageing populations are growing, and digital services are expanding rapidly</w:t>
      </w:r>
      <w:r w:rsidR="005D0E7C" w:rsidRPr="00B10FD1">
        <w:rPr>
          <w:rFonts w:cs="Arial"/>
          <w:color w:val="000000" w:themeColor="text1"/>
          <w:szCs w:val="24"/>
        </w:rPr>
        <w:t xml:space="preserve"> </w:t>
      </w:r>
      <w:r w:rsidR="005D0E7C" w:rsidRPr="00B10FD1">
        <w:rPr>
          <w:rFonts w:eastAsia="Times New Roman" w:cs="Arial"/>
          <w:color w:val="000000" w:themeColor="text1"/>
          <w:szCs w:val="24"/>
        </w:rPr>
        <w:t>(Gerlach et al.</w:t>
      </w:r>
      <w:r w:rsidR="005D0E7C" w:rsidRPr="00B10FD1">
        <w:rPr>
          <w:rFonts w:cs="Arial"/>
          <w:color w:val="000000" w:themeColor="text1"/>
          <w:szCs w:val="24"/>
        </w:rPr>
        <w:t>, 2024)</w:t>
      </w:r>
      <w:r w:rsidRPr="00B10FD1">
        <w:rPr>
          <w:rFonts w:cs="Arial"/>
          <w:color w:val="000000" w:themeColor="text1"/>
          <w:szCs w:val="24"/>
        </w:rPr>
        <w:t>. Many older adults struggle to keep up with digital technologies. This creates barriers to social connection a</w:t>
      </w:r>
      <w:r w:rsidR="00C7434B" w:rsidRPr="00B10FD1">
        <w:rPr>
          <w:rFonts w:cs="Arial"/>
          <w:color w:val="000000" w:themeColor="text1"/>
          <w:szCs w:val="24"/>
        </w:rPr>
        <w:t xml:space="preserve">nd access to essential services </w:t>
      </w:r>
      <w:r w:rsidR="00C7434B" w:rsidRPr="00B10FD1">
        <w:rPr>
          <w:rFonts w:eastAsia="Times New Roman" w:cs="Arial"/>
          <w:color w:val="000000" w:themeColor="text1"/>
          <w:szCs w:val="24"/>
        </w:rPr>
        <w:t>(</w:t>
      </w:r>
      <w:proofErr w:type="spellStart"/>
      <w:r w:rsidR="00C7434B" w:rsidRPr="00B10FD1">
        <w:rPr>
          <w:rFonts w:eastAsia="Times New Roman" w:cs="Arial"/>
          <w:color w:val="000000" w:themeColor="text1"/>
          <w:szCs w:val="24"/>
        </w:rPr>
        <w:t>Kunonga</w:t>
      </w:r>
      <w:proofErr w:type="spellEnd"/>
      <w:r w:rsidR="00C7434B" w:rsidRPr="00B10FD1">
        <w:rPr>
          <w:rFonts w:eastAsia="Times New Roman" w:cs="Arial"/>
          <w:color w:val="000000" w:themeColor="text1"/>
          <w:szCs w:val="24"/>
        </w:rPr>
        <w:t xml:space="preserve"> et al., 2021)</w:t>
      </w:r>
      <w:r w:rsidR="00C7434B" w:rsidRPr="00B10FD1">
        <w:rPr>
          <w:rFonts w:cs="Arial"/>
          <w:color w:val="000000" w:themeColor="text1"/>
          <w:szCs w:val="24"/>
        </w:rPr>
        <w:t xml:space="preserve">. </w:t>
      </w:r>
      <w:r w:rsidR="009613BA" w:rsidRPr="00B10FD1">
        <w:rPr>
          <w:rFonts w:cs="Arial"/>
          <w:color w:val="000000" w:themeColor="text1"/>
          <w:szCs w:val="24"/>
        </w:rPr>
        <w:t xml:space="preserve">There is also </w:t>
      </w:r>
      <w:r w:rsidR="00FA367A" w:rsidRPr="00B10FD1">
        <w:rPr>
          <w:rFonts w:cs="Arial"/>
          <w:color w:val="000000" w:themeColor="text1"/>
          <w:szCs w:val="24"/>
        </w:rPr>
        <w:t>recognition</w:t>
      </w:r>
      <w:r w:rsidR="009613BA" w:rsidRPr="00B10FD1">
        <w:rPr>
          <w:rFonts w:cs="Arial"/>
          <w:color w:val="000000" w:themeColor="text1"/>
          <w:szCs w:val="24"/>
        </w:rPr>
        <w:t>,</w:t>
      </w:r>
      <w:r w:rsidRPr="00B10FD1">
        <w:rPr>
          <w:rFonts w:cs="Arial"/>
          <w:color w:val="000000" w:themeColor="text1"/>
          <w:szCs w:val="24"/>
        </w:rPr>
        <w:t xml:space="preserve"> social isolation as a risk factor for poor mental health</w:t>
      </w:r>
      <w:r w:rsidR="00FE5CA5" w:rsidRPr="00B10FD1">
        <w:rPr>
          <w:rFonts w:cs="Arial"/>
          <w:color w:val="000000" w:themeColor="text1"/>
          <w:szCs w:val="24"/>
        </w:rPr>
        <w:t>, as demonstrated by Holt</w:t>
      </w:r>
      <w:r w:rsidR="00FE5CA5" w:rsidRPr="00B10FD1">
        <w:rPr>
          <w:rFonts w:ascii="Cambria Math" w:hAnsi="Cambria Math" w:cs="Cambria Math"/>
          <w:color w:val="000000" w:themeColor="text1"/>
          <w:szCs w:val="24"/>
        </w:rPr>
        <w:t>‐</w:t>
      </w:r>
      <w:proofErr w:type="spellStart"/>
      <w:r w:rsidR="00FE5CA5" w:rsidRPr="00B10FD1">
        <w:rPr>
          <w:rFonts w:cs="Arial"/>
          <w:color w:val="000000" w:themeColor="text1"/>
          <w:szCs w:val="24"/>
        </w:rPr>
        <w:t>Lunstad</w:t>
      </w:r>
      <w:proofErr w:type="spellEnd"/>
      <w:r w:rsidR="00FE5CA5" w:rsidRPr="00B10FD1">
        <w:rPr>
          <w:rFonts w:cs="Arial"/>
          <w:color w:val="000000" w:themeColor="text1"/>
          <w:szCs w:val="24"/>
        </w:rPr>
        <w:t xml:space="preserve"> (2024)</w:t>
      </w:r>
      <w:r w:rsidRPr="00B10FD1">
        <w:rPr>
          <w:rFonts w:cs="Arial"/>
          <w:color w:val="000000" w:themeColor="text1"/>
          <w:szCs w:val="24"/>
        </w:rPr>
        <w:t>. Research also shows that digital exclusion limits communication, information access, and independence</w:t>
      </w:r>
      <w:r w:rsidR="00945FA9" w:rsidRPr="00B10FD1">
        <w:rPr>
          <w:rFonts w:cs="Arial"/>
          <w:color w:val="000000" w:themeColor="text1"/>
          <w:szCs w:val="24"/>
        </w:rPr>
        <w:t xml:space="preserve"> (</w:t>
      </w:r>
      <w:r w:rsidR="00945FA9" w:rsidRPr="00B10FD1">
        <w:rPr>
          <w:rFonts w:eastAsia="Times New Roman" w:cs="Arial"/>
          <w:color w:val="000000" w:themeColor="text1"/>
          <w:szCs w:val="24"/>
        </w:rPr>
        <w:t>Wilson-</w:t>
      </w:r>
      <w:proofErr w:type="spellStart"/>
      <w:r w:rsidR="00945FA9" w:rsidRPr="00B10FD1">
        <w:rPr>
          <w:rFonts w:eastAsia="Times New Roman" w:cs="Arial"/>
          <w:color w:val="000000" w:themeColor="text1"/>
          <w:szCs w:val="24"/>
        </w:rPr>
        <w:t>Menzfeld</w:t>
      </w:r>
      <w:proofErr w:type="spellEnd"/>
      <w:r w:rsidR="00C772F5">
        <w:rPr>
          <w:rFonts w:eastAsia="Times New Roman" w:cs="Arial"/>
          <w:color w:val="000000" w:themeColor="text1"/>
          <w:szCs w:val="24"/>
        </w:rPr>
        <w:t xml:space="preserve"> et al., 2021</w:t>
      </w:r>
      <w:r w:rsidR="00945FA9" w:rsidRPr="00B10FD1">
        <w:rPr>
          <w:rFonts w:eastAsia="Times New Roman" w:cs="Arial"/>
          <w:color w:val="000000" w:themeColor="text1"/>
          <w:szCs w:val="24"/>
        </w:rPr>
        <w:t>)</w:t>
      </w:r>
      <w:r w:rsidRPr="00B10FD1">
        <w:rPr>
          <w:rFonts w:cs="Arial"/>
          <w:color w:val="000000" w:themeColor="text1"/>
          <w:szCs w:val="24"/>
        </w:rPr>
        <w:t>. However, few studies explore the combined impact of these two factors. The relationship between social isolation, digital exclusion, and mental health remains under-examined, especially in a UK context.</w:t>
      </w:r>
      <w:r w:rsidR="00A46400" w:rsidRPr="00B10FD1">
        <w:rPr>
          <w:rFonts w:cs="Arial"/>
          <w:color w:val="000000" w:themeColor="text1"/>
          <w:szCs w:val="24"/>
        </w:rPr>
        <w:t xml:space="preserve"> </w:t>
      </w:r>
    </w:p>
    <w:p w14:paraId="74B82139" w14:textId="77777777" w:rsidR="0018249F" w:rsidRPr="00B10FD1" w:rsidRDefault="00975C96" w:rsidP="0018249F">
      <w:pPr>
        <w:spacing w:before="120" w:after="120" w:line="360" w:lineRule="auto"/>
        <w:jc w:val="both"/>
        <w:rPr>
          <w:rFonts w:cs="Arial"/>
          <w:color w:val="000000" w:themeColor="text1"/>
          <w:szCs w:val="24"/>
        </w:rPr>
      </w:pPr>
      <w:r w:rsidRPr="00B10FD1">
        <w:rPr>
          <w:rFonts w:cs="Arial"/>
          <w:color w:val="000000" w:themeColor="text1"/>
          <w:szCs w:val="24"/>
        </w:rPr>
        <w:t>Further, t</w:t>
      </w:r>
      <w:r w:rsidR="00647FFA" w:rsidRPr="00B10FD1">
        <w:rPr>
          <w:rFonts w:cs="Arial"/>
          <w:color w:val="000000" w:themeColor="text1"/>
          <w:szCs w:val="24"/>
        </w:rPr>
        <w:t>he COVID-19 pandemic has</w:t>
      </w:r>
      <w:r w:rsidR="00F12973" w:rsidRPr="00B10FD1">
        <w:rPr>
          <w:rFonts w:cs="Arial"/>
          <w:color w:val="000000" w:themeColor="text1"/>
          <w:szCs w:val="24"/>
        </w:rPr>
        <w:t xml:space="preserve"> increased digital dependence, t</w:t>
      </w:r>
      <w:r w:rsidR="00647FFA" w:rsidRPr="00B10FD1">
        <w:rPr>
          <w:rFonts w:cs="Arial"/>
          <w:color w:val="000000" w:themeColor="text1"/>
          <w:szCs w:val="24"/>
        </w:rPr>
        <w:t>his has made the issue more urgent. Older adults who lack digital access face even greater isolation</w:t>
      </w:r>
      <w:r w:rsidR="004F1B50" w:rsidRPr="00B10FD1">
        <w:rPr>
          <w:rFonts w:cs="Arial"/>
          <w:color w:val="000000" w:themeColor="text1"/>
          <w:szCs w:val="24"/>
        </w:rPr>
        <w:t>, which is</w:t>
      </w:r>
      <w:r w:rsidR="00647FFA" w:rsidRPr="00B10FD1">
        <w:rPr>
          <w:rFonts w:cs="Arial"/>
          <w:color w:val="000000" w:themeColor="text1"/>
          <w:szCs w:val="24"/>
        </w:rPr>
        <w:t xml:space="preserve"> serious implications for mental wellbeing</w:t>
      </w:r>
      <w:r w:rsidR="00D526C2" w:rsidRPr="00B10FD1">
        <w:rPr>
          <w:rFonts w:cs="Arial"/>
          <w:color w:val="000000" w:themeColor="text1"/>
          <w:szCs w:val="24"/>
        </w:rPr>
        <w:t xml:space="preserve"> </w:t>
      </w:r>
      <w:r w:rsidR="00D526C2" w:rsidRPr="00B10FD1">
        <w:rPr>
          <w:rFonts w:eastAsia="Times New Roman" w:cs="Arial"/>
          <w:color w:val="000000" w:themeColor="text1"/>
          <w:szCs w:val="24"/>
        </w:rPr>
        <w:t>(Stuart et al., 2022)</w:t>
      </w:r>
      <w:r w:rsidR="00647FFA" w:rsidRPr="00B10FD1">
        <w:rPr>
          <w:rFonts w:cs="Arial"/>
          <w:color w:val="000000" w:themeColor="text1"/>
          <w:szCs w:val="24"/>
        </w:rPr>
        <w:t>.</w:t>
      </w:r>
      <w:r w:rsidR="00C26B77" w:rsidRPr="00B10FD1">
        <w:rPr>
          <w:rFonts w:cs="Arial"/>
          <w:color w:val="000000" w:themeColor="text1"/>
          <w:szCs w:val="24"/>
        </w:rPr>
        <w:t xml:space="preserve"> </w:t>
      </w:r>
      <w:r w:rsidR="00647FFA" w:rsidRPr="00B10FD1">
        <w:rPr>
          <w:rFonts w:cs="Arial"/>
          <w:color w:val="000000" w:themeColor="text1"/>
          <w:szCs w:val="24"/>
        </w:rPr>
        <w:t>A key gap exists in integrated studies that connect these issues. Most research treats them separately. There is limited understanding of how digital exclusion may intensify social isolation and mental health challenges</w:t>
      </w:r>
      <w:r w:rsidR="000D3157" w:rsidRPr="00B10FD1">
        <w:rPr>
          <w:rFonts w:cs="Arial"/>
          <w:color w:val="000000" w:themeColor="text1"/>
          <w:szCs w:val="24"/>
        </w:rPr>
        <w:t>, especially in UK</w:t>
      </w:r>
      <w:r w:rsidR="00647FFA" w:rsidRPr="00B10FD1">
        <w:rPr>
          <w:rFonts w:cs="Arial"/>
          <w:color w:val="000000" w:themeColor="text1"/>
          <w:szCs w:val="24"/>
        </w:rPr>
        <w:t>.</w:t>
      </w:r>
      <w:r w:rsidR="00D20196" w:rsidRPr="00B10FD1">
        <w:rPr>
          <w:rFonts w:cs="Arial"/>
          <w:color w:val="000000" w:themeColor="text1"/>
          <w:szCs w:val="24"/>
        </w:rPr>
        <w:t xml:space="preserve"> </w:t>
      </w:r>
      <w:r w:rsidR="00647FFA" w:rsidRPr="00B10FD1">
        <w:rPr>
          <w:rFonts w:cs="Arial"/>
          <w:color w:val="000000" w:themeColor="text1"/>
          <w:szCs w:val="24"/>
        </w:rPr>
        <w:t xml:space="preserve">This dissertation aims to address this gap. It will </w:t>
      </w:r>
      <w:r w:rsidR="00916718" w:rsidRPr="00B10FD1">
        <w:rPr>
          <w:rFonts w:cs="Arial"/>
          <w:color w:val="000000" w:themeColor="text1"/>
          <w:szCs w:val="24"/>
        </w:rPr>
        <w:t>analyze</w:t>
      </w:r>
      <w:r w:rsidR="00647FFA" w:rsidRPr="00B10FD1">
        <w:rPr>
          <w:rFonts w:cs="Arial"/>
          <w:color w:val="000000" w:themeColor="text1"/>
          <w:szCs w:val="24"/>
        </w:rPr>
        <w:t xml:space="preserve"> how these two issues intersect. It will also examine their combined impact on older adults' mental health</w:t>
      </w:r>
      <w:r w:rsidR="00525628" w:rsidRPr="00B10FD1">
        <w:rPr>
          <w:rFonts w:cs="Arial"/>
          <w:color w:val="000000" w:themeColor="text1"/>
          <w:szCs w:val="24"/>
        </w:rPr>
        <w:t xml:space="preserve"> in UK</w:t>
      </w:r>
      <w:r w:rsidR="00647FFA" w:rsidRPr="00B10FD1">
        <w:rPr>
          <w:rFonts w:cs="Arial"/>
          <w:color w:val="000000" w:themeColor="text1"/>
          <w:szCs w:val="24"/>
        </w:rPr>
        <w:t>. The study will provide evidence to support policy development and community interventions. By identifying the link between digital and social exclusion, the research aims to contribute to more inclusive health and social care practices.</w:t>
      </w:r>
    </w:p>
    <w:p w14:paraId="56DF7DF1" w14:textId="77777777" w:rsidR="00CF23EB" w:rsidRPr="00B10FD1" w:rsidRDefault="0018249F" w:rsidP="0018249F">
      <w:pPr>
        <w:spacing w:before="120" w:after="120" w:line="360" w:lineRule="auto"/>
        <w:jc w:val="both"/>
        <w:rPr>
          <w:rFonts w:cs="Arial"/>
          <w:color w:val="000000" w:themeColor="text1"/>
          <w:szCs w:val="24"/>
        </w:rPr>
      </w:pPr>
      <w:r w:rsidRPr="00B10FD1">
        <w:rPr>
          <w:rFonts w:cs="Arial"/>
        </w:rPr>
        <w:t>Building on this rationale, section</w:t>
      </w:r>
      <w:r w:rsidR="00E20ABD" w:rsidRPr="00B10FD1">
        <w:rPr>
          <w:rFonts w:cs="Arial"/>
        </w:rPr>
        <w:t xml:space="preserve"> 1.4</w:t>
      </w:r>
      <w:r w:rsidRPr="00B10FD1">
        <w:rPr>
          <w:rFonts w:cs="Arial"/>
        </w:rPr>
        <w:t xml:space="preserve"> sets out the study’s overarching aim and specific, measurable objectives.</w:t>
      </w:r>
    </w:p>
    <w:p w14:paraId="56EF78AA" w14:textId="77777777" w:rsidR="004D333C" w:rsidRPr="00B10FD1" w:rsidRDefault="00701C79" w:rsidP="006240B2">
      <w:pPr>
        <w:pStyle w:val="Heading2"/>
        <w:spacing w:before="120" w:beforeAutospacing="0" w:after="120" w:afterAutospacing="0" w:line="360" w:lineRule="auto"/>
        <w:jc w:val="both"/>
        <w:rPr>
          <w:rFonts w:ascii="Arial" w:hAnsi="Arial" w:cs="Arial"/>
          <w:color w:val="000000" w:themeColor="text1"/>
        </w:rPr>
      </w:pPr>
      <w:bookmarkStart w:id="7" w:name="_Toc209284742"/>
      <w:r w:rsidRPr="00B10FD1">
        <w:rPr>
          <w:rFonts w:ascii="Arial" w:hAnsi="Arial" w:cs="Arial"/>
          <w:color w:val="000000" w:themeColor="text1"/>
        </w:rPr>
        <w:t xml:space="preserve">1.4 </w:t>
      </w:r>
      <w:r w:rsidR="004D333C" w:rsidRPr="00B10FD1">
        <w:rPr>
          <w:rFonts w:ascii="Arial" w:hAnsi="Arial" w:cs="Arial"/>
          <w:color w:val="000000" w:themeColor="text1"/>
        </w:rPr>
        <w:t>Aims and Objectives</w:t>
      </w:r>
      <w:bookmarkEnd w:id="7"/>
    </w:p>
    <w:p w14:paraId="3BF50419" w14:textId="77777777" w:rsidR="00B30DE3" w:rsidRPr="00B10FD1" w:rsidRDefault="00701C79" w:rsidP="006240B2">
      <w:pPr>
        <w:pStyle w:val="Heading3"/>
        <w:spacing w:before="120" w:beforeAutospacing="0" w:after="120" w:afterAutospacing="0" w:line="360" w:lineRule="auto"/>
        <w:jc w:val="both"/>
        <w:rPr>
          <w:rFonts w:ascii="Arial" w:hAnsi="Arial" w:cs="Arial"/>
          <w:color w:val="000000" w:themeColor="text1"/>
        </w:rPr>
      </w:pPr>
      <w:bookmarkStart w:id="8" w:name="_Toc209284743"/>
      <w:r w:rsidRPr="00B10FD1">
        <w:rPr>
          <w:rFonts w:ascii="Arial" w:hAnsi="Arial" w:cs="Arial"/>
          <w:color w:val="000000" w:themeColor="text1"/>
        </w:rPr>
        <w:t xml:space="preserve">1.4.1 </w:t>
      </w:r>
      <w:r w:rsidR="00B30DE3" w:rsidRPr="00B10FD1">
        <w:rPr>
          <w:rFonts w:ascii="Arial" w:hAnsi="Arial" w:cs="Arial"/>
          <w:color w:val="000000" w:themeColor="text1"/>
        </w:rPr>
        <w:t>Aim:</w:t>
      </w:r>
      <w:bookmarkEnd w:id="8"/>
    </w:p>
    <w:p w14:paraId="41AB13F7" w14:textId="77777777" w:rsidR="00B30DE3" w:rsidRPr="00B10FD1" w:rsidRDefault="00B30DE3" w:rsidP="006240B2">
      <w:pPr>
        <w:spacing w:before="120" w:after="120" w:line="360" w:lineRule="auto"/>
        <w:jc w:val="both"/>
        <w:rPr>
          <w:rFonts w:cs="Arial"/>
          <w:color w:val="000000" w:themeColor="text1"/>
          <w:szCs w:val="24"/>
        </w:rPr>
      </w:pPr>
      <w:r w:rsidRPr="00B10FD1">
        <w:rPr>
          <w:rFonts w:cs="Arial"/>
          <w:color w:val="000000" w:themeColor="text1"/>
          <w:szCs w:val="24"/>
        </w:rPr>
        <w:t>To explore how digital exclusion affects older people who receive services in UK health and social care systems and describe how to promote digital inclusion effectively in the country to provide older citizens with equal access to necessary services and better health.</w:t>
      </w:r>
    </w:p>
    <w:p w14:paraId="5B29BF40" w14:textId="77777777" w:rsidR="00B30DE3" w:rsidRPr="00B10FD1" w:rsidRDefault="00701C79" w:rsidP="006240B2">
      <w:pPr>
        <w:pStyle w:val="Heading3"/>
        <w:spacing w:before="120" w:beforeAutospacing="0" w:after="120" w:afterAutospacing="0" w:line="360" w:lineRule="auto"/>
        <w:jc w:val="both"/>
        <w:rPr>
          <w:rFonts w:ascii="Arial" w:hAnsi="Arial" w:cs="Arial"/>
          <w:color w:val="000000" w:themeColor="text1"/>
        </w:rPr>
      </w:pPr>
      <w:bookmarkStart w:id="9" w:name="_Toc209284744"/>
      <w:r w:rsidRPr="00B10FD1">
        <w:rPr>
          <w:rFonts w:ascii="Arial" w:hAnsi="Arial" w:cs="Arial"/>
          <w:color w:val="000000" w:themeColor="text1"/>
        </w:rPr>
        <w:lastRenderedPageBreak/>
        <w:t>1.4.2</w:t>
      </w:r>
      <w:r w:rsidR="00B30DE3" w:rsidRPr="00B10FD1">
        <w:rPr>
          <w:rFonts w:ascii="Arial" w:hAnsi="Arial" w:cs="Arial"/>
          <w:color w:val="000000" w:themeColor="text1"/>
        </w:rPr>
        <w:t xml:space="preserve"> Objectives:</w:t>
      </w:r>
      <w:bookmarkEnd w:id="9"/>
    </w:p>
    <w:p w14:paraId="6B9ACFE4" w14:textId="77777777" w:rsidR="00B30DE3" w:rsidRPr="00B10FD1" w:rsidRDefault="008E456F" w:rsidP="006240B2">
      <w:pPr>
        <w:pStyle w:val="ListParagraph"/>
        <w:numPr>
          <w:ilvl w:val="0"/>
          <w:numId w:val="3"/>
        </w:numPr>
        <w:spacing w:before="120" w:after="120" w:line="360" w:lineRule="auto"/>
        <w:jc w:val="both"/>
        <w:rPr>
          <w:rFonts w:ascii="Arial" w:hAnsi="Arial" w:cs="Arial"/>
          <w:color w:val="000000" w:themeColor="text1"/>
          <w:sz w:val="22"/>
          <w:szCs w:val="24"/>
        </w:rPr>
      </w:pPr>
      <w:r w:rsidRPr="00B10FD1">
        <w:rPr>
          <w:rFonts w:ascii="Arial" w:hAnsi="Arial" w:cs="Arial"/>
          <w:color w:val="000000" w:themeColor="text1"/>
          <w:sz w:val="22"/>
          <w:szCs w:val="24"/>
        </w:rPr>
        <w:t>To d</w:t>
      </w:r>
      <w:r w:rsidR="00B30DE3" w:rsidRPr="00B10FD1">
        <w:rPr>
          <w:rFonts w:ascii="Arial" w:hAnsi="Arial" w:cs="Arial"/>
          <w:color w:val="000000" w:themeColor="text1"/>
          <w:sz w:val="22"/>
          <w:szCs w:val="24"/>
        </w:rPr>
        <w:t>escribe and discuss the phenomenon of digital exclusion with the particular reference to the elderly groups in the health and social care setting within the UK, the distinctive obstacles (e.g. access, proficiency, drive) should be identified.</w:t>
      </w:r>
    </w:p>
    <w:p w14:paraId="2D264F45" w14:textId="77777777" w:rsidR="00B30DE3" w:rsidRPr="00B10FD1" w:rsidRDefault="008E456F" w:rsidP="006240B2">
      <w:pPr>
        <w:pStyle w:val="ListParagraph"/>
        <w:numPr>
          <w:ilvl w:val="0"/>
          <w:numId w:val="3"/>
        </w:numPr>
        <w:spacing w:before="120" w:after="120" w:line="360" w:lineRule="auto"/>
        <w:jc w:val="both"/>
        <w:rPr>
          <w:rFonts w:ascii="Arial" w:hAnsi="Arial" w:cs="Arial"/>
          <w:color w:val="000000" w:themeColor="text1"/>
          <w:sz w:val="22"/>
          <w:szCs w:val="24"/>
        </w:rPr>
      </w:pPr>
      <w:r w:rsidRPr="00B10FD1">
        <w:rPr>
          <w:rFonts w:ascii="Arial" w:hAnsi="Arial" w:cs="Arial"/>
          <w:color w:val="000000" w:themeColor="text1"/>
          <w:sz w:val="22"/>
          <w:szCs w:val="24"/>
        </w:rPr>
        <w:t>To e</w:t>
      </w:r>
      <w:r w:rsidR="00B30DE3" w:rsidRPr="00B10FD1">
        <w:rPr>
          <w:rFonts w:ascii="Arial" w:hAnsi="Arial" w:cs="Arial"/>
          <w:color w:val="000000" w:themeColor="text1"/>
          <w:sz w:val="22"/>
          <w:szCs w:val="24"/>
        </w:rPr>
        <w:t>xamine the reported consequences of digital exclusion on the access of services by the elderly, health effect, wellbeing and their experience of care.</w:t>
      </w:r>
    </w:p>
    <w:p w14:paraId="31BBE435" w14:textId="77777777" w:rsidR="00B30DE3" w:rsidRPr="00B10FD1" w:rsidRDefault="008E456F" w:rsidP="006240B2">
      <w:pPr>
        <w:pStyle w:val="ListParagraph"/>
        <w:numPr>
          <w:ilvl w:val="0"/>
          <w:numId w:val="3"/>
        </w:numPr>
        <w:spacing w:before="120" w:after="120" w:line="360" w:lineRule="auto"/>
        <w:jc w:val="both"/>
        <w:rPr>
          <w:rFonts w:ascii="Arial" w:hAnsi="Arial" w:cs="Arial"/>
          <w:color w:val="000000" w:themeColor="text1"/>
          <w:sz w:val="22"/>
          <w:szCs w:val="24"/>
        </w:rPr>
      </w:pPr>
      <w:r w:rsidRPr="00B10FD1">
        <w:rPr>
          <w:rFonts w:ascii="Arial" w:hAnsi="Arial" w:cs="Arial"/>
          <w:color w:val="000000" w:themeColor="text1"/>
          <w:sz w:val="22"/>
          <w:szCs w:val="24"/>
        </w:rPr>
        <w:t>To c</w:t>
      </w:r>
      <w:r w:rsidR="00B30DE3" w:rsidRPr="00B10FD1">
        <w:rPr>
          <w:rFonts w:ascii="Arial" w:hAnsi="Arial" w:cs="Arial"/>
          <w:color w:val="000000" w:themeColor="text1"/>
          <w:sz w:val="22"/>
          <w:szCs w:val="24"/>
        </w:rPr>
        <w:t>onsider efficacy of the current interventions and policies (national/local) to stimulate digital inclusion of elderly service users in the UK.</w:t>
      </w:r>
    </w:p>
    <w:p w14:paraId="102E8C70" w14:textId="77777777" w:rsidR="00525628" w:rsidRPr="00B10FD1" w:rsidRDefault="008E456F" w:rsidP="006240B2">
      <w:pPr>
        <w:pStyle w:val="ListParagraph"/>
        <w:numPr>
          <w:ilvl w:val="0"/>
          <w:numId w:val="3"/>
        </w:numPr>
        <w:spacing w:before="120" w:after="120" w:line="360" w:lineRule="auto"/>
        <w:jc w:val="both"/>
        <w:rPr>
          <w:rFonts w:ascii="Arial" w:hAnsi="Arial" w:cs="Arial"/>
          <w:color w:val="000000" w:themeColor="text1"/>
          <w:sz w:val="22"/>
          <w:szCs w:val="24"/>
        </w:rPr>
      </w:pPr>
      <w:r w:rsidRPr="00B10FD1">
        <w:rPr>
          <w:rFonts w:ascii="Arial" w:hAnsi="Arial" w:cs="Arial"/>
          <w:color w:val="000000" w:themeColor="text1"/>
          <w:sz w:val="22"/>
          <w:szCs w:val="24"/>
        </w:rPr>
        <w:t>To m</w:t>
      </w:r>
      <w:r w:rsidR="00B30DE3" w:rsidRPr="00B10FD1">
        <w:rPr>
          <w:rFonts w:ascii="Arial" w:hAnsi="Arial" w:cs="Arial"/>
          <w:color w:val="000000" w:themeColor="text1"/>
          <w:sz w:val="22"/>
          <w:szCs w:val="24"/>
        </w:rPr>
        <w:t>ake recommendations to health and social care providers, policymakers and organisations in the communities about evidence-based achievable methods to limit digital exclusion and make services more accessible to the older people</w:t>
      </w:r>
      <w:r w:rsidR="001725E3" w:rsidRPr="00B10FD1">
        <w:rPr>
          <w:rFonts w:ascii="Arial" w:hAnsi="Arial" w:cs="Arial"/>
          <w:color w:val="000000" w:themeColor="text1"/>
          <w:sz w:val="22"/>
          <w:szCs w:val="24"/>
        </w:rPr>
        <w:t>.</w:t>
      </w:r>
    </w:p>
    <w:p w14:paraId="64CE6D97" w14:textId="77777777" w:rsidR="005F12A6" w:rsidRPr="00B10FD1" w:rsidRDefault="00235BC4" w:rsidP="00235BC4">
      <w:pPr>
        <w:pStyle w:val="NormalWeb"/>
        <w:spacing w:line="360" w:lineRule="auto"/>
        <w:jc w:val="both"/>
        <w:rPr>
          <w:rFonts w:ascii="Arial" w:hAnsi="Arial" w:cs="Arial"/>
          <w:sz w:val="22"/>
        </w:rPr>
      </w:pPr>
      <w:r w:rsidRPr="00B10FD1">
        <w:rPr>
          <w:rFonts w:ascii="Arial" w:hAnsi="Arial" w:cs="Arial"/>
          <w:sz w:val="22"/>
        </w:rPr>
        <w:t xml:space="preserve">Having defined </w:t>
      </w:r>
      <w:r w:rsidR="009F254A" w:rsidRPr="00B10FD1">
        <w:rPr>
          <w:rFonts w:ascii="Arial" w:hAnsi="Arial" w:cs="Arial"/>
          <w:sz w:val="22"/>
        </w:rPr>
        <w:t>what,</w:t>
      </w:r>
      <w:r w:rsidRPr="00B10FD1">
        <w:rPr>
          <w:rFonts w:ascii="Arial" w:hAnsi="Arial" w:cs="Arial"/>
          <w:sz w:val="22"/>
        </w:rPr>
        <w:t xml:space="preserve"> the study seeks to achieve, the conclusion </w:t>
      </w:r>
      <w:r w:rsidR="00A8098D" w:rsidRPr="00B10FD1">
        <w:rPr>
          <w:rFonts w:ascii="Arial" w:hAnsi="Arial" w:cs="Arial"/>
          <w:sz w:val="22"/>
        </w:rPr>
        <w:t>summarizes</w:t>
      </w:r>
      <w:r w:rsidRPr="00B10FD1">
        <w:rPr>
          <w:rFonts w:ascii="Arial" w:hAnsi="Arial" w:cs="Arial"/>
          <w:sz w:val="22"/>
        </w:rPr>
        <w:t xml:space="preserve"> Chapter 1 and prepares the reader for the wider context.</w:t>
      </w:r>
    </w:p>
    <w:p w14:paraId="5E4F2FF1" w14:textId="77777777" w:rsidR="003A4053" w:rsidRPr="00B10FD1" w:rsidRDefault="003A4053" w:rsidP="006240B2">
      <w:pPr>
        <w:pStyle w:val="Heading2"/>
        <w:spacing w:before="120" w:beforeAutospacing="0" w:after="120" w:afterAutospacing="0" w:line="360" w:lineRule="auto"/>
        <w:jc w:val="both"/>
        <w:rPr>
          <w:rFonts w:ascii="Arial" w:hAnsi="Arial" w:cs="Arial"/>
          <w:color w:val="000000" w:themeColor="text1"/>
        </w:rPr>
      </w:pPr>
      <w:bookmarkStart w:id="10" w:name="_Toc209284745"/>
      <w:r w:rsidRPr="00B10FD1">
        <w:rPr>
          <w:rFonts w:ascii="Arial" w:hAnsi="Arial" w:cs="Arial"/>
          <w:color w:val="000000" w:themeColor="text1"/>
        </w:rPr>
        <w:t>1.5 Conclusion</w:t>
      </w:r>
      <w:bookmarkEnd w:id="10"/>
    </w:p>
    <w:p w14:paraId="1EEF1495" w14:textId="77777777" w:rsidR="003A4053" w:rsidRPr="00B10FD1" w:rsidRDefault="003A4053"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Chapter 1 introduced the research topic</w:t>
      </w:r>
      <w:r w:rsidR="00720EE0" w:rsidRPr="00B10FD1">
        <w:rPr>
          <w:rFonts w:ascii="Arial" w:hAnsi="Arial" w:cs="Arial"/>
          <w:color w:val="000000" w:themeColor="text1"/>
          <w:sz w:val="22"/>
        </w:rPr>
        <w:t>,</w:t>
      </w:r>
      <w:r w:rsidRPr="00B10FD1">
        <w:rPr>
          <w:rFonts w:ascii="Arial" w:hAnsi="Arial" w:cs="Arial"/>
          <w:color w:val="000000" w:themeColor="text1"/>
          <w:sz w:val="22"/>
        </w:rPr>
        <w:t xml:space="preserve"> the impact of social isolation and digital exclusion on the mental health of older adults in the UK. It outlined the background and significance of the issue, explained key terms, and presented the rationale for the study. The chapter also defined the research aim, set out the main objectives, and formulated the research question.</w:t>
      </w:r>
      <w:r w:rsidR="009F241A" w:rsidRPr="00B10FD1">
        <w:rPr>
          <w:rFonts w:ascii="Arial" w:hAnsi="Arial" w:cs="Arial"/>
          <w:color w:val="000000" w:themeColor="text1"/>
          <w:sz w:val="22"/>
        </w:rPr>
        <w:t xml:space="preserve"> </w:t>
      </w:r>
      <w:r w:rsidRPr="00B10FD1">
        <w:rPr>
          <w:rFonts w:ascii="Arial" w:hAnsi="Arial" w:cs="Arial"/>
          <w:color w:val="000000" w:themeColor="text1"/>
          <w:sz w:val="22"/>
        </w:rPr>
        <w:t>The importance of this research lies in its focus on an underexplored area within UK health and social care. With an ageing population and rapid digital advancement, this topic is both timely and relevant. The study seeks to fill identified gaps and contribute to current debates on mental health and inclusion.</w:t>
      </w:r>
      <w:r w:rsidR="00B11AF6" w:rsidRPr="00B10FD1">
        <w:rPr>
          <w:rFonts w:ascii="Arial" w:hAnsi="Arial" w:cs="Arial"/>
          <w:color w:val="000000" w:themeColor="text1"/>
          <w:sz w:val="22"/>
        </w:rPr>
        <w:t xml:space="preserve"> </w:t>
      </w:r>
      <w:r w:rsidRPr="00B10FD1">
        <w:rPr>
          <w:rFonts w:ascii="Arial" w:hAnsi="Arial" w:cs="Arial"/>
          <w:color w:val="000000" w:themeColor="text1"/>
          <w:sz w:val="22"/>
        </w:rPr>
        <w:t>The next chapter, Chapter 2, provides detailed background information and analysis. It explores the historical and theoretical context, key developments, and both local and global perspectives. This foundation supports a deeper understanding of the research problem and guides the later methodological approach.</w:t>
      </w:r>
    </w:p>
    <w:p w14:paraId="54F55E69" w14:textId="77777777" w:rsidR="00EB0BE0" w:rsidRPr="00B10FD1" w:rsidRDefault="00EB0BE0" w:rsidP="006240B2">
      <w:pPr>
        <w:spacing w:before="120" w:after="120" w:line="360" w:lineRule="auto"/>
        <w:jc w:val="both"/>
        <w:rPr>
          <w:rFonts w:cs="Arial"/>
          <w:color w:val="000000" w:themeColor="text1"/>
          <w:sz w:val="24"/>
          <w:szCs w:val="24"/>
        </w:rPr>
      </w:pPr>
    </w:p>
    <w:p w14:paraId="6433CA85" w14:textId="77777777" w:rsidR="00EB0BE0" w:rsidRPr="00B10FD1" w:rsidRDefault="00EB0BE0" w:rsidP="006240B2">
      <w:pPr>
        <w:spacing w:before="120" w:after="120" w:line="360" w:lineRule="auto"/>
        <w:jc w:val="both"/>
        <w:rPr>
          <w:rFonts w:cs="Arial"/>
          <w:color w:val="000000" w:themeColor="text1"/>
          <w:sz w:val="24"/>
          <w:szCs w:val="24"/>
        </w:rPr>
      </w:pPr>
    </w:p>
    <w:p w14:paraId="31ED2B21" w14:textId="77777777" w:rsidR="00175B13" w:rsidRPr="00B10FD1" w:rsidRDefault="00175B13" w:rsidP="006240B2">
      <w:pPr>
        <w:spacing w:before="120" w:after="120" w:line="360" w:lineRule="auto"/>
        <w:jc w:val="both"/>
        <w:rPr>
          <w:rFonts w:cs="Arial"/>
          <w:color w:val="000000" w:themeColor="text1"/>
          <w:sz w:val="24"/>
          <w:szCs w:val="24"/>
        </w:rPr>
      </w:pPr>
    </w:p>
    <w:p w14:paraId="729C7085" w14:textId="77777777" w:rsidR="00EB0BE0" w:rsidRPr="00B10FD1" w:rsidRDefault="00EB0BE0" w:rsidP="006240B2">
      <w:pPr>
        <w:spacing w:before="120" w:after="120" w:line="360" w:lineRule="auto"/>
        <w:jc w:val="both"/>
        <w:rPr>
          <w:rFonts w:cs="Arial"/>
          <w:color w:val="000000" w:themeColor="text1"/>
          <w:sz w:val="24"/>
          <w:szCs w:val="24"/>
        </w:rPr>
      </w:pPr>
    </w:p>
    <w:p w14:paraId="76958EDB" w14:textId="77777777" w:rsidR="00BA09D9" w:rsidRPr="00B10FD1" w:rsidRDefault="00317C32" w:rsidP="001725E3">
      <w:pPr>
        <w:pStyle w:val="Heading1"/>
        <w:spacing w:before="120" w:after="120" w:line="360" w:lineRule="auto"/>
        <w:jc w:val="center"/>
        <w:rPr>
          <w:rFonts w:ascii="Arial" w:hAnsi="Arial" w:cs="Arial"/>
          <w:b/>
          <w:color w:val="000000" w:themeColor="text1"/>
        </w:rPr>
      </w:pPr>
      <w:bookmarkStart w:id="11" w:name="_Toc209284746"/>
      <w:r w:rsidRPr="00B10FD1">
        <w:rPr>
          <w:rFonts w:ascii="Arial" w:hAnsi="Arial" w:cs="Arial"/>
          <w:b/>
          <w:color w:val="000000" w:themeColor="text1"/>
        </w:rPr>
        <w:lastRenderedPageBreak/>
        <w:t>CHAPTER 2 – Background Information and Analysis</w:t>
      </w:r>
      <w:bookmarkEnd w:id="11"/>
    </w:p>
    <w:p w14:paraId="6296612A" w14:textId="77777777" w:rsidR="009B1F3E" w:rsidRPr="00B10FD1" w:rsidRDefault="009B1F3E" w:rsidP="006240B2">
      <w:pPr>
        <w:pStyle w:val="Heading2"/>
        <w:spacing w:before="120" w:beforeAutospacing="0" w:after="120" w:afterAutospacing="0" w:line="360" w:lineRule="auto"/>
        <w:jc w:val="both"/>
        <w:rPr>
          <w:rFonts w:ascii="Arial" w:hAnsi="Arial" w:cs="Arial"/>
          <w:color w:val="000000" w:themeColor="text1"/>
        </w:rPr>
      </w:pPr>
      <w:bookmarkStart w:id="12" w:name="_Toc209284747"/>
      <w:r w:rsidRPr="00B10FD1">
        <w:rPr>
          <w:rFonts w:ascii="Arial" w:hAnsi="Arial" w:cs="Arial"/>
          <w:color w:val="000000" w:themeColor="text1"/>
        </w:rPr>
        <w:t>2.1 Introduction</w:t>
      </w:r>
      <w:bookmarkEnd w:id="12"/>
    </w:p>
    <w:p w14:paraId="3E1A80F8" w14:textId="77777777" w:rsidR="00452533" w:rsidRPr="00B10FD1" w:rsidRDefault="009B1F3E" w:rsidP="00452533">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This chapter provides background information on the research topic. It builds a foundation by exploring the historical, theoretical, and contextual aspects. The focus is on the ageing population in the UK and the increasing use of digital technologies. It also outlines the social and mental health challenges faced by older adults.</w:t>
      </w:r>
      <w:r w:rsidR="00BA09D9" w:rsidRPr="00B10FD1">
        <w:rPr>
          <w:rFonts w:ascii="Arial" w:hAnsi="Arial" w:cs="Arial"/>
          <w:color w:val="000000" w:themeColor="text1"/>
          <w:sz w:val="22"/>
        </w:rPr>
        <w:t xml:space="preserve"> </w:t>
      </w:r>
      <w:r w:rsidRPr="00B10FD1">
        <w:rPr>
          <w:rFonts w:ascii="Arial" w:hAnsi="Arial" w:cs="Arial"/>
          <w:color w:val="000000" w:themeColor="text1"/>
          <w:sz w:val="22"/>
        </w:rPr>
        <w:t>The chapter highlights how digital exclusion can affect wellbeing. It discusses relevant policies, social changes, and demographic trends. The purpose is to place the research in a broader context. This will support the later analysis and help justify the study’s importance.</w:t>
      </w:r>
    </w:p>
    <w:p w14:paraId="19D27579" w14:textId="77777777" w:rsidR="00B7491C" w:rsidRPr="00B10FD1" w:rsidRDefault="00452533" w:rsidP="00452533">
      <w:pPr>
        <w:pStyle w:val="NormalWeb"/>
        <w:spacing w:before="120" w:beforeAutospacing="0" w:after="120" w:afterAutospacing="0" w:line="360" w:lineRule="auto"/>
        <w:jc w:val="both"/>
        <w:rPr>
          <w:rFonts w:ascii="Arial" w:hAnsi="Arial" w:cs="Arial"/>
          <w:color w:val="000000" w:themeColor="text1"/>
          <w:sz w:val="20"/>
        </w:rPr>
      </w:pPr>
      <w:r w:rsidRPr="00B10FD1">
        <w:rPr>
          <w:rFonts w:ascii="Arial" w:hAnsi="Arial" w:cs="Arial"/>
          <w:sz w:val="22"/>
        </w:rPr>
        <w:t>With the scope established, section 2.2 traces the historical forces that shaped ageing, care systems and the emergence of the digital divide in the UK.</w:t>
      </w:r>
    </w:p>
    <w:p w14:paraId="39F17275" w14:textId="77777777" w:rsidR="00E7577D" w:rsidRPr="00B10FD1" w:rsidRDefault="00E7577D" w:rsidP="006240B2">
      <w:pPr>
        <w:pStyle w:val="Heading2"/>
        <w:spacing w:before="120" w:beforeAutospacing="0" w:after="120" w:afterAutospacing="0" w:line="360" w:lineRule="auto"/>
        <w:jc w:val="both"/>
        <w:rPr>
          <w:rFonts w:ascii="Arial" w:hAnsi="Arial" w:cs="Arial"/>
          <w:color w:val="000000" w:themeColor="text1"/>
        </w:rPr>
      </w:pPr>
      <w:bookmarkStart w:id="13" w:name="_Toc209284748"/>
      <w:r w:rsidRPr="00B10FD1">
        <w:rPr>
          <w:rFonts w:ascii="Arial" w:hAnsi="Arial" w:cs="Arial"/>
          <w:color w:val="000000" w:themeColor="text1"/>
        </w:rPr>
        <w:t>2.2 Historical Background</w:t>
      </w:r>
      <w:bookmarkEnd w:id="13"/>
    </w:p>
    <w:p w14:paraId="7EC0C1A0" w14:textId="77777777" w:rsidR="00B007E8" w:rsidRPr="00B10FD1" w:rsidRDefault="00E7577D" w:rsidP="006240B2">
      <w:pPr>
        <w:spacing w:before="120" w:after="120" w:line="360" w:lineRule="auto"/>
        <w:jc w:val="both"/>
        <w:rPr>
          <w:rFonts w:eastAsia="Times New Roman" w:cs="Arial"/>
          <w:color w:val="000000" w:themeColor="text1"/>
          <w:szCs w:val="24"/>
        </w:rPr>
      </w:pPr>
      <w:r w:rsidRPr="00B10FD1">
        <w:rPr>
          <w:rFonts w:cs="Arial"/>
          <w:color w:val="000000" w:themeColor="text1"/>
          <w:szCs w:val="24"/>
        </w:rPr>
        <w:t>The issue of ageing has been discussed for decades. In the past, older adults were respected as key members of society. They often lived in extended families and had strong support systems</w:t>
      </w:r>
      <w:r w:rsidR="003244CD" w:rsidRPr="00B10FD1">
        <w:rPr>
          <w:rFonts w:cs="Arial"/>
          <w:color w:val="000000" w:themeColor="text1"/>
          <w:szCs w:val="24"/>
        </w:rPr>
        <w:t xml:space="preserve"> </w:t>
      </w:r>
      <w:r w:rsidR="003244CD" w:rsidRPr="00B10FD1">
        <w:rPr>
          <w:rFonts w:eastAsia="Times New Roman" w:cs="Arial"/>
          <w:color w:val="000000" w:themeColor="text1"/>
          <w:szCs w:val="24"/>
        </w:rPr>
        <w:t>(</w:t>
      </w:r>
      <w:proofErr w:type="spellStart"/>
      <w:r w:rsidR="003244CD" w:rsidRPr="00B10FD1">
        <w:rPr>
          <w:rFonts w:eastAsia="Times New Roman" w:cs="Arial"/>
          <w:color w:val="000000" w:themeColor="text1"/>
          <w:szCs w:val="24"/>
        </w:rPr>
        <w:t>Bražinová</w:t>
      </w:r>
      <w:proofErr w:type="spellEnd"/>
      <w:r w:rsidR="003244CD" w:rsidRPr="00B10FD1">
        <w:rPr>
          <w:rFonts w:eastAsia="Times New Roman" w:cs="Arial"/>
          <w:color w:val="000000" w:themeColor="text1"/>
          <w:szCs w:val="24"/>
        </w:rPr>
        <w:t xml:space="preserve"> &amp; Chytil, 2024)</w:t>
      </w:r>
      <w:r w:rsidRPr="00B10FD1">
        <w:rPr>
          <w:rFonts w:cs="Arial"/>
          <w:color w:val="000000" w:themeColor="text1"/>
          <w:szCs w:val="24"/>
        </w:rPr>
        <w:t xml:space="preserve">. As </w:t>
      </w:r>
      <w:r w:rsidR="00E32028" w:rsidRPr="00B10FD1">
        <w:rPr>
          <w:rFonts w:cs="Arial"/>
          <w:color w:val="000000" w:themeColor="text1"/>
          <w:szCs w:val="24"/>
        </w:rPr>
        <w:t>industrialization</w:t>
      </w:r>
      <w:r w:rsidRPr="00B10FD1">
        <w:rPr>
          <w:rFonts w:cs="Arial"/>
          <w:color w:val="000000" w:themeColor="text1"/>
          <w:szCs w:val="24"/>
        </w:rPr>
        <w:t xml:space="preserve"> grew, family structures changed. Older people became more isolated from</w:t>
      </w:r>
      <w:r w:rsidR="00E32028" w:rsidRPr="00B10FD1">
        <w:rPr>
          <w:rFonts w:cs="Arial"/>
          <w:color w:val="000000" w:themeColor="text1"/>
          <w:szCs w:val="24"/>
        </w:rPr>
        <w:t xml:space="preserve"> their families and communities </w:t>
      </w:r>
      <w:r w:rsidR="00E32028" w:rsidRPr="00B10FD1">
        <w:rPr>
          <w:rFonts w:eastAsia="Times New Roman" w:cs="Arial"/>
          <w:color w:val="000000" w:themeColor="text1"/>
          <w:szCs w:val="24"/>
        </w:rPr>
        <w:t>(Wani et al., 2024).</w:t>
      </w:r>
      <w:r w:rsidR="00B007E8" w:rsidRPr="00B10FD1">
        <w:rPr>
          <w:rFonts w:eastAsia="Times New Roman" w:cs="Arial"/>
          <w:color w:val="000000" w:themeColor="text1"/>
          <w:szCs w:val="24"/>
        </w:rPr>
        <w:t xml:space="preserve"> </w:t>
      </w:r>
      <w:r w:rsidRPr="00B10FD1">
        <w:rPr>
          <w:rFonts w:cs="Arial"/>
          <w:color w:val="000000" w:themeColor="text1"/>
          <w:szCs w:val="24"/>
        </w:rPr>
        <w:t>By the mid-20th century, ageing became a concern in developed nations. Rising life expectancy meant people lived longer. At the same time, birth rates started to decline. This shift led to a growing proportion of elderly people in society. Governments and health systems began to feel the pressure of ageing populations</w:t>
      </w:r>
      <w:r w:rsidR="00DF54B8" w:rsidRPr="00B10FD1">
        <w:rPr>
          <w:rFonts w:cs="Arial"/>
          <w:color w:val="000000" w:themeColor="text1"/>
          <w:szCs w:val="24"/>
        </w:rPr>
        <w:t xml:space="preserve"> </w:t>
      </w:r>
      <w:r w:rsidR="00CB1C82" w:rsidRPr="00B10FD1">
        <w:rPr>
          <w:rFonts w:eastAsia="Times New Roman" w:cs="Arial"/>
          <w:color w:val="000000" w:themeColor="text1"/>
          <w:szCs w:val="24"/>
        </w:rPr>
        <w:t>(</w:t>
      </w:r>
      <w:proofErr w:type="spellStart"/>
      <w:r w:rsidR="00CB1C82" w:rsidRPr="00B10FD1">
        <w:rPr>
          <w:rFonts w:eastAsia="Times New Roman" w:cs="Arial"/>
          <w:color w:val="000000" w:themeColor="text1"/>
          <w:szCs w:val="24"/>
        </w:rPr>
        <w:t>Khavinson</w:t>
      </w:r>
      <w:proofErr w:type="spellEnd"/>
      <w:r w:rsidR="00CB1C82" w:rsidRPr="00B10FD1">
        <w:rPr>
          <w:rFonts w:eastAsia="Times New Roman" w:cs="Arial"/>
          <w:color w:val="000000" w:themeColor="text1"/>
          <w:szCs w:val="24"/>
        </w:rPr>
        <w:t xml:space="preserve"> et al., 2020)</w:t>
      </w:r>
      <w:r w:rsidRPr="00B10FD1">
        <w:rPr>
          <w:rFonts w:cs="Arial"/>
          <w:color w:val="000000" w:themeColor="text1"/>
          <w:szCs w:val="24"/>
        </w:rPr>
        <w:t>.</w:t>
      </w:r>
      <w:r w:rsidR="00B007E8" w:rsidRPr="00B10FD1">
        <w:rPr>
          <w:rFonts w:cs="Arial"/>
          <w:color w:val="000000" w:themeColor="text1"/>
          <w:szCs w:val="24"/>
        </w:rPr>
        <w:t xml:space="preserve"> </w:t>
      </w:r>
    </w:p>
    <w:p w14:paraId="43D11022" w14:textId="77777777" w:rsidR="003955CF" w:rsidRPr="00B10FD1" w:rsidRDefault="00E7577D" w:rsidP="006240B2">
      <w:pPr>
        <w:spacing w:before="120" w:after="120" w:line="360" w:lineRule="auto"/>
        <w:jc w:val="both"/>
        <w:rPr>
          <w:rFonts w:cs="Arial"/>
          <w:color w:val="000000" w:themeColor="text1"/>
          <w:szCs w:val="24"/>
        </w:rPr>
      </w:pPr>
      <w:r w:rsidRPr="00B10FD1">
        <w:rPr>
          <w:rFonts w:cs="Arial"/>
          <w:color w:val="000000" w:themeColor="text1"/>
          <w:szCs w:val="24"/>
        </w:rPr>
        <w:t>In the UK, the 1948 introduction of the National Health Service (NHS) was a turning point. It aimed to provide care for all, including older adults. Over time, however, the needs of the ageing population grew faster than the services available</w:t>
      </w:r>
      <w:r w:rsidR="004D65B2" w:rsidRPr="00B10FD1">
        <w:rPr>
          <w:rFonts w:cs="Arial"/>
          <w:color w:val="000000" w:themeColor="text1"/>
          <w:szCs w:val="24"/>
        </w:rPr>
        <w:t xml:space="preserve"> </w:t>
      </w:r>
      <w:r w:rsidR="004D65B2" w:rsidRPr="00B10FD1">
        <w:rPr>
          <w:rFonts w:eastAsia="Times New Roman" w:cs="Arial"/>
          <w:color w:val="000000" w:themeColor="text1"/>
          <w:szCs w:val="24"/>
        </w:rPr>
        <w:t>(Gorsky, 2015)</w:t>
      </w:r>
      <w:r w:rsidRPr="00B10FD1">
        <w:rPr>
          <w:rFonts w:cs="Arial"/>
          <w:color w:val="000000" w:themeColor="text1"/>
          <w:szCs w:val="24"/>
        </w:rPr>
        <w:t xml:space="preserve">. By the 1970s and 1980s, reports highlighted the need for </w:t>
      </w:r>
      <w:proofErr w:type="spellStart"/>
      <w:r w:rsidRPr="00B10FD1">
        <w:rPr>
          <w:rFonts w:cs="Arial"/>
          <w:color w:val="000000" w:themeColor="text1"/>
          <w:szCs w:val="24"/>
        </w:rPr>
        <w:t>specialised</w:t>
      </w:r>
      <w:proofErr w:type="spellEnd"/>
      <w:r w:rsidRPr="00B10FD1">
        <w:rPr>
          <w:rFonts w:cs="Arial"/>
          <w:color w:val="000000" w:themeColor="text1"/>
          <w:szCs w:val="24"/>
        </w:rPr>
        <w:t xml:space="preserve"> elderly care. Sheltered housing, community care, and social work became comm</w:t>
      </w:r>
      <w:r w:rsidR="00E04130" w:rsidRPr="00B10FD1">
        <w:rPr>
          <w:rFonts w:cs="Arial"/>
          <w:color w:val="000000" w:themeColor="text1"/>
          <w:szCs w:val="24"/>
        </w:rPr>
        <w:t>on themes in policy discussions</w:t>
      </w:r>
      <w:r w:rsidR="00E04130" w:rsidRPr="00B10FD1">
        <w:rPr>
          <w:rFonts w:eastAsia="Times New Roman" w:cs="Arial"/>
          <w:color w:val="000000" w:themeColor="text1"/>
          <w:szCs w:val="24"/>
        </w:rPr>
        <w:t>.</w:t>
      </w:r>
      <w:r w:rsidR="004271D2" w:rsidRPr="00B10FD1">
        <w:rPr>
          <w:rFonts w:eastAsia="Times New Roman" w:cs="Arial"/>
          <w:color w:val="000000" w:themeColor="text1"/>
          <w:szCs w:val="24"/>
        </w:rPr>
        <w:t xml:space="preserve"> </w:t>
      </w:r>
      <w:r w:rsidRPr="00B10FD1">
        <w:rPr>
          <w:rFonts w:cs="Arial"/>
          <w:color w:val="000000" w:themeColor="text1"/>
          <w:szCs w:val="24"/>
        </w:rPr>
        <w:t xml:space="preserve">During the 1990s and 2000s, digital technology began transforming daily life. However, older adults were often left behind. </w:t>
      </w:r>
      <w:r w:rsidR="00BD738E" w:rsidRPr="00B10FD1">
        <w:rPr>
          <w:rFonts w:cs="Arial"/>
          <w:color w:val="000000" w:themeColor="text1"/>
          <w:szCs w:val="24"/>
        </w:rPr>
        <w:t xml:space="preserve">This led to the term </w:t>
      </w:r>
      <w:r w:rsidRPr="00B10FD1">
        <w:rPr>
          <w:rFonts w:cs="Arial"/>
          <w:color w:val="000000" w:themeColor="text1"/>
          <w:szCs w:val="24"/>
        </w:rPr>
        <w:t>digital divide</w:t>
      </w:r>
      <w:r w:rsidR="00BD738E" w:rsidRPr="00B10FD1">
        <w:rPr>
          <w:rFonts w:cs="Arial"/>
          <w:color w:val="000000" w:themeColor="text1"/>
          <w:szCs w:val="24"/>
        </w:rPr>
        <w:t xml:space="preserve"> </w:t>
      </w:r>
      <w:r w:rsidR="00BD738E" w:rsidRPr="00B10FD1">
        <w:rPr>
          <w:rFonts w:eastAsia="Times New Roman" w:cs="Arial"/>
          <w:color w:val="000000" w:themeColor="text1"/>
          <w:szCs w:val="24"/>
        </w:rPr>
        <w:t>(NHS England, 2023)</w:t>
      </w:r>
      <w:r w:rsidRPr="00B10FD1">
        <w:rPr>
          <w:rFonts w:cs="Arial"/>
          <w:color w:val="000000" w:themeColor="text1"/>
          <w:szCs w:val="24"/>
        </w:rPr>
        <w:t>. The digital divide refers to the gap between those who can access and use technology and those who cannot. For elderly people, this divide meant missing out on information, s</w:t>
      </w:r>
      <w:r w:rsidR="000B6AD7" w:rsidRPr="00B10FD1">
        <w:rPr>
          <w:rFonts w:cs="Arial"/>
          <w:color w:val="000000" w:themeColor="text1"/>
          <w:szCs w:val="24"/>
        </w:rPr>
        <w:t xml:space="preserve">ervices, and social connections </w:t>
      </w:r>
      <w:r w:rsidR="000B6AD7" w:rsidRPr="00B10FD1">
        <w:rPr>
          <w:rFonts w:eastAsia="Times New Roman" w:cs="Arial"/>
          <w:color w:val="000000" w:themeColor="text1"/>
          <w:szCs w:val="24"/>
        </w:rPr>
        <w:t>(Gorsky, 2008)</w:t>
      </w:r>
      <w:r w:rsidR="003B69BA" w:rsidRPr="00B10FD1">
        <w:rPr>
          <w:rFonts w:eastAsia="Times New Roman" w:cs="Arial"/>
          <w:color w:val="000000" w:themeColor="text1"/>
          <w:szCs w:val="24"/>
        </w:rPr>
        <w:t>.</w:t>
      </w:r>
      <w:r w:rsidR="000E7E60" w:rsidRPr="00B10FD1">
        <w:rPr>
          <w:rFonts w:eastAsia="Times New Roman" w:cs="Arial"/>
          <w:color w:val="000000" w:themeColor="text1"/>
          <w:szCs w:val="24"/>
        </w:rPr>
        <w:t xml:space="preserve"> </w:t>
      </w:r>
      <w:r w:rsidR="003955CF" w:rsidRPr="00B10FD1">
        <w:rPr>
          <w:rFonts w:cs="Arial"/>
          <w:color w:val="000000" w:themeColor="text1"/>
          <w:szCs w:val="24"/>
        </w:rPr>
        <w:t xml:space="preserve">Peter Laslett is one of the most important persons to consider when interpreting what ageing is. The book on the Third Age in the 1980s transformed perception as to how people viewed retirement. He claimed that </w:t>
      </w:r>
      <w:r w:rsidR="003955CF" w:rsidRPr="00B10FD1">
        <w:rPr>
          <w:rFonts w:cs="Arial"/>
          <w:color w:val="000000" w:themeColor="text1"/>
          <w:szCs w:val="24"/>
        </w:rPr>
        <w:lastRenderedPageBreak/>
        <w:t xml:space="preserve">elderly people can lead a productive, viable, and socially influential life. Most of the current policies encouraging healthy ageing were influenced by his ideas (Jones et al., 2008). </w:t>
      </w:r>
    </w:p>
    <w:p w14:paraId="4664CFAD" w14:textId="77777777" w:rsidR="00452533" w:rsidRPr="00B10FD1" w:rsidRDefault="003955CF" w:rsidP="00452533">
      <w:pPr>
        <w:spacing w:before="120" w:after="120" w:line="360" w:lineRule="auto"/>
        <w:jc w:val="both"/>
        <w:rPr>
          <w:rFonts w:cs="Arial"/>
          <w:color w:val="000000" w:themeColor="text1"/>
          <w:szCs w:val="24"/>
        </w:rPr>
      </w:pPr>
      <w:r w:rsidRPr="00B10FD1">
        <w:rPr>
          <w:rFonts w:cs="Arial"/>
          <w:color w:val="000000" w:themeColor="text1"/>
          <w:szCs w:val="24"/>
        </w:rPr>
        <w:t xml:space="preserve">The concept of active ageing that was coined by the World Health Organization (WHO) was the other influential phenomenon in the area. This concept stimulated governments to assist the older individuals to remain healthy, safe, and active in society. It was the WHO that also focused on the role of technology in </w:t>
      </w:r>
      <w:proofErr w:type="spellStart"/>
      <w:r w:rsidRPr="00B10FD1">
        <w:rPr>
          <w:rFonts w:cs="Arial"/>
          <w:color w:val="000000" w:themeColor="text1"/>
          <w:szCs w:val="24"/>
        </w:rPr>
        <w:t>optimising</w:t>
      </w:r>
      <w:proofErr w:type="spellEnd"/>
      <w:r w:rsidRPr="00B10FD1">
        <w:rPr>
          <w:rFonts w:cs="Arial"/>
          <w:color w:val="000000" w:themeColor="text1"/>
          <w:szCs w:val="24"/>
        </w:rPr>
        <w:t xml:space="preserve"> the lives of the aged people (</w:t>
      </w:r>
      <w:proofErr w:type="spellStart"/>
      <w:r w:rsidRPr="00B10FD1">
        <w:rPr>
          <w:rFonts w:cs="Arial"/>
          <w:color w:val="000000" w:themeColor="text1"/>
          <w:szCs w:val="24"/>
        </w:rPr>
        <w:t>Paúl</w:t>
      </w:r>
      <w:proofErr w:type="spellEnd"/>
      <w:r w:rsidRPr="00B10FD1">
        <w:rPr>
          <w:rFonts w:cs="Arial"/>
          <w:color w:val="000000" w:themeColor="text1"/>
          <w:szCs w:val="24"/>
        </w:rPr>
        <w:t xml:space="preserve"> et al., 2012). Age UK and other charities had their role to play in the UK as well. They undertook an initiative to sensitize society about feelings of isolation, destitution, and internet exclusion. These groups advocated to include more policies and services (AGE Platform Europe, 2019). The gap in digitization was further observed in the last years due to COVID-19. Even elderly people who are not accessing the internet found it messier before getting any health updates, booking appointment, or communicating with family. This is what made digital access a significant component of social and health equality (Zapletal et al., 2023). In brief, nowadays, the issue of the ageing population blows up. All these come about through historical changes in the family structure, healthcare and technology. With this background, there is a reason why we would say that the subject is relevant today more than ever before</w:t>
      </w:r>
      <w:r w:rsidR="00E7577D" w:rsidRPr="00B10FD1">
        <w:rPr>
          <w:rFonts w:cs="Arial"/>
          <w:color w:val="000000" w:themeColor="text1"/>
          <w:szCs w:val="24"/>
        </w:rPr>
        <w:t>.</w:t>
      </w:r>
    </w:p>
    <w:p w14:paraId="24800C32" w14:textId="77777777" w:rsidR="00452533" w:rsidRPr="00B10FD1" w:rsidRDefault="00452533" w:rsidP="00452533">
      <w:pPr>
        <w:spacing w:before="120" w:after="120" w:line="360" w:lineRule="auto"/>
        <w:jc w:val="both"/>
        <w:rPr>
          <w:rFonts w:cs="Arial"/>
          <w:color w:val="000000" w:themeColor="text1"/>
          <w:szCs w:val="24"/>
        </w:rPr>
      </w:pPr>
      <w:r w:rsidRPr="00B10FD1">
        <w:rPr>
          <w:rFonts w:cs="Arial"/>
        </w:rPr>
        <w:t>Having outlined the historical context, section 2.3 now turn to the theoretical frameworks that explain how social isolation and digital exclusion interact in later life.</w:t>
      </w:r>
    </w:p>
    <w:p w14:paraId="5F60A6AA" w14:textId="77777777" w:rsidR="00147491" w:rsidRPr="00B10FD1" w:rsidRDefault="00443516" w:rsidP="006240B2">
      <w:pPr>
        <w:pStyle w:val="Heading2"/>
        <w:spacing w:before="120" w:beforeAutospacing="0" w:after="120" w:afterAutospacing="0" w:line="360" w:lineRule="auto"/>
        <w:jc w:val="both"/>
        <w:rPr>
          <w:rFonts w:ascii="Arial" w:hAnsi="Arial" w:cs="Arial"/>
          <w:color w:val="000000" w:themeColor="text1"/>
        </w:rPr>
      </w:pPr>
      <w:bookmarkStart w:id="14" w:name="_Toc209284749"/>
      <w:r w:rsidRPr="00B10FD1">
        <w:rPr>
          <w:rFonts w:ascii="Arial" w:hAnsi="Arial" w:cs="Arial"/>
          <w:color w:val="000000" w:themeColor="text1"/>
        </w:rPr>
        <w:t>2.3 Theoretical Background</w:t>
      </w:r>
      <w:bookmarkEnd w:id="14"/>
    </w:p>
    <w:p w14:paraId="19E6B30F" w14:textId="77777777" w:rsidR="00AE0DE7" w:rsidRPr="00B10FD1" w:rsidRDefault="00C606F4"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Understanding the impact of social isolation and digital exclusion on the mental health of older adults in the UK requires engagement with several relevant theories. Among the foundational frameworks are Disengagement Theory, Activity Theory, Social Capital Theory, and the Digital Divide Framework. These theories provide insight into ageing, social participation, and the imp</w:t>
      </w:r>
      <w:r w:rsidR="00300581" w:rsidRPr="00B10FD1">
        <w:rPr>
          <w:rFonts w:ascii="Arial" w:hAnsi="Arial" w:cs="Arial"/>
          <w:color w:val="000000" w:themeColor="text1"/>
          <w:sz w:val="22"/>
        </w:rPr>
        <w:t>lications of digital inequality</w:t>
      </w:r>
      <w:r w:rsidR="00AE0DE7" w:rsidRPr="00B10FD1">
        <w:rPr>
          <w:rFonts w:ascii="Arial" w:hAnsi="Arial" w:cs="Arial"/>
          <w:color w:val="000000" w:themeColor="text1"/>
          <w:sz w:val="22"/>
        </w:rPr>
        <w:t>.</w:t>
      </w:r>
    </w:p>
    <w:p w14:paraId="426FFE1F" w14:textId="77777777" w:rsidR="00AE0DE7" w:rsidRPr="00B10FD1" w:rsidRDefault="00AE0DE7"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 xml:space="preserve">The Disengagement Theory (Cumming &amp; Henry, 1961) assumes that interaction decreases due to the fact that an older adult naturally detaches themselves of social role and activities that come with aging. Although this theory played a significant role in the early development of gerontology, the theory was criticized on the ground that it </w:t>
      </w:r>
      <w:proofErr w:type="spellStart"/>
      <w:r w:rsidRPr="00B10FD1">
        <w:rPr>
          <w:rFonts w:ascii="Arial" w:hAnsi="Arial" w:cs="Arial"/>
          <w:color w:val="000000" w:themeColor="text1"/>
          <w:sz w:val="22"/>
        </w:rPr>
        <w:t>pathologises</w:t>
      </w:r>
      <w:proofErr w:type="spellEnd"/>
      <w:r w:rsidRPr="00B10FD1">
        <w:rPr>
          <w:rFonts w:ascii="Arial" w:hAnsi="Arial" w:cs="Arial"/>
          <w:color w:val="000000" w:themeColor="text1"/>
          <w:sz w:val="22"/>
        </w:rPr>
        <w:t xml:space="preserve"> the process of aging and supports social neglect. Nevertheless, it is also useful to shape the natural/enforced withdrawal debate within the approach of digital exclusion. Activity Theory (Havighurst, 1961), in its turn, focuses on the social engagement of older people that is vital to their wellbeing. It implies that meaningful activities, including digital interaction, improve satisfaction and mental Health when undertaken </w:t>
      </w:r>
      <w:r w:rsidRPr="00B10FD1">
        <w:rPr>
          <w:rFonts w:ascii="Arial" w:hAnsi="Arial" w:cs="Arial"/>
          <w:color w:val="000000" w:themeColor="text1"/>
          <w:sz w:val="22"/>
        </w:rPr>
        <w:lastRenderedPageBreak/>
        <w:t>actively. Thus, digital exclusion leads to a block to active participation in healthy ageing (</w:t>
      </w:r>
      <w:proofErr w:type="spellStart"/>
      <w:r w:rsidRPr="00B10FD1">
        <w:rPr>
          <w:rFonts w:ascii="Arial" w:hAnsi="Arial" w:cs="Arial"/>
          <w:color w:val="000000" w:themeColor="text1"/>
          <w:sz w:val="22"/>
        </w:rPr>
        <w:t>Vaportzis</w:t>
      </w:r>
      <w:proofErr w:type="spellEnd"/>
      <w:r w:rsidRPr="00B10FD1">
        <w:rPr>
          <w:rFonts w:ascii="Arial" w:hAnsi="Arial" w:cs="Arial"/>
          <w:color w:val="000000" w:themeColor="text1"/>
          <w:sz w:val="22"/>
        </w:rPr>
        <w:t xml:space="preserve"> et al., 2017). Digital exclusion can be well understood by considering the viewpoint of the Social Capital Theory (Bourdieu, 1986). The ability to act collectively is called a social capital, and this term can be defined as networks, bonds, and rules. Digital exclusion can cause older adults to have low social capital, resulting in loneliness, low service delivery, and deteriorated mental health conditions (Seifert et al., 2021). The theory has been seen to assist in explanation of how the increased access to technology promotes wider inclusion in the society and connectedness.</w:t>
      </w:r>
    </w:p>
    <w:p w14:paraId="5D74C387" w14:textId="77777777" w:rsidR="00AE0DE7" w:rsidRPr="00B10FD1" w:rsidRDefault="00AE0DE7"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 xml:space="preserve">A more detailed knowledge of digital exclusion can be received with the help of the Digital Divide Framework. In this model, three stages are identified (1) access to technology, (2) digital literacy or skills and (3) meaningful use (van Dijk, 2006). The elderly tend to experience difficulties on the three levels. As an example, access may be restricted by physical impairment, and the effective use by a lack of training and confidence. This theory can be found at the basis of a considerable part of the policy-based studies on closing the disparity in digital health services (Bober et al., 2024). The theories have been utilized in different studies. As another example, Tsai et al. (2010) applied the Social Capital Theory in examining internet use and its impact in alleviating loneliness in elderly people. On the same note, Seifert (2021) employs the Digital Divide Framework in discussing how the experience with COVID-19 exposed flaws in digital inclusion of older adult populations. The applications reveal that digital exclusion is not a technological problem but rather a problem of socio-psychological nature. </w:t>
      </w:r>
    </w:p>
    <w:p w14:paraId="637DEAD5" w14:textId="77777777" w:rsidR="00F30A2C" w:rsidRPr="00B10FD1" w:rsidRDefault="00AE0DE7" w:rsidP="00F30A2C">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Importantly, such theories are valuable and, at the same time, limited. Disengagement Theory has very little subtlety, and can miss structural forms of inaccessibility. Although Activity Theory is positive, it might not apply in older adults who have a debilitating disease or those who are non-ambulatory. It can be said that SCT is criticized due to its tendency to overlook inequalities in the name of ideal community relationships. In the meantime, the Digital Divide Framework can be evaluated as quite extensive; nevertheless, it can downplay emotional or motivational obstacles in older adults (Tsatsou, 2011). Regardless of the given debates, it is possible to project a synthesis of the theoretical points of view to provide a comprehensive view of the consequences of digital exclusion on mental health. It requires a subtle theoretical basis to examine policy recommendations based on qualitative evidence in a well-</w:t>
      </w:r>
      <w:proofErr w:type="spellStart"/>
      <w:r w:rsidRPr="00B10FD1">
        <w:rPr>
          <w:rFonts w:ascii="Arial" w:hAnsi="Arial" w:cs="Arial"/>
          <w:color w:val="000000" w:themeColor="text1"/>
          <w:sz w:val="22"/>
        </w:rPr>
        <w:t>organised</w:t>
      </w:r>
      <w:proofErr w:type="spellEnd"/>
      <w:r w:rsidRPr="00B10FD1">
        <w:rPr>
          <w:rFonts w:ascii="Arial" w:hAnsi="Arial" w:cs="Arial"/>
          <w:color w:val="000000" w:themeColor="text1"/>
          <w:sz w:val="22"/>
        </w:rPr>
        <w:t xml:space="preserve"> manner and to propose all-encompassing policies as concerns older adults in the health and social care systems in UK.</w:t>
      </w:r>
    </w:p>
    <w:p w14:paraId="70A6D095" w14:textId="77777777" w:rsidR="00F30A2C" w:rsidRPr="00B10FD1" w:rsidRDefault="00F30A2C" w:rsidP="00F30A2C">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rPr>
        <w:t>Theories in hand, section 2.4 situates the problem within today’s UK landscape, examining national trends, policies and local provision.</w:t>
      </w:r>
    </w:p>
    <w:p w14:paraId="4A9CD0D9" w14:textId="77777777" w:rsidR="00054828" w:rsidRPr="00B10FD1" w:rsidRDefault="005E3A3B" w:rsidP="006240B2">
      <w:pPr>
        <w:pStyle w:val="Heading2"/>
        <w:spacing w:before="120" w:beforeAutospacing="0" w:after="120" w:afterAutospacing="0" w:line="360" w:lineRule="auto"/>
        <w:jc w:val="both"/>
        <w:rPr>
          <w:rFonts w:ascii="Arial" w:hAnsi="Arial" w:cs="Arial"/>
          <w:color w:val="000000" w:themeColor="text1"/>
        </w:rPr>
      </w:pPr>
      <w:bookmarkStart w:id="15" w:name="_Toc209284750"/>
      <w:r w:rsidRPr="00B10FD1">
        <w:rPr>
          <w:rFonts w:ascii="Arial" w:hAnsi="Arial" w:cs="Arial"/>
          <w:color w:val="000000" w:themeColor="text1"/>
        </w:rPr>
        <w:lastRenderedPageBreak/>
        <w:t>2.4</w:t>
      </w:r>
      <w:r w:rsidR="001C7091" w:rsidRPr="00B10FD1">
        <w:rPr>
          <w:rFonts w:ascii="Arial" w:hAnsi="Arial" w:cs="Arial"/>
          <w:color w:val="000000" w:themeColor="text1"/>
        </w:rPr>
        <w:t xml:space="preserve"> National/Local UK Context</w:t>
      </w:r>
      <w:bookmarkEnd w:id="15"/>
    </w:p>
    <w:p w14:paraId="7D05043F" w14:textId="77777777" w:rsidR="003D63CC" w:rsidRPr="00B10FD1" w:rsidRDefault="005E3A3B" w:rsidP="006240B2">
      <w:pPr>
        <w:pStyle w:val="Heading3"/>
        <w:spacing w:before="120" w:beforeAutospacing="0" w:after="120" w:afterAutospacing="0" w:line="360" w:lineRule="auto"/>
        <w:jc w:val="both"/>
        <w:rPr>
          <w:rFonts w:ascii="Arial" w:hAnsi="Arial" w:cs="Arial"/>
          <w:color w:val="000000" w:themeColor="text1"/>
        </w:rPr>
      </w:pPr>
      <w:bookmarkStart w:id="16" w:name="_Toc209284751"/>
      <w:r w:rsidRPr="00B10FD1">
        <w:rPr>
          <w:rFonts w:ascii="Arial" w:hAnsi="Arial" w:cs="Arial"/>
          <w:color w:val="000000" w:themeColor="text1"/>
        </w:rPr>
        <w:t>2.4</w:t>
      </w:r>
      <w:r w:rsidR="00701C79" w:rsidRPr="00B10FD1">
        <w:rPr>
          <w:rFonts w:ascii="Arial" w:hAnsi="Arial" w:cs="Arial"/>
          <w:color w:val="000000" w:themeColor="text1"/>
        </w:rPr>
        <w:t xml:space="preserve">.1 </w:t>
      </w:r>
      <w:r w:rsidR="00C55A27" w:rsidRPr="00B10FD1">
        <w:rPr>
          <w:rFonts w:ascii="Arial" w:hAnsi="Arial" w:cs="Arial"/>
          <w:color w:val="000000" w:themeColor="text1"/>
        </w:rPr>
        <w:t>UK Perspective</w:t>
      </w:r>
      <w:bookmarkEnd w:id="16"/>
    </w:p>
    <w:p w14:paraId="4480E8E9" w14:textId="77777777" w:rsidR="00CB045D" w:rsidRPr="00B10FD1" w:rsidRDefault="00300581" w:rsidP="00CB045D">
      <w:pPr>
        <w:spacing w:before="120" w:after="120" w:line="360" w:lineRule="auto"/>
        <w:jc w:val="both"/>
        <w:rPr>
          <w:rFonts w:cs="Arial"/>
          <w:color w:val="000000" w:themeColor="text1"/>
          <w:szCs w:val="24"/>
        </w:rPr>
      </w:pPr>
      <w:r w:rsidRPr="00B10FD1">
        <w:rPr>
          <w:rFonts w:cs="Arial"/>
          <w:color w:val="000000" w:themeColor="text1"/>
          <w:szCs w:val="24"/>
        </w:rPr>
        <w:t xml:space="preserve">The problem of digital exclusion among older adults in the United Kingdom has been increasingly considered, as its consequences are highly centralized on health, social connectedness, and even the possibility of using governmental services. According to an analysis performed by the Age UK, nearly 6 million individuals (5,800,000) aged 65+ either cannot access the internet in a safe and successful manner or will not be online at all </w:t>
      </w:r>
      <w:r w:rsidR="00AC19F2" w:rsidRPr="00B10FD1">
        <w:rPr>
          <w:rFonts w:eastAsia="Times New Roman" w:cs="Arial"/>
          <w:color w:val="000000" w:themeColor="text1"/>
          <w:szCs w:val="24"/>
        </w:rPr>
        <w:t>(Age UK, 2023)</w:t>
      </w:r>
      <w:r w:rsidR="003D63CC" w:rsidRPr="00B10FD1">
        <w:rPr>
          <w:rFonts w:cs="Arial"/>
          <w:color w:val="000000" w:themeColor="text1"/>
          <w:szCs w:val="24"/>
        </w:rPr>
        <w:t xml:space="preserve">. </w:t>
      </w:r>
      <w:r w:rsidR="00106A3F" w:rsidRPr="00B10FD1">
        <w:rPr>
          <w:rFonts w:cs="Arial"/>
          <w:color w:val="000000" w:themeColor="text1"/>
          <w:szCs w:val="24"/>
        </w:rPr>
        <w:t xml:space="preserve">Furthermore, </w:t>
      </w:r>
      <w:r w:rsidR="00D44896" w:rsidRPr="00B10FD1">
        <w:rPr>
          <w:rFonts w:cs="Arial"/>
          <w:color w:val="000000" w:themeColor="text1"/>
          <w:szCs w:val="24"/>
        </w:rPr>
        <w:t xml:space="preserve">with regard to the last four years, the Cambridge Centre for Housing and Planning Research (CCHPR) (2020) of the University of Cambridge has been studying the phenomenon of digital exclusion. </w:t>
      </w:r>
      <w:proofErr w:type="spellStart"/>
      <w:r w:rsidR="00656DEB" w:rsidRPr="00B10FD1">
        <w:rPr>
          <w:rFonts w:cs="Arial"/>
          <w:color w:val="000000" w:themeColor="text1"/>
          <w:szCs w:val="24"/>
        </w:rPr>
        <w:t>hile</w:t>
      </w:r>
      <w:proofErr w:type="spellEnd"/>
      <w:r w:rsidR="00656DEB" w:rsidRPr="00B10FD1">
        <w:rPr>
          <w:rFonts w:cs="Arial"/>
          <w:color w:val="000000" w:themeColor="text1"/>
          <w:szCs w:val="24"/>
        </w:rPr>
        <w:t xml:space="preserve"> it is a well-known fact that many elderly people are not online</w:t>
      </w:r>
      <w:r w:rsidR="008B3B80" w:rsidRPr="00B10FD1">
        <w:rPr>
          <w:rFonts w:cs="Arial"/>
          <w:color w:val="000000" w:themeColor="text1"/>
          <w:szCs w:val="24"/>
        </w:rPr>
        <w:t>. The COVID-19 pandemic highlighted and accelerated the need for digital access, as essential services, including healthcare, moved online. However, many older adults remain digitally excluded due to lack of access, digital literacy, and motivation to use technology.</w:t>
      </w:r>
      <w:r w:rsidR="00DD2F92" w:rsidRPr="00B10FD1">
        <w:rPr>
          <w:rFonts w:cs="Arial"/>
          <w:color w:val="000000" w:themeColor="text1"/>
          <w:szCs w:val="24"/>
        </w:rPr>
        <w:t xml:space="preserve"> Clark (</w:t>
      </w:r>
      <w:r w:rsidR="008A2ADD" w:rsidRPr="00B10FD1">
        <w:rPr>
          <w:rFonts w:eastAsia="Times New Roman" w:cs="Arial"/>
          <w:color w:val="000000" w:themeColor="text1"/>
          <w:szCs w:val="24"/>
        </w:rPr>
        <w:t>2024) demonstrated, t</w:t>
      </w:r>
      <w:r w:rsidR="003D63CC" w:rsidRPr="00B10FD1">
        <w:rPr>
          <w:rFonts w:cs="Arial"/>
          <w:color w:val="000000" w:themeColor="text1"/>
          <w:szCs w:val="24"/>
        </w:rPr>
        <w:t xml:space="preserve">his digital divide not only hinders older adults' ability to manage their health but also contributes to feelings of loneliness and exclusion. </w:t>
      </w:r>
      <w:r w:rsidR="002D2609" w:rsidRPr="00B10FD1">
        <w:rPr>
          <w:rFonts w:cs="Arial"/>
          <w:color w:val="000000" w:themeColor="text1"/>
          <w:szCs w:val="24"/>
        </w:rPr>
        <w:t>NHS Englan</w:t>
      </w:r>
      <w:r w:rsidR="00405538" w:rsidRPr="00B10FD1">
        <w:rPr>
          <w:rFonts w:cs="Arial"/>
          <w:color w:val="000000" w:themeColor="text1"/>
          <w:szCs w:val="24"/>
        </w:rPr>
        <w:t>d (</w:t>
      </w:r>
      <w:r w:rsidR="002D2609" w:rsidRPr="00B10FD1">
        <w:rPr>
          <w:rFonts w:cs="Arial"/>
          <w:color w:val="000000" w:themeColor="text1"/>
          <w:szCs w:val="24"/>
        </w:rPr>
        <w:t>2022) reported, h</w:t>
      </w:r>
      <w:r w:rsidR="003D63CC" w:rsidRPr="00B10FD1">
        <w:rPr>
          <w:rFonts w:cs="Arial"/>
          <w:color w:val="000000" w:themeColor="text1"/>
          <w:szCs w:val="24"/>
        </w:rPr>
        <w:t>ealth and social care systems increasingly rely on digital platforms for appointments, prescriptions, consultations, and care coordination. Without digital inclusion, older people are at a disadvantage in terms of accessing equitable care and maintaining autonomy.</w:t>
      </w:r>
    </w:p>
    <w:p w14:paraId="20740E95" w14:textId="77777777" w:rsidR="00CB045D" w:rsidRPr="00B10FD1" w:rsidRDefault="00CB045D" w:rsidP="00CB045D">
      <w:pPr>
        <w:spacing w:before="120" w:after="120" w:line="360" w:lineRule="auto"/>
        <w:jc w:val="both"/>
        <w:rPr>
          <w:rFonts w:cs="Arial"/>
          <w:color w:val="000000" w:themeColor="text1"/>
          <w:szCs w:val="24"/>
        </w:rPr>
      </w:pPr>
      <w:r w:rsidRPr="00B10FD1">
        <w:rPr>
          <w:rFonts w:cs="Arial"/>
        </w:rPr>
        <w:t>Given the national scale of exclusion, 2.4.2 next review the policy and regulatory instruments designed to promote equitable digital access.</w:t>
      </w:r>
    </w:p>
    <w:p w14:paraId="1F603F1A" w14:textId="77777777" w:rsidR="003D63CC" w:rsidRPr="00B10FD1" w:rsidRDefault="005E3A3B" w:rsidP="006240B2">
      <w:pPr>
        <w:pStyle w:val="Heading3"/>
        <w:spacing w:before="120" w:beforeAutospacing="0" w:after="120" w:afterAutospacing="0" w:line="360" w:lineRule="auto"/>
        <w:jc w:val="both"/>
        <w:rPr>
          <w:rFonts w:ascii="Arial" w:hAnsi="Arial" w:cs="Arial"/>
          <w:color w:val="000000" w:themeColor="text1"/>
        </w:rPr>
      </w:pPr>
      <w:bookmarkStart w:id="17" w:name="_Toc209284752"/>
      <w:r w:rsidRPr="00B10FD1">
        <w:rPr>
          <w:rFonts w:ascii="Arial" w:hAnsi="Arial" w:cs="Arial"/>
          <w:color w:val="000000" w:themeColor="text1"/>
        </w:rPr>
        <w:t>2.4</w:t>
      </w:r>
      <w:r w:rsidR="00701C79" w:rsidRPr="00B10FD1">
        <w:rPr>
          <w:rFonts w:ascii="Arial" w:hAnsi="Arial" w:cs="Arial"/>
          <w:color w:val="000000" w:themeColor="text1"/>
        </w:rPr>
        <w:t xml:space="preserve">.2 </w:t>
      </w:r>
      <w:r w:rsidR="00C55A27" w:rsidRPr="00B10FD1">
        <w:rPr>
          <w:rFonts w:ascii="Arial" w:hAnsi="Arial" w:cs="Arial"/>
          <w:color w:val="000000" w:themeColor="text1"/>
        </w:rPr>
        <w:t>Policy and Regulation</w:t>
      </w:r>
      <w:bookmarkEnd w:id="17"/>
    </w:p>
    <w:p w14:paraId="4A617B2C" w14:textId="77777777" w:rsidR="003D63CC" w:rsidRPr="00B10FD1" w:rsidRDefault="003D63CC" w:rsidP="006240B2">
      <w:pPr>
        <w:spacing w:before="120" w:after="120" w:line="360" w:lineRule="auto"/>
        <w:jc w:val="both"/>
        <w:rPr>
          <w:rFonts w:eastAsia="Times New Roman" w:cs="Arial"/>
          <w:color w:val="000000" w:themeColor="text1"/>
          <w:szCs w:val="24"/>
        </w:rPr>
      </w:pPr>
      <w:r w:rsidRPr="00B10FD1">
        <w:rPr>
          <w:rFonts w:cs="Arial"/>
          <w:color w:val="000000" w:themeColor="text1"/>
          <w:szCs w:val="24"/>
        </w:rPr>
        <w:t>The UK government has introduced several strategies to address digital exclusion. The UK Digital Strategy (2022) promotes digital skills for all citizens and supports infrastructure development. Specific to older adults, the Digital Inclusion Strategy and the Good Things Foundation’s "Digital Lifeline" programme aim to provide digital devices and training</w:t>
      </w:r>
      <w:r w:rsidR="00873CFB" w:rsidRPr="00B10FD1">
        <w:rPr>
          <w:rFonts w:cs="Arial"/>
          <w:color w:val="000000" w:themeColor="text1"/>
          <w:szCs w:val="24"/>
        </w:rPr>
        <w:t xml:space="preserve"> </w:t>
      </w:r>
      <w:r w:rsidR="00873CFB" w:rsidRPr="00B10FD1">
        <w:rPr>
          <w:rFonts w:eastAsia="Times New Roman" w:cs="Arial"/>
          <w:color w:val="000000" w:themeColor="text1"/>
          <w:szCs w:val="24"/>
        </w:rPr>
        <w:t>(Department for Digital, Culture, Media &amp; Sport, 2022</w:t>
      </w:r>
      <w:r w:rsidR="00CC41EA">
        <w:rPr>
          <w:rFonts w:eastAsia="Times New Roman" w:cs="Arial"/>
          <w:color w:val="000000" w:themeColor="text1"/>
          <w:szCs w:val="24"/>
        </w:rPr>
        <w:t xml:space="preserve">; </w:t>
      </w:r>
      <w:r w:rsidR="00CC41EA" w:rsidRPr="00B10FD1">
        <w:rPr>
          <w:rFonts w:cs="Arial"/>
        </w:rPr>
        <w:t>Frontiers in Sociology</w:t>
      </w:r>
      <w:r w:rsidR="00CC41EA">
        <w:rPr>
          <w:rFonts w:cs="Arial"/>
        </w:rPr>
        <w:t>; 2023</w:t>
      </w:r>
      <w:r w:rsidR="00873CFB" w:rsidRPr="00B10FD1">
        <w:rPr>
          <w:rFonts w:eastAsia="Times New Roman" w:cs="Arial"/>
          <w:color w:val="000000" w:themeColor="text1"/>
          <w:szCs w:val="24"/>
        </w:rPr>
        <w:t>)</w:t>
      </w:r>
      <w:r w:rsidRPr="00B10FD1">
        <w:rPr>
          <w:rFonts w:cs="Arial"/>
          <w:color w:val="000000" w:themeColor="text1"/>
          <w:szCs w:val="24"/>
        </w:rPr>
        <w:t>. Additiona</w:t>
      </w:r>
      <w:r w:rsidR="00BC6289" w:rsidRPr="00B10FD1">
        <w:rPr>
          <w:rFonts w:cs="Arial"/>
          <w:color w:val="000000" w:themeColor="text1"/>
          <w:szCs w:val="24"/>
        </w:rPr>
        <w:t>lly, the NHS Long Term Plan (2023</w:t>
      </w:r>
      <w:r w:rsidRPr="00B10FD1">
        <w:rPr>
          <w:rFonts w:cs="Arial"/>
          <w:color w:val="000000" w:themeColor="text1"/>
          <w:szCs w:val="24"/>
        </w:rPr>
        <w:t>) acknowledges the importance of digital transformation and commits to supporting patients in accessing online services, with an emphasis on inclusivity.</w:t>
      </w:r>
    </w:p>
    <w:p w14:paraId="18BF1FB4" w14:textId="77777777" w:rsidR="002216BD" w:rsidRPr="00B10FD1" w:rsidRDefault="003D63CC" w:rsidP="002216BD">
      <w:pPr>
        <w:spacing w:before="120" w:after="120" w:line="360" w:lineRule="auto"/>
        <w:jc w:val="both"/>
        <w:rPr>
          <w:rFonts w:cs="Arial"/>
          <w:color w:val="000000" w:themeColor="text1"/>
          <w:szCs w:val="24"/>
        </w:rPr>
      </w:pPr>
      <w:r w:rsidRPr="00B10FD1">
        <w:rPr>
          <w:rFonts w:cs="Arial"/>
          <w:color w:val="000000" w:themeColor="text1"/>
          <w:szCs w:val="24"/>
        </w:rPr>
        <w:t xml:space="preserve">In terms of regulation, the Equality Act 2010 plays a crucial role in ensuring that public services make reasonable adjustments for people who are digitally excluded, including older adults. </w:t>
      </w:r>
      <w:r w:rsidR="00976CAA" w:rsidRPr="00B10FD1">
        <w:rPr>
          <w:rFonts w:cs="Arial"/>
          <w:color w:val="000000" w:themeColor="text1"/>
          <w:szCs w:val="24"/>
        </w:rPr>
        <w:t xml:space="preserve">The social care assessments estimate an improvement in digital access among local authorities, so </w:t>
      </w:r>
      <w:r w:rsidR="00976CAA" w:rsidRPr="00B10FD1">
        <w:rPr>
          <w:rFonts w:cs="Arial"/>
          <w:color w:val="000000" w:themeColor="text1"/>
          <w:szCs w:val="24"/>
        </w:rPr>
        <w:lastRenderedPageBreak/>
        <w:t>no older people are left behind (FRA, 2023). Notwithstanding these initiatives, critics as Coyle and Muhtar (2023) and Philip et al. (2017) emphasize that the policies do not focus on an effective application strategy, particularly to the oldest and most disadvantaged groups. Limited financing and capricious regional implementation are obstacles to an effective roll-out as well</w:t>
      </w:r>
      <w:r w:rsidRPr="00B10FD1">
        <w:rPr>
          <w:rFonts w:cs="Arial"/>
          <w:color w:val="000000" w:themeColor="text1"/>
          <w:szCs w:val="24"/>
        </w:rPr>
        <w:t>.</w:t>
      </w:r>
    </w:p>
    <w:p w14:paraId="772FF243" w14:textId="77777777" w:rsidR="002216BD" w:rsidRPr="00B10FD1" w:rsidRDefault="002216BD" w:rsidP="002216BD">
      <w:pPr>
        <w:spacing w:before="120" w:after="120" w:line="360" w:lineRule="auto"/>
        <w:jc w:val="both"/>
        <w:rPr>
          <w:rFonts w:cs="Arial"/>
          <w:color w:val="000000" w:themeColor="text1"/>
          <w:szCs w:val="24"/>
        </w:rPr>
      </w:pPr>
      <w:r w:rsidRPr="00B10FD1">
        <w:rPr>
          <w:rFonts w:cs="Arial"/>
        </w:rPr>
        <w:t>Policy commitments translate unevenly on the ground; section 2.4.3 explores local initiatives and place-based variations across the UK.</w:t>
      </w:r>
    </w:p>
    <w:p w14:paraId="056DE530" w14:textId="77777777" w:rsidR="003D63CC" w:rsidRPr="00B10FD1" w:rsidRDefault="005E3A3B" w:rsidP="006240B2">
      <w:pPr>
        <w:pStyle w:val="Heading3"/>
        <w:spacing w:before="120" w:beforeAutospacing="0" w:after="120" w:afterAutospacing="0" w:line="360" w:lineRule="auto"/>
        <w:jc w:val="both"/>
        <w:rPr>
          <w:rFonts w:ascii="Arial" w:hAnsi="Arial" w:cs="Arial"/>
          <w:color w:val="000000" w:themeColor="text1"/>
          <w:sz w:val="24"/>
          <w:szCs w:val="24"/>
        </w:rPr>
      </w:pPr>
      <w:bookmarkStart w:id="18" w:name="_Toc209284753"/>
      <w:r w:rsidRPr="00B10FD1">
        <w:rPr>
          <w:rFonts w:ascii="Arial" w:hAnsi="Arial" w:cs="Arial"/>
          <w:color w:val="000000" w:themeColor="text1"/>
        </w:rPr>
        <w:t>2.4</w:t>
      </w:r>
      <w:r w:rsidR="00701C79" w:rsidRPr="00B10FD1">
        <w:rPr>
          <w:rFonts w:ascii="Arial" w:hAnsi="Arial" w:cs="Arial"/>
          <w:color w:val="000000" w:themeColor="text1"/>
        </w:rPr>
        <w:t xml:space="preserve">.3 </w:t>
      </w:r>
      <w:r w:rsidR="00C55A27" w:rsidRPr="00B10FD1">
        <w:rPr>
          <w:rFonts w:ascii="Arial" w:hAnsi="Arial" w:cs="Arial"/>
          <w:color w:val="000000" w:themeColor="text1"/>
        </w:rPr>
        <w:t>Local Context</w:t>
      </w:r>
      <w:bookmarkEnd w:id="18"/>
    </w:p>
    <w:p w14:paraId="63FE04D4" w14:textId="77777777" w:rsidR="002216BD" w:rsidRPr="00B10FD1" w:rsidRDefault="00EB170E" w:rsidP="002216BD">
      <w:pPr>
        <w:spacing w:before="120" w:after="120" w:line="360" w:lineRule="auto"/>
        <w:jc w:val="both"/>
        <w:rPr>
          <w:rFonts w:cs="Arial"/>
          <w:color w:val="000000" w:themeColor="text1"/>
          <w:szCs w:val="24"/>
        </w:rPr>
      </w:pPr>
      <w:r w:rsidRPr="00B10FD1">
        <w:rPr>
          <w:rFonts w:cs="Arial"/>
          <w:color w:val="000000" w:themeColor="text1"/>
          <w:szCs w:val="24"/>
        </w:rPr>
        <w:t xml:space="preserve">Locally supported programs are rather different in different regions. As an example, the city council of Leeds introduced the 100% Digital Leeds initiative, which works in partnership with the community organisations to train older adults on the use of digital tools (Hearn, 2022). In the same spirit, in Glasgow, the Smart Cities programme collaborates with elderly citizens in establishing confidence and comfort with technology (Jentoft, 2023). Nonetheless there is a problem of regional unevenness. It is also common that rural regions have lower infrastructure capabilities like bad broadband, whereas the urban population might have an issue with the resources and outreach (Carpenter, 2019). When there are gaps, charities and voluntary organisations may come to the rescue providing people with one-on-one assistance, but their possibilities are limited to local fundings and volunteer activities (AGE Platform Europe, 2019). In brief, the UK has </w:t>
      </w:r>
      <w:r w:rsidR="002216BD" w:rsidRPr="00B10FD1">
        <w:rPr>
          <w:rFonts w:cs="Arial"/>
          <w:color w:val="000000" w:themeColor="text1"/>
          <w:szCs w:val="24"/>
        </w:rPr>
        <w:t>realized</w:t>
      </w:r>
      <w:r w:rsidRPr="00B10FD1">
        <w:rPr>
          <w:rFonts w:cs="Arial"/>
          <w:color w:val="000000" w:themeColor="text1"/>
          <w:szCs w:val="24"/>
        </w:rPr>
        <w:t xml:space="preserve"> the gravity of digital exclusion among the older adults even though implementing inclusive digital plans is inconsistent. They need to enhance cooperation among government, local authorities and the community organisations in order to develop the sustainable and scalable solutions which would support digital inclusion and mental well-being of all older adults</w:t>
      </w:r>
      <w:r w:rsidR="003D63CC" w:rsidRPr="00B10FD1">
        <w:rPr>
          <w:rFonts w:cs="Arial"/>
          <w:color w:val="000000" w:themeColor="text1"/>
          <w:szCs w:val="24"/>
        </w:rPr>
        <w:t>.</w:t>
      </w:r>
    </w:p>
    <w:p w14:paraId="230C212B" w14:textId="77777777" w:rsidR="00CB045D" w:rsidRPr="00B10FD1" w:rsidRDefault="002216BD" w:rsidP="002216BD">
      <w:pPr>
        <w:spacing w:before="120" w:after="120" w:line="360" w:lineRule="auto"/>
        <w:jc w:val="both"/>
        <w:rPr>
          <w:rFonts w:cs="Arial"/>
          <w:color w:val="000000" w:themeColor="text1"/>
          <w:szCs w:val="24"/>
        </w:rPr>
      </w:pPr>
      <w:r w:rsidRPr="00B10FD1">
        <w:rPr>
          <w:rFonts w:cs="Arial"/>
        </w:rPr>
        <w:t>With national and local contexts mapped, the section 2.5 synthesizes key insights to frame the study’s methodological choices.</w:t>
      </w:r>
    </w:p>
    <w:p w14:paraId="23613488" w14:textId="77777777" w:rsidR="00ED63F5" w:rsidRPr="00B10FD1" w:rsidRDefault="005E3A3B" w:rsidP="006240B2">
      <w:pPr>
        <w:pStyle w:val="Heading2"/>
        <w:spacing w:before="120" w:beforeAutospacing="0" w:after="120" w:afterAutospacing="0" w:line="360" w:lineRule="auto"/>
        <w:jc w:val="both"/>
        <w:rPr>
          <w:rFonts w:ascii="Arial" w:hAnsi="Arial" w:cs="Arial"/>
          <w:color w:val="000000" w:themeColor="text1"/>
        </w:rPr>
      </w:pPr>
      <w:bookmarkStart w:id="19" w:name="_Toc209284754"/>
      <w:r w:rsidRPr="00B10FD1">
        <w:rPr>
          <w:rFonts w:ascii="Arial" w:hAnsi="Arial" w:cs="Arial"/>
          <w:color w:val="000000" w:themeColor="text1"/>
        </w:rPr>
        <w:t>2.5</w:t>
      </w:r>
      <w:r w:rsidR="00ED63F5" w:rsidRPr="00B10FD1">
        <w:rPr>
          <w:rFonts w:ascii="Arial" w:hAnsi="Arial" w:cs="Arial"/>
          <w:color w:val="000000" w:themeColor="text1"/>
        </w:rPr>
        <w:t xml:space="preserve"> Conclusion</w:t>
      </w:r>
      <w:bookmarkEnd w:id="19"/>
    </w:p>
    <w:p w14:paraId="63290AF0" w14:textId="77777777" w:rsidR="00ED63F5" w:rsidRPr="00B10FD1" w:rsidRDefault="00607ACA"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In this chapter, history of digital exclusion and older people in the UK, especially those related to health and social care, have been discussed. Digital Divide Theory and the Social Ecological Model theoretical platforms have provided information on the relationship between individual, social, and structural barriers. A look at what other countries, such as Sweden, Australia and Singapore, are doing in response to digital exclusion, via coordinated policy responses, as well as consideration of UK national and local policy strategies, including NHS Digital and regional Age UK initiatives, demonstrated how gaps were being bridged. In spite of continuous efforts, accessibility, motivation, and digital skills issues still exist among the older populations</w:t>
      </w:r>
      <w:r w:rsidR="00ED63F5" w:rsidRPr="00B10FD1">
        <w:rPr>
          <w:rFonts w:ascii="Arial" w:hAnsi="Arial" w:cs="Arial"/>
          <w:color w:val="000000" w:themeColor="text1"/>
          <w:sz w:val="22"/>
        </w:rPr>
        <w:t>.</w:t>
      </w:r>
    </w:p>
    <w:p w14:paraId="3895889B" w14:textId="77777777" w:rsidR="00ED63F5" w:rsidRPr="00B10FD1" w:rsidRDefault="00ED63F5"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lastRenderedPageBreak/>
        <w:t xml:space="preserve">The insights gained from this chapter provide the contextual and theoretical </w:t>
      </w:r>
      <w:r w:rsidR="00D76CB0" w:rsidRPr="00B10FD1">
        <w:rPr>
          <w:rFonts w:ascii="Arial" w:hAnsi="Arial" w:cs="Arial"/>
          <w:color w:val="000000" w:themeColor="text1"/>
          <w:sz w:val="22"/>
        </w:rPr>
        <w:t xml:space="preserve">foundation for the next chapter, Methodology, </w:t>
      </w:r>
      <w:r w:rsidRPr="00B10FD1">
        <w:rPr>
          <w:rFonts w:ascii="Arial" w:hAnsi="Arial" w:cs="Arial"/>
          <w:color w:val="000000" w:themeColor="text1"/>
          <w:sz w:val="22"/>
        </w:rPr>
        <w:t>which will outline the systematic review approach employed in this study. The understanding of past research and global trends will inform the inclusion criteria, search strategies, and thematic analysis used to examine qualitative evidence on the mental health impacts of digital exclusion.</w:t>
      </w:r>
    </w:p>
    <w:p w14:paraId="5BA67FF8" w14:textId="77777777" w:rsidR="00ED63F5" w:rsidRPr="00B10FD1" w:rsidRDefault="00ED63F5" w:rsidP="006240B2">
      <w:pPr>
        <w:spacing w:before="120" w:after="120" w:line="360" w:lineRule="auto"/>
        <w:jc w:val="both"/>
        <w:rPr>
          <w:rFonts w:eastAsia="Times New Roman" w:cs="Arial"/>
          <w:color w:val="000000" w:themeColor="text1"/>
          <w:sz w:val="24"/>
          <w:szCs w:val="24"/>
        </w:rPr>
      </w:pPr>
    </w:p>
    <w:p w14:paraId="1D8828E2" w14:textId="77777777" w:rsidR="00C47B29" w:rsidRPr="00B10FD1" w:rsidRDefault="00C47B29" w:rsidP="006240B2">
      <w:pPr>
        <w:pStyle w:val="NormalWeb"/>
        <w:spacing w:before="120" w:beforeAutospacing="0" w:after="120" w:afterAutospacing="0" w:line="360" w:lineRule="auto"/>
        <w:jc w:val="both"/>
        <w:rPr>
          <w:rFonts w:ascii="Arial" w:hAnsi="Arial" w:cs="Arial"/>
          <w:color w:val="000000" w:themeColor="text1"/>
        </w:rPr>
      </w:pPr>
    </w:p>
    <w:p w14:paraId="0B952D23" w14:textId="77777777" w:rsidR="003E2889" w:rsidRPr="00B10FD1" w:rsidRDefault="003E2889" w:rsidP="006240B2">
      <w:pPr>
        <w:pStyle w:val="NormalWeb"/>
        <w:spacing w:before="120" w:beforeAutospacing="0" w:after="120" w:afterAutospacing="0" w:line="360" w:lineRule="auto"/>
        <w:jc w:val="both"/>
        <w:rPr>
          <w:rFonts w:ascii="Arial" w:hAnsi="Arial" w:cs="Arial"/>
          <w:color w:val="000000" w:themeColor="text1"/>
        </w:rPr>
      </w:pPr>
    </w:p>
    <w:p w14:paraId="74F152AE" w14:textId="77777777" w:rsidR="0008102E" w:rsidRPr="00B10FD1" w:rsidRDefault="0008102E" w:rsidP="006240B2">
      <w:pPr>
        <w:pStyle w:val="NormalWeb"/>
        <w:spacing w:before="120" w:beforeAutospacing="0" w:after="120" w:afterAutospacing="0" w:line="360" w:lineRule="auto"/>
        <w:jc w:val="both"/>
        <w:rPr>
          <w:rFonts w:ascii="Arial" w:hAnsi="Arial" w:cs="Arial"/>
          <w:color w:val="000000" w:themeColor="text1"/>
        </w:rPr>
      </w:pPr>
    </w:p>
    <w:p w14:paraId="68FDDB8A" w14:textId="77777777" w:rsidR="0008102E" w:rsidRPr="00B10FD1" w:rsidRDefault="0008102E" w:rsidP="006240B2">
      <w:pPr>
        <w:pStyle w:val="NormalWeb"/>
        <w:spacing w:before="120" w:beforeAutospacing="0" w:after="120" w:afterAutospacing="0" w:line="360" w:lineRule="auto"/>
        <w:jc w:val="both"/>
        <w:rPr>
          <w:rFonts w:ascii="Arial" w:hAnsi="Arial" w:cs="Arial"/>
          <w:color w:val="000000" w:themeColor="text1"/>
        </w:rPr>
      </w:pPr>
    </w:p>
    <w:p w14:paraId="6DDC208F" w14:textId="77777777" w:rsidR="0008102E" w:rsidRPr="00B10FD1" w:rsidRDefault="0008102E" w:rsidP="006240B2">
      <w:pPr>
        <w:pStyle w:val="NormalWeb"/>
        <w:spacing w:before="120" w:beforeAutospacing="0" w:after="120" w:afterAutospacing="0" w:line="360" w:lineRule="auto"/>
        <w:jc w:val="both"/>
        <w:rPr>
          <w:rFonts w:ascii="Arial" w:hAnsi="Arial" w:cs="Arial"/>
          <w:color w:val="000000" w:themeColor="text1"/>
        </w:rPr>
      </w:pPr>
    </w:p>
    <w:p w14:paraId="30DA0F94" w14:textId="77777777" w:rsidR="00715BEC" w:rsidRPr="00B10FD1" w:rsidRDefault="00715BEC" w:rsidP="006240B2">
      <w:pPr>
        <w:pStyle w:val="NormalWeb"/>
        <w:spacing w:before="120" w:beforeAutospacing="0" w:after="120" w:afterAutospacing="0" w:line="360" w:lineRule="auto"/>
        <w:jc w:val="both"/>
        <w:rPr>
          <w:rFonts w:ascii="Arial" w:hAnsi="Arial" w:cs="Arial"/>
          <w:color w:val="000000" w:themeColor="text1"/>
        </w:rPr>
      </w:pPr>
    </w:p>
    <w:p w14:paraId="38945D89" w14:textId="77777777" w:rsidR="00715BEC" w:rsidRPr="00B10FD1" w:rsidRDefault="00715BEC" w:rsidP="006240B2">
      <w:pPr>
        <w:pStyle w:val="NormalWeb"/>
        <w:spacing w:before="120" w:beforeAutospacing="0" w:after="120" w:afterAutospacing="0" w:line="360" w:lineRule="auto"/>
        <w:jc w:val="both"/>
        <w:rPr>
          <w:rFonts w:ascii="Arial" w:hAnsi="Arial" w:cs="Arial"/>
          <w:color w:val="000000" w:themeColor="text1"/>
        </w:rPr>
      </w:pPr>
    </w:p>
    <w:p w14:paraId="2ED51029" w14:textId="77777777" w:rsidR="00715BEC" w:rsidRPr="00B10FD1" w:rsidRDefault="00715BEC" w:rsidP="006240B2">
      <w:pPr>
        <w:pStyle w:val="NormalWeb"/>
        <w:spacing w:before="120" w:beforeAutospacing="0" w:after="120" w:afterAutospacing="0" w:line="360" w:lineRule="auto"/>
        <w:jc w:val="both"/>
        <w:rPr>
          <w:rFonts w:ascii="Arial" w:hAnsi="Arial" w:cs="Arial"/>
          <w:color w:val="000000" w:themeColor="text1"/>
        </w:rPr>
      </w:pPr>
    </w:p>
    <w:p w14:paraId="3ED9C1FF" w14:textId="77777777" w:rsidR="00715BEC" w:rsidRPr="00B10FD1" w:rsidRDefault="00715BEC" w:rsidP="006240B2">
      <w:pPr>
        <w:pStyle w:val="NormalWeb"/>
        <w:spacing w:before="120" w:beforeAutospacing="0" w:after="120" w:afterAutospacing="0" w:line="360" w:lineRule="auto"/>
        <w:jc w:val="both"/>
        <w:rPr>
          <w:rFonts w:ascii="Arial" w:hAnsi="Arial" w:cs="Arial"/>
          <w:color w:val="000000" w:themeColor="text1"/>
        </w:rPr>
      </w:pPr>
    </w:p>
    <w:p w14:paraId="42F429F4" w14:textId="77777777" w:rsidR="00715BEC" w:rsidRPr="00B10FD1" w:rsidRDefault="00715BEC" w:rsidP="006240B2">
      <w:pPr>
        <w:pStyle w:val="NormalWeb"/>
        <w:spacing w:before="120" w:beforeAutospacing="0" w:after="120" w:afterAutospacing="0" w:line="360" w:lineRule="auto"/>
        <w:jc w:val="both"/>
        <w:rPr>
          <w:rFonts w:ascii="Arial" w:hAnsi="Arial" w:cs="Arial"/>
          <w:color w:val="000000" w:themeColor="text1"/>
        </w:rPr>
      </w:pPr>
    </w:p>
    <w:p w14:paraId="2BFA5912" w14:textId="77777777" w:rsidR="00715BEC" w:rsidRPr="00B10FD1" w:rsidRDefault="00715BEC" w:rsidP="006240B2">
      <w:pPr>
        <w:pStyle w:val="NormalWeb"/>
        <w:spacing w:before="120" w:beforeAutospacing="0" w:after="120" w:afterAutospacing="0" w:line="360" w:lineRule="auto"/>
        <w:jc w:val="both"/>
        <w:rPr>
          <w:rFonts w:ascii="Arial" w:hAnsi="Arial" w:cs="Arial"/>
          <w:color w:val="000000" w:themeColor="text1"/>
        </w:rPr>
      </w:pPr>
    </w:p>
    <w:p w14:paraId="3E37E2CD" w14:textId="77777777" w:rsidR="00715BEC" w:rsidRPr="00B10FD1" w:rsidRDefault="00715BEC" w:rsidP="006240B2">
      <w:pPr>
        <w:pStyle w:val="NormalWeb"/>
        <w:spacing w:before="120" w:beforeAutospacing="0" w:after="120" w:afterAutospacing="0" w:line="360" w:lineRule="auto"/>
        <w:jc w:val="both"/>
        <w:rPr>
          <w:rFonts w:ascii="Arial" w:hAnsi="Arial" w:cs="Arial"/>
          <w:color w:val="000000" w:themeColor="text1"/>
        </w:rPr>
      </w:pPr>
    </w:p>
    <w:p w14:paraId="0104B575" w14:textId="77777777" w:rsidR="00715BEC" w:rsidRPr="00B10FD1" w:rsidRDefault="00715BEC" w:rsidP="006240B2">
      <w:pPr>
        <w:pStyle w:val="NormalWeb"/>
        <w:spacing w:before="120" w:beforeAutospacing="0" w:after="120" w:afterAutospacing="0" w:line="360" w:lineRule="auto"/>
        <w:jc w:val="both"/>
        <w:rPr>
          <w:rFonts w:ascii="Arial" w:hAnsi="Arial" w:cs="Arial"/>
          <w:color w:val="000000" w:themeColor="text1"/>
        </w:rPr>
      </w:pPr>
    </w:p>
    <w:p w14:paraId="2CB1FAF5" w14:textId="77777777" w:rsidR="00715BEC" w:rsidRPr="00B10FD1" w:rsidRDefault="00715BEC" w:rsidP="006240B2">
      <w:pPr>
        <w:pStyle w:val="NormalWeb"/>
        <w:spacing w:before="120" w:beforeAutospacing="0" w:after="120" w:afterAutospacing="0" w:line="360" w:lineRule="auto"/>
        <w:jc w:val="both"/>
        <w:rPr>
          <w:rFonts w:ascii="Arial" w:hAnsi="Arial" w:cs="Arial"/>
          <w:color w:val="000000" w:themeColor="text1"/>
        </w:rPr>
      </w:pPr>
    </w:p>
    <w:p w14:paraId="42F55E59" w14:textId="77777777" w:rsidR="00715BEC" w:rsidRPr="00B10FD1" w:rsidRDefault="00715BEC" w:rsidP="006240B2">
      <w:pPr>
        <w:pStyle w:val="NormalWeb"/>
        <w:spacing w:before="120" w:beforeAutospacing="0" w:after="120" w:afterAutospacing="0" w:line="360" w:lineRule="auto"/>
        <w:jc w:val="both"/>
        <w:rPr>
          <w:rFonts w:ascii="Arial" w:hAnsi="Arial" w:cs="Arial"/>
          <w:color w:val="000000" w:themeColor="text1"/>
        </w:rPr>
      </w:pPr>
    </w:p>
    <w:p w14:paraId="5A315D66" w14:textId="77777777" w:rsidR="00715BEC" w:rsidRPr="00B10FD1" w:rsidRDefault="00715BEC" w:rsidP="006240B2">
      <w:pPr>
        <w:pStyle w:val="NormalWeb"/>
        <w:spacing w:before="120" w:beforeAutospacing="0" w:after="120" w:afterAutospacing="0" w:line="360" w:lineRule="auto"/>
        <w:jc w:val="both"/>
        <w:rPr>
          <w:rFonts w:ascii="Arial" w:hAnsi="Arial" w:cs="Arial"/>
          <w:color w:val="000000" w:themeColor="text1"/>
        </w:rPr>
      </w:pPr>
    </w:p>
    <w:p w14:paraId="32D90B24" w14:textId="77777777" w:rsidR="00715BEC" w:rsidRPr="00B10FD1" w:rsidRDefault="00715BEC" w:rsidP="006240B2">
      <w:pPr>
        <w:pStyle w:val="NormalWeb"/>
        <w:spacing w:before="120" w:beforeAutospacing="0" w:after="120" w:afterAutospacing="0" w:line="360" w:lineRule="auto"/>
        <w:jc w:val="both"/>
        <w:rPr>
          <w:rFonts w:ascii="Arial" w:hAnsi="Arial" w:cs="Arial"/>
          <w:color w:val="000000" w:themeColor="text1"/>
        </w:rPr>
      </w:pPr>
    </w:p>
    <w:p w14:paraId="4B8D2BEF" w14:textId="77777777" w:rsidR="00596393" w:rsidRPr="00B10FD1" w:rsidRDefault="00596393" w:rsidP="006240B2">
      <w:pPr>
        <w:pStyle w:val="NormalWeb"/>
        <w:spacing w:before="120" w:beforeAutospacing="0" w:after="120" w:afterAutospacing="0" w:line="360" w:lineRule="auto"/>
        <w:jc w:val="both"/>
        <w:rPr>
          <w:rFonts w:ascii="Arial" w:hAnsi="Arial" w:cs="Arial"/>
          <w:color w:val="000000" w:themeColor="text1"/>
        </w:rPr>
      </w:pPr>
    </w:p>
    <w:p w14:paraId="01DB5116" w14:textId="77777777" w:rsidR="00596393" w:rsidRPr="00B10FD1" w:rsidRDefault="00596393" w:rsidP="001725E3">
      <w:pPr>
        <w:pStyle w:val="Heading1"/>
        <w:spacing w:before="120" w:after="120" w:line="360" w:lineRule="auto"/>
        <w:jc w:val="center"/>
        <w:rPr>
          <w:rFonts w:ascii="Arial" w:hAnsi="Arial" w:cs="Arial"/>
          <w:b/>
          <w:color w:val="000000" w:themeColor="text1"/>
        </w:rPr>
      </w:pPr>
      <w:bookmarkStart w:id="20" w:name="_Toc209284755"/>
      <w:r w:rsidRPr="00B10FD1">
        <w:rPr>
          <w:rFonts w:ascii="Arial" w:hAnsi="Arial" w:cs="Arial"/>
          <w:b/>
          <w:color w:val="000000" w:themeColor="text1"/>
        </w:rPr>
        <w:lastRenderedPageBreak/>
        <w:t>CHAPTER 3: Methodology</w:t>
      </w:r>
      <w:bookmarkEnd w:id="20"/>
    </w:p>
    <w:p w14:paraId="55C263A0" w14:textId="77777777" w:rsidR="00560154" w:rsidRPr="00B10FD1" w:rsidRDefault="00560154" w:rsidP="006240B2">
      <w:pPr>
        <w:spacing w:before="120" w:after="120" w:line="360" w:lineRule="auto"/>
        <w:jc w:val="both"/>
        <w:rPr>
          <w:rFonts w:eastAsia="Times New Roman" w:cs="Arial"/>
          <w:color w:val="000000" w:themeColor="text1"/>
          <w:szCs w:val="24"/>
        </w:rPr>
      </w:pPr>
      <w:r w:rsidRPr="00B10FD1">
        <w:rPr>
          <w:rFonts w:eastAsia="Times New Roman" w:cs="Arial"/>
          <w:color w:val="000000" w:themeColor="text1"/>
          <w:szCs w:val="24"/>
        </w:rPr>
        <w:t xml:space="preserve">The academic poster was professionally designed and formatted </w:t>
      </w:r>
      <w:r w:rsidR="00207EA2">
        <w:rPr>
          <w:rFonts w:eastAsia="Times New Roman" w:cs="Arial"/>
          <w:color w:val="000000" w:themeColor="text1"/>
          <w:szCs w:val="24"/>
        </w:rPr>
        <w:t xml:space="preserve">below. It is also designed </w:t>
      </w:r>
      <w:r w:rsidRPr="00B10FD1">
        <w:rPr>
          <w:rFonts w:eastAsia="Times New Roman" w:cs="Arial"/>
          <w:color w:val="000000" w:themeColor="text1"/>
          <w:szCs w:val="24"/>
        </w:rPr>
        <w:t>in Canva to ensure visual clarity and consistency with scholarly standards. High-resolution export files (PDF) have been prepared for print and digital use. Please refer to the attached Canva export for review and dissemination.</w:t>
      </w:r>
    </w:p>
    <w:p w14:paraId="1D74D888" w14:textId="77777777" w:rsidR="00560154" w:rsidRPr="00B10FD1" w:rsidRDefault="00560154" w:rsidP="00207EA2">
      <w:pPr>
        <w:spacing w:before="120" w:after="120" w:line="360" w:lineRule="auto"/>
        <w:jc w:val="center"/>
        <w:rPr>
          <w:rFonts w:eastAsia="Times New Roman" w:cs="Arial"/>
          <w:color w:val="000000" w:themeColor="text1"/>
          <w:sz w:val="24"/>
          <w:szCs w:val="24"/>
        </w:rPr>
      </w:pPr>
      <w:r w:rsidRPr="00B10FD1">
        <w:rPr>
          <w:rFonts w:eastAsia="Times New Roman" w:cs="Arial"/>
          <w:color w:val="000000" w:themeColor="text1"/>
          <w:sz w:val="24"/>
          <w:szCs w:val="24"/>
        </w:rPr>
        <w:object w:dxaOrig="1261" w:dyaOrig="816" w14:anchorId="497E7A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15pt;height:41pt" o:ole="">
            <v:imagedata r:id="rId9" o:title=""/>
          </v:shape>
          <o:OLEObject Type="Embed" ProgID="Package" ShapeID="_x0000_i1025" DrawAspect="Content" ObjectID="_1825830311" r:id="rId10"/>
        </w:object>
      </w:r>
    </w:p>
    <w:p w14:paraId="26A39700" w14:textId="77777777" w:rsidR="00796CCD" w:rsidRDefault="00715BEC" w:rsidP="00715BEC">
      <w:pPr>
        <w:pStyle w:val="NormalWeb"/>
        <w:spacing w:line="360" w:lineRule="auto"/>
        <w:jc w:val="both"/>
        <w:rPr>
          <w:rFonts w:ascii="Arial" w:hAnsi="Arial" w:cs="Arial"/>
          <w:sz w:val="22"/>
        </w:rPr>
      </w:pPr>
      <w:r w:rsidRPr="00B10FD1">
        <w:rPr>
          <w:rFonts w:ascii="Arial" w:hAnsi="Arial" w:cs="Arial"/>
          <w:sz w:val="22"/>
        </w:rPr>
        <w:t>With the dissemination materials prepared, section 3.1 turn to the methodological foundations underpinning the review.</w:t>
      </w:r>
    </w:p>
    <w:p w14:paraId="6CE49A50" w14:textId="77777777" w:rsidR="00C136AA" w:rsidRDefault="00C136AA" w:rsidP="00380FCB">
      <w:pPr>
        <w:pStyle w:val="NormalWeb"/>
        <w:spacing w:before="0" w:beforeAutospacing="0" w:after="0" w:afterAutospacing="0"/>
        <w:jc w:val="center"/>
        <w:rPr>
          <w:rFonts w:ascii="Arial" w:hAnsi="Arial" w:cs="Arial"/>
          <w:b/>
          <w:color w:val="0070C0"/>
          <w:sz w:val="36"/>
        </w:rPr>
        <w:sectPr w:rsidR="00C136AA" w:rsidSect="00214C3A">
          <w:footerReference w:type="default" r:id="rId11"/>
          <w:pgSz w:w="12240" w:h="15840"/>
          <w:pgMar w:top="1440" w:right="1440" w:bottom="1440" w:left="1440" w:header="720" w:footer="720" w:gutter="0"/>
          <w:cols w:space="720"/>
          <w:docGrid w:linePitch="360"/>
        </w:sectPr>
      </w:pPr>
    </w:p>
    <w:tbl>
      <w:tblPr>
        <w:tblStyle w:val="TableGrid"/>
        <w:tblW w:w="15246" w:type="dxa"/>
        <w:tblInd w:w="-1085" w:type="dxa"/>
        <w:shd w:val="clear" w:color="auto" w:fill="D9E2F3" w:themeFill="accent5" w:themeFillTint="33"/>
        <w:tblLook w:val="04A0" w:firstRow="1" w:lastRow="0" w:firstColumn="1" w:lastColumn="0" w:noHBand="0" w:noVBand="1"/>
      </w:tblPr>
      <w:tblGrid>
        <w:gridCol w:w="7544"/>
        <w:gridCol w:w="7702"/>
      </w:tblGrid>
      <w:tr w:rsidR="00C136AA" w:rsidRPr="00C71283" w14:paraId="50F3D763" w14:textId="77777777" w:rsidTr="00537883">
        <w:trPr>
          <w:trHeight w:val="597"/>
        </w:trPr>
        <w:tc>
          <w:tcPr>
            <w:tcW w:w="15246" w:type="dxa"/>
            <w:gridSpan w:val="2"/>
            <w:shd w:val="clear" w:color="auto" w:fill="D9E2F3" w:themeFill="accent5" w:themeFillTint="33"/>
            <w:vAlign w:val="center"/>
          </w:tcPr>
          <w:p w14:paraId="1900DB90" w14:textId="77777777" w:rsidR="00C136AA" w:rsidRPr="00C71283" w:rsidRDefault="00C136AA" w:rsidP="00380FCB">
            <w:pPr>
              <w:pStyle w:val="NormalWeb"/>
              <w:spacing w:before="0" w:beforeAutospacing="0" w:after="0" w:afterAutospacing="0"/>
              <w:jc w:val="center"/>
              <w:rPr>
                <w:rFonts w:ascii="Arial" w:hAnsi="Arial" w:cs="Arial"/>
                <w:b/>
              </w:rPr>
            </w:pPr>
            <w:r w:rsidRPr="00C71283">
              <w:rPr>
                <w:rFonts w:ascii="Arial" w:hAnsi="Arial" w:cs="Arial"/>
                <w:b/>
                <w:color w:val="0070C0"/>
                <w:sz w:val="36"/>
              </w:rPr>
              <w:lastRenderedPageBreak/>
              <w:t>The Impact of Social Isolation on the Mental Health of Older Adults in the UK: A Systematic Review of Qualitative Evidence</w:t>
            </w:r>
          </w:p>
        </w:tc>
      </w:tr>
      <w:tr w:rsidR="0069489B" w:rsidRPr="00C71283" w14:paraId="19BF2336" w14:textId="77777777" w:rsidTr="00537883">
        <w:trPr>
          <w:trHeight w:val="1856"/>
        </w:trPr>
        <w:tc>
          <w:tcPr>
            <w:tcW w:w="7544" w:type="dxa"/>
            <w:shd w:val="clear" w:color="auto" w:fill="D9E2F3" w:themeFill="accent5" w:themeFillTint="33"/>
          </w:tcPr>
          <w:p w14:paraId="359AD405" w14:textId="77777777" w:rsidR="00C136AA" w:rsidRPr="00C71283" w:rsidRDefault="00C136AA" w:rsidP="00537883">
            <w:pPr>
              <w:jc w:val="both"/>
              <w:rPr>
                <w:rFonts w:cs="Arial"/>
                <w:b/>
                <w:bCs/>
              </w:rPr>
            </w:pPr>
            <w:r w:rsidRPr="00C71283">
              <w:rPr>
                <w:rFonts w:cs="Arial"/>
                <w:b/>
                <w:bCs/>
                <w:color w:val="0070C0"/>
                <w:sz w:val="40"/>
                <w:szCs w:val="40"/>
              </w:rPr>
              <w:t>01</w:t>
            </w:r>
            <w:r w:rsidRPr="00C71283">
              <w:rPr>
                <w:rFonts w:cs="Arial"/>
                <w:color w:val="0070C0"/>
              </w:rPr>
              <w:t xml:space="preserve"> </w:t>
            </w:r>
            <w:r w:rsidRPr="00C71283">
              <w:rPr>
                <w:rFonts w:cs="Arial"/>
                <w:b/>
              </w:rPr>
              <w:t>Introduction</w:t>
            </w:r>
            <w:r w:rsidRPr="00C71283">
              <w:rPr>
                <w:rFonts w:cs="Arial"/>
                <w:b/>
                <w:bCs/>
              </w:rPr>
              <w:t xml:space="preserve"> and Research Aim </w:t>
            </w:r>
          </w:p>
          <w:p w14:paraId="0FC4A29B" w14:textId="77777777" w:rsidR="00C136AA" w:rsidRPr="00C71283" w:rsidRDefault="00C136AA" w:rsidP="00537883">
            <w:pPr>
              <w:pStyle w:val="NormalWeb"/>
              <w:spacing w:before="0" w:beforeAutospacing="0" w:after="0" w:afterAutospacing="0"/>
              <w:jc w:val="both"/>
              <w:rPr>
                <w:rFonts w:ascii="Arial" w:hAnsi="Arial" w:cs="Arial"/>
                <w:sz w:val="22"/>
              </w:rPr>
            </w:pPr>
            <w:r w:rsidRPr="00C71283">
              <w:rPr>
                <w:rFonts w:ascii="Arial" w:hAnsi="Arial" w:cs="Arial"/>
                <w:sz w:val="22"/>
              </w:rPr>
              <w:t xml:space="preserve">A methods chapter explains how evidence was located, appraised, and </w:t>
            </w:r>
            <w:proofErr w:type="spellStart"/>
            <w:r w:rsidRPr="00C71283">
              <w:rPr>
                <w:rFonts w:ascii="Arial" w:hAnsi="Arial" w:cs="Arial"/>
                <w:sz w:val="22"/>
              </w:rPr>
              <w:t>synthesised</w:t>
            </w:r>
            <w:proofErr w:type="spellEnd"/>
            <w:r w:rsidRPr="00C71283">
              <w:rPr>
                <w:rFonts w:ascii="Arial" w:hAnsi="Arial" w:cs="Arial"/>
                <w:sz w:val="22"/>
              </w:rPr>
              <w:t>. This poster outlines the search strategy, screening/selection, quality assurance, analysis, and ethics used in my qualitative-evidence review.</w:t>
            </w:r>
          </w:p>
          <w:p w14:paraId="059EBF2C" w14:textId="77777777" w:rsidR="00C136AA" w:rsidRPr="00C71283" w:rsidRDefault="00C136AA" w:rsidP="00537883">
            <w:pPr>
              <w:pStyle w:val="NormalWeb"/>
              <w:spacing w:before="0" w:beforeAutospacing="0" w:after="0" w:afterAutospacing="0"/>
              <w:jc w:val="both"/>
              <w:rPr>
                <w:rFonts w:ascii="Arial" w:hAnsi="Arial" w:cs="Arial"/>
              </w:rPr>
            </w:pPr>
            <w:r w:rsidRPr="00C71283">
              <w:rPr>
                <w:rFonts w:ascii="Arial" w:hAnsi="Arial" w:cs="Arial"/>
                <w:sz w:val="22"/>
              </w:rPr>
              <w:t>Aim: To examine how digital exclusion intersects with social isolation to affect the mental health and care experiences of UK older adults (≥60), and to identify effective inclusion responses (cf. Chapter 1).</w:t>
            </w:r>
          </w:p>
        </w:tc>
        <w:tc>
          <w:tcPr>
            <w:tcW w:w="7702" w:type="dxa"/>
            <w:shd w:val="clear" w:color="auto" w:fill="D9E2F3" w:themeFill="accent5" w:themeFillTint="33"/>
          </w:tcPr>
          <w:p w14:paraId="3618AA91" w14:textId="77777777" w:rsidR="00C136AA" w:rsidRPr="00C71283" w:rsidRDefault="00C136AA" w:rsidP="00537883">
            <w:pPr>
              <w:jc w:val="both"/>
              <w:rPr>
                <w:rFonts w:cs="Arial"/>
              </w:rPr>
            </w:pPr>
            <w:r w:rsidRPr="00C71283">
              <w:rPr>
                <w:rFonts w:cs="Arial"/>
                <w:b/>
                <w:bCs/>
                <w:color w:val="0070C0"/>
                <w:sz w:val="40"/>
                <w:szCs w:val="40"/>
              </w:rPr>
              <w:t>02</w:t>
            </w:r>
            <w:r w:rsidRPr="00C71283">
              <w:rPr>
                <w:rFonts w:cs="Arial"/>
                <w:b/>
                <w:bCs/>
                <w:sz w:val="40"/>
                <w:szCs w:val="40"/>
              </w:rPr>
              <w:t xml:space="preserve"> </w:t>
            </w:r>
            <w:r w:rsidRPr="00C71283">
              <w:rPr>
                <w:rFonts w:cs="Arial"/>
                <w:b/>
                <w:bCs/>
              </w:rPr>
              <w:t>Search Strategy</w:t>
            </w:r>
            <w:r w:rsidRPr="00C71283">
              <w:rPr>
                <w:rFonts w:cs="Arial"/>
              </w:rPr>
              <w:t xml:space="preserve"> </w:t>
            </w:r>
          </w:p>
          <w:p w14:paraId="6B543D43" w14:textId="77777777" w:rsidR="00C136AA" w:rsidRPr="00C71283" w:rsidRDefault="00C136AA" w:rsidP="00537883">
            <w:pPr>
              <w:pStyle w:val="NormalWeb"/>
              <w:spacing w:before="0" w:beforeAutospacing="0" w:after="0" w:afterAutospacing="0"/>
              <w:jc w:val="both"/>
              <w:rPr>
                <w:rFonts w:ascii="Arial" w:hAnsi="Arial" w:cs="Arial"/>
                <w:sz w:val="22"/>
                <w:lang w:val="en-GB"/>
              </w:rPr>
            </w:pPr>
            <w:r w:rsidRPr="00C71283">
              <w:rPr>
                <w:rFonts w:ascii="Arial" w:hAnsi="Arial" w:cs="Arial"/>
                <w:sz w:val="22"/>
              </w:rPr>
              <w:t>A search strategy is a transparent, planned set of steps (databases, terms, limits) used to retrieve relevant studies and reduce bias (Booth et al., 2016; Page et al., 2021). I combined controlled vocabulary and keywords across four domains, population, phenomena, digital context, and setting, tailored to each database, then applied English/peer-review and date limits (2015–2025)</w:t>
            </w:r>
            <w:r w:rsidRPr="00C71283">
              <w:rPr>
                <w:rFonts w:ascii="Arial" w:hAnsi="Arial" w:cs="Arial"/>
                <w:sz w:val="22"/>
                <w:lang w:val="en-GB"/>
              </w:rPr>
              <w:t>.</w:t>
            </w:r>
          </w:p>
        </w:tc>
      </w:tr>
      <w:tr w:rsidR="0069489B" w:rsidRPr="00C71283" w14:paraId="1EBB2124" w14:textId="77777777" w:rsidTr="00537883">
        <w:trPr>
          <w:trHeight w:val="1856"/>
        </w:trPr>
        <w:tc>
          <w:tcPr>
            <w:tcW w:w="7544" w:type="dxa"/>
            <w:shd w:val="clear" w:color="auto" w:fill="D9E2F3" w:themeFill="accent5" w:themeFillTint="33"/>
          </w:tcPr>
          <w:p w14:paraId="54B6896F" w14:textId="77777777" w:rsidR="00C136AA" w:rsidRPr="00C71283" w:rsidRDefault="00C136AA" w:rsidP="00537883">
            <w:pPr>
              <w:jc w:val="both"/>
              <w:rPr>
                <w:rFonts w:cs="Arial"/>
              </w:rPr>
            </w:pPr>
            <w:r w:rsidRPr="00C71283">
              <w:rPr>
                <w:rFonts w:cs="Arial"/>
                <w:b/>
                <w:bCs/>
                <w:color w:val="0070C0"/>
                <w:sz w:val="40"/>
              </w:rPr>
              <w:t>03</w:t>
            </w:r>
            <w:r w:rsidRPr="00C71283">
              <w:rPr>
                <w:rFonts w:cs="Arial"/>
                <w:color w:val="0070C0"/>
                <w:sz w:val="40"/>
              </w:rPr>
              <w:t xml:space="preserve"> </w:t>
            </w:r>
            <w:r w:rsidRPr="00C71283">
              <w:rPr>
                <w:rFonts w:cs="Arial"/>
                <w:b/>
                <w:bCs/>
              </w:rPr>
              <w:t>Searching for Information</w:t>
            </w:r>
            <w:r w:rsidRPr="00C71283">
              <w:rPr>
                <w:rFonts w:cs="Arial"/>
              </w:rPr>
              <w:t xml:space="preserve"> </w:t>
            </w:r>
          </w:p>
          <w:p w14:paraId="79C357B7" w14:textId="77777777" w:rsidR="00C136AA" w:rsidRPr="00C71283" w:rsidRDefault="00C136AA" w:rsidP="00537883">
            <w:pPr>
              <w:pStyle w:val="NormalWeb"/>
              <w:spacing w:before="0" w:beforeAutospacing="0" w:after="0" w:afterAutospacing="0"/>
              <w:jc w:val="both"/>
              <w:rPr>
                <w:rFonts w:ascii="Arial" w:hAnsi="Arial" w:cs="Arial"/>
                <w:b/>
                <w:sz w:val="22"/>
                <w:szCs w:val="22"/>
              </w:rPr>
            </w:pPr>
            <w:r w:rsidRPr="00C71283">
              <w:rPr>
                <w:rFonts w:ascii="Arial" w:hAnsi="Arial" w:cs="Arial"/>
                <w:b/>
                <w:sz w:val="22"/>
                <w:szCs w:val="22"/>
              </w:rPr>
              <w:t xml:space="preserve">Process: </w:t>
            </w:r>
          </w:p>
          <w:p w14:paraId="5608F300" w14:textId="77777777" w:rsidR="00C136AA" w:rsidRDefault="00C136AA" w:rsidP="00AC5B23">
            <w:pPr>
              <w:pStyle w:val="NormalWeb"/>
              <w:spacing w:before="0" w:beforeAutospacing="0" w:after="0" w:afterAutospacing="0"/>
              <w:jc w:val="center"/>
              <w:rPr>
                <w:rFonts w:ascii="Arial" w:hAnsi="Arial" w:cs="Arial"/>
                <w:b/>
                <w:sz w:val="22"/>
                <w:szCs w:val="22"/>
              </w:rPr>
            </w:pPr>
            <w:r w:rsidRPr="00C71283">
              <w:rPr>
                <w:rFonts w:ascii="Arial" w:hAnsi="Arial" w:cs="Arial"/>
                <w:noProof/>
                <w:color w:val="000000" w:themeColor="text1"/>
              </w:rPr>
              <w:drawing>
                <wp:inline distT="0" distB="0" distL="0" distR="0" wp14:anchorId="1422E08E" wp14:editId="190D5BE3">
                  <wp:extent cx="2735943" cy="3198656"/>
                  <wp:effectExtent l="76200" t="76200" r="140970" b="135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45046" cy="32092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5F3A04" w14:textId="77777777" w:rsidR="00AC5B23" w:rsidRPr="00AC5B23" w:rsidRDefault="00AC5B23" w:rsidP="00AC5B23">
            <w:pPr>
              <w:pStyle w:val="NormalWeb"/>
              <w:spacing w:before="0" w:beforeAutospacing="0" w:after="0" w:afterAutospacing="0"/>
              <w:jc w:val="both"/>
              <w:rPr>
                <w:rFonts w:ascii="Arial" w:hAnsi="Arial" w:cs="Arial"/>
                <w:sz w:val="22"/>
                <w:szCs w:val="22"/>
              </w:rPr>
            </w:pPr>
            <w:r w:rsidRPr="00C71283">
              <w:rPr>
                <w:rFonts w:ascii="Arial" w:hAnsi="Arial" w:cs="Arial"/>
                <w:b/>
                <w:sz w:val="22"/>
                <w:szCs w:val="22"/>
              </w:rPr>
              <w:lastRenderedPageBreak/>
              <w:t>Databases:</w:t>
            </w:r>
            <w:r w:rsidRPr="00C71283">
              <w:rPr>
                <w:rFonts w:ascii="Arial" w:hAnsi="Arial" w:cs="Arial"/>
                <w:sz w:val="22"/>
                <w:szCs w:val="22"/>
              </w:rPr>
              <w:t xml:space="preserve"> MEDLINE (PubMed), CINAHL, PsycINFO, Scopus, Web of Science Core Collection, ASSIA, </w:t>
            </w:r>
            <w:proofErr w:type="spellStart"/>
            <w:r w:rsidRPr="00C71283">
              <w:rPr>
                <w:rFonts w:ascii="Arial" w:hAnsi="Arial" w:cs="Arial"/>
                <w:sz w:val="22"/>
                <w:szCs w:val="22"/>
              </w:rPr>
              <w:t>SocINDEX</w:t>
            </w:r>
            <w:proofErr w:type="spellEnd"/>
            <w:r w:rsidRPr="00C71283">
              <w:rPr>
                <w:rFonts w:ascii="Arial" w:hAnsi="Arial" w:cs="Arial"/>
                <w:sz w:val="22"/>
                <w:szCs w:val="22"/>
              </w:rPr>
              <w:t>.</w:t>
            </w:r>
          </w:p>
          <w:p w14:paraId="50417E53" w14:textId="77777777" w:rsidR="00C136AA" w:rsidRPr="00FB2569" w:rsidRDefault="00C136AA" w:rsidP="00537883">
            <w:pPr>
              <w:pStyle w:val="NormalWeb"/>
              <w:spacing w:before="0" w:beforeAutospacing="0" w:after="0" w:afterAutospacing="0"/>
              <w:jc w:val="both"/>
              <w:rPr>
                <w:rFonts w:ascii="Arial" w:hAnsi="Arial" w:cs="Arial"/>
                <w:sz w:val="22"/>
                <w:szCs w:val="22"/>
              </w:rPr>
            </w:pPr>
            <w:r w:rsidRPr="00C71283">
              <w:rPr>
                <w:rFonts w:ascii="Arial" w:hAnsi="Arial" w:cs="Arial"/>
                <w:b/>
                <w:sz w:val="22"/>
                <w:szCs w:val="22"/>
              </w:rPr>
              <w:t>Core string (MEDLINE, adapted):</w:t>
            </w:r>
            <w:r w:rsidRPr="00C71283">
              <w:rPr>
                <w:rFonts w:ascii="Arial" w:hAnsi="Arial" w:cs="Arial"/>
                <w:sz w:val="22"/>
                <w:szCs w:val="22"/>
              </w:rPr>
              <w:t xml:space="preserve"> (“Aged”[</w:t>
            </w:r>
            <w:proofErr w:type="spellStart"/>
            <w:r w:rsidRPr="00C71283">
              <w:rPr>
                <w:rFonts w:ascii="Arial" w:hAnsi="Arial" w:cs="Arial"/>
                <w:sz w:val="22"/>
                <w:szCs w:val="22"/>
              </w:rPr>
              <w:t>MeSH</w:t>
            </w:r>
            <w:proofErr w:type="spellEnd"/>
            <w:r w:rsidRPr="00C71283">
              <w:rPr>
                <w:rFonts w:ascii="Arial" w:hAnsi="Arial" w:cs="Arial"/>
                <w:sz w:val="22"/>
                <w:szCs w:val="22"/>
              </w:rPr>
              <w:t xml:space="preserve">] OR “older adult*” OR elderly OR “aged 60+”) AND (“social isolation” OR </w:t>
            </w:r>
            <w:proofErr w:type="spellStart"/>
            <w:r w:rsidRPr="00C71283">
              <w:rPr>
                <w:rFonts w:ascii="Arial" w:hAnsi="Arial" w:cs="Arial"/>
                <w:sz w:val="22"/>
                <w:szCs w:val="22"/>
              </w:rPr>
              <w:t>lonel</w:t>
            </w:r>
            <w:proofErr w:type="spellEnd"/>
            <w:r w:rsidRPr="00C71283">
              <w:rPr>
                <w:rFonts w:ascii="Arial" w:hAnsi="Arial" w:cs="Arial"/>
                <w:sz w:val="22"/>
                <w:szCs w:val="22"/>
              </w:rPr>
              <w:t>* OR “social disconnect*”) AND (“digital divide” OR “digital exclusion” OR eHealth OR telehealth OR “online appointment*” OR “patient portal*” OR “remote consultation*”) AND (UK OR England OR Scotland OR Wales OR “Northern Ireland”).</w:t>
            </w:r>
          </w:p>
        </w:tc>
        <w:tc>
          <w:tcPr>
            <w:tcW w:w="7702" w:type="dxa"/>
            <w:shd w:val="clear" w:color="auto" w:fill="D9E2F3" w:themeFill="accent5" w:themeFillTint="33"/>
          </w:tcPr>
          <w:p w14:paraId="7B980BF1" w14:textId="77777777" w:rsidR="00C136AA" w:rsidRPr="00C71283" w:rsidRDefault="00C136AA" w:rsidP="00537883">
            <w:pPr>
              <w:jc w:val="both"/>
              <w:rPr>
                <w:rFonts w:cs="Arial"/>
              </w:rPr>
            </w:pPr>
            <w:r w:rsidRPr="00C71283">
              <w:rPr>
                <w:rFonts w:cs="Arial"/>
                <w:b/>
                <w:bCs/>
                <w:color w:val="0070C0"/>
                <w:sz w:val="40"/>
                <w:szCs w:val="40"/>
              </w:rPr>
              <w:lastRenderedPageBreak/>
              <w:t>04</w:t>
            </w:r>
            <w:r w:rsidRPr="00C71283">
              <w:rPr>
                <w:rFonts w:cs="Arial"/>
              </w:rPr>
              <w:t xml:space="preserve"> </w:t>
            </w:r>
            <w:r w:rsidRPr="00C71283">
              <w:rPr>
                <w:rFonts w:cs="Arial"/>
                <w:b/>
                <w:bCs/>
              </w:rPr>
              <w:t>Picture / Graph / Visual Aid / Statistics</w:t>
            </w:r>
            <w:r w:rsidRPr="00C71283">
              <w:rPr>
                <w:rFonts w:cs="Arial"/>
              </w:rPr>
              <w:t xml:space="preserve"> </w:t>
            </w:r>
          </w:p>
          <w:p w14:paraId="130F1BEF" w14:textId="77777777" w:rsidR="00C136AA" w:rsidRPr="00C71283" w:rsidRDefault="00C136AA" w:rsidP="00537883">
            <w:pPr>
              <w:pStyle w:val="NormalWeb"/>
              <w:spacing w:before="0" w:beforeAutospacing="0" w:after="0" w:afterAutospacing="0"/>
              <w:jc w:val="both"/>
              <w:rPr>
                <w:rFonts w:ascii="Arial" w:hAnsi="Arial" w:cs="Arial"/>
                <w:sz w:val="22"/>
              </w:rPr>
            </w:pPr>
            <w:r w:rsidRPr="00C71283">
              <w:rPr>
                <w:rFonts w:ascii="Arial" w:hAnsi="Arial" w:cs="Arial"/>
                <w:sz w:val="22"/>
              </w:rPr>
              <w:t xml:space="preserve">Study selection (2015–2025): Identified = 7,207; Duplicates removed = 1,245; Screened = 5,962; Full-text assessed = 512; Excluded at full-text = 468; Included = 44 (PRISMA-aligned; Page et al., 2021). </w:t>
            </w:r>
          </w:p>
          <w:p w14:paraId="45AF4B35" w14:textId="77777777" w:rsidR="00C136AA" w:rsidRPr="00C71283" w:rsidRDefault="00C136AA" w:rsidP="00AC5B23">
            <w:pPr>
              <w:keepNext/>
              <w:jc w:val="center"/>
              <w:rPr>
                <w:rFonts w:cs="Arial"/>
                <w:color w:val="000000" w:themeColor="text1"/>
              </w:rPr>
            </w:pPr>
            <w:r w:rsidRPr="00C71283">
              <w:rPr>
                <w:rFonts w:cs="Arial"/>
                <w:noProof/>
                <w:color w:val="000000" w:themeColor="text1"/>
              </w:rPr>
              <w:drawing>
                <wp:inline distT="0" distB="0" distL="0" distR="0" wp14:anchorId="308AE510" wp14:editId="5B82693B">
                  <wp:extent cx="2883700" cy="2823029"/>
                  <wp:effectExtent l="76200" t="76200" r="126365" b="130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20030" cy="28585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0E5109C" w14:textId="77777777" w:rsidR="00C136AA" w:rsidRPr="00C71283" w:rsidRDefault="00C136AA" w:rsidP="00537883">
            <w:pPr>
              <w:pStyle w:val="Caption"/>
              <w:spacing w:after="0"/>
              <w:jc w:val="both"/>
              <w:rPr>
                <w:rFonts w:cs="Arial"/>
                <w:sz w:val="22"/>
              </w:rPr>
            </w:pPr>
          </w:p>
        </w:tc>
      </w:tr>
      <w:tr w:rsidR="00C136AA" w:rsidRPr="00C71283" w14:paraId="79917096" w14:textId="77777777" w:rsidTr="00537883">
        <w:trPr>
          <w:trHeight w:val="983"/>
        </w:trPr>
        <w:tc>
          <w:tcPr>
            <w:tcW w:w="15246" w:type="dxa"/>
            <w:gridSpan w:val="2"/>
            <w:shd w:val="clear" w:color="auto" w:fill="D9E2F3" w:themeFill="accent5" w:themeFillTint="33"/>
          </w:tcPr>
          <w:p w14:paraId="0BF32E49" w14:textId="77777777" w:rsidR="00C136AA" w:rsidRPr="00C71283" w:rsidRDefault="00C136AA" w:rsidP="00AC5B23">
            <w:pPr>
              <w:rPr>
                <w:rFonts w:cs="Arial"/>
                <w:b/>
                <w:bCs/>
              </w:rPr>
            </w:pPr>
            <w:r w:rsidRPr="00C71283">
              <w:rPr>
                <w:rFonts w:cs="Arial"/>
                <w:b/>
                <w:bCs/>
                <w:color w:val="0070C0"/>
                <w:sz w:val="40"/>
                <w:szCs w:val="40"/>
              </w:rPr>
              <w:t>05</w:t>
            </w:r>
            <w:r w:rsidRPr="00C71283">
              <w:rPr>
                <w:rFonts w:cs="Arial"/>
              </w:rPr>
              <w:t xml:space="preserve"> </w:t>
            </w:r>
            <w:r w:rsidRPr="00C71283">
              <w:rPr>
                <w:rFonts w:cs="Arial"/>
                <w:b/>
                <w:bCs/>
              </w:rPr>
              <w:t>Research Validation and Analysis</w:t>
            </w:r>
          </w:p>
          <w:p w14:paraId="0B434F95" w14:textId="77777777" w:rsidR="00C136AA" w:rsidRPr="00C71283" w:rsidRDefault="00C136AA" w:rsidP="00537883">
            <w:pPr>
              <w:pStyle w:val="NormalWeb"/>
              <w:spacing w:before="0" w:beforeAutospacing="0" w:after="0" w:afterAutospacing="0"/>
              <w:jc w:val="both"/>
              <w:rPr>
                <w:rFonts w:ascii="Arial" w:hAnsi="Arial" w:cs="Arial"/>
                <w:sz w:val="22"/>
              </w:rPr>
            </w:pPr>
            <w:r w:rsidRPr="00C71283">
              <w:rPr>
                <w:rFonts w:ascii="Arial" w:hAnsi="Arial" w:cs="Arial"/>
                <w:sz w:val="22"/>
              </w:rPr>
              <w:t>Research validation ensures credible, dependable findings via transparent appraisal, audit trails and reflexivity; analysis applies thematic synthesis to code and integrate patterns across studies (Creswell &amp; Poth, 2018; Thomas &amp; Harden, 2008).</w:t>
            </w:r>
          </w:p>
          <w:p w14:paraId="3050CF49" w14:textId="77777777" w:rsidR="00C136AA" w:rsidRPr="00C71283" w:rsidRDefault="00C136AA" w:rsidP="00537883">
            <w:pPr>
              <w:pStyle w:val="NormalWeb"/>
              <w:spacing w:before="0" w:beforeAutospacing="0" w:after="0" w:afterAutospacing="0"/>
              <w:jc w:val="both"/>
              <w:rPr>
                <w:rFonts w:ascii="Arial" w:hAnsi="Arial" w:cs="Arial"/>
                <w:sz w:val="22"/>
                <w:lang w:val="en-GB"/>
              </w:rPr>
            </w:pPr>
            <w:r w:rsidRPr="00C71283">
              <w:rPr>
                <w:rStyle w:val="Strong"/>
                <w:rFonts w:ascii="Arial" w:hAnsi="Arial" w:cs="Arial"/>
                <w:sz w:val="22"/>
              </w:rPr>
              <w:t xml:space="preserve">Validation (credibility &amp; </w:t>
            </w:r>
            <w:proofErr w:type="spellStart"/>
            <w:r w:rsidRPr="00C71283">
              <w:rPr>
                <w:rStyle w:val="Strong"/>
                <w:rFonts w:ascii="Arial" w:hAnsi="Arial" w:cs="Arial"/>
                <w:sz w:val="22"/>
              </w:rPr>
              <w:t>rigour</w:t>
            </w:r>
            <w:proofErr w:type="spellEnd"/>
            <w:r w:rsidRPr="00C71283">
              <w:rPr>
                <w:rStyle w:val="Strong"/>
                <w:rFonts w:ascii="Arial" w:hAnsi="Arial" w:cs="Arial"/>
                <w:sz w:val="22"/>
              </w:rPr>
              <w:t>):</w:t>
            </w:r>
            <w:r w:rsidRPr="00C71283">
              <w:rPr>
                <w:rFonts w:ascii="Arial" w:hAnsi="Arial" w:cs="Arial"/>
                <w:sz w:val="22"/>
              </w:rPr>
              <w:t xml:space="preserve"> Dual checks on a sample; documented reasons for exclusion; critical appraisal with JBI qualitative checklist; reporting checks via COREQ; sensitivity analyses; confidence in findings graded using GRADE-</w:t>
            </w:r>
            <w:proofErr w:type="spellStart"/>
            <w:r w:rsidRPr="00C71283">
              <w:rPr>
                <w:rFonts w:ascii="Arial" w:hAnsi="Arial" w:cs="Arial"/>
                <w:sz w:val="22"/>
              </w:rPr>
              <w:t>CERQual</w:t>
            </w:r>
            <w:proofErr w:type="spellEnd"/>
            <w:r w:rsidRPr="00C71283">
              <w:rPr>
                <w:rFonts w:ascii="Arial" w:hAnsi="Arial" w:cs="Arial"/>
                <w:sz w:val="22"/>
              </w:rPr>
              <w:t xml:space="preserve"> (Lockwood et al., 2015; Tong et al., 2007; Lewin et al., 2018).</w:t>
            </w:r>
            <w:r w:rsidRPr="00C71283">
              <w:rPr>
                <w:rFonts w:ascii="Arial" w:hAnsi="Arial" w:cs="Arial"/>
                <w:sz w:val="22"/>
              </w:rPr>
              <w:br/>
            </w:r>
            <w:r w:rsidRPr="00C71283">
              <w:rPr>
                <w:rStyle w:val="Strong"/>
                <w:rFonts w:ascii="Arial" w:hAnsi="Arial" w:cs="Arial"/>
                <w:sz w:val="22"/>
              </w:rPr>
              <w:t>Analysis:</w:t>
            </w:r>
            <w:r w:rsidRPr="00C71283">
              <w:rPr>
                <w:rFonts w:ascii="Arial" w:hAnsi="Arial" w:cs="Arial"/>
                <w:sz w:val="22"/>
              </w:rPr>
              <w:t xml:space="preserve"> Line-by-line coding of qualitative data; the</w:t>
            </w:r>
            <w:r w:rsidR="00CF0EAD">
              <w:rPr>
                <w:rFonts w:ascii="Arial" w:hAnsi="Arial" w:cs="Arial"/>
                <w:sz w:val="22"/>
              </w:rPr>
              <w:t xml:space="preserve">matic synthesis in three stages </w:t>
            </w:r>
            <w:r w:rsidRPr="00C71283">
              <w:rPr>
                <w:rFonts w:ascii="Arial" w:hAnsi="Arial" w:cs="Arial"/>
                <w:sz w:val="22"/>
              </w:rPr>
              <w:t>free codes → descriptive themes → higher-order analytical themes (Thomas &amp; Harden, 2008); reported using established thematic analysis principles (Braun &amp; Clarke, 2006)</w:t>
            </w:r>
            <w:r w:rsidRPr="00C71283">
              <w:rPr>
                <w:rFonts w:ascii="Arial" w:hAnsi="Arial" w:cs="Arial"/>
                <w:sz w:val="22"/>
                <w:lang w:val="en-GB"/>
              </w:rPr>
              <w:t xml:space="preserve">. </w:t>
            </w:r>
          </w:p>
          <w:p w14:paraId="272CFA4A" w14:textId="77777777" w:rsidR="00C136AA" w:rsidRPr="00C71283" w:rsidRDefault="00C136AA" w:rsidP="00CF0EAD">
            <w:pPr>
              <w:pStyle w:val="NormalWeb"/>
              <w:spacing w:before="0" w:beforeAutospacing="0" w:after="0" w:afterAutospacing="0"/>
              <w:jc w:val="center"/>
              <w:rPr>
                <w:rFonts w:ascii="Arial" w:hAnsi="Arial" w:cs="Arial"/>
                <w:lang w:val="en-GB"/>
              </w:rPr>
            </w:pPr>
            <w:r w:rsidRPr="00C71283">
              <w:rPr>
                <w:rFonts w:ascii="Arial" w:hAnsi="Arial" w:cs="Arial"/>
                <w:noProof/>
              </w:rPr>
              <w:drawing>
                <wp:inline distT="0" distB="0" distL="0" distR="0" wp14:anchorId="350BF525" wp14:editId="26C857D2">
                  <wp:extent cx="5060677" cy="1757855"/>
                  <wp:effectExtent l="76200" t="76200" r="140335" b="128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79023" cy="17642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8AA966" w14:textId="77777777" w:rsidR="00C136AA" w:rsidRPr="00C71283" w:rsidRDefault="00C136AA" w:rsidP="00537883">
            <w:pPr>
              <w:pStyle w:val="NormalWeb"/>
              <w:spacing w:before="0" w:beforeAutospacing="0" w:after="0" w:afterAutospacing="0"/>
              <w:jc w:val="both"/>
              <w:rPr>
                <w:rFonts w:ascii="Arial" w:hAnsi="Arial" w:cs="Arial"/>
              </w:rPr>
            </w:pPr>
          </w:p>
        </w:tc>
      </w:tr>
      <w:tr w:rsidR="0069489B" w:rsidRPr="00C71283" w14:paraId="5A99F84F" w14:textId="77777777" w:rsidTr="00537883">
        <w:trPr>
          <w:trHeight w:val="1856"/>
        </w:trPr>
        <w:tc>
          <w:tcPr>
            <w:tcW w:w="7544" w:type="dxa"/>
            <w:shd w:val="clear" w:color="auto" w:fill="D9E2F3" w:themeFill="accent5" w:themeFillTint="33"/>
          </w:tcPr>
          <w:p w14:paraId="5B993615" w14:textId="77777777" w:rsidR="00C136AA" w:rsidRPr="00C71283" w:rsidRDefault="00C136AA" w:rsidP="00537883">
            <w:pPr>
              <w:jc w:val="both"/>
              <w:rPr>
                <w:rFonts w:cs="Arial"/>
              </w:rPr>
            </w:pPr>
            <w:r w:rsidRPr="00C71283">
              <w:rPr>
                <w:rFonts w:cs="Arial"/>
                <w:b/>
                <w:bCs/>
                <w:color w:val="0070C0"/>
                <w:sz w:val="40"/>
                <w:szCs w:val="40"/>
              </w:rPr>
              <w:lastRenderedPageBreak/>
              <w:t>06</w:t>
            </w:r>
            <w:r w:rsidRPr="00C71283">
              <w:rPr>
                <w:rFonts w:cs="Arial"/>
                <w:color w:val="0070C0"/>
              </w:rPr>
              <w:t xml:space="preserve"> </w:t>
            </w:r>
            <w:r w:rsidRPr="00C71283">
              <w:rPr>
                <w:rFonts w:cs="Arial"/>
                <w:b/>
                <w:bCs/>
              </w:rPr>
              <w:t>Inclusion Criteria</w:t>
            </w:r>
            <w:r w:rsidRPr="00C71283">
              <w:rPr>
                <w:rFonts w:cs="Arial"/>
              </w:rPr>
              <w:t xml:space="preserve"> </w:t>
            </w:r>
          </w:p>
          <w:p w14:paraId="1FBCACC1" w14:textId="77777777" w:rsidR="00C136AA" w:rsidRPr="00C71283" w:rsidRDefault="00C136AA" w:rsidP="00537883">
            <w:pPr>
              <w:pStyle w:val="NormalWeb"/>
              <w:spacing w:before="0" w:beforeAutospacing="0" w:after="0" w:afterAutospacing="0"/>
              <w:jc w:val="both"/>
              <w:rPr>
                <w:rFonts w:ascii="Arial" w:hAnsi="Arial" w:cs="Arial"/>
              </w:rPr>
            </w:pPr>
            <w:r w:rsidRPr="00C71283">
              <w:rPr>
                <w:rFonts w:ascii="Arial" w:hAnsi="Arial" w:cs="Arial"/>
                <w:sz w:val="22"/>
              </w:rPr>
              <w:t>Empirical, peer-reviewed qualitative or mixed-methods (qual component) studies; UK samples of older adults (≥60) or carers/providers reporting older adults’ perspectives; address social isolation/loneliness in relation to digital access/use/exclusion; mental-health outcomes or care experience; English; 2015–2025.</w:t>
            </w:r>
          </w:p>
        </w:tc>
        <w:tc>
          <w:tcPr>
            <w:tcW w:w="7702" w:type="dxa"/>
            <w:shd w:val="clear" w:color="auto" w:fill="D9E2F3" w:themeFill="accent5" w:themeFillTint="33"/>
          </w:tcPr>
          <w:p w14:paraId="243C3BE3" w14:textId="77777777" w:rsidR="00C136AA" w:rsidRPr="00C71283" w:rsidRDefault="00C136AA" w:rsidP="00537883">
            <w:pPr>
              <w:jc w:val="both"/>
              <w:rPr>
                <w:rFonts w:cs="Arial"/>
              </w:rPr>
            </w:pPr>
            <w:r w:rsidRPr="00C71283">
              <w:rPr>
                <w:rFonts w:cs="Arial"/>
                <w:b/>
                <w:bCs/>
                <w:color w:val="0070C0"/>
                <w:sz w:val="40"/>
                <w:szCs w:val="40"/>
              </w:rPr>
              <w:t>07</w:t>
            </w:r>
            <w:r w:rsidRPr="00C71283">
              <w:rPr>
                <w:rFonts w:cs="Arial"/>
                <w:color w:val="0070C0"/>
              </w:rPr>
              <w:t xml:space="preserve"> </w:t>
            </w:r>
            <w:r w:rsidRPr="00C71283">
              <w:rPr>
                <w:rFonts w:cs="Arial"/>
                <w:b/>
                <w:bCs/>
              </w:rPr>
              <w:t>Exclusion Criteria</w:t>
            </w:r>
            <w:r w:rsidRPr="00C71283">
              <w:rPr>
                <w:rFonts w:cs="Arial"/>
              </w:rPr>
              <w:t xml:space="preserve"> </w:t>
            </w:r>
          </w:p>
          <w:p w14:paraId="35D229CA" w14:textId="77777777" w:rsidR="00C136AA" w:rsidRPr="00C71283" w:rsidRDefault="00C136AA" w:rsidP="00537883">
            <w:pPr>
              <w:pStyle w:val="NormalWeb"/>
              <w:spacing w:before="0" w:beforeAutospacing="0" w:after="0" w:afterAutospacing="0"/>
              <w:jc w:val="both"/>
              <w:rPr>
                <w:rFonts w:ascii="Arial" w:hAnsi="Arial" w:cs="Arial"/>
              </w:rPr>
            </w:pPr>
            <w:r w:rsidRPr="00C71283">
              <w:rPr>
                <w:rFonts w:ascii="Arial" w:hAnsi="Arial" w:cs="Arial"/>
                <w:sz w:val="22"/>
              </w:rPr>
              <w:t>Quantitative-only; editorials/commentaries; non-UK samples; populations &lt;60 where older-adult data not separable; studies on general ageing without a digital/</w:t>
            </w:r>
            <w:proofErr w:type="spellStart"/>
            <w:r w:rsidRPr="00C71283">
              <w:rPr>
                <w:rFonts w:ascii="Arial" w:hAnsi="Arial" w:cs="Arial"/>
                <w:sz w:val="22"/>
              </w:rPr>
              <w:t>isolational</w:t>
            </w:r>
            <w:proofErr w:type="spellEnd"/>
            <w:r w:rsidRPr="00C71283">
              <w:rPr>
                <w:rFonts w:ascii="Arial" w:hAnsi="Arial" w:cs="Arial"/>
                <w:sz w:val="22"/>
              </w:rPr>
              <w:t xml:space="preserve"> focus; usability studies lacking mental-health relevance.</w:t>
            </w:r>
          </w:p>
        </w:tc>
      </w:tr>
      <w:tr w:rsidR="00C136AA" w:rsidRPr="00C71283" w14:paraId="6D7EECA3" w14:textId="77777777" w:rsidTr="00537883">
        <w:trPr>
          <w:trHeight w:val="1798"/>
        </w:trPr>
        <w:tc>
          <w:tcPr>
            <w:tcW w:w="15246" w:type="dxa"/>
            <w:gridSpan w:val="2"/>
            <w:shd w:val="clear" w:color="auto" w:fill="D9E2F3" w:themeFill="accent5" w:themeFillTint="33"/>
          </w:tcPr>
          <w:p w14:paraId="5FD7C4F1" w14:textId="77777777" w:rsidR="00C136AA" w:rsidRPr="00C71283" w:rsidRDefault="00C136AA" w:rsidP="00537883">
            <w:pPr>
              <w:jc w:val="both"/>
              <w:rPr>
                <w:rFonts w:cs="Arial"/>
                <w:b/>
                <w:bCs/>
              </w:rPr>
            </w:pPr>
            <w:r w:rsidRPr="00C71283">
              <w:rPr>
                <w:rFonts w:cs="Arial"/>
                <w:b/>
                <w:bCs/>
                <w:color w:val="0070C0"/>
                <w:sz w:val="40"/>
                <w:szCs w:val="40"/>
              </w:rPr>
              <w:t>08</w:t>
            </w:r>
            <w:r w:rsidRPr="00C71283">
              <w:rPr>
                <w:rFonts w:cs="Arial"/>
              </w:rPr>
              <w:t xml:space="preserve"> </w:t>
            </w:r>
            <w:r w:rsidRPr="00C71283">
              <w:rPr>
                <w:rFonts w:cs="Arial"/>
                <w:b/>
                <w:bCs/>
              </w:rPr>
              <w:t>Ethical Considerations</w:t>
            </w:r>
          </w:p>
          <w:p w14:paraId="73AB2E02" w14:textId="77777777" w:rsidR="00C136AA" w:rsidRPr="00C71283" w:rsidRDefault="00C136AA" w:rsidP="00537883">
            <w:pPr>
              <w:pStyle w:val="NormalWeb"/>
              <w:spacing w:before="0" w:beforeAutospacing="0" w:after="0" w:afterAutospacing="0"/>
              <w:jc w:val="both"/>
              <w:rPr>
                <w:rFonts w:ascii="Arial" w:hAnsi="Arial" w:cs="Arial"/>
                <w:sz w:val="22"/>
              </w:rPr>
            </w:pPr>
            <w:r w:rsidRPr="00C71283">
              <w:rPr>
                <w:rFonts w:ascii="Arial" w:hAnsi="Arial" w:cs="Arial"/>
                <w:sz w:val="22"/>
              </w:rPr>
              <w:t xml:space="preserve">Ethics in secondary research is the responsible use of existing published data, respecting original consent and confidentiality, ensuring accurate attribution, and </w:t>
            </w:r>
            <w:proofErr w:type="spellStart"/>
            <w:r w:rsidRPr="00C71283">
              <w:rPr>
                <w:rFonts w:ascii="Arial" w:hAnsi="Arial" w:cs="Arial"/>
                <w:sz w:val="22"/>
              </w:rPr>
              <w:t>minimising</w:t>
            </w:r>
            <w:proofErr w:type="spellEnd"/>
            <w:r w:rsidRPr="00C71283">
              <w:rPr>
                <w:rFonts w:ascii="Arial" w:hAnsi="Arial" w:cs="Arial"/>
                <w:sz w:val="22"/>
              </w:rPr>
              <w:t xml:space="preserve"> harm through transparent, honest reporting (Creswell &amp; Poth, 2018).</w:t>
            </w:r>
          </w:p>
          <w:p w14:paraId="0911087A" w14:textId="77777777" w:rsidR="00C136AA" w:rsidRPr="00C71283" w:rsidRDefault="00C136AA" w:rsidP="00537883">
            <w:pPr>
              <w:pStyle w:val="NormalWeb"/>
              <w:spacing w:before="0" w:beforeAutospacing="0" w:after="0" w:afterAutospacing="0"/>
              <w:jc w:val="both"/>
              <w:rPr>
                <w:rFonts w:ascii="Arial" w:hAnsi="Arial" w:cs="Arial"/>
              </w:rPr>
            </w:pPr>
            <w:r w:rsidRPr="00C71283">
              <w:rPr>
                <w:rFonts w:ascii="Arial" w:hAnsi="Arial" w:cs="Arial"/>
                <w:noProof/>
              </w:rPr>
              <w:drawing>
                <wp:inline distT="0" distB="0" distL="0" distR="0" wp14:anchorId="6EDDE2C9" wp14:editId="51522E82">
                  <wp:extent cx="9144000" cy="3381829"/>
                  <wp:effectExtent l="0" t="0" r="0" b="4762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tc>
      </w:tr>
    </w:tbl>
    <w:p w14:paraId="39490B86" w14:textId="77777777" w:rsidR="00C136AA" w:rsidRDefault="00C136AA" w:rsidP="00715BEC">
      <w:pPr>
        <w:pStyle w:val="NormalWeb"/>
        <w:spacing w:line="360" w:lineRule="auto"/>
        <w:jc w:val="both"/>
        <w:rPr>
          <w:rFonts w:ascii="Arial" w:hAnsi="Arial" w:cs="Arial"/>
          <w:sz w:val="22"/>
        </w:rPr>
        <w:sectPr w:rsidR="00C136AA" w:rsidSect="00C136AA">
          <w:pgSz w:w="15840" w:h="12240" w:orient="landscape"/>
          <w:pgMar w:top="1440" w:right="1440" w:bottom="1440" w:left="1440" w:header="720" w:footer="720" w:gutter="0"/>
          <w:cols w:space="720"/>
          <w:docGrid w:linePitch="360"/>
        </w:sectPr>
      </w:pPr>
    </w:p>
    <w:p w14:paraId="424BD325" w14:textId="77777777" w:rsidR="00596393" w:rsidRPr="00B10FD1" w:rsidRDefault="00596393" w:rsidP="006240B2">
      <w:pPr>
        <w:pStyle w:val="Heading2"/>
        <w:spacing w:before="120" w:beforeAutospacing="0" w:after="120" w:afterAutospacing="0" w:line="360" w:lineRule="auto"/>
        <w:jc w:val="both"/>
        <w:rPr>
          <w:rFonts w:ascii="Arial" w:hAnsi="Arial" w:cs="Arial"/>
          <w:color w:val="000000" w:themeColor="text1"/>
        </w:rPr>
      </w:pPr>
      <w:bookmarkStart w:id="21" w:name="_Toc209284756"/>
      <w:r w:rsidRPr="00B10FD1">
        <w:rPr>
          <w:rFonts w:ascii="Arial" w:hAnsi="Arial" w:cs="Arial"/>
          <w:color w:val="000000" w:themeColor="text1"/>
        </w:rPr>
        <w:lastRenderedPageBreak/>
        <w:t>3.</w:t>
      </w:r>
      <w:r w:rsidR="005E3A3B" w:rsidRPr="00B10FD1">
        <w:rPr>
          <w:rFonts w:ascii="Arial" w:hAnsi="Arial" w:cs="Arial"/>
          <w:color w:val="000000" w:themeColor="text1"/>
        </w:rPr>
        <w:t>1</w:t>
      </w:r>
      <w:r w:rsidRPr="00B10FD1">
        <w:rPr>
          <w:rFonts w:ascii="Arial" w:hAnsi="Arial" w:cs="Arial"/>
          <w:color w:val="000000" w:themeColor="text1"/>
        </w:rPr>
        <w:t xml:space="preserve"> Introduction</w:t>
      </w:r>
      <w:bookmarkEnd w:id="21"/>
      <w:r w:rsidRPr="00B10FD1">
        <w:rPr>
          <w:rFonts w:ascii="Arial" w:hAnsi="Arial" w:cs="Arial"/>
          <w:color w:val="000000" w:themeColor="text1"/>
        </w:rPr>
        <w:t xml:space="preserve"> </w:t>
      </w:r>
    </w:p>
    <w:p w14:paraId="71F00682" w14:textId="77777777" w:rsidR="003937D7" w:rsidRPr="00B10FD1" w:rsidRDefault="00596393" w:rsidP="003937D7">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This chapter sets out the methods used to conduct a systematic review of qualitative e</w:t>
      </w:r>
      <w:r w:rsidR="000F6449" w:rsidRPr="00B10FD1">
        <w:rPr>
          <w:rFonts w:ascii="Arial" w:hAnsi="Arial" w:cs="Arial"/>
          <w:color w:val="000000" w:themeColor="text1"/>
          <w:sz w:val="22"/>
        </w:rPr>
        <w:t xml:space="preserve">vidence on how social isolation, </w:t>
      </w:r>
      <w:r w:rsidRPr="00B10FD1">
        <w:rPr>
          <w:rFonts w:ascii="Arial" w:hAnsi="Arial" w:cs="Arial"/>
          <w:color w:val="000000" w:themeColor="text1"/>
          <w:sz w:val="22"/>
        </w:rPr>
        <w:t>and</w:t>
      </w:r>
      <w:r w:rsidR="000F6449" w:rsidRPr="00B10FD1">
        <w:rPr>
          <w:rFonts w:ascii="Arial" w:hAnsi="Arial" w:cs="Arial"/>
          <w:color w:val="000000" w:themeColor="text1"/>
          <w:sz w:val="22"/>
        </w:rPr>
        <w:t xml:space="preserve"> specifically digital exclusion, </w:t>
      </w:r>
      <w:r w:rsidRPr="00B10FD1">
        <w:rPr>
          <w:rFonts w:ascii="Arial" w:hAnsi="Arial" w:cs="Arial"/>
          <w:color w:val="000000" w:themeColor="text1"/>
          <w:sz w:val="22"/>
        </w:rPr>
        <w:t>affects the mental health of older adults (≥60 years) in the UK. The review protocol followed PRISMA 2020 guidance for transparent reporting of systematic reviews and qualitative-evidence syntheses (Page et al., 2021) and drew on established handbooks for qualitative reviewing (Booth et al., 2016; Creswell &amp; Poth, 2018). We defined the question, developed a comprehensive search across multidisciplinary databases, applied explicit eligibility criteria, appraised study quality, and performed a rigorous thematic synthesis (Thomas &amp; Harden, 2008; Braun &amp; Clarke, 2006). Forty-four (n=44) studies published between 2015 and 2025 met inclusion criteria.</w:t>
      </w:r>
    </w:p>
    <w:p w14:paraId="2036A1CA" w14:textId="77777777" w:rsidR="003937D7" w:rsidRPr="00B10FD1" w:rsidRDefault="003937D7" w:rsidP="003937D7">
      <w:pPr>
        <w:pStyle w:val="NormalWeb"/>
        <w:spacing w:before="120" w:beforeAutospacing="0" w:after="120" w:afterAutospacing="0" w:line="360" w:lineRule="auto"/>
        <w:jc w:val="both"/>
        <w:rPr>
          <w:rFonts w:ascii="Arial" w:hAnsi="Arial" w:cs="Arial"/>
          <w:color w:val="000000" w:themeColor="text1"/>
          <w:sz w:val="20"/>
        </w:rPr>
      </w:pPr>
      <w:r w:rsidRPr="00B10FD1">
        <w:rPr>
          <w:rFonts w:ascii="Arial" w:hAnsi="Arial" w:cs="Arial"/>
          <w:sz w:val="22"/>
        </w:rPr>
        <w:t>Having framed the review approach and standards, section 3.2 outlines how the search strategy was constructed to balance sensitivity and specificity.</w:t>
      </w:r>
    </w:p>
    <w:p w14:paraId="6AE97FE6" w14:textId="77777777" w:rsidR="00596393" w:rsidRPr="00B10FD1" w:rsidRDefault="005E3A3B" w:rsidP="006240B2">
      <w:pPr>
        <w:pStyle w:val="Heading2"/>
        <w:spacing w:before="120" w:beforeAutospacing="0" w:after="120" w:afterAutospacing="0" w:line="360" w:lineRule="auto"/>
        <w:jc w:val="both"/>
        <w:rPr>
          <w:rFonts w:ascii="Arial" w:hAnsi="Arial" w:cs="Arial"/>
          <w:color w:val="000000" w:themeColor="text1"/>
        </w:rPr>
      </w:pPr>
      <w:bookmarkStart w:id="22" w:name="_Toc209284757"/>
      <w:r w:rsidRPr="00B10FD1">
        <w:rPr>
          <w:rFonts w:ascii="Arial" w:hAnsi="Arial" w:cs="Arial"/>
          <w:color w:val="000000" w:themeColor="text1"/>
        </w:rPr>
        <w:t>3.2</w:t>
      </w:r>
      <w:r w:rsidR="00596393" w:rsidRPr="00B10FD1">
        <w:rPr>
          <w:rFonts w:ascii="Arial" w:hAnsi="Arial" w:cs="Arial"/>
          <w:color w:val="000000" w:themeColor="text1"/>
        </w:rPr>
        <w:t xml:space="preserve"> Search Strategy</w:t>
      </w:r>
      <w:bookmarkEnd w:id="22"/>
      <w:r w:rsidR="00596393" w:rsidRPr="00B10FD1">
        <w:rPr>
          <w:rFonts w:ascii="Arial" w:hAnsi="Arial" w:cs="Arial"/>
          <w:color w:val="000000" w:themeColor="text1"/>
        </w:rPr>
        <w:t xml:space="preserve"> </w:t>
      </w:r>
    </w:p>
    <w:p w14:paraId="1ADC7944" w14:textId="77777777" w:rsidR="00596393" w:rsidRPr="00B10FD1" w:rsidRDefault="00596393"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 xml:space="preserve">A sensitive strategy combined controlled vocabulary (e.g., </w:t>
      </w:r>
      <w:proofErr w:type="spellStart"/>
      <w:r w:rsidRPr="00B10FD1">
        <w:rPr>
          <w:rFonts w:ascii="Arial" w:hAnsi="Arial" w:cs="Arial"/>
          <w:color w:val="000000" w:themeColor="text1"/>
          <w:sz w:val="22"/>
        </w:rPr>
        <w:t>MeSH</w:t>
      </w:r>
      <w:proofErr w:type="spellEnd"/>
      <w:r w:rsidRPr="00B10FD1">
        <w:rPr>
          <w:rFonts w:ascii="Arial" w:hAnsi="Arial" w:cs="Arial"/>
          <w:color w:val="000000" w:themeColor="text1"/>
          <w:sz w:val="22"/>
        </w:rPr>
        <w:t xml:space="preserve">/Thesaurus terms) and free-text keywords spanning four domains: population (older adult*, elderly, “aged 60+”), phenomena (social isolation, loneliness, social disconnection), exposure/context (digital exclusion, digital divide, eHealth, telehealth, online services), and setting (UK, England, Scotland, Wales, Northern Ireland). Databases searched were MEDLINE (via PubMed), CINAHL, PsycINFO, Scopus, Web of Science Core Collection, ASSIA, and </w:t>
      </w:r>
      <w:proofErr w:type="spellStart"/>
      <w:r w:rsidRPr="00B10FD1">
        <w:rPr>
          <w:rFonts w:ascii="Arial" w:hAnsi="Arial" w:cs="Arial"/>
          <w:color w:val="000000" w:themeColor="text1"/>
          <w:sz w:val="22"/>
        </w:rPr>
        <w:t>SocINDEX</w:t>
      </w:r>
      <w:proofErr w:type="spellEnd"/>
      <w:r w:rsidRPr="00B10FD1">
        <w:rPr>
          <w:rFonts w:ascii="Arial" w:hAnsi="Arial" w:cs="Arial"/>
          <w:color w:val="000000" w:themeColor="text1"/>
          <w:sz w:val="22"/>
        </w:rPr>
        <w:t>. Searches were limited to English-language, peer-reviewed journal articles (2015–2025) reporting qualitative data from UK samples. The strategy was iteratively piloted and peer-checked to balance recall and precision (Booth et al., 2016; Page et al., 2021</w:t>
      </w:r>
      <w:r w:rsidR="00C772F5">
        <w:rPr>
          <w:rFonts w:ascii="Arial" w:hAnsi="Arial" w:cs="Arial"/>
          <w:color w:val="000000" w:themeColor="text1"/>
          <w:sz w:val="22"/>
        </w:rPr>
        <w:t xml:space="preserve">; </w:t>
      </w:r>
      <w:proofErr w:type="spellStart"/>
      <w:r w:rsidR="00C772F5" w:rsidRPr="00C772F5">
        <w:rPr>
          <w:rFonts w:ascii="Arial" w:hAnsi="Arial" w:cs="Arial"/>
          <w:sz w:val="22"/>
        </w:rPr>
        <w:t>Sandelowski</w:t>
      </w:r>
      <w:proofErr w:type="spellEnd"/>
      <w:r w:rsidR="00C772F5" w:rsidRPr="00C772F5">
        <w:rPr>
          <w:rFonts w:ascii="Arial" w:hAnsi="Arial" w:cs="Arial"/>
          <w:sz w:val="22"/>
        </w:rPr>
        <w:t>; 2000</w:t>
      </w:r>
      <w:r w:rsidRPr="00B10FD1">
        <w:rPr>
          <w:rFonts w:ascii="Arial" w:hAnsi="Arial" w:cs="Arial"/>
          <w:color w:val="000000" w:themeColor="text1"/>
          <w:sz w:val="22"/>
        </w:rPr>
        <w:t>).</w:t>
      </w:r>
    </w:p>
    <w:p w14:paraId="1724EFF6" w14:textId="1FC07CCF" w:rsidR="001725E3" w:rsidRPr="00B10FD1" w:rsidRDefault="001725E3" w:rsidP="001725E3">
      <w:pPr>
        <w:pStyle w:val="Caption"/>
        <w:keepNext/>
        <w:spacing w:before="120" w:after="120" w:line="360" w:lineRule="auto"/>
        <w:jc w:val="center"/>
        <w:rPr>
          <w:rFonts w:cs="Arial"/>
          <w:color w:val="000000" w:themeColor="text1"/>
        </w:rPr>
      </w:pPr>
      <w:bookmarkStart w:id="23" w:name="_Toc209282431"/>
      <w:r w:rsidRPr="00B10FD1">
        <w:rPr>
          <w:rFonts w:cs="Arial"/>
          <w:color w:val="000000" w:themeColor="text1"/>
        </w:rPr>
        <w:t xml:space="preserve">Table </w:t>
      </w:r>
      <w:r w:rsidRPr="00B10FD1">
        <w:rPr>
          <w:rFonts w:cs="Arial"/>
          <w:color w:val="000000" w:themeColor="text1"/>
        </w:rPr>
        <w:fldChar w:fldCharType="begin"/>
      </w:r>
      <w:r w:rsidRPr="00B10FD1">
        <w:rPr>
          <w:rFonts w:cs="Arial"/>
          <w:color w:val="000000" w:themeColor="text1"/>
        </w:rPr>
        <w:instrText xml:space="preserve"> SEQ Table \* ARABIC </w:instrText>
      </w:r>
      <w:r w:rsidRPr="00B10FD1">
        <w:rPr>
          <w:rFonts w:cs="Arial"/>
          <w:color w:val="000000" w:themeColor="text1"/>
        </w:rPr>
        <w:fldChar w:fldCharType="separate"/>
      </w:r>
      <w:r w:rsidR="00204CA5">
        <w:rPr>
          <w:rFonts w:cs="Arial"/>
          <w:noProof/>
          <w:color w:val="000000" w:themeColor="text1"/>
        </w:rPr>
        <w:t>2</w:t>
      </w:r>
      <w:r w:rsidRPr="00B10FD1">
        <w:rPr>
          <w:rFonts w:cs="Arial"/>
          <w:color w:val="000000" w:themeColor="text1"/>
        </w:rPr>
        <w:fldChar w:fldCharType="end"/>
      </w:r>
      <w:r w:rsidRPr="00B10FD1">
        <w:rPr>
          <w:rFonts w:cs="Arial"/>
          <w:color w:val="000000" w:themeColor="text1"/>
        </w:rPr>
        <w:t>: PEO Elements</w:t>
      </w:r>
      <w:bookmarkEnd w:id="23"/>
    </w:p>
    <w:tbl>
      <w:tblPr>
        <w:tblStyle w:val="TableGrid"/>
        <w:tblW w:w="0" w:type="auto"/>
        <w:tblLook w:val="04A0" w:firstRow="1" w:lastRow="0" w:firstColumn="1" w:lastColumn="0" w:noHBand="0" w:noVBand="1"/>
      </w:tblPr>
      <w:tblGrid>
        <w:gridCol w:w="2099"/>
        <w:gridCol w:w="3656"/>
        <w:gridCol w:w="3595"/>
      </w:tblGrid>
      <w:tr w:rsidR="001725E3" w:rsidRPr="00B10FD1" w14:paraId="448DBF4C" w14:textId="77777777" w:rsidTr="001725E3">
        <w:tc>
          <w:tcPr>
            <w:tcW w:w="2099" w:type="dxa"/>
            <w:hideMark/>
          </w:tcPr>
          <w:p w14:paraId="7F166410" w14:textId="77777777" w:rsidR="001725E3" w:rsidRPr="00B10FD1" w:rsidRDefault="001725E3" w:rsidP="006960F6">
            <w:pPr>
              <w:jc w:val="both"/>
              <w:rPr>
                <w:rFonts w:eastAsia="Times New Roman" w:cs="Arial"/>
                <w:b/>
                <w:bCs/>
                <w:color w:val="000000" w:themeColor="text1"/>
                <w:szCs w:val="24"/>
              </w:rPr>
            </w:pPr>
            <w:r w:rsidRPr="00B10FD1">
              <w:rPr>
                <w:rFonts w:eastAsia="Times New Roman" w:cs="Arial"/>
                <w:b/>
                <w:bCs/>
                <w:color w:val="000000" w:themeColor="text1"/>
                <w:szCs w:val="24"/>
              </w:rPr>
              <w:t>PEO Element</w:t>
            </w:r>
          </w:p>
        </w:tc>
        <w:tc>
          <w:tcPr>
            <w:tcW w:w="3656" w:type="dxa"/>
            <w:hideMark/>
          </w:tcPr>
          <w:p w14:paraId="1909C6C1" w14:textId="77777777" w:rsidR="001725E3" w:rsidRPr="00B10FD1" w:rsidRDefault="001725E3" w:rsidP="006960F6">
            <w:pPr>
              <w:jc w:val="both"/>
              <w:rPr>
                <w:rFonts w:eastAsia="Times New Roman" w:cs="Arial"/>
                <w:b/>
                <w:bCs/>
                <w:color w:val="000000" w:themeColor="text1"/>
                <w:szCs w:val="24"/>
              </w:rPr>
            </w:pPr>
            <w:r w:rsidRPr="00B10FD1">
              <w:rPr>
                <w:rFonts w:eastAsia="Times New Roman" w:cs="Arial"/>
                <w:b/>
                <w:bCs/>
                <w:color w:val="000000" w:themeColor="text1"/>
                <w:szCs w:val="24"/>
              </w:rPr>
              <w:t>Description</w:t>
            </w:r>
          </w:p>
        </w:tc>
        <w:tc>
          <w:tcPr>
            <w:tcW w:w="3595" w:type="dxa"/>
            <w:hideMark/>
          </w:tcPr>
          <w:p w14:paraId="271AA737" w14:textId="77777777" w:rsidR="001725E3" w:rsidRPr="00B10FD1" w:rsidRDefault="001725E3" w:rsidP="006960F6">
            <w:pPr>
              <w:jc w:val="both"/>
              <w:rPr>
                <w:rFonts w:eastAsia="Times New Roman" w:cs="Arial"/>
                <w:b/>
                <w:bCs/>
                <w:color w:val="000000" w:themeColor="text1"/>
                <w:szCs w:val="24"/>
              </w:rPr>
            </w:pPr>
            <w:r w:rsidRPr="00B10FD1">
              <w:rPr>
                <w:rFonts w:eastAsia="Times New Roman" w:cs="Arial"/>
                <w:b/>
                <w:bCs/>
                <w:color w:val="000000" w:themeColor="text1"/>
                <w:szCs w:val="24"/>
              </w:rPr>
              <w:t>Example Search Terms</w:t>
            </w:r>
          </w:p>
        </w:tc>
      </w:tr>
      <w:tr w:rsidR="00B10FD1" w:rsidRPr="00B10FD1" w14:paraId="5D2B4FCD" w14:textId="77777777" w:rsidTr="001725E3">
        <w:tc>
          <w:tcPr>
            <w:tcW w:w="2099" w:type="dxa"/>
            <w:hideMark/>
          </w:tcPr>
          <w:p w14:paraId="0CF0AA0B" w14:textId="77777777" w:rsidR="001725E3" w:rsidRPr="00B10FD1" w:rsidRDefault="001725E3" w:rsidP="006960F6">
            <w:pPr>
              <w:jc w:val="both"/>
              <w:rPr>
                <w:rFonts w:eastAsia="Times New Roman" w:cs="Arial"/>
                <w:color w:val="000000" w:themeColor="text1"/>
                <w:szCs w:val="24"/>
              </w:rPr>
            </w:pPr>
            <w:r w:rsidRPr="00B10FD1">
              <w:rPr>
                <w:rFonts w:eastAsia="Times New Roman" w:cs="Arial"/>
                <w:b/>
                <w:bCs/>
                <w:color w:val="000000" w:themeColor="text1"/>
                <w:szCs w:val="24"/>
              </w:rPr>
              <w:t>Population (P)</w:t>
            </w:r>
          </w:p>
        </w:tc>
        <w:tc>
          <w:tcPr>
            <w:tcW w:w="3656" w:type="dxa"/>
            <w:hideMark/>
          </w:tcPr>
          <w:p w14:paraId="07B81CE6" w14:textId="77777777" w:rsidR="001725E3" w:rsidRPr="00B10FD1" w:rsidRDefault="001725E3" w:rsidP="006960F6">
            <w:pPr>
              <w:jc w:val="both"/>
              <w:rPr>
                <w:rFonts w:eastAsia="Times New Roman" w:cs="Arial"/>
                <w:color w:val="000000" w:themeColor="text1"/>
                <w:szCs w:val="24"/>
              </w:rPr>
            </w:pPr>
            <w:r w:rsidRPr="00B10FD1">
              <w:rPr>
                <w:rFonts w:eastAsia="Times New Roman" w:cs="Arial"/>
                <w:color w:val="000000" w:themeColor="text1"/>
                <w:szCs w:val="24"/>
              </w:rPr>
              <w:t>Older adults (≥60 years), elderly, UK-based</w:t>
            </w:r>
          </w:p>
        </w:tc>
        <w:tc>
          <w:tcPr>
            <w:tcW w:w="3595" w:type="dxa"/>
            <w:hideMark/>
          </w:tcPr>
          <w:p w14:paraId="3D39602C" w14:textId="77777777" w:rsidR="001725E3" w:rsidRPr="00B10FD1" w:rsidRDefault="001725E3" w:rsidP="006960F6">
            <w:pPr>
              <w:jc w:val="both"/>
              <w:rPr>
                <w:rFonts w:eastAsia="Times New Roman" w:cs="Arial"/>
                <w:color w:val="000000" w:themeColor="text1"/>
                <w:szCs w:val="24"/>
              </w:rPr>
            </w:pPr>
            <w:r w:rsidRPr="00B10FD1">
              <w:rPr>
                <w:rFonts w:eastAsia="Times New Roman" w:cs="Arial"/>
                <w:color w:val="000000" w:themeColor="text1"/>
                <w:szCs w:val="24"/>
              </w:rPr>
              <w:t>“older adult*” OR elderly OR “aged 60+”</w:t>
            </w:r>
          </w:p>
        </w:tc>
      </w:tr>
      <w:tr w:rsidR="00B10FD1" w:rsidRPr="00B10FD1" w14:paraId="578749FF" w14:textId="77777777" w:rsidTr="001725E3">
        <w:tc>
          <w:tcPr>
            <w:tcW w:w="2099" w:type="dxa"/>
            <w:hideMark/>
          </w:tcPr>
          <w:p w14:paraId="61A140D0" w14:textId="77777777" w:rsidR="001725E3" w:rsidRPr="00B10FD1" w:rsidRDefault="001725E3" w:rsidP="006960F6">
            <w:pPr>
              <w:jc w:val="both"/>
              <w:rPr>
                <w:rFonts w:eastAsia="Times New Roman" w:cs="Arial"/>
                <w:color w:val="000000" w:themeColor="text1"/>
                <w:szCs w:val="24"/>
              </w:rPr>
            </w:pPr>
            <w:r w:rsidRPr="00B10FD1">
              <w:rPr>
                <w:rFonts w:eastAsia="Times New Roman" w:cs="Arial"/>
                <w:b/>
                <w:bCs/>
                <w:color w:val="000000" w:themeColor="text1"/>
                <w:szCs w:val="24"/>
              </w:rPr>
              <w:t>Exposure/Context (E)</w:t>
            </w:r>
          </w:p>
        </w:tc>
        <w:tc>
          <w:tcPr>
            <w:tcW w:w="3656" w:type="dxa"/>
            <w:hideMark/>
          </w:tcPr>
          <w:p w14:paraId="0240677F" w14:textId="77777777" w:rsidR="001725E3" w:rsidRPr="00B10FD1" w:rsidRDefault="001725E3" w:rsidP="006960F6">
            <w:pPr>
              <w:jc w:val="both"/>
              <w:rPr>
                <w:rFonts w:eastAsia="Times New Roman" w:cs="Arial"/>
                <w:color w:val="000000" w:themeColor="text1"/>
                <w:szCs w:val="24"/>
              </w:rPr>
            </w:pPr>
            <w:r w:rsidRPr="00B10FD1">
              <w:rPr>
                <w:rFonts w:eastAsia="Times New Roman" w:cs="Arial"/>
                <w:color w:val="000000" w:themeColor="text1"/>
                <w:szCs w:val="24"/>
              </w:rPr>
              <w:t>Social isolation/loneliness in relation to digital access, exclusion, or divide (including eHealth, telehealth, online portals, remote services)</w:t>
            </w:r>
          </w:p>
        </w:tc>
        <w:tc>
          <w:tcPr>
            <w:tcW w:w="3595" w:type="dxa"/>
            <w:hideMark/>
          </w:tcPr>
          <w:p w14:paraId="7BCF373E" w14:textId="77777777" w:rsidR="001725E3" w:rsidRPr="00B10FD1" w:rsidRDefault="001725E3" w:rsidP="006960F6">
            <w:pPr>
              <w:jc w:val="both"/>
              <w:rPr>
                <w:rFonts w:eastAsia="Times New Roman" w:cs="Arial"/>
                <w:color w:val="000000" w:themeColor="text1"/>
                <w:szCs w:val="24"/>
              </w:rPr>
            </w:pPr>
            <w:r w:rsidRPr="00B10FD1">
              <w:rPr>
                <w:rFonts w:eastAsia="Times New Roman" w:cs="Arial"/>
                <w:color w:val="000000" w:themeColor="text1"/>
                <w:szCs w:val="24"/>
              </w:rPr>
              <w:t xml:space="preserve">“social isolation” OR </w:t>
            </w:r>
            <w:proofErr w:type="spellStart"/>
            <w:r w:rsidRPr="00B10FD1">
              <w:rPr>
                <w:rFonts w:eastAsia="Times New Roman" w:cs="Arial"/>
                <w:color w:val="000000" w:themeColor="text1"/>
                <w:szCs w:val="24"/>
              </w:rPr>
              <w:t>lonel</w:t>
            </w:r>
            <w:proofErr w:type="spellEnd"/>
            <w:r w:rsidRPr="00B10FD1">
              <w:rPr>
                <w:rFonts w:eastAsia="Times New Roman" w:cs="Arial"/>
                <w:color w:val="000000" w:themeColor="text1"/>
                <w:szCs w:val="24"/>
              </w:rPr>
              <w:t>* OR “digital exclusion” OR “digital divide” OR eHealth OR “remote consultation*” OR telehealth OR “online services”</w:t>
            </w:r>
          </w:p>
        </w:tc>
      </w:tr>
      <w:tr w:rsidR="00B10FD1" w:rsidRPr="00B10FD1" w14:paraId="78B843C6" w14:textId="77777777" w:rsidTr="001725E3">
        <w:tc>
          <w:tcPr>
            <w:tcW w:w="2099" w:type="dxa"/>
            <w:hideMark/>
          </w:tcPr>
          <w:p w14:paraId="7C2EB1F2" w14:textId="77777777" w:rsidR="001725E3" w:rsidRPr="00B10FD1" w:rsidRDefault="001725E3" w:rsidP="006960F6">
            <w:pPr>
              <w:jc w:val="both"/>
              <w:rPr>
                <w:rFonts w:eastAsia="Times New Roman" w:cs="Arial"/>
                <w:color w:val="000000" w:themeColor="text1"/>
                <w:szCs w:val="24"/>
              </w:rPr>
            </w:pPr>
            <w:r w:rsidRPr="00B10FD1">
              <w:rPr>
                <w:rFonts w:eastAsia="Times New Roman" w:cs="Arial"/>
                <w:b/>
                <w:bCs/>
                <w:color w:val="000000" w:themeColor="text1"/>
                <w:szCs w:val="24"/>
              </w:rPr>
              <w:t>Outcomes (O)</w:t>
            </w:r>
          </w:p>
        </w:tc>
        <w:tc>
          <w:tcPr>
            <w:tcW w:w="3656" w:type="dxa"/>
            <w:hideMark/>
          </w:tcPr>
          <w:p w14:paraId="266D89DA" w14:textId="77777777" w:rsidR="001725E3" w:rsidRPr="00B10FD1" w:rsidRDefault="001725E3" w:rsidP="006960F6">
            <w:pPr>
              <w:jc w:val="both"/>
              <w:rPr>
                <w:rFonts w:eastAsia="Times New Roman" w:cs="Arial"/>
                <w:color w:val="000000" w:themeColor="text1"/>
                <w:szCs w:val="24"/>
              </w:rPr>
            </w:pPr>
            <w:r w:rsidRPr="00B10FD1">
              <w:rPr>
                <w:rFonts w:eastAsia="Times New Roman" w:cs="Arial"/>
                <w:color w:val="000000" w:themeColor="text1"/>
                <w:szCs w:val="24"/>
              </w:rPr>
              <w:t>Mental health outcomes (anxiety, depression, wellbeing) and care experiences linked to mental health</w:t>
            </w:r>
          </w:p>
        </w:tc>
        <w:tc>
          <w:tcPr>
            <w:tcW w:w="3595" w:type="dxa"/>
            <w:hideMark/>
          </w:tcPr>
          <w:p w14:paraId="534E2A44" w14:textId="77777777" w:rsidR="001725E3" w:rsidRPr="00B10FD1" w:rsidRDefault="001725E3" w:rsidP="006960F6">
            <w:pPr>
              <w:jc w:val="both"/>
              <w:rPr>
                <w:rFonts w:eastAsia="Times New Roman" w:cs="Arial"/>
                <w:color w:val="000000" w:themeColor="text1"/>
                <w:szCs w:val="24"/>
              </w:rPr>
            </w:pPr>
            <w:r w:rsidRPr="00B10FD1">
              <w:rPr>
                <w:rFonts w:eastAsia="Times New Roman" w:cs="Arial"/>
                <w:color w:val="000000" w:themeColor="text1"/>
                <w:szCs w:val="24"/>
              </w:rPr>
              <w:t>anxiety OR depression OR wellbeing OR “mental health” OR “care experience*”</w:t>
            </w:r>
          </w:p>
        </w:tc>
      </w:tr>
    </w:tbl>
    <w:p w14:paraId="500CF14C" w14:textId="77777777" w:rsidR="00D01932" w:rsidRPr="00B10FD1" w:rsidRDefault="00D01932" w:rsidP="006240B2">
      <w:pPr>
        <w:pStyle w:val="NormalWeb"/>
        <w:spacing w:before="120" w:beforeAutospacing="0" w:after="120" w:afterAutospacing="0" w:line="360" w:lineRule="auto"/>
        <w:jc w:val="both"/>
        <w:rPr>
          <w:rFonts w:ascii="Arial" w:hAnsi="Arial" w:cs="Arial"/>
          <w:color w:val="000000" w:themeColor="text1"/>
        </w:rPr>
      </w:pPr>
    </w:p>
    <w:p w14:paraId="1B91DFE1" w14:textId="77777777" w:rsidR="00EE0241" w:rsidRPr="00B10FD1" w:rsidRDefault="00FB05D5" w:rsidP="001725E3">
      <w:pPr>
        <w:pStyle w:val="NormalWeb"/>
        <w:keepNext/>
        <w:spacing w:before="120" w:beforeAutospacing="0" w:after="120" w:afterAutospacing="0" w:line="360" w:lineRule="auto"/>
        <w:jc w:val="center"/>
        <w:rPr>
          <w:rFonts w:ascii="Arial" w:hAnsi="Arial" w:cs="Arial"/>
          <w:color w:val="000000" w:themeColor="text1"/>
        </w:rPr>
      </w:pPr>
      <w:r w:rsidRPr="00B10FD1">
        <w:rPr>
          <w:rFonts w:ascii="Arial" w:hAnsi="Arial" w:cs="Arial"/>
          <w:noProof/>
          <w:color w:val="000000" w:themeColor="text1"/>
        </w:rPr>
        <w:lastRenderedPageBreak/>
        <w:drawing>
          <wp:inline distT="0" distB="0" distL="0" distR="0" wp14:anchorId="58CF03DF" wp14:editId="18D46944">
            <wp:extent cx="3828962" cy="4476530"/>
            <wp:effectExtent l="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43428" cy="4493443"/>
                    </a:xfrm>
                    <a:prstGeom prst="rect">
                      <a:avLst/>
                    </a:prstGeom>
                  </pic:spPr>
                </pic:pic>
              </a:graphicData>
            </a:graphic>
          </wp:inline>
        </w:drawing>
      </w:r>
    </w:p>
    <w:p w14:paraId="46468A76" w14:textId="635B5845" w:rsidR="00FB05D5" w:rsidRPr="00B10FD1" w:rsidRDefault="00EE0241" w:rsidP="001725E3">
      <w:pPr>
        <w:pStyle w:val="Caption"/>
        <w:spacing w:before="120" w:after="120" w:line="360" w:lineRule="auto"/>
        <w:jc w:val="center"/>
        <w:rPr>
          <w:rFonts w:cs="Arial"/>
          <w:color w:val="000000" w:themeColor="text1"/>
        </w:rPr>
      </w:pPr>
      <w:bookmarkStart w:id="24" w:name="_Toc209282422"/>
      <w:r w:rsidRPr="00B10FD1">
        <w:rPr>
          <w:rFonts w:cs="Arial"/>
          <w:color w:val="000000" w:themeColor="text1"/>
        </w:rPr>
        <w:t xml:space="preserve">Figure </w:t>
      </w:r>
      <w:r w:rsidRPr="00B10FD1">
        <w:rPr>
          <w:rFonts w:cs="Arial"/>
          <w:color w:val="000000" w:themeColor="text1"/>
        </w:rPr>
        <w:fldChar w:fldCharType="begin"/>
      </w:r>
      <w:r w:rsidRPr="00B10FD1">
        <w:rPr>
          <w:rFonts w:cs="Arial"/>
          <w:color w:val="000000" w:themeColor="text1"/>
        </w:rPr>
        <w:instrText xml:space="preserve"> SEQ Figure \* ARABIC </w:instrText>
      </w:r>
      <w:r w:rsidRPr="00B10FD1">
        <w:rPr>
          <w:rFonts w:cs="Arial"/>
          <w:color w:val="000000" w:themeColor="text1"/>
        </w:rPr>
        <w:fldChar w:fldCharType="separate"/>
      </w:r>
      <w:r w:rsidR="00204CA5">
        <w:rPr>
          <w:rFonts w:cs="Arial"/>
          <w:noProof/>
          <w:color w:val="000000" w:themeColor="text1"/>
        </w:rPr>
        <w:t>1</w:t>
      </w:r>
      <w:r w:rsidRPr="00B10FD1">
        <w:rPr>
          <w:rFonts w:cs="Arial"/>
          <w:color w:val="000000" w:themeColor="text1"/>
        </w:rPr>
        <w:fldChar w:fldCharType="end"/>
      </w:r>
      <w:r w:rsidRPr="00B10FD1">
        <w:rPr>
          <w:rFonts w:cs="Arial"/>
          <w:color w:val="000000" w:themeColor="text1"/>
        </w:rPr>
        <w:t>: Search Strategy (Created by using Visual Paradigm Tool)</w:t>
      </w:r>
      <w:bookmarkEnd w:id="24"/>
    </w:p>
    <w:p w14:paraId="1B3AB4E6" w14:textId="77777777" w:rsidR="003937D7" w:rsidRPr="00B10FD1" w:rsidRDefault="003F25F2" w:rsidP="003F25F2">
      <w:pPr>
        <w:pStyle w:val="NormalWeb"/>
        <w:spacing w:before="120" w:beforeAutospacing="0" w:after="120" w:afterAutospacing="0" w:line="360" w:lineRule="auto"/>
        <w:jc w:val="both"/>
        <w:rPr>
          <w:rFonts w:ascii="Arial" w:hAnsi="Arial" w:cs="Arial"/>
        </w:rPr>
      </w:pPr>
      <w:r w:rsidRPr="00B10FD1">
        <w:rPr>
          <w:rFonts w:ascii="Arial" w:hAnsi="Arial" w:cs="Arial"/>
        </w:rPr>
        <w:t>Section 3.3 operationalizes the strategy, detailing database strings, citation chasing, screening stages and overall study flow.</w:t>
      </w:r>
    </w:p>
    <w:p w14:paraId="363AA1D7" w14:textId="77777777" w:rsidR="00596393" w:rsidRPr="00B10FD1" w:rsidRDefault="005E3A3B" w:rsidP="006240B2">
      <w:pPr>
        <w:pStyle w:val="Heading2"/>
        <w:spacing w:before="120" w:beforeAutospacing="0" w:after="120" w:afterAutospacing="0" w:line="360" w:lineRule="auto"/>
        <w:jc w:val="both"/>
        <w:rPr>
          <w:rFonts w:ascii="Arial" w:hAnsi="Arial" w:cs="Arial"/>
          <w:color w:val="000000" w:themeColor="text1"/>
        </w:rPr>
      </w:pPr>
      <w:bookmarkStart w:id="25" w:name="_Toc209284758"/>
      <w:r w:rsidRPr="00B10FD1">
        <w:rPr>
          <w:rFonts w:ascii="Arial" w:hAnsi="Arial" w:cs="Arial"/>
          <w:color w:val="000000" w:themeColor="text1"/>
        </w:rPr>
        <w:t>3.</w:t>
      </w:r>
      <w:r w:rsidR="00596393" w:rsidRPr="00B10FD1">
        <w:rPr>
          <w:rFonts w:ascii="Arial" w:hAnsi="Arial" w:cs="Arial"/>
          <w:color w:val="000000" w:themeColor="text1"/>
        </w:rPr>
        <w:t>3 Searching for Information</w:t>
      </w:r>
      <w:bookmarkEnd w:id="25"/>
      <w:r w:rsidR="00596393" w:rsidRPr="00B10FD1">
        <w:rPr>
          <w:rFonts w:ascii="Arial" w:hAnsi="Arial" w:cs="Arial"/>
          <w:color w:val="000000" w:themeColor="text1"/>
        </w:rPr>
        <w:t xml:space="preserve"> </w:t>
      </w:r>
    </w:p>
    <w:p w14:paraId="025F771F" w14:textId="77777777" w:rsidR="00EA307A" w:rsidRPr="00B10FD1" w:rsidRDefault="00596393"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The final MEDLINE string (ad</w:t>
      </w:r>
      <w:r w:rsidR="00556925" w:rsidRPr="00B10FD1">
        <w:rPr>
          <w:rFonts w:ascii="Arial" w:hAnsi="Arial" w:cs="Arial"/>
          <w:color w:val="000000" w:themeColor="text1"/>
          <w:sz w:val="22"/>
        </w:rPr>
        <w:t xml:space="preserve">apted per database syntax) was: </w:t>
      </w:r>
      <w:r w:rsidRPr="00B10FD1">
        <w:rPr>
          <w:rFonts w:ascii="Arial" w:hAnsi="Arial" w:cs="Arial"/>
          <w:color w:val="000000" w:themeColor="text1"/>
          <w:sz w:val="22"/>
        </w:rPr>
        <w:t>(“Aged”[</w:t>
      </w:r>
      <w:proofErr w:type="spellStart"/>
      <w:r w:rsidRPr="00B10FD1">
        <w:rPr>
          <w:rFonts w:ascii="Arial" w:hAnsi="Arial" w:cs="Arial"/>
          <w:color w:val="000000" w:themeColor="text1"/>
          <w:sz w:val="22"/>
        </w:rPr>
        <w:t>MeSH</w:t>
      </w:r>
      <w:proofErr w:type="spellEnd"/>
      <w:r w:rsidRPr="00B10FD1">
        <w:rPr>
          <w:rFonts w:ascii="Arial" w:hAnsi="Arial" w:cs="Arial"/>
          <w:color w:val="000000" w:themeColor="text1"/>
          <w:sz w:val="22"/>
        </w:rPr>
        <w:t>] OR “older adult*” OR elderly OR “aged 60+” OR “older people”) AND (“Social Isolation”[</w:t>
      </w:r>
      <w:proofErr w:type="spellStart"/>
      <w:r w:rsidRPr="00B10FD1">
        <w:rPr>
          <w:rFonts w:ascii="Arial" w:hAnsi="Arial" w:cs="Arial"/>
          <w:color w:val="000000" w:themeColor="text1"/>
          <w:sz w:val="22"/>
        </w:rPr>
        <w:t>MeSH</w:t>
      </w:r>
      <w:proofErr w:type="spellEnd"/>
      <w:r w:rsidRPr="00B10FD1">
        <w:rPr>
          <w:rFonts w:ascii="Arial" w:hAnsi="Arial" w:cs="Arial"/>
          <w:color w:val="000000" w:themeColor="text1"/>
          <w:sz w:val="22"/>
        </w:rPr>
        <w:t xml:space="preserve">] OR “loneliness” OR “social disconnect*” OR “social exclusion”) AND (“digital divide” OR “digital exclusion” OR eHealth OR “telehealth” OR “online appointment*” OR “patient portal*” OR “remote consultation*”) AND (UK OR “United Kingdom” OR England OR Scotland OR Wales OR “Northern Ireland”). Truncation and proximity operators (e.g., </w:t>
      </w:r>
      <w:proofErr w:type="spellStart"/>
      <w:r w:rsidRPr="00B10FD1">
        <w:rPr>
          <w:rFonts w:ascii="Arial" w:hAnsi="Arial" w:cs="Arial"/>
          <w:color w:val="000000" w:themeColor="text1"/>
          <w:sz w:val="22"/>
        </w:rPr>
        <w:t>lonel</w:t>
      </w:r>
      <w:proofErr w:type="spellEnd"/>
      <w:r w:rsidRPr="00B10FD1">
        <w:rPr>
          <w:rFonts w:ascii="Arial" w:hAnsi="Arial" w:cs="Arial"/>
          <w:color w:val="000000" w:themeColor="text1"/>
          <w:sz w:val="22"/>
        </w:rPr>
        <w:t>* NEAR/3 social) were applied where available.</w:t>
      </w:r>
    </w:p>
    <w:p w14:paraId="236994B7" w14:textId="77777777" w:rsidR="00596393" w:rsidRPr="00B10FD1" w:rsidRDefault="00596393"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 xml:space="preserve">To reduce publication bias, we supplemented database searches with backward and forward citation chasing of all included studies and key methodological papers (Thomas &amp; Harden, 2008; Braun &amp; Clarke, 2006), and author name searches for prolific UK teams in the field. Search logs </w:t>
      </w:r>
      <w:r w:rsidRPr="00B10FD1">
        <w:rPr>
          <w:rFonts w:ascii="Arial" w:hAnsi="Arial" w:cs="Arial"/>
          <w:color w:val="000000" w:themeColor="text1"/>
          <w:sz w:val="22"/>
        </w:rPr>
        <w:lastRenderedPageBreak/>
        <w:t xml:space="preserve">captured dates, platforms, and yield; de-duplication was performed in a reference manager prior to screening. Two staged screening (titles/abstracts, then full texts) was undertaken against pre-specified criteria. A PRISMA flow diagram </w:t>
      </w:r>
      <w:proofErr w:type="spellStart"/>
      <w:r w:rsidRPr="00B10FD1">
        <w:rPr>
          <w:rFonts w:ascii="Arial" w:hAnsi="Arial" w:cs="Arial"/>
          <w:color w:val="000000" w:themeColor="text1"/>
          <w:sz w:val="22"/>
        </w:rPr>
        <w:t>summarises</w:t>
      </w:r>
      <w:proofErr w:type="spellEnd"/>
      <w:r w:rsidRPr="00B10FD1">
        <w:rPr>
          <w:rFonts w:ascii="Arial" w:hAnsi="Arial" w:cs="Arial"/>
          <w:color w:val="000000" w:themeColor="text1"/>
          <w:sz w:val="22"/>
        </w:rPr>
        <w:t xml:space="preserve"> identification, screening, eligibility, and inclusion (Page et al., 2021). Where studies were mixed-methods, only the qualit</w:t>
      </w:r>
      <w:r w:rsidR="005819B2" w:rsidRPr="00B10FD1">
        <w:rPr>
          <w:rFonts w:ascii="Arial" w:hAnsi="Arial" w:cs="Arial"/>
          <w:color w:val="000000" w:themeColor="text1"/>
          <w:sz w:val="22"/>
        </w:rPr>
        <w:t>ative components were extracted</w:t>
      </w:r>
      <w:r w:rsidRPr="00B10FD1">
        <w:rPr>
          <w:rFonts w:ascii="Arial" w:hAnsi="Arial" w:cs="Arial"/>
          <w:color w:val="000000" w:themeColor="text1"/>
          <w:sz w:val="22"/>
        </w:rPr>
        <w:t>. Methodological choices were guided by systematic review texts to ensure comprehensiveness and reproducibility (Booth et al., 2016; Creswell &amp; Poth, 2018).</w:t>
      </w:r>
    </w:p>
    <w:p w14:paraId="247AE9A8" w14:textId="77777777" w:rsidR="005819B2" w:rsidRPr="00B10FD1" w:rsidRDefault="005819B2" w:rsidP="006240B2">
      <w:pPr>
        <w:spacing w:before="120" w:after="120" w:line="360" w:lineRule="auto"/>
        <w:jc w:val="both"/>
        <w:rPr>
          <w:rFonts w:eastAsia="Times New Roman" w:cs="Arial"/>
          <w:color w:val="000000" w:themeColor="text1"/>
          <w:szCs w:val="24"/>
        </w:rPr>
      </w:pPr>
      <w:r w:rsidRPr="00B10FD1">
        <w:rPr>
          <w:rFonts w:eastAsia="Times New Roman" w:cs="Arial"/>
          <w:color w:val="000000" w:themeColor="text1"/>
          <w:szCs w:val="24"/>
        </w:rPr>
        <w:t xml:space="preserve">Across databases (MEDLINE, CINAHL, PsycINFO, Scopus, Web of Science, ASSIA, </w:t>
      </w:r>
      <w:proofErr w:type="spellStart"/>
      <w:r w:rsidRPr="00B10FD1">
        <w:rPr>
          <w:rFonts w:eastAsia="Times New Roman" w:cs="Arial"/>
          <w:color w:val="000000" w:themeColor="text1"/>
          <w:szCs w:val="24"/>
        </w:rPr>
        <w:t>SocINDEX</w:t>
      </w:r>
      <w:proofErr w:type="spellEnd"/>
      <w:r w:rsidRPr="00B10FD1">
        <w:rPr>
          <w:rFonts w:eastAsia="Times New Roman" w:cs="Arial"/>
          <w:color w:val="000000" w:themeColor="text1"/>
          <w:szCs w:val="24"/>
        </w:rPr>
        <w:t>) the search identified 7,184 records; citation-chasing and reference lists added 23, giving 7,207 records. After de-duplication (n=1,245), 5,962 titles/abstracts were screened, of which 5,450 were excluded for not meeting the population/phenomena/setting criteria. We assessed 512 full texts for eligibility and excluded 468 with reasons: wrong population/age (n=132), non-UK setting (n=119), quantitative-only designs (n=103), insufficient qualitative data (n=61), not focused on social isolation/digital context (n=43), and not peer-reviewed/English (n=10). Consequently, 44 studies (2015–2025) were included in the qualitative synthesis.</w:t>
      </w:r>
    </w:p>
    <w:p w14:paraId="1A628CDA" w14:textId="77777777" w:rsidR="00EE0241" w:rsidRPr="00B10FD1" w:rsidRDefault="0063665F" w:rsidP="001F57B7">
      <w:pPr>
        <w:keepNext/>
        <w:spacing w:before="120" w:after="120" w:line="360" w:lineRule="auto"/>
        <w:jc w:val="center"/>
        <w:rPr>
          <w:rFonts w:cs="Arial"/>
          <w:color w:val="000000" w:themeColor="text1"/>
        </w:rPr>
      </w:pPr>
      <w:r w:rsidRPr="00B10FD1">
        <w:rPr>
          <w:rFonts w:cs="Arial"/>
          <w:noProof/>
          <w:color w:val="000000" w:themeColor="text1"/>
        </w:rPr>
        <w:drawing>
          <wp:inline distT="0" distB="0" distL="0" distR="0" wp14:anchorId="27D714B8" wp14:editId="0142A779">
            <wp:extent cx="4705914" cy="43670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08991" cy="4369904"/>
                    </a:xfrm>
                    <a:prstGeom prst="rect">
                      <a:avLst/>
                    </a:prstGeom>
                  </pic:spPr>
                </pic:pic>
              </a:graphicData>
            </a:graphic>
          </wp:inline>
        </w:drawing>
      </w:r>
    </w:p>
    <w:p w14:paraId="51C25139" w14:textId="4BFCEA37" w:rsidR="0063665F" w:rsidRPr="00B10FD1" w:rsidRDefault="00EE0241" w:rsidP="001F57B7">
      <w:pPr>
        <w:pStyle w:val="Caption"/>
        <w:spacing w:before="120" w:after="120" w:line="360" w:lineRule="auto"/>
        <w:jc w:val="center"/>
        <w:rPr>
          <w:rFonts w:cs="Arial"/>
          <w:color w:val="000000" w:themeColor="text1"/>
        </w:rPr>
      </w:pPr>
      <w:bookmarkStart w:id="26" w:name="_Toc209282423"/>
      <w:r w:rsidRPr="00B10FD1">
        <w:rPr>
          <w:rFonts w:cs="Arial"/>
          <w:color w:val="000000" w:themeColor="text1"/>
        </w:rPr>
        <w:t xml:space="preserve">Figure </w:t>
      </w:r>
      <w:r w:rsidRPr="00B10FD1">
        <w:rPr>
          <w:rFonts w:cs="Arial"/>
          <w:color w:val="000000" w:themeColor="text1"/>
        </w:rPr>
        <w:fldChar w:fldCharType="begin"/>
      </w:r>
      <w:r w:rsidRPr="00B10FD1">
        <w:rPr>
          <w:rFonts w:cs="Arial"/>
          <w:color w:val="000000" w:themeColor="text1"/>
        </w:rPr>
        <w:instrText xml:space="preserve"> SEQ Figure \* ARABIC </w:instrText>
      </w:r>
      <w:r w:rsidRPr="00B10FD1">
        <w:rPr>
          <w:rFonts w:cs="Arial"/>
          <w:color w:val="000000" w:themeColor="text1"/>
        </w:rPr>
        <w:fldChar w:fldCharType="separate"/>
      </w:r>
      <w:r w:rsidR="00204CA5">
        <w:rPr>
          <w:rFonts w:cs="Arial"/>
          <w:noProof/>
          <w:color w:val="000000" w:themeColor="text1"/>
        </w:rPr>
        <w:t>2</w:t>
      </w:r>
      <w:r w:rsidRPr="00B10FD1">
        <w:rPr>
          <w:rFonts w:cs="Arial"/>
          <w:color w:val="000000" w:themeColor="text1"/>
        </w:rPr>
        <w:fldChar w:fldCharType="end"/>
      </w:r>
      <w:r w:rsidRPr="00B10FD1">
        <w:rPr>
          <w:rFonts w:cs="Arial"/>
          <w:color w:val="000000" w:themeColor="text1"/>
        </w:rPr>
        <w:t>: PRISMA Diagram (Created by using Visual Paradigm Tool)</w:t>
      </w:r>
      <w:bookmarkEnd w:id="26"/>
    </w:p>
    <w:p w14:paraId="26B2E33B" w14:textId="77777777" w:rsidR="009378A7" w:rsidRPr="00B10FD1" w:rsidRDefault="002611D4" w:rsidP="002611D4">
      <w:pPr>
        <w:pStyle w:val="NormalWeb"/>
        <w:spacing w:before="120" w:beforeAutospacing="0" w:after="120" w:afterAutospacing="0" w:line="360" w:lineRule="auto"/>
        <w:jc w:val="both"/>
        <w:rPr>
          <w:rFonts w:ascii="Arial" w:hAnsi="Arial" w:cs="Arial"/>
          <w:sz w:val="22"/>
        </w:rPr>
      </w:pPr>
      <w:r w:rsidRPr="00B10FD1">
        <w:rPr>
          <w:rFonts w:ascii="Arial" w:hAnsi="Arial" w:cs="Arial"/>
          <w:sz w:val="22"/>
        </w:rPr>
        <w:lastRenderedPageBreak/>
        <w:t xml:space="preserve">With identification and screening complete, section 3.4 now describe how quality assurance and appraisal procedures strengthened </w:t>
      </w:r>
      <w:proofErr w:type="spellStart"/>
      <w:r w:rsidRPr="00B10FD1">
        <w:rPr>
          <w:rFonts w:ascii="Arial" w:hAnsi="Arial" w:cs="Arial"/>
          <w:sz w:val="22"/>
        </w:rPr>
        <w:t>rigour</w:t>
      </w:r>
      <w:proofErr w:type="spellEnd"/>
      <w:r w:rsidRPr="00B10FD1">
        <w:rPr>
          <w:rFonts w:ascii="Arial" w:hAnsi="Arial" w:cs="Arial"/>
          <w:sz w:val="22"/>
        </w:rPr>
        <w:t xml:space="preserve"> and credibility.</w:t>
      </w:r>
    </w:p>
    <w:p w14:paraId="37C41B03" w14:textId="77777777" w:rsidR="00596393" w:rsidRPr="00B10FD1" w:rsidRDefault="005E3A3B" w:rsidP="006240B2">
      <w:pPr>
        <w:pStyle w:val="Heading2"/>
        <w:spacing w:before="120" w:beforeAutospacing="0" w:after="120" w:afterAutospacing="0" w:line="360" w:lineRule="auto"/>
        <w:jc w:val="both"/>
        <w:rPr>
          <w:rFonts w:ascii="Arial" w:hAnsi="Arial" w:cs="Arial"/>
          <w:color w:val="000000" w:themeColor="text1"/>
        </w:rPr>
      </w:pPr>
      <w:bookmarkStart w:id="27" w:name="_Toc209284759"/>
      <w:r w:rsidRPr="00B10FD1">
        <w:rPr>
          <w:rFonts w:ascii="Arial" w:hAnsi="Arial" w:cs="Arial"/>
          <w:color w:val="000000" w:themeColor="text1"/>
        </w:rPr>
        <w:t>3.</w:t>
      </w:r>
      <w:r w:rsidR="00596393" w:rsidRPr="00B10FD1">
        <w:rPr>
          <w:rFonts w:ascii="Arial" w:hAnsi="Arial" w:cs="Arial"/>
          <w:color w:val="000000" w:themeColor="text1"/>
        </w:rPr>
        <w:t>4 Research Validation</w:t>
      </w:r>
      <w:bookmarkEnd w:id="27"/>
      <w:r w:rsidR="00596393" w:rsidRPr="00B10FD1">
        <w:rPr>
          <w:rFonts w:ascii="Arial" w:hAnsi="Arial" w:cs="Arial"/>
          <w:color w:val="000000" w:themeColor="text1"/>
        </w:rPr>
        <w:t xml:space="preserve"> </w:t>
      </w:r>
    </w:p>
    <w:p w14:paraId="794D0DFD" w14:textId="77777777" w:rsidR="002611D4" w:rsidRPr="00B10FD1" w:rsidRDefault="00596393" w:rsidP="002611D4">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Quality assurance combined reviewer agreement checks, critical appraisal, and transparency procedures. Title/abstract screening was conducted by the primary reviewer; a second reviewer independently screened a 20% random sample. Agreement exceeded the a priori κ≥0.80 threshold (Cohen’s kappa), with disagreements resolved by discussion and, if needed, supervisor adjudication (Booth et al., 2016). Full-text eligibility decisions were double-checked for borderline cases with documented rationales. Methodological quality and reporting were appraised using the JBI qualitative checklist (Lockwood et al., 2015) and COREQ guidance for reporting qualitative research (Tong et al., 2007). Appraisal informed—but did not dictate—study inclusion; instead, we conducted sensitivity analyses to explore the influence of lower-quality studies on themes. Confidence in review findings was graded using GRADE-</w:t>
      </w:r>
      <w:proofErr w:type="spellStart"/>
      <w:r w:rsidRPr="00B10FD1">
        <w:rPr>
          <w:rFonts w:ascii="Arial" w:hAnsi="Arial" w:cs="Arial"/>
          <w:color w:val="000000" w:themeColor="text1"/>
          <w:sz w:val="22"/>
        </w:rPr>
        <w:t>CERQual</w:t>
      </w:r>
      <w:proofErr w:type="spellEnd"/>
      <w:r w:rsidRPr="00B10FD1">
        <w:rPr>
          <w:rFonts w:ascii="Arial" w:hAnsi="Arial" w:cs="Arial"/>
          <w:color w:val="000000" w:themeColor="text1"/>
          <w:sz w:val="22"/>
        </w:rPr>
        <w:t xml:space="preserve"> (Lewin et al., 2018), considering methodological limitations, coherence, adequacy, and relevance. An audit trail (search logs, screening forms, codebooks, theme memos) and reflexive notes enhanced dependability and confirmability (Creswell &amp; Poth, 2018).</w:t>
      </w:r>
    </w:p>
    <w:p w14:paraId="1C1EA331" w14:textId="77777777" w:rsidR="002611D4" w:rsidRPr="00B10FD1" w:rsidRDefault="002611D4" w:rsidP="002611D4">
      <w:pPr>
        <w:pStyle w:val="NormalWeb"/>
        <w:spacing w:before="120" w:beforeAutospacing="0" w:after="120" w:afterAutospacing="0" w:line="360" w:lineRule="auto"/>
        <w:jc w:val="both"/>
        <w:rPr>
          <w:rFonts w:ascii="Arial" w:hAnsi="Arial" w:cs="Arial"/>
          <w:color w:val="000000" w:themeColor="text1"/>
          <w:sz w:val="20"/>
        </w:rPr>
      </w:pPr>
      <w:r w:rsidRPr="00B10FD1">
        <w:rPr>
          <w:rFonts w:ascii="Arial" w:hAnsi="Arial" w:cs="Arial"/>
          <w:sz w:val="22"/>
        </w:rPr>
        <w:t>Section 3.5 next formalize eligibility rules to ensure consistency and transparency in deciding which studies entered the synthesis.</w:t>
      </w:r>
    </w:p>
    <w:p w14:paraId="5E674113" w14:textId="77777777" w:rsidR="00596393" w:rsidRPr="00B10FD1" w:rsidRDefault="005E3A3B" w:rsidP="006240B2">
      <w:pPr>
        <w:pStyle w:val="Heading2"/>
        <w:spacing w:before="120" w:beforeAutospacing="0" w:after="120" w:afterAutospacing="0" w:line="360" w:lineRule="auto"/>
        <w:jc w:val="both"/>
        <w:rPr>
          <w:rFonts w:ascii="Arial" w:hAnsi="Arial" w:cs="Arial"/>
          <w:color w:val="000000" w:themeColor="text1"/>
        </w:rPr>
      </w:pPr>
      <w:bookmarkStart w:id="28" w:name="_Toc209284760"/>
      <w:r w:rsidRPr="00B10FD1">
        <w:rPr>
          <w:rFonts w:ascii="Arial" w:hAnsi="Arial" w:cs="Arial"/>
          <w:color w:val="000000" w:themeColor="text1"/>
        </w:rPr>
        <w:t>3.</w:t>
      </w:r>
      <w:r w:rsidR="00596393" w:rsidRPr="00B10FD1">
        <w:rPr>
          <w:rFonts w:ascii="Arial" w:hAnsi="Arial" w:cs="Arial"/>
          <w:color w:val="000000" w:themeColor="text1"/>
        </w:rPr>
        <w:t>5 In</w:t>
      </w:r>
      <w:r w:rsidR="00591ED5" w:rsidRPr="00B10FD1">
        <w:rPr>
          <w:rFonts w:ascii="Arial" w:hAnsi="Arial" w:cs="Arial"/>
          <w:color w:val="000000" w:themeColor="text1"/>
        </w:rPr>
        <w:t>clusion and Exclusion Criteria</w:t>
      </w:r>
      <w:bookmarkEnd w:id="28"/>
      <w:r w:rsidR="00591ED5" w:rsidRPr="00B10FD1">
        <w:rPr>
          <w:rFonts w:ascii="Arial" w:hAnsi="Arial" w:cs="Arial"/>
          <w:color w:val="000000" w:themeColor="text1"/>
        </w:rPr>
        <w:t xml:space="preserve"> </w:t>
      </w:r>
    </w:p>
    <w:p w14:paraId="3A387189" w14:textId="77777777" w:rsidR="00992799" w:rsidRPr="00B10FD1" w:rsidRDefault="00596393" w:rsidP="006240B2">
      <w:pPr>
        <w:pStyle w:val="NormalWeb"/>
        <w:spacing w:before="120" w:beforeAutospacing="0" w:after="120" w:afterAutospacing="0" w:line="360" w:lineRule="auto"/>
        <w:jc w:val="both"/>
        <w:rPr>
          <w:rFonts w:ascii="Arial" w:hAnsi="Arial" w:cs="Arial"/>
          <w:color w:val="000000" w:themeColor="text1"/>
          <w:sz w:val="22"/>
        </w:rPr>
      </w:pPr>
      <w:r w:rsidRPr="00B10FD1">
        <w:rPr>
          <w:rStyle w:val="Strong"/>
          <w:rFonts w:ascii="Arial" w:hAnsi="Arial" w:cs="Arial"/>
          <w:color w:val="000000" w:themeColor="text1"/>
          <w:sz w:val="22"/>
        </w:rPr>
        <w:t>Inclusion:</w:t>
      </w:r>
      <w:r w:rsidRPr="00B10FD1">
        <w:rPr>
          <w:rFonts w:ascii="Arial" w:hAnsi="Arial" w:cs="Arial"/>
          <w:color w:val="000000" w:themeColor="text1"/>
          <w:sz w:val="22"/>
        </w:rPr>
        <w:t xml:space="preserve"> (1) empirical, peer-reviewed studies using qualitative designs (e.g., interviews, focus groups, ethnography) or mixed-methods with </w:t>
      </w:r>
      <w:proofErr w:type="spellStart"/>
      <w:r w:rsidRPr="00B10FD1">
        <w:rPr>
          <w:rFonts w:ascii="Arial" w:hAnsi="Arial" w:cs="Arial"/>
          <w:color w:val="000000" w:themeColor="text1"/>
          <w:sz w:val="22"/>
        </w:rPr>
        <w:t>analysable</w:t>
      </w:r>
      <w:proofErr w:type="spellEnd"/>
      <w:r w:rsidRPr="00B10FD1">
        <w:rPr>
          <w:rFonts w:ascii="Arial" w:hAnsi="Arial" w:cs="Arial"/>
          <w:color w:val="000000" w:themeColor="text1"/>
          <w:sz w:val="22"/>
        </w:rPr>
        <w:t xml:space="preserve"> qualitative data; (2) UK-based samples of older adults (≥60) or UK carers/providers reporting older adults’ perspectives; (3) phenomena addressing social isolation/loneliness in relation to digital access/use/exclusion; (4) mental-health outcomes (e.g., depression, anxiety, wellbeing, coping) or care experiences linked to mental heal</w:t>
      </w:r>
      <w:r w:rsidR="00992799" w:rsidRPr="00B10FD1">
        <w:rPr>
          <w:rFonts w:ascii="Arial" w:hAnsi="Arial" w:cs="Arial"/>
          <w:color w:val="000000" w:themeColor="text1"/>
          <w:sz w:val="22"/>
        </w:rPr>
        <w:t>th; (5) English; (6) 2015–2025.</w:t>
      </w:r>
    </w:p>
    <w:p w14:paraId="2268635F" w14:textId="77777777" w:rsidR="00596393" w:rsidRPr="00B10FD1" w:rsidRDefault="00596393" w:rsidP="006240B2">
      <w:pPr>
        <w:pStyle w:val="NormalWeb"/>
        <w:spacing w:before="120" w:beforeAutospacing="0" w:after="120" w:afterAutospacing="0" w:line="360" w:lineRule="auto"/>
        <w:jc w:val="both"/>
        <w:rPr>
          <w:rFonts w:ascii="Arial" w:hAnsi="Arial" w:cs="Arial"/>
          <w:color w:val="000000" w:themeColor="text1"/>
          <w:sz w:val="22"/>
        </w:rPr>
      </w:pPr>
      <w:r w:rsidRPr="00B10FD1">
        <w:rPr>
          <w:rStyle w:val="Strong"/>
          <w:rFonts w:ascii="Arial" w:hAnsi="Arial" w:cs="Arial"/>
          <w:color w:val="000000" w:themeColor="text1"/>
          <w:sz w:val="22"/>
        </w:rPr>
        <w:t>Exclusion:</w:t>
      </w:r>
      <w:r w:rsidRPr="00B10FD1">
        <w:rPr>
          <w:rFonts w:ascii="Arial" w:hAnsi="Arial" w:cs="Arial"/>
          <w:color w:val="000000" w:themeColor="text1"/>
          <w:sz w:val="22"/>
        </w:rPr>
        <w:t xml:space="preserve"> quantitative-only studies; editorials/commentaries; non-UK settings; populations &lt;60 unless older subgroup data were separable; studies focused solely on general ageing without social isolation/digital dimensions; and technology usability studies lacking mental-health relevance (Thomas &amp; Harden, 2008; Page et al., 2021).</w:t>
      </w:r>
    </w:p>
    <w:p w14:paraId="19B8FBBF" w14:textId="6933D9F7" w:rsidR="004D7FEA" w:rsidRPr="00B10FD1" w:rsidRDefault="004D7FEA" w:rsidP="001F57B7">
      <w:pPr>
        <w:pStyle w:val="Caption"/>
        <w:keepNext/>
        <w:spacing w:before="120" w:after="120" w:line="360" w:lineRule="auto"/>
        <w:jc w:val="center"/>
        <w:rPr>
          <w:rFonts w:cs="Arial"/>
          <w:color w:val="000000" w:themeColor="text1"/>
        </w:rPr>
      </w:pPr>
      <w:bookmarkStart w:id="29" w:name="_Toc209282432"/>
      <w:r w:rsidRPr="00B10FD1">
        <w:rPr>
          <w:rFonts w:cs="Arial"/>
          <w:color w:val="000000" w:themeColor="text1"/>
        </w:rPr>
        <w:lastRenderedPageBreak/>
        <w:t xml:space="preserve">Table </w:t>
      </w:r>
      <w:r w:rsidRPr="00B10FD1">
        <w:rPr>
          <w:rFonts w:cs="Arial"/>
          <w:color w:val="000000" w:themeColor="text1"/>
        </w:rPr>
        <w:fldChar w:fldCharType="begin"/>
      </w:r>
      <w:r w:rsidRPr="00B10FD1">
        <w:rPr>
          <w:rFonts w:cs="Arial"/>
          <w:color w:val="000000" w:themeColor="text1"/>
        </w:rPr>
        <w:instrText xml:space="preserve"> SEQ Table \* ARABIC </w:instrText>
      </w:r>
      <w:r w:rsidRPr="00B10FD1">
        <w:rPr>
          <w:rFonts w:cs="Arial"/>
          <w:color w:val="000000" w:themeColor="text1"/>
        </w:rPr>
        <w:fldChar w:fldCharType="separate"/>
      </w:r>
      <w:r w:rsidR="00204CA5">
        <w:rPr>
          <w:rFonts w:cs="Arial"/>
          <w:noProof/>
          <w:color w:val="000000" w:themeColor="text1"/>
        </w:rPr>
        <w:t>3</w:t>
      </w:r>
      <w:r w:rsidRPr="00B10FD1">
        <w:rPr>
          <w:rFonts w:cs="Arial"/>
          <w:color w:val="000000" w:themeColor="text1"/>
        </w:rPr>
        <w:fldChar w:fldCharType="end"/>
      </w:r>
      <w:r w:rsidRPr="00B10FD1">
        <w:rPr>
          <w:rFonts w:cs="Arial"/>
          <w:color w:val="000000" w:themeColor="text1"/>
        </w:rPr>
        <w:t>: Inclusion and Exclusion Criteria</w:t>
      </w:r>
      <w:bookmarkEnd w:id="29"/>
    </w:p>
    <w:tbl>
      <w:tblPr>
        <w:tblStyle w:val="TableGrid"/>
        <w:tblW w:w="0" w:type="auto"/>
        <w:tblLook w:val="04A0" w:firstRow="1" w:lastRow="0" w:firstColumn="1" w:lastColumn="0" w:noHBand="0" w:noVBand="1"/>
      </w:tblPr>
      <w:tblGrid>
        <w:gridCol w:w="1256"/>
        <w:gridCol w:w="8094"/>
      </w:tblGrid>
      <w:tr w:rsidR="00FD1A3B" w:rsidRPr="00B10FD1" w14:paraId="1B592EB6" w14:textId="77777777" w:rsidTr="00FB05D5">
        <w:tc>
          <w:tcPr>
            <w:tcW w:w="0" w:type="auto"/>
            <w:hideMark/>
          </w:tcPr>
          <w:p w14:paraId="689E85C2" w14:textId="77777777" w:rsidR="00FB05D5" w:rsidRPr="00B10FD1" w:rsidRDefault="00FB05D5" w:rsidP="001F57B7">
            <w:pPr>
              <w:spacing w:before="120" w:after="120"/>
              <w:jc w:val="both"/>
              <w:rPr>
                <w:rFonts w:eastAsia="Times New Roman" w:cs="Arial"/>
                <w:b/>
                <w:bCs/>
                <w:color w:val="000000" w:themeColor="text1"/>
                <w:szCs w:val="24"/>
              </w:rPr>
            </w:pPr>
            <w:r w:rsidRPr="00B10FD1">
              <w:rPr>
                <w:rFonts w:eastAsia="Times New Roman" w:cs="Arial"/>
                <w:b/>
                <w:bCs/>
                <w:color w:val="000000" w:themeColor="text1"/>
                <w:szCs w:val="24"/>
              </w:rPr>
              <w:t>Category</w:t>
            </w:r>
          </w:p>
        </w:tc>
        <w:tc>
          <w:tcPr>
            <w:tcW w:w="0" w:type="auto"/>
            <w:hideMark/>
          </w:tcPr>
          <w:p w14:paraId="247E463C" w14:textId="77777777" w:rsidR="00FB05D5" w:rsidRPr="00B10FD1" w:rsidRDefault="00FB05D5" w:rsidP="001F57B7">
            <w:pPr>
              <w:spacing w:before="120" w:after="120"/>
              <w:jc w:val="both"/>
              <w:rPr>
                <w:rFonts w:eastAsia="Times New Roman" w:cs="Arial"/>
                <w:b/>
                <w:bCs/>
                <w:color w:val="000000" w:themeColor="text1"/>
                <w:szCs w:val="24"/>
              </w:rPr>
            </w:pPr>
            <w:r w:rsidRPr="00B10FD1">
              <w:rPr>
                <w:rFonts w:eastAsia="Times New Roman" w:cs="Arial"/>
                <w:b/>
                <w:bCs/>
                <w:color w:val="000000" w:themeColor="text1"/>
                <w:szCs w:val="24"/>
              </w:rPr>
              <w:t>Criteria</w:t>
            </w:r>
          </w:p>
        </w:tc>
      </w:tr>
      <w:tr w:rsidR="00FD1A3B" w:rsidRPr="00B10FD1" w14:paraId="479449AC" w14:textId="77777777" w:rsidTr="00FB05D5">
        <w:tc>
          <w:tcPr>
            <w:tcW w:w="0" w:type="auto"/>
            <w:hideMark/>
          </w:tcPr>
          <w:p w14:paraId="4761B776" w14:textId="77777777" w:rsidR="00FB05D5" w:rsidRPr="00B10FD1" w:rsidRDefault="00FB05D5" w:rsidP="001F57B7">
            <w:pPr>
              <w:spacing w:before="120" w:after="120"/>
              <w:jc w:val="both"/>
              <w:rPr>
                <w:rFonts w:eastAsia="Times New Roman" w:cs="Arial"/>
                <w:color w:val="000000" w:themeColor="text1"/>
                <w:szCs w:val="24"/>
              </w:rPr>
            </w:pPr>
            <w:r w:rsidRPr="00B10FD1">
              <w:rPr>
                <w:rFonts w:eastAsia="Times New Roman" w:cs="Arial"/>
                <w:b/>
                <w:bCs/>
                <w:color w:val="000000" w:themeColor="text1"/>
                <w:szCs w:val="24"/>
              </w:rPr>
              <w:t>Inclusion</w:t>
            </w:r>
          </w:p>
        </w:tc>
        <w:tc>
          <w:tcPr>
            <w:tcW w:w="0" w:type="auto"/>
            <w:hideMark/>
          </w:tcPr>
          <w:p w14:paraId="0AC7FE51" w14:textId="77777777" w:rsidR="00FB05D5" w:rsidRPr="00B10FD1" w:rsidRDefault="00FB05D5" w:rsidP="001F57B7">
            <w:pPr>
              <w:pStyle w:val="ListParagraph"/>
              <w:numPr>
                <w:ilvl w:val="0"/>
                <w:numId w:val="4"/>
              </w:numPr>
              <w:spacing w:before="120" w:after="120" w:line="24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Empirical, peer-reviewed studies using qualitative designs (e.g., interviews, focus groups, ethnography) or mixed-methods with analysable qualitative data.</w:t>
            </w:r>
          </w:p>
          <w:p w14:paraId="357411BD" w14:textId="77777777" w:rsidR="00FB05D5" w:rsidRPr="00B10FD1" w:rsidRDefault="00FB05D5" w:rsidP="001F57B7">
            <w:pPr>
              <w:pStyle w:val="ListParagraph"/>
              <w:numPr>
                <w:ilvl w:val="0"/>
                <w:numId w:val="4"/>
              </w:numPr>
              <w:spacing w:before="120" w:after="120" w:line="24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UK-based samples of older adults (≥60) or UK carers/providers reporting older adults’ perspectives.</w:t>
            </w:r>
          </w:p>
          <w:p w14:paraId="40D94EDC" w14:textId="77777777" w:rsidR="00FB05D5" w:rsidRPr="00B10FD1" w:rsidRDefault="00FB05D5" w:rsidP="001F57B7">
            <w:pPr>
              <w:pStyle w:val="ListParagraph"/>
              <w:numPr>
                <w:ilvl w:val="0"/>
                <w:numId w:val="4"/>
              </w:numPr>
              <w:spacing w:before="120" w:after="120" w:line="24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Phenomena addressing social isolation/loneliness in relation to digital access/use/exclusion.</w:t>
            </w:r>
          </w:p>
          <w:p w14:paraId="6BB32789" w14:textId="77777777" w:rsidR="00FB05D5" w:rsidRPr="00B10FD1" w:rsidRDefault="00FB05D5" w:rsidP="001F57B7">
            <w:pPr>
              <w:pStyle w:val="ListParagraph"/>
              <w:numPr>
                <w:ilvl w:val="0"/>
                <w:numId w:val="4"/>
              </w:numPr>
              <w:spacing w:before="120" w:after="120" w:line="24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Mental-health outcomes (e.g., depression, anxiety, wellbeing, coping) or care experiences linked to mental health.</w:t>
            </w:r>
          </w:p>
          <w:p w14:paraId="530095E6" w14:textId="77777777" w:rsidR="00FB05D5" w:rsidRPr="00B10FD1" w:rsidRDefault="00FB05D5" w:rsidP="001F57B7">
            <w:pPr>
              <w:pStyle w:val="ListParagraph"/>
              <w:numPr>
                <w:ilvl w:val="0"/>
                <w:numId w:val="4"/>
              </w:numPr>
              <w:spacing w:before="120" w:after="120" w:line="24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English language.</w:t>
            </w:r>
          </w:p>
          <w:p w14:paraId="58837E62" w14:textId="77777777" w:rsidR="00FB05D5" w:rsidRPr="00B10FD1" w:rsidRDefault="00FB05D5" w:rsidP="001F57B7">
            <w:pPr>
              <w:pStyle w:val="ListParagraph"/>
              <w:numPr>
                <w:ilvl w:val="0"/>
                <w:numId w:val="4"/>
              </w:numPr>
              <w:spacing w:before="120" w:after="120" w:line="24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6. Published between 2015–2025.</w:t>
            </w:r>
          </w:p>
        </w:tc>
      </w:tr>
      <w:tr w:rsidR="00FD1A3B" w:rsidRPr="00B10FD1" w14:paraId="7CF93DE4" w14:textId="77777777" w:rsidTr="00FB05D5">
        <w:tc>
          <w:tcPr>
            <w:tcW w:w="0" w:type="auto"/>
            <w:hideMark/>
          </w:tcPr>
          <w:p w14:paraId="1EDB1DAF" w14:textId="77777777" w:rsidR="00FB05D5" w:rsidRPr="00B10FD1" w:rsidRDefault="00FB05D5" w:rsidP="001F57B7">
            <w:pPr>
              <w:spacing w:before="120" w:after="120"/>
              <w:jc w:val="both"/>
              <w:rPr>
                <w:rFonts w:eastAsia="Times New Roman" w:cs="Arial"/>
                <w:color w:val="000000" w:themeColor="text1"/>
                <w:szCs w:val="24"/>
              </w:rPr>
            </w:pPr>
            <w:r w:rsidRPr="00B10FD1">
              <w:rPr>
                <w:rFonts w:eastAsia="Times New Roman" w:cs="Arial"/>
                <w:b/>
                <w:bCs/>
                <w:color w:val="000000" w:themeColor="text1"/>
                <w:szCs w:val="24"/>
              </w:rPr>
              <w:t>Exclusion</w:t>
            </w:r>
          </w:p>
        </w:tc>
        <w:tc>
          <w:tcPr>
            <w:tcW w:w="0" w:type="auto"/>
            <w:hideMark/>
          </w:tcPr>
          <w:p w14:paraId="570E8004" w14:textId="77777777" w:rsidR="00FB05D5" w:rsidRPr="00B10FD1" w:rsidRDefault="00FB05D5" w:rsidP="001F57B7">
            <w:pPr>
              <w:pStyle w:val="ListParagraph"/>
              <w:numPr>
                <w:ilvl w:val="0"/>
                <w:numId w:val="6"/>
              </w:numPr>
              <w:spacing w:before="120" w:after="120" w:line="24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Quantitative-only studies.</w:t>
            </w:r>
          </w:p>
          <w:p w14:paraId="6251F131" w14:textId="77777777" w:rsidR="00FB05D5" w:rsidRPr="00B10FD1" w:rsidRDefault="00FB05D5" w:rsidP="001F57B7">
            <w:pPr>
              <w:pStyle w:val="ListParagraph"/>
              <w:numPr>
                <w:ilvl w:val="0"/>
                <w:numId w:val="6"/>
              </w:numPr>
              <w:spacing w:before="120" w:after="120" w:line="24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Editorials/commentaries.</w:t>
            </w:r>
          </w:p>
          <w:p w14:paraId="7C9ED989" w14:textId="77777777" w:rsidR="00FB05D5" w:rsidRPr="00B10FD1" w:rsidRDefault="00FB05D5" w:rsidP="001F57B7">
            <w:pPr>
              <w:pStyle w:val="ListParagraph"/>
              <w:numPr>
                <w:ilvl w:val="0"/>
                <w:numId w:val="6"/>
              </w:numPr>
              <w:spacing w:before="120" w:after="120" w:line="24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Non-UK settings.</w:t>
            </w:r>
          </w:p>
          <w:p w14:paraId="750C5CD2" w14:textId="77777777" w:rsidR="00FB05D5" w:rsidRPr="00B10FD1" w:rsidRDefault="00FB05D5" w:rsidP="001F57B7">
            <w:pPr>
              <w:pStyle w:val="ListParagraph"/>
              <w:numPr>
                <w:ilvl w:val="0"/>
                <w:numId w:val="6"/>
              </w:numPr>
              <w:spacing w:before="120" w:after="120" w:line="24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Populations &lt;60 unless older subgroup data were separable.</w:t>
            </w:r>
          </w:p>
          <w:p w14:paraId="7651CE76" w14:textId="77777777" w:rsidR="00FB05D5" w:rsidRPr="00B10FD1" w:rsidRDefault="00FB05D5" w:rsidP="001F57B7">
            <w:pPr>
              <w:pStyle w:val="ListParagraph"/>
              <w:numPr>
                <w:ilvl w:val="0"/>
                <w:numId w:val="6"/>
              </w:numPr>
              <w:spacing w:before="120" w:after="120" w:line="24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Studies focused solely on general ageing without social isolation/digital dimensions.</w:t>
            </w:r>
          </w:p>
          <w:p w14:paraId="3B6A6D8B" w14:textId="77777777" w:rsidR="00FB05D5" w:rsidRPr="00B10FD1" w:rsidRDefault="00FB05D5" w:rsidP="001F57B7">
            <w:pPr>
              <w:pStyle w:val="ListParagraph"/>
              <w:numPr>
                <w:ilvl w:val="0"/>
                <w:numId w:val="6"/>
              </w:numPr>
              <w:spacing w:before="120" w:after="120" w:line="24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Technology usability studies lacking mental-health relevance.</w:t>
            </w:r>
          </w:p>
        </w:tc>
      </w:tr>
    </w:tbl>
    <w:p w14:paraId="00C85037" w14:textId="77777777" w:rsidR="00FD1A3B" w:rsidRPr="00B10FD1" w:rsidRDefault="00FD1A3B" w:rsidP="00FD1A3B">
      <w:pPr>
        <w:pStyle w:val="NormalWeb"/>
        <w:spacing w:before="120" w:beforeAutospacing="0" w:after="120" w:afterAutospacing="0" w:line="360" w:lineRule="auto"/>
        <w:jc w:val="both"/>
        <w:rPr>
          <w:rFonts w:ascii="Arial" w:hAnsi="Arial" w:cs="Arial"/>
          <w:sz w:val="22"/>
        </w:rPr>
      </w:pPr>
      <w:r w:rsidRPr="00B10FD1">
        <w:rPr>
          <w:rFonts w:ascii="Arial" w:hAnsi="Arial" w:cs="Arial"/>
          <w:sz w:val="22"/>
        </w:rPr>
        <w:t>The section 3.6 explains how data were extracted and thematically synthesized to generate descriptive and analytical themes.</w:t>
      </w:r>
    </w:p>
    <w:p w14:paraId="1FB9EF2D" w14:textId="77777777" w:rsidR="00596393" w:rsidRPr="00B10FD1" w:rsidRDefault="005E3A3B" w:rsidP="006240B2">
      <w:pPr>
        <w:pStyle w:val="Heading2"/>
        <w:spacing w:before="120" w:beforeAutospacing="0" w:after="120" w:afterAutospacing="0" w:line="360" w:lineRule="auto"/>
        <w:jc w:val="both"/>
        <w:rPr>
          <w:rFonts w:ascii="Arial" w:hAnsi="Arial" w:cs="Arial"/>
          <w:color w:val="000000" w:themeColor="text1"/>
        </w:rPr>
      </w:pPr>
      <w:bookmarkStart w:id="30" w:name="_Toc209284761"/>
      <w:r w:rsidRPr="00B10FD1">
        <w:rPr>
          <w:rFonts w:ascii="Arial" w:hAnsi="Arial" w:cs="Arial"/>
          <w:color w:val="000000" w:themeColor="text1"/>
        </w:rPr>
        <w:t>3.</w:t>
      </w:r>
      <w:r w:rsidR="00596393" w:rsidRPr="00B10FD1">
        <w:rPr>
          <w:rFonts w:ascii="Arial" w:hAnsi="Arial" w:cs="Arial"/>
          <w:color w:val="000000" w:themeColor="text1"/>
        </w:rPr>
        <w:t xml:space="preserve">6 </w:t>
      </w:r>
      <w:r w:rsidR="00BE110B" w:rsidRPr="00B10FD1">
        <w:rPr>
          <w:rFonts w:ascii="Arial" w:hAnsi="Arial" w:cs="Arial"/>
          <w:color w:val="000000" w:themeColor="text1"/>
        </w:rPr>
        <w:t>Analyzing</w:t>
      </w:r>
      <w:r w:rsidR="00596393" w:rsidRPr="00B10FD1">
        <w:rPr>
          <w:rFonts w:ascii="Arial" w:hAnsi="Arial" w:cs="Arial"/>
          <w:color w:val="000000" w:themeColor="text1"/>
        </w:rPr>
        <w:t xml:space="preserve"> Research</w:t>
      </w:r>
      <w:bookmarkEnd w:id="30"/>
      <w:r w:rsidR="00596393" w:rsidRPr="00B10FD1">
        <w:rPr>
          <w:rFonts w:ascii="Arial" w:hAnsi="Arial" w:cs="Arial"/>
          <w:color w:val="000000" w:themeColor="text1"/>
        </w:rPr>
        <w:t xml:space="preserve"> </w:t>
      </w:r>
    </w:p>
    <w:p w14:paraId="3B1956BC" w14:textId="77777777" w:rsidR="00FD1A3B" w:rsidRPr="00B10FD1" w:rsidRDefault="00596393" w:rsidP="00FD1A3B">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 xml:space="preserve">Data extraction captured study aims, design, sampling, setting, participant characteristics, digital context, definitions of isolation/loneliness, and mental-health-related findings. We imported full texts into a qualitative analysis workspace and undertook line-by-line inductive coding of participant quotations and authors’ interpretive text. A three-stage thematic synthesis was applied: (1) free codes, (2) </w:t>
      </w:r>
      <w:r w:rsidR="00BE110B" w:rsidRPr="00B10FD1">
        <w:rPr>
          <w:rFonts w:ascii="Arial" w:hAnsi="Arial" w:cs="Arial"/>
          <w:color w:val="000000" w:themeColor="text1"/>
          <w:sz w:val="22"/>
        </w:rPr>
        <w:t>organization</w:t>
      </w:r>
      <w:r w:rsidRPr="00B10FD1">
        <w:rPr>
          <w:rFonts w:ascii="Arial" w:hAnsi="Arial" w:cs="Arial"/>
          <w:color w:val="000000" w:themeColor="text1"/>
          <w:sz w:val="22"/>
        </w:rPr>
        <w:t xml:space="preserve"> into descriptive themes, and (3) generation of higher-order analytical themes explaining mechanisms linking digital exclusion to isolation and mental health (Thomas &amp; Harden, 2008; Braun &amp; Clarke, 2006). Constant comparison ensured nuance across UK regions and service contexts; deviant cases were actively sought (Noblit &amp; Hare, 1988). Quality assessments informed </w:t>
      </w:r>
      <w:proofErr w:type="spellStart"/>
      <w:r w:rsidRPr="00B10FD1">
        <w:rPr>
          <w:rFonts w:ascii="Arial" w:hAnsi="Arial" w:cs="Arial"/>
          <w:color w:val="000000" w:themeColor="text1"/>
          <w:sz w:val="22"/>
        </w:rPr>
        <w:t>CERQual</w:t>
      </w:r>
      <w:proofErr w:type="spellEnd"/>
      <w:r w:rsidRPr="00B10FD1">
        <w:rPr>
          <w:rFonts w:ascii="Arial" w:hAnsi="Arial" w:cs="Arial"/>
          <w:color w:val="000000" w:themeColor="text1"/>
          <w:sz w:val="22"/>
        </w:rPr>
        <w:t xml:space="preserve"> confidence ratings attached to each final theme (Lewin et al., 2018). Where feasible, we noted theory linkages (e.g., social capital, digital divide) to strengthen explanatory power without over-imposing frameworks on the data.</w:t>
      </w:r>
    </w:p>
    <w:p w14:paraId="562130EA" w14:textId="77777777" w:rsidR="00FD1A3B" w:rsidRPr="00B10FD1" w:rsidRDefault="00FD1A3B" w:rsidP="00FD1A3B">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rPr>
        <w:t>Before presenting findings, section 3.7 reflect on ethical norms for secondary analysis and reflexive stance in interpreting participants’ accounts.</w:t>
      </w:r>
    </w:p>
    <w:p w14:paraId="525E7598" w14:textId="77777777" w:rsidR="00596393" w:rsidRPr="00B10FD1" w:rsidRDefault="005E3A3B" w:rsidP="006240B2">
      <w:pPr>
        <w:pStyle w:val="Heading2"/>
        <w:spacing w:before="120" w:beforeAutospacing="0" w:after="120" w:afterAutospacing="0" w:line="360" w:lineRule="auto"/>
        <w:jc w:val="both"/>
        <w:rPr>
          <w:rFonts w:ascii="Arial" w:hAnsi="Arial" w:cs="Arial"/>
          <w:color w:val="000000" w:themeColor="text1"/>
        </w:rPr>
      </w:pPr>
      <w:bookmarkStart w:id="31" w:name="_Toc209284762"/>
      <w:r w:rsidRPr="00B10FD1">
        <w:rPr>
          <w:rFonts w:ascii="Arial" w:hAnsi="Arial" w:cs="Arial"/>
          <w:color w:val="000000" w:themeColor="text1"/>
        </w:rPr>
        <w:lastRenderedPageBreak/>
        <w:t>3.</w:t>
      </w:r>
      <w:r w:rsidR="00591ED5" w:rsidRPr="00B10FD1">
        <w:rPr>
          <w:rFonts w:ascii="Arial" w:hAnsi="Arial" w:cs="Arial"/>
          <w:color w:val="000000" w:themeColor="text1"/>
        </w:rPr>
        <w:t>7 Ethical Considerations</w:t>
      </w:r>
      <w:bookmarkEnd w:id="31"/>
    </w:p>
    <w:p w14:paraId="0CD23A57" w14:textId="77777777" w:rsidR="00176C68" w:rsidRPr="00B10FD1" w:rsidRDefault="00596393" w:rsidP="00176C68">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 xml:space="preserve">As a review of published studies, this project did not require institutional ethics approval; however, we followed ethical norms for secondary analysis (Creswell &amp; Poth, 2018). </w:t>
      </w:r>
      <w:r w:rsidR="00992799" w:rsidRPr="00B10FD1">
        <w:rPr>
          <w:rFonts w:ascii="Arial" w:hAnsi="Arial" w:cs="Arial"/>
          <w:color w:val="000000" w:themeColor="text1"/>
          <w:sz w:val="22"/>
        </w:rPr>
        <w:t>This research</w:t>
      </w:r>
      <w:r w:rsidRPr="00B10FD1">
        <w:rPr>
          <w:rFonts w:ascii="Arial" w:hAnsi="Arial" w:cs="Arial"/>
          <w:color w:val="000000" w:themeColor="text1"/>
          <w:sz w:val="22"/>
        </w:rPr>
        <w:t xml:space="preserve"> respected original authors’ participant protections, avoided reproducing potentially identifying quotes excessively, and represented participants’ voices faithfully, including contradictory accounts. Reflexive memos documented researcher assumptions, positionality, and potential biases regarding ageing, technology, and mental health (Braun &amp; Clarke, 2006). All sources were duly credited; no unpublished personal communications were used. The review </w:t>
      </w:r>
      <w:r w:rsidR="00032C71" w:rsidRPr="00B10FD1">
        <w:rPr>
          <w:rFonts w:ascii="Arial" w:hAnsi="Arial" w:cs="Arial"/>
          <w:color w:val="000000" w:themeColor="text1"/>
          <w:sz w:val="22"/>
        </w:rPr>
        <w:t>prioritized</w:t>
      </w:r>
      <w:r w:rsidRPr="00B10FD1">
        <w:rPr>
          <w:rFonts w:ascii="Arial" w:hAnsi="Arial" w:cs="Arial"/>
          <w:color w:val="000000" w:themeColor="text1"/>
          <w:sz w:val="22"/>
        </w:rPr>
        <w:t xml:space="preserve"> equitable inclusion by considering accessibility needs in dissemination (e.g., plain-language summaries), aligning with best-practice guidance for qualitative evidence use in policy and care (Lewin et al., 2018).</w:t>
      </w:r>
    </w:p>
    <w:p w14:paraId="7814C137" w14:textId="77777777" w:rsidR="00176C68" w:rsidRPr="00B10FD1" w:rsidRDefault="00176C68" w:rsidP="00176C68">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rPr>
        <w:t>Finally, section 3.8 summaries methodological strengths and limitations and signpost to the results.</w:t>
      </w:r>
    </w:p>
    <w:p w14:paraId="4F45623A" w14:textId="77777777" w:rsidR="00596393" w:rsidRPr="00B10FD1" w:rsidRDefault="005E3A3B" w:rsidP="006240B2">
      <w:pPr>
        <w:pStyle w:val="Heading2"/>
        <w:spacing w:before="120" w:beforeAutospacing="0" w:after="120" w:afterAutospacing="0" w:line="360" w:lineRule="auto"/>
        <w:jc w:val="both"/>
        <w:rPr>
          <w:rFonts w:ascii="Arial" w:hAnsi="Arial" w:cs="Arial"/>
          <w:color w:val="000000" w:themeColor="text1"/>
        </w:rPr>
      </w:pPr>
      <w:bookmarkStart w:id="32" w:name="_Toc209284763"/>
      <w:r w:rsidRPr="00B10FD1">
        <w:rPr>
          <w:rFonts w:ascii="Arial" w:hAnsi="Arial" w:cs="Arial"/>
          <w:color w:val="000000" w:themeColor="text1"/>
        </w:rPr>
        <w:t>3.</w:t>
      </w:r>
      <w:r w:rsidR="00596393" w:rsidRPr="00B10FD1">
        <w:rPr>
          <w:rFonts w:ascii="Arial" w:hAnsi="Arial" w:cs="Arial"/>
          <w:color w:val="000000" w:themeColor="text1"/>
        </w:rPr>
        <w:t>8 Chapter Conclusion</w:t>
      </w:r>
      <w:bookmarkEnd w:id="32"/>
      <w:r w:rsidR="00596393" w:rsidRPr="00B10FD1">
        <w:rPr>
          <w:rFonts w:ascii="Arial" w:hAnsi="Arial" w:cs="Arial"/>
          <w:color w:val="000000" w:themeColor="text1"/>
        </w:rPr>
        <w:t xml:space="preserve"> </w:t>
      </w:r>
    </w:p>
    <w:p w14:paraId="33D61FAA" w14:textId="77777777" w:rsidR="00596393" w:rsidRPr="00B10FD1" w:rsidRDefault="00596393"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 xml:space="preserve">This chapter detailed a rigorous, transparent qualitative-evidence review consistent with PRISMA 2020. A comprehensive multi-database search, explicit eligibility criteria, duplicate-checked screening, critical appraisal, and thematic synthesis produced a high-quality synthesis of 44 UK studies (2015–2025). Validity was strengthened through inter-rater checks, sensitivity analyses, and </w:t>
      </w:r>
      <w:proofErr w:type="spellStart"/>
      <w:r w:rsidRPr="00B10FD1">
        <w:rPr>
          <w:rFonts w:ascii="Arial" w:hAnsi="Arial" w:cs="Arial"/>
          <w:color w:val="000000" w:themeColor="text1"/>
          <w:sz w:val="22"/>
        </w:rPr>
        <w:t>CERQual</w:t>
      </w:r>
      <w:proofErr w:type="spellEnd"/>
      <w:r w:rsidRPr="00B10FD1">
        <w:rPr>
          <w:rFonts w:ascii="Arial" w:hAnsi="Arial" w:cs="Arial"/>
          <w:color w:val="000000" w:themeColor="text1"/>
          <w:sz w:val="22"/>
        </w:rPr>
        <w:t xml:space="preserve"> confidence assessments. The approach enables an in-depth understanding of how digital exclusion intersects with social isolation to influence older adults’ mental health and experiences of care. The next chapter reports the synthesis findings, presenting descriptive and analytical themes with confidence ratings and illustrative quotations to inform practice, service design, and policy.</w:t>
      </w:r>
    </w:p>
    <w:p w14:paraId="3889995F" w14:textId="77777777" w:rsidR="00F42895" w:rsidRPr="00B10FD1" w:rsidRDefault="00F42895" w:rsidP="006240B2">
      <w:pPr>
        <w:pStyle w:val="NormalWeb"/>
        <w:spacing w:before="120" w:beforeAutospacing="0" w:after="120" w:afterAutospacing="0" w:line="360" w:lineRule="auto"/>
        <w:jc w:val="both"/>
        <w:rPr>
          <w:rFonts w:ascii="Arial" w:hAnsi="Arial" w:cs="Arial"/>
          <w:color w:val="000000" w:themeColor="text1"/>
        </w:rPr>
      </w:pPr>
    </w:p>
    <w:p w14:paraId="11CD9879" w14:textId="77777777" w:rsidR="00F42895" w:rsidRPr="00B10FD1" w:rsidRDefault="00F42895" w:rsidP="006240B2">
      <w:pPr>
        <w:pStyle w:val="NormalWeb"/>
        <w:spacing w:before="120" w:beforeAutospacing="0" w:after="120" w:afterAutospacing="0" w:line="360" w:lineRule="auto"/>
        <w:jc w:val="both"/>
        <w:rPr>
          <w:rFonts w:ascii="Arial" w:hAnsi="Arial" w:cs="Arial"/>
          <w:color w:val="000000" w:themeColor="text1"/>
        </w:rPr>
      </w:pPr>
    </w:p>
    <w:p w14:paraId="175F0DF6" w14:textId="77777777" w:rsidR="00F42895" w:rsidRPr="00B10FD1" w:rsidRDefault="00F42895" w:rsidP="006240B2">
      <w:pPr>
        <w:pStyle w:val="NormalWeb"/>
        <w:spacing w:before="120" w:beforeAutospacing="0" w:after="120" w:afterAutospacing="0" w:line="360" w:lineRule="auto"/>
        <w:jc w:val="both"/>
        <w:rPr>
          <w:rFonts w:ascii="Arial" w:hAnsi="Arial" w:cs="Arial"/>
          <w:color w:val="000000" w:themeColor="text1"/>
        </w:rPr>
      </w:pPr>
    </w:p>
    <w:p w14:paraId="34A74C17" w14:textId="77777777" w:rsidR="00F42895" w:rsidRPr="00B10FD1" w:rsidRDefault="00F42895" w:rsidP="006240B2">
      <w:pPr>
        <w:pStyle w:val="NormalWeb"/>
        <w:spacing w:before="120" w:beforeAutospacing="0" w:after="120" w:afterAutospacing="0" w:line="360" w:lineRule="auto"/>
        <w:jc w:val="both"/>
        <w:rPr>
          <w:rFonts w:ascii="Arial" w:hAnsi="Arial" w:cs="Arial"/>
          <w:color w:val="000000" w:themeColor="text1"/>
        </w:rPr>
      </w:pPr>
    </w:p>
    <w:p w14:paraId="111EF144" w14:textId="77777777" w:rsidR="001F57B7" w:rsidRPr="00B10FD1" w:rsidRDefault="001F57B7" w:rsidP="006240B2">
      <w:pPr>
        <w:pStyle w:val="NormalWeb"/>
        <w:spacing w:before="120" w:beforeAutospacing="0" w:after="120" w:afterAutospacing="0" w:line="360" w:lineRule="auto"/>
        <w:jc w:val="both"/>
        <w:rPr>
          <w:rFonts w:ascii="Arial" w:hAnsi="Arial" w:cs="Arial"/>
          <w:color w:val="000000" w:themeColor="text1"/>
        </w:rPr>
      </w:pPr>
    </w:p>
    <w:p w14:paraId="6B1A682F" w14:textId="77777777" w:rsidR="00F42895" w:rsidRPr="00B10FD1" w:rsidRDefault="00F42895" w:rsidP="006240B2">
      <w:pPr>
        <w:pStyle w:val="NormalWeb"/>
        <w:spacing w:before="120" w:beforeAutospacing="0" w:after="120" w:afterAutospacing="0" w:line="360" w:lineRule="auto"/>
        <w:jc w:val="both"/>
        <w:rPr>
          <w:rFonts w:ascii="Arial" w:hAnsi="Arial" w:cs="Arial"/>
          <w:color w:val="000000" w:themeColor="text1"/>
        </w:rPr>
      </w:pPr>
    </w:p>
    <w:p w14:paraId="6F1BD2E6" w14:textId="77777777" w:rsidR="001D1AF1" w:rsidRPr="00B10FD1" w:rsidRDefault="001D1AF1" w:rsidP="00565704">
      <w:pPr>
        <w:pStyle w:val="Heading1"/>
        <w:spacing w:before="120" w:after="120" w:line="360" w:lineRule="auto"/>
        <w:jc w:val="center"/>
        <w:rPr>
          <w:rFonts w:ascii="Arial" w:hAnsi="Arial" w:cs="Arial"/>
          <w:b/>
          <w:color w:val="000000" w:themeColor="text1"/>
        </w:rPr>
      </w:pPr>
      <w:bookmarkStart w:id="33" w:name="_Toc209284764"/>
      <w:r w:rsidRPr="00B10FD1">
        <w:rPr>
          <w:rFonts w:ascii="Arial" w:hAnsi="Arial" w:cs="Arial"/>
          <w:b/>
          <w:color w:val="000000" w:themeColor="text1"/>
        </w:rPr>
        <w:lastRenderedPageBreak/>
        <w:t>CHAPTER 4 – Findings and Discussion</w:t>
      </w:r>
      <w:bookmarkEnd w:id="33"/>
    </w:p>
    <w:p w14:paraId="1976BD44" w14:textId="77777777" w:rsidR="001D1AF1" w:rsidRPr="00B10FD1" w:rsidRDefault="001D1AF1" w:rsidP="006240B2">
      <w:pPr>
        <w:pStyle w:val="Heading2"/>
        <w:spacing w:before="120" w:beforeAutospacing="0" w:after="120" w:afterAutospacing="0" w:line="360" w:lineRule="auto"/>
        <w:jc w:val="both"/>
        <w:rPr>
          <w:rFonts w:ascii="Arial" w:hAnsi="Arial" w:cs="Arial"/>
          <w:color w:val="000000" w:themeColor="text1"/>
        </w:rPr>
      </w:pPr>
      <w:bookmarkStart w:id="34" w:name="_Toc209284765"/>
      <w:r w:rsidRPr="00B10FD1">
        <w:rPr>
          <w:rFonts w:ascii="Arial" w:hAnsi="Arial" w:cs="Arial"/>
          <w:color w:val="000000" w:themeColor="text1"/>
        </w:rPr>
        <w:t>4.1 Introduction</w:t>
      </w:r>
      <w:bookmarkEnd w:id="34"/>
      <w:r w:rsidRPr="00B10FD1">
        <w:rPr>
          <w:rFonts w:ascii="Arial" w:hAnsi="Arial" w:cs="Arial"/>
          <w:color w:val="000000" w:themeColor="text1"/>
        </w:rPr>
        <w:t xml:space="preserve"> </w:t>
      </w:r>
    </w:p>
    <w:p w14:paraId="7B4788FB" w14:textId="77777777" w:rsidR="000F04D4" w:rsidRPr="00B10FD1" w:rsidRDefault="001D1AF1" w:rsidP="000F04D4">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 xml:space="preserve">This chapter presents and interprets the qualitative findings from 44 UK studies (2015–2025) on how social isolation and </w:t>
      </w:r>
      <w:r w:rsidRPr="00B10FD1">
        <w:rPr>
          <w:rStyle w:val="Strong"/>
          <w:rFonts w:ascii="Arial" w:hAnsi="Arial" w:cs="Arial"/>
          <w:b w:val="0"/>
          <w:color w:val="000000" w:themeColor="text1"/>
          <w:sz w:val="22"/>
        </w:rPr>
        <w:t>digital exclusion</w:t>
      </w:r>
      <w:r w:rsidRPr="00B10FD1">
        <w:rPr>
          <w:rFonts w:ascii="Arial" w:hAnsi="Arial" w:cs="Arial"/>
          <w:color w:val="000000" w:themeColor="text1"/>
          <w:sz w:val="22"/>
        </w:rPr>
        <w:t xml:space="preserve"> intersect to shape older adults’ (≥60) mental health and experiences of care. Following the methodology in Chapter 3, we conducted a thematic synthesis and </w:t>
      </w:r>
      <w:proofErr w:type="spellStart"/>
      <w:r w:rsidRPr="00B10FD1">
        <w:rPr>
          <w:rFonts w:ascii="Arial" w:hAnsi="Arial" w:cs="Arial"/>
          <w:color w:val="000000" w:themeColor="text1"/>
          <w:sz w:val="22"/>
        </w:rPr>
        <w:t>organised</w:t>
      </w:r>
      <w:proofErr w:type="spellEnd"/>
      <w:r w:rsidRPr="00B10FD1">
        <w:rPr>
          <w:rFonts w:ascii="Arial" w:hAnsi="Arial" w:cs="Arial"/>
          <w:color w:val="000000" w:themeColor="text1"/>
          <w:sz w:val="22"/>
        </w:rPr>
        <w:t xml:space="preserve"> the evidence into four inter-locking themes that map directly to the study objectives: (1) the nature of digital exclusion among older adults in health and social care; (2) consequences for access, wellbeing and care experience; (3) the efficacy of current policies and interventions; and (4) evidence-based recommendations. Together, these themes illuminate mechanisms and contexts through which digital change can either protect social connection or deepen isolation for older people in the UK.</w:t>
      </w:r>
      <w:r w:rsidR="004108F7" w:rsidRPr="00B10FD1">
        <w:rPr>
          <w:rFonts w:ascii="Arial" w:hAnsi="Arial" w:cs="Arial"/>
          <w:color w:val="000000" w:themeColor="text1"/>
          <w:sz w:val="22"/>
        </w:rPr>
        <w:t xml:space="preserve"> </w:t>
      </w:r>
    </w:p>
    <w:p w14:paraId="025EF6A1" w14:textId="77777777" w:rsidR="0028288A" w:rsidRPr="00B10FD1" w:rsidRDefault="000F04D4" w:rsidP="000F04D4">
      <w:pPr>
        <w:pStyle w:val="NormalWeb"/>
        <w:spacing w:before="120" w:beforeAutospacing="0" w:after="120" w:afterAutospacing="0" w:line="360" w:lineRule="auto"/>
        <w:jc w:val="both"/>
        <w:rPr>
          <w:rFonts w:ascii="Arial" w:hAnsi="Arial" w:cs="Arial"/>
          <w:color w:val="000000" w:themeColor="text1"/>
          <w:sz w:val="20"/>
        </w:rPr>
      </w:pPr>
      <w:r w:rsidRPr="00B10FD1">
        <w:rPr>
          <w:rFonts w:ascii="Arial" w:hAnsi="Arial" w:cs="Arial"/>
          <w:sz w:val="22"/>
        </w:rPr>
        <w:t>With the chapter scope defined, section 4.2 next explain the analytical approach used to generate the themes.</w:t>
      </w:r>
    </w:p>
    <w:p w14:paraId="10283244" w14:textId="77777777" w:rsidR="001D1AF1" w:rsidRPr="00B10FD1" w:rsidRDefault="001D1AF1" w:rsidP="006240B2">
      <w:pPr>
        <w:pStyle w:val="Heading2"/>
        <w:spacing w:before="120" w:beforeAutospacing="0" w:after="120" w:afterAutospacing="0" w:line="360" w:lineRule="auto"/>
        <w:jc w:val="both"/>
        <w:rPr>
          <w:rFonts w:ascii="Arial" w:hAnsi="Arial" w:cs="Arial"/>
          <w:color w:val="000000" w:themeColor="text1"/>
        </w:rPr>
      </w:pPr>
      <w:bookmarkStart w:id="35" w:name="_Toc209284766"/>
      <w:r w:rsidRPr="00B10FD1">
        <w:rPr>
          <w:rFonts w:ascii="Arial" w:hAnsi="Arial" w:cs="Arial"/>
          <w:color w:val="000000" w:themeColor="text1"/>
        </w:rPr>
        <w:t>4.2 Thematic Analysis</w:t>
      </w:r>
      <w:bookmarkEnd w:id="35"/>
      <w:r w:rsidRPr="00B10FD1">
        <w:rPr>
          <w:rFonts w:ascii="Arial" w:hAnsi="Arial" w:cs="Arial"/>
          <w:color w:val="000000" w:themeColor="text1"/>
        </w:rPr>
        <w:t xml:space="preserve"> </w:t>
      </w:r>
    </w:p>
    <w:p w14:paraId="711D21E2" w14:textId="77777777" w:rsidR="000B2958" w:rsidRPr="00E64771" w:rsidRDefault="005C400E" w:rsidP="000B2958">
      <w:pPr>
        <w:pStyle w:val="NormalWeb"/>
        <w:spacing w:before="120" w:beforeAutospacing="0" w:after="120" w:afterAutospacing="0" w:line="360" w:lineRule="auto"/>
        <w:jc w:val="both"/>
        <w:rPr>
          <w:rFonts w:ascii="Arial" w:hAnsi="Arial" w:cs="Arial"/>
          <w:sz w:val="22"/>
          <w:szCs w:val="22"/>
        </w:rPr>
      </w:pPr>
      <w:r w:rsidRPr="00E64771">
        <w:rPr>
          <w:rFonts w:ascii="Arial" w:hAnsi="Arial" w:cs="Arial"/>
          <w:color w:val="000000" w:themeColor="text1"/>
          <w:sz w:val="22"/>
          <w:szCs w:val="22"/>
        </w:rPr>
        <w:t xml:space="preserve">Thematic analysis is a flexible method for identifying, </w:t>
      </w:r>
      <w:proofErr w:type="spellStart"/>
      <w:r w:rsidRPr="00E64771">
        <w:rPr>
          <w:rFonts w:ascii="Arial" w:hAnsi="Arial" w:cs="Arial"/>
          <w:color w:val="000000" w:themeColor="text1"/>
          <w:sz w:val="22"/>
          <w:szCs w:val="22"/>
        </w:rPr>
        <w:t>analysing</w:t>
      </w:r>
      <w:proofErr w:type="spellEnd"/>
      <w:r w:rsidRPr="00E64771">
        <w:rPr>
          <w:rFonts w:ascii="Arial" w:hAnsi="Arial" w:cs="Arial"/>
          <w:color w:val="000000" w:themeColor="text1"/>
          <w:sz w:val="22"/>
          <w:szCs w:val="22"/>
        </w:rPr>
        <w:t xml:space="preserve"> and reporting patterns (“themes”) within qualitative datasets; it typically proceeds through </w:t>
      </w:r>
      <w:proofErr w:type="spellStart"/>
      <w:r w:rsidRPr="00E64771">
        <w:rPr>
          <w:rFonts w:ascii="Arial" w:hAnsi="Arial" w:cs="Arial"/>
          <w:color w:val="000000" w:themeColor="text1"/>
          <w:sz w:val="22"/>
          <w:szCs w:val="22"/>
        </w:rPr>
        <w:t>familiarisation</w:t>
      </w:r>
      <w:proofErr w:type="spellEnd"/>
      <w:r w:rsidRPr="00E64771">
        <w:rPr>
          <w:rFonts w:ascii="Arial" w:hAnsi="Arial" w:cs="Arial"/>
          <w:color w:val="000000" w:themeColor="text1"/>
          <w:sz w:val="22"/>
          <w:szCs w:val="22"/>
        </w:rPr>
        <w:t xml:space="preserve">, coding, developing and reviewing themes, and reporting (Braun and Clarke, 2006). In secondary research, it helps to bring conceptual order to diverse study findings. </w:t>
      </w:r>
      <w:r w:rsidR="000B2958" w:rsidRPr="00E64771">
        <w:rPr>
          <w:rFonts w:ascii="Arial" w:hAnsi="Arial" w:cs="Arial"/>
          <w:sz w:val="22"/>
          <w:szCs w:val="22"/>
        </w:rPr>
        <w:t xml:space="preserve">These themes were developed from the coded data recorded in the Results Summary Table </w:t>
      </w:r>
      <w:r w:rsidR="00EB52E4" w:rsidRPr="00E64771">
        <w:rPr>
          <w:rFonts w:ascii="Arial" w:hAnsi="Arial" w:cs="Arial"/>
          <w:sz w:val="22"/>
          <w:szCs w:val="22"/>
        </w:rPr>
        <w:t>4</w:t>
      </w:r>
      <w:r w:rsidR="000B2958" w:rsidRPr="00E64771">
        <w:rPr>
          <w:rFonts w:ascii="Arial" w:hAnsi="Arial" w:cs="Arial"/>
          <w:sz w:val="22"/>
          <w:szCs w:val="22"/>
        </w:rPr>
        <w:t xml:space="preserve"> (see Appendix 6.2), which consolidates the initial codes and descriptive categories that informed the final thematic map.</w:t>
      </w:r>
    </w:p>
    <w:p w14:paraId="05A9E160" w14:textId="77777777" w:rsidR="000F04D4" w:rsidRPr="00B10FD1" w:rsidRDefault="005C400E" w:rsidP="000F04D4">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 xml:space="preserve">We applied line-by-line coding to participant quotations and authors’ interpretations across included studies, </w:t>
      </w:r>
      <w:proofErr w:type="spellStart"/>
      <w:r w:rsidRPr="00B10FD1">
        <w:rPr>
          <w:rFonts w:ascii="Arial" w:hAnsi="Arial" w:cs="Arial"/>
          <w:color w:val="000000" w:themeColor="text1"/>
          <w:sz w:val="22"/>
        </w:rPr>
        <w:t>organised</w:t>
      </w:r>
      <w:proofErr w:type="spellEnd"/>
      <w:r w:rsidRPr="00B10FD1">
        <w:rPr>
          <w:rFonts w:ascii="Arial" w:hAnsi="Arial" w:cs="Arial"/>
          <w:color w:val="000000" w:themeColor="text1"/>
          <w:sz w:val="22"/>
        </w:rPr>
        <w:t xml:space="preserve"> descriptive codes, then generated higher-order themes that explain how digital exclusion amplifies isolation and affects mental health. The resulti</w:t>
      </w:r>
      <w:r w:rsidR="00CF73E7" w:rsidRPr="00B10FD1">
        <w:rPr>
          <w:rFonts w:ascii="Arial" w:hAnsi="Arial" w:cs="Arial"/>
          <w:color w:val="000000" w:themeColor="text1"/>
          <w:sz w:val="22"/>
        </w:rPr>
        <w:t xml:space="preserve">ng themes, </w:t>
      </w:r>
      <w:r w:rsidRPr="00B10FD1">
        <w:rPr>
          <w:rFonts w:ascii="Arial" w:hAnsi="Arial" w:cs="Arial"/>
          <w:color w:val="000000" w:themeColor="text1"/>
          <w:sz w:val="22"/>
        </w:rPr>
        <w:t>disengagement and barriers, impacts on access and wellbeing, interventions and policies</w:t>
      </w:r>
      <w:r w:rsidR="00CF73E7" w:rsidRPr="00B10FD1">
        <w:rPr>
          <w:rFonts w:ascii="Arial" w:hAnsi="Arial" w:cs="Arial"/>
          <w:color w:val="000000" w:themeColor="text1"/>
          <w:sz w:val="22"/>
        </w:rPr>
        <w:t xml:space="preserve">, and practical recommendations, </w:t>
      </w:r>
      <w:r w:rsidRPr="00B10FD1">
        <w:rPr>
          <w:rFonts w:ascii="Arial" w:hAnsi="Arial" w:cs="Arial"/>
          <w:color w:val="000000" w:themeColor="text1"/>
          <w:sz w:val="22"/>
        </w:rPr>
        <w:t xml:space="preserve">structure the remainder of this chapter (Braun and Clarke, 2006). </w:t>
      </w:r>
    </w:p>
    <w:p w14:paraId="6137E688" w14:textId="77777777" w:rsidR="000F04D4" w:rsidRPr="00B10FD1" w:rsidRDefault="000F04D4" w:rsidP="000F04D4">
      <w:pPr>
        <w:pStyle w:val="NormalWeb"/>
        <w:spacing w:before="120" w:beforeAutospacing="0" w:after="120" w:afterAutospacing="0" w:line="360" w:lineRule="auto"/>
        <w:jc w:val="both"/>
        <w:rPr>
          <w:rFonts w:ascii="Arial" w:hAnsi="Arial" w:cs="Arial"/>
          <w:color w:val="000000" w:themeColor="text1"/>
          <w:sz w:val="20"/>
        </w:rPr>
      </w:pPr>
      <w:r w:rsidRPr="00B10FD1">
        <w:rPr>
          <w:rFonts w:ascii="Arial" w:hAnsi="Arial" w:cs="Arial"/>
          <w:sz w:val="22"/>
        </w:rPr>
        <w:t>Having outlined the method, section 4.3 begin with Theme 1 to map how digital exclusion manifests for older adults.</w:t>
      </w:r>
    </w:p>
    <w:p w14:paraId="3893D443" w14:textId="77777777" w:rsidR="00B20A2C" w:rsidRPr="00B10FD1" w:rsidRDefault="00E03B41" w:rsidP="006240B2">
      <w:pPr>
        <w:pStyle w:val="Heading2"/>
        <w:spacing w:before="120" w:beforeAutospacing="0" w:after="120" w:afterAutospacing="0" w:line="360" w:lineRule="auto"/>
        <w:jc w:val="both"/>
        <w:rPr>
          <w:rFonts w:ascii="Arial" w:hAnsi="Arial" w:cs="Arial"/>
          <w:color w:val="000000" w:themeColor="text1"/>
        </w:rPr>
      </w:pPr>
      <w:bookmarkStart w:id="36" w:name="_Toc209284767"/>
      <w:r w:rsidRPr="00B10FD1">
        <w:rPr>
          <w:rFonts w:ascii="Arial" w:hAnsi="Arial" w:cs="Arial"/>
          <w:color w:val="000000" w:themeColor="text1"/>
        </w:rPr>
        <w:t xml:space="preserve">4.3 Theme 1 – Disengagement </w:t>
      </w:r>
      <w:r w:rsidR="00B20A2C" w:rsidRPr="00B10FD1">
        <w:rPr>
          <w:rFonts w:ascii="Arial" w:hAnsi="Arial" w:cs="Arial"/>
          <w:color w:val="000000" w:themeColor="text1"/>
        </w:rPr>
        <w:t>and Barriers: how digital exclusion manifests for older adults in UK health &amp; social care</w:t>
      </w:r>
      <w:bookmarkEnd w:id="36"/>
      <w:r w:rsidR="00B20A2C" w:rsidRPr="00B10FD1">
        <w:rPr>
          <w:rFonts w:ascii="Arial" w:hAnsi="Arial" w:cs="Arial"/>
          <w:color w:val="000000" w:themeColor="text1"/>
        </w:rPr>
        <w:t xml:space="preserve"> </w:t>
      </w:r>
    </w:p>
    <w:p w14:paraId="1A42D48D" w14:textId="77777777" w:rsidR="00B20A2C" w:rsidRPr="00B10FD1" w:rsidRDefault="00E03B41" w:rsidP="006240B2">
      <w:pPr>
        <w:pStyle w:val="Heading3"/>
        <w:spacing w:before="120" w:beforeAutospacing="0" w:after="120" w:afterAutospacing="0" w:line="360" w:lineRule="auto"/>
        <w:jc w:val="both"/>
        <w:rPr>
          <w:rFonts w:ascii="Arial" w:hAnsi="Arial" w:cs="Arial"/>
          <w:color w:val="000000" w:themeColor="text1"/>
        </w:rPr>
      </w:pPr>
      <w:bookmarkStart w:id="37" w:name="_Toc209284768"/>
      <w:r w:rsidRPr="00B10FD1">
        <w:rPr>
          <w:rFonts w:ascii="Arial" w:hAnsi="Arial" w:cs="Arial"/>
          <w:color w:val="000000" w:themeColor="text1"/>
        </w:rPr>
        <w:lastRenderedPageBreak/>
        <w:t xml:space="preserve">4.3.1 </w:t>
      </w:r>
      <w:r w:rsidR="00B20A2C" w:rsidRPr="00B10FD1">
        <w:rPr>
          <w:rFonts w:ascii="Arial" w:hAnsi="Arial" w:cs="Arial"/>
          <w:color w:val="000000" w:themeColor="text1"/>
        </w:rPr>
        <w:t>Definition and scope</w:t>
      </w:r>
      <w:bookmarkEnd w:id="37"/>
    </w:p>
    <w:p w14:paraId="10E0E045" w14:textId="77777777" w:rsidR="00B20A2C" w:rsidRPr="00B10FD1" w:rsidRDefault="00B20A2C"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In this review, digital exclusion is understood as layered inequality across three linked levels: (1) access to devices and reliable connectivity; (2) skills and confidence to use them safely; and (3) meaningful use that enables completion of valued, health-related tasks (e.g., booking a GP appointment, viewing test results)</w:t>
      </w:r>
      <w:r w:rsidR="003505F4" w:rsidRPr="00B10FD1">
        <w:rPr>
          <w:rFonts w:ascii="Arial" w:hAnsi="Arial" w:cs="Arial"/>
          <w:color w:val="000000" w:themeColor="text1"/>
          <w:sz w:val="22"/>
        </w:rPr>
        <w:t xml:space="preserve"> (Wilson-</w:t>
      </w:r>
      <w:proofErr w:type="spellStart"/>
      <w:r w:rsidR="003505F4" w:rsidRPr="00B10FD1">
        <w:rPr>
          <w:rFonts w:ascii="Arial" w:hAnsi="Arial" w:cs="Arial"/>
          <w:color w:val="000000" w:themeColor="text1"/>
          <w:sz w:val="22"/>
        </w:rPr>
        <w:t>Menzfeld</w:t>
      </w:r>
      <w:proofErr w:type="spellEnd"/>
      <w:r w:rsidR="003505F4" w:rsidRPr="00B10FD1">
        <w:rPr>
          <w:rFonts w:ascii="Arial" w:hAnsi="Arial" w:cs="Arial"/>
          <w:color w:val="000000" w:themeColor="text1"/>
          <w:sz w:val="22"/>
        </w:rPr>
        <w:t xml:space="preserve"> et al., 2024)</w:t>
      </w:r>
      <w:r w:rsidRPr="00B10FD1">
        <w:rPr>
          <w:rFonts w:ascii="Arial" w:hAnsi="Arial" w:cs="Arial"/>
          <w:color w:val="000000" w:themeColor="text1"/>
          <w:sz w:val="22"/>
        </w:rPr>
        <w:t>. UK guidance explicitly states that digital offers must be complementary to non-d</w:t>
      </w:r>
      <w:r w:rsidR="00330122" w:rsidRPr="00B10FD1">
        <w:rPr>
          <w:rFonts w:ascii="Arial" w:hAnsi="Arial" w:cs="Arial"/>
          <w:color w:val="000000" w:themeColor="text1"/>
          <w:sz w:val="22"/>
        </w:rPr>
        <w:t xml:space="preserve">igital routes, not replacements, </w:t>
      </w:r>
      <w:r w:rsidRPr="00B10FD1">
        <w:rPr>
          <w:rFonts w:ascii="Arial" w:hAnsi="Arial" w:cs="Arial"/>
          <w:color w:val="000000" w:themeColor="text1"/>
          <w:sz w:val="22"/>
        </w:rPr>
        <w:t xml:space="preserve">precisely to protect equity for groups at higher risk of exclusion, including older adults (NHS England, </w:t>
      </w:r>
      <w:r w:rsidR="006548D7" w:rsidRPr="00B10FD1">
        <w:rPr>
          <w:rFonts w:ascii="Arial" w:hAnsi="Arial" w:cs="Arial"/>
          <w:color w:val="000000" w:themeColor="text1"/>
          <w:sz w:val="22"/>
        </w:rPr>
        <w:t>2024)</w:t>
      </w:r>
      <w:r w:rsidRPr="00B10FD1">
        <w:rPr>
          <w:rFonts w:ascii="Arial" w:hAnsi="Arial" w:cs="Arial"/>
          <w:color w:val="000000" w:themeColor="text1"/>
          <w:sz w:val="22"/>
        </w:rPr>
        <w:t xml:space="preserve">. </w:t>
      </w:r>
    </w:p>
    <w:p w14:paraId="1E086FA4" w14:textId="77777777" w:rsidR="00B20A2C" w:rsidRPr="00B10FD1" w:rsidRDefault="00E03B41" w:rsidP="006240B2">
      <w:pPr>
        <w:pStyle w:val="Heading3"/>
        <w:spacing w:before="120" w:beforeAutospacing="0" w:after="120" w:afterAutospacing="0" w:line="360" w:lineRule="auto"/>
        <w:jc w:val="both"/>
        <w:rPr>
          <w:rFonts w:ascii="Arial" w:hAnsi="Arial" w:cs="Arial"/>
          <w:color w:val="000000" w:themeColor="text1"/>
        </w:rPr>
      </w:pPr>
      <w:bookmarkStart w:id="38" w:name="_Toc209284769"/>
      <w:r w:rsidRPr="00B10FD1">
        <w:rPr>
          <w:rFonts w:ascii="Arial" w:hAnsi="Arial" w:cs="Arial"/>
          <w:color w:val="000000" w:themeColor="text1"/>
        </w:rPr>
        <w:t xml:space="preserve">4.3.2 </w:t>
      </w:r>
      <w:r w:rsidR="00BB54BD" w:rsidRPr="00B10FD1">
        <w:rPr>
          <w:rFonts w:ascii="Arial" w:hAnsi="Arial" w:cs="Arial"/>
          <w:color w:val="000000" w:themeColor="text1"/>
        </w:rPr>
        <w:t>Historical/contextual B</w:t>
      </w:r>
      <w:r w:rsidR="00B20A2C" w:rsidRPr="00B10FD1">
        <w:rPr>
          <w:rFonts w:ascii="Arial" w:hAnsi="Arial" w:cs="Arial"/>
          <w:color w:val="000000" w:themeColor="text1"/>
        </w:rPr>
        <w:t>ackground</w:t>
      </w:r>
      <w:bookmarkEnd w:id="38"/>
    </w:p>
    <w:p w14:paraId="44AF9F60" w14:textId="77777777" w:rsidR="00B20A2C" w:rsidRPr="00B10FD1" w:rsidRDefault="00B20A2C"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The digital divide literature has long argued that inequality extends beyond mere ownership of devices to encompass skills and the capacity for meaningful application (van Dijk, 2006). For many older adults, age-related sensory changes, multimorbidity and the historical timing of their exposure to ICTs compound disadvantage when services migrate online (</w:t>
      </w:r>
      <w:proofErr w:type="spellStart"/>
      <w:r w:rsidRPr="00B10FD1">
        <w:rPr>
          <w:rFonts w:ascii="Arial" w:hAnsi="Arial" w:cs="Arial"/>
          <w:color w:val="000000" w:themeColor="text1"/>
          <w:sz w:val="22"/>
        </w:rPr>
        <w:t>Vaportzis</w:t>
      </w:r>
      <w:proofErr w:type="spellEnd"/>
      <w:r w:rsidRPr="00B10FD1">
        <w:rPr>
          <w:rFonts w:ascii="Arial" w:hAnsi="Arial" w:cs="Arial"/>
          <w:color w:val="000000" w:themeColor="text1"/>
          <w:sz w:val="22"/>
        </w:rPr>
        <w:t xml:space="preserve"> et al., 2017). In UK policy discourse on loneliness, older adults are frequently positioned as targets of technological “solutions,” sometimes alongside surveillance-style proposals (e.g., “loneliness heatmaps”), which can feel </w:t>
      </w:r>
      <w:proofErr w:type="spellStart"/>
      <w:r w:rsidRPr="00B10FD1">
        <w:rPr>
          <w:rFonts w:ascii="Arial" w:hAnsi="Arial" w:cs="Arial"/>
          <w:color w:val="000000" w:themeColor="text1"/>
          <w:sz w:val="22"/>
        </w:rPr>
        <w:t>stigmatising</w:t>
      </w:r>
      <w:proofErr w:type="spellEnd"/>
      <w:r w:rsidRPr="00B10FD1">
        <w:rPr>
          <w:rFonts w:ascii="Arial" w:hAnsi="Arial" w:cs="Arial"/>
          <w:color w:val="000000" w:themeColor="text1"/>
          <w:sz w:val="22"/>
        </w:rPr>
        <w:t xml:space="preserve"> and alienate those least confident digitally (Jentoft, 2023). These contexts help explain why the same digital tools that streamline access for some can enforce disengagement for others. </w:t>
      </w:r>
    </w:p>
    <w:p w14:paraId="2081F394" w14:textId="77777777" w:rsidR="00B20A2C" w:rsidRPr="00B10FD1" w:rsidRDefault="00E03B41" w:rsidP="006240B2">
      <w:pPr>
        <w:pStyle w:val="Heading3"/>
        <w:spacing w:before="120" w:beforeAutospacing="0" w:after="120" w:afterAutospacing="0" w:line="360" w:lineRule="auto"/>
        <w:jc w:val="both"/>
        <w:rPr>
          <w:rFonts w:ascii="Arial" w:hAnsi="Arial" w:cs="Arial"/>
          <w:color w:val="000000" w:themeColor="text1"/>
        </w:rPr>
      </w:pPr>
      <w:bookmarkStart w:id="39" w:name="_Toc209284770"/>
      <w:r w:rsidRPr="00B10FD1">
        <w:rPr>
          <w:rFonts w:ascii="Arial" w:hAnsi="Arial" w:cs="Arial"/>
          <w:color w:val="000000" w:themeColor="text1"/>
        </w:rPr>
        <w:t xml:space="preserve">4.3.3 </w:t>
      </w:r>
      <w:r w:rsidR="008B5900" w:rsidRPr="00B10FD1">
        <w:rPr>
          <w:rFonts w:ascii="Arial" w:hAnsi="Arial" w:cs="Arial"/>
          <w:color w:val="000000" w:themeColor="text1"/>
        </w:rPr>
        <w:t>Scale and S</w:t>
      </w:r>
      <w:r w:rsidR="00B20A2C" w:rsidRPr="00B10FD1">
        <w:rPr>
          <w:rFonts w:ascii="Arial" w:hAnsi="Arial" w:cs="Arial"/>
          <w:color w:val="000000" w:themeColor="text1"/>
        </w:rPr>
        <w:t>alience</w:t>
      </w:r>
      <w:bookmarkEnd w:id="39"/>
    </w:p>
    <w:p w14:paraId="346A361B" w14:textId="77777777" w:rsidR="00B20A2C" w:rsidRPr="00B10FD1" w:rsidRDefault="0077788A" w:rsidP="006240B2">
      <w:pPr>
        <w:pStyle w:val="NormalWeb"/>
        <w:spacing w:before="120" w:beforeAutospacing="0" w:after="120" w:afterAutospacing="0" w:line="360" w:lineRule="auto"/>
        <w:jc w:val="both"/>
        <w:rPr>
          <w:rFonts w:ascii="Arial" w:hAnsi="Arial" w:cs="Arial"/>
          <w:color w:val="000000" w:themeColor="text1"/>
        </w:rPr>
      </w:pPr>
      <w:r w:rsidRPr="00B10FD1">
        <w:rPr>
          <w:rFonts w:ascii="Arial" w:hAnsi="Arial" w:cs="Arial"/>
          <w:color w:val="000000" w:themeColor="text1"/>
          <w:sz w:val="22"/>
        </w:rPr>
        <w:t xml:space="preserve">The problem is substantial, as </w:t>
      </w:r>
      <w:r w:rsidR="00B20A2C" w:rsidRPr="00B10FD1">
        <w:rPr>
          <w:rFonts w:ascii="Arial" w:hAnsi="Arial" w:cs="Arial"/>
          <w:color w:val="000000" w:themeColor="text1"/>
          <w:sz w:val="22"/>
        </w:rPr>
        <w:t>Age UK analysis suggests ~5.8 million people aged 65+ (≈46%) are either not online or cannot use the internet safely and successfully; risk increases with age (75+) (Age UK, 2023). While descriptive, these statistics set the risk environment within which qualitative accounts from older users and frontline staff should be interpreted. Place-based studies in England further show exclusion is patterned by deprivation and local infrastructure constraints, underlining that generic training alone rarely suffic</w:t>
      </w:r>
      <w:r w:rsidR="00C772F5">
        <w:rPr>
          <w:rFonts w:ascii="Arial" w:hAnsi="Arial" w:cs="Arial"/>
          <w:color w:val="000000" w:themeColor="text1"/>
          <w:sz w:val="22"/>
        </w:rPr>
        <w:t>es (Wilson-</w:t>
      </w:r>
      <w:proofErr w:type="spellStart"/>
      <w:r w:rsidR="00C772F5">
        <w:rPr>
          <w:rFonts w:ascii="Arial" w:hAnsi="Arial" w:cs="Arial"/>
          <w:color w:val="000000" w:themeColor="text1"/>
          <w:sz w:val="22"/>
        </w:rPr>
        <w:t>Menzfeld</w:t>
      </w:r>
      <w:proofErr w:type="spellEnd"/>
      <w:r w:rsidR="00C772F5">
        <w:rPr>
          <w:rFonts w:ascii="Arial" w:hAnsi="Arial" w:cs="Arial"/>
          <w:color w:val="000000" w:themeColor="text1"/>
          <w:sz w:val="22"/>
        </w:rPr>
        <w:t xml:space="preserve"> et al., 2021</w:t>
      </w:r>
      <w:r w:rsidR="00B20A2C" w:rsidRPr="00B10FD1">
        <w:rPr>
          <w:rFonts w:ascii="Arial" w:hAnsi="Arial" w:cs="Arial"/>
          <w:color w:val="000000" w:themeColor="text1"/>
          <w:sz w:val="22"/>
        </w:rPr>
        <w:t>).</w:t>
      </w:r>
      <w:r w:rsidR="00B20A2C" w:rsidRPr="00B10FD1">
        <w:rPr>
          <w:rFonts w:ascii="Arial" w:hAnsi="Arial" w:cs="Arial"/>
          <w:color w:val="000000" w:themeColor="text1"/>
        </w:rPr>
        <w:t xml:space="preserve"> </w:t>
      </w:r>
    </w:p>
    <w:p w14:paraId="69AA6C45" w14:textId="77777777" w:rsidR="00B20A2C" w:rsidRPr="00B10FD1" w:rsidRDefault="00E03B41" w:rsidP="006240B2">
      <w:pPr>
        <w:pStyle w:val="Heading3"/>
        <w:spacing w:before="120" w:beforeAutospacing="0" w:after="120" w:afterAutospacing="0" w:line="360" w:lineRule="auto"/>
        <w:jc w:val="both"/>
        <w:rPr>
          <w:rFonts w:ascii="Arial" w:hAnsi="Arial" w:cs="Arial"/>
          <w:color w:val="000000" w:themeColor="text1"/>
        </w:rPr>
      </w:pPr>
      <w:bookmarkStart w:id="40" w:name="_Toc209284771"/>
      <w:r w:rsidRPr="00B10FD1">
        <w:rPr>
          <w:rFonts w:ascii="Arial" w:hAnsi="Arial" w:cs="Arial"/>
          <w:color w:val="000000" w:themeColor="text1"/>
        </w:rPr>
        <w:t xml:space="preserve">4.3.4 </w:t>
      </w:r>
      <w:r w:rsidR="00B20A2C" w:rsidRPr="00B10FD1">
        <w:rPr>
          <w:rFonts w:ascii="Arial" w:hAnsi="Arial" w:cs="Arial"/>
          <w:color w:val="000000" w:themeColor="text1"/>
        </w:rPr>
        <w:t xml:space="preserve">Distinctive </w:t>
      </w:r>
      <w:r w:rsidR="008B5900" w:rsidRPr="00B10FD1">
        <w:rPr>
          <w:rFonts w:ascii="Arial" w:hAnsi="Arial" w:cs="Arial"/>
          <w:color w:val="000000" w:themeColor="text1"/>
        </w:rPr>
        <w:t>Obstacles in Health &amp; Social Care</w:t>
      </w:r>
      <w:bookmarkEnd w:id="40"/>
    </w:p>
    <w:p w14:paraId="4A087153" w14:textId="77777777" w:rsidR="00B20A2C" w:rsidRPr="00B10FD1" w:rsidRDefault="00B20A2C"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Across the UK qualitative corpus, three interlocking barrier-sets recur:</w:t>
      </w:r>
    </w:p>
    <w:p w14:paraId="40F06A53" w14:textId="77777777" w:rsidR="00B20A2C" w:rsidRPr="00B10FD1" w:rsidRDefault="00E37514"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(a) Access &amp; affordability:</w:t>
      </w:r>
      <w:r w:rsidR="00B20A2C" w:rsidRPr="00B10FD1">
        <w:rPr>
          <w:rFonts w:ascii="Arial" w:hAnsi="Arial" w:cs="Arial"/>
          <w:color w:val="000000" w:themeColor="text1"/>
          <w:sz w:val="22"/>
        </w:rPr>
        <w:t xml:space="preserve"> Participants report unreliable broadband (especially rural), outdated/shared devices, and data costs that make video consultations or portal use untenable. Reliance on family-owned devices reduces privacy and availability. Mixed-methods borough research </w:t>
      </w:r>
      <w:r w:rsidR="002C4218" w:rsidRPr="00B10FD1">
        <w:rPr>
          <w:rFonts w:ascii="Arial" w:hAnsi="Arial" w:cs="Arial"/>
          <w:color w:val="000000" w:themeColor="text1"/>
          <w:sz w:val="22"/>
        </w:rPr>
        <w:t xml:space="preserve">identifies place-based patterns, </w:t>
      </w:r>
      <w:r w:rsidR="00B20A2C" w:rsidRPr="00B10FD1">
        <w:rPr>
          <w:rFonts w:ascii="Arial" w:hAnsi="Arial" w:cs="Arial"/>
          <w:color w:val="000000" w:themeColor="text1"/>
          <w:sz w:val="22"/>
        </w:rPr>
        <w:t>exclusion clustering with poverty, dis</w:t>
      </w:r>
      <w:r w:rsidR="002C4218" w:rsidRPr="00B10FD1">
        <w:rPr>
          <w:rFonts w:ascii="Arial" w:hAnsi="Arial" w:cs="Arial"/>
          <w:color w:val="000000" w:themeColor="text1"/>
          <w:sz w:val="22"/>
        </w:rPr>
        <w:t xml:space="preserve">ability and poor infrastructure, </w:t>
      </w:r>
      <w:r w:rsidR="00B20A2C" w:rsidRPr="00B10FD1">
        <w:rPr>
          <w:rFonts w:ascii="Arial" w:hAnsi="Arial" w:cs="Arial"/>
          <w:color w:val="000000" w:themeColor="text1"/>
          <w:sz w:val="22"/>
        </w:rPr>
        <w:t>arguing for locally tailored responses (Wilson-</w:t>
      </w:r>
      <w:proofErr w:type="spellStart"/>
      <w:r w:rsidR="00B20A2C" w:rsidRPr="00B10FD1">
        <w:rPr>
          <w:rFonts w:ascii="Arial" w:hAnsi="Arial" w:cs="Arial"/>
          <w:color w:val="000000" w:themeColor="text1"/>
          <w:sz w:val="22"/>
        </w:rPr>
        <w:t>Menzfeld</w:t>
      </w:r>
      <w:proofErr w:type="spellEnd"/>
      <w:r w:rsidR="00B20A2C" w:rsidRPr="00B10FD1">
        <w:rPr>
          <w:rFonts w:ascii="Arial" w:hAnsi="Arial" w:cs="Arial"/>
          <w:color w:val="000000" w:themeColor="text1"/>
          <w:sz w:val="22"/>
        </w:rPr>
        <w:t xml:space="preserve"> et al., 2024). European </w:t>
      </w:r>
      <w:r w:rsidR="00B20A2C" w:rsidRPr="00B10FD1">
        <w:rPr>
          <w:rFonts w:ascii="Arial" w:hAnsi="Arial" w:cs="Arial"/>
          <w:color w:val="000000" w:themeColor="text1"/>
          <w:sz w:val="22"/>
        </w:rPr>
        <w:lastRenderedPageBreak/>
        <w:t xml:space="preserve">fundamental-rights analysis likewise cautions that “online-only” public services risk excluding older people unless offline alternatives are protected in practice (FRA, 2023). </w:t>
      </w:r>
    </w:p>
    <w:p w14:paraId="622BBE94" w14:textId="77777777" w:rsidR="00B20A2C" w:rsidRPr="00B10FD1" w:rsidRDefault="002C4218"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 xml:space="preserve"> </w:t>
      </w:r>
      <w:r w:rsidR="00B20A2C" w:rsidRPr="00B10FD1">
        <w:rPr>
          <w:rFonts w:ascii="Arial" w:hAnsi="Arial" w:cs="Arial"/>
          <w:color w:val="000000" w:themeColor="text1"/>
          <w:sz w:val="22"/>
        </w:rPr>
        <w:t>(b) Skills, confidence &amp; tr</w:t>
      </w:r>
      <w:r w:rsidR="00E37514" w:rsidRPr="00B10FD1">
        <w:rPr>
          <w:rFonts w:ascii="Arial" w:hAnsi="Arial" w:cs="Arial"/>
          <w:color w:val="000000" w:themeColor="text1"/>
          <w:sz w:val="22"/>
        </w:rPr>
        <w:t>ust:</w:t>
      </w:r>
      <w:r w:rsidR="00B20A2C" w:rsidRPr="00B10FD1">
        <w:rPr>
          <w:rFonts w:ascii="Arial" w:hAnsi="Arial" w:cs="Arial"/>
          <w:color w:val="000000" w:themeColor="text1"/>
          <w:sz w:val="22"/>
        </w:rPr>
        <w:t xml:space="preserve"> Many older adults describe anxiety about “doing it wrong,” scams, passwords and two-factor authentication. Small on-screen keyboards, complex verification and unfamiliar terminology add cognitive/physical load. During COVID-19, rapid </w:t>
      </w:r>
      <w:proofErr w:type="spellStart"/>
      <w:r w:rsidR="00B20A2C" w:rsidRPr="00B10FD1">
        <w:rPr>
          <w:rFonts w:ascii="Arial" w:hAnsi="Arial" w:cs="Arial"/>
          <w:color w:val="000000" w:themeColor="text1"/>
          <w:sz w:val="22"/>
        </w:rPr>
        <w:t>digitisation</w:t>
      </w:r>
      <w:proofErr w:type="spellEnd"/>
      <w:r w:rsidR="00B20A2C" w:rsidRPr="00B10FD1">
        <w:rPr>
          <w:rFonts w:ascii="Arial" w:hAnsi="Arial" w:cs="Arial"/>
          <w:color w:val="000000" w:themeColor="text1"/>
          <w:sz w:val="22"/>
        </w:rPr>
        <w:t xml:space="preserve"> often outpaced confidence-building, intensifying stress among those already isolated (Stuart et al., 2022). Focus-group work with UK older </w:t>
      </w:r>
      <w:r w:rsidRPr="00B10FD1">
        <w:rPr>
          <w:rFonts w:ascii="Arial" w:hAnsi="Arial" w:cs="Arial"/>
          <w:color w:val="000000" w:themeColor="text1"/>
          <w:sz w:val="22"/>
        </w:rPr>
        <w:t>adult’s</w:t>
      </w:r>
      <w:r w:rsidR="00B20A2C" w:rsidRPr="00B10FD1">
        <w:rPr>
          <w:rFonts w:ascii="Arial" w:hAnsi="Arial" w:cs="Arial"/>
          <w:color w:val="000000" w:themeColor="text1"/>
          <w:sz w:val="22"/>
        </w:rPr>
        <w:t xml:space="preserve"> documents intimidation by technology and a poor fit with everyday needs, even when interest exists (</w:t>
      </w:r>
      <w:proofErr w:type="spellStart"/>
      <w:r w:rsidR="00B20A2C" w:rsidRPr="00B10FD1">
        <w:rPr>
          <w:rFonts w:ascii="Arial" w:hAnsi="Arial" w:cs="Arial"/>
          <w:color w:val="000000" w:themeColor="text1"/>
          <w:sz w:val="22"/>
        </w:rPr>
        <w:t>Vaportzis</w:t>
      </w:r>
      <w:proofErr w:type="spellEnd"/>
      <w:r w:rsidR="00B20A2C" w:rsidRPr="00B10FD1">
        <w:rPr>
          <w:rFonts w:ascii="Arial" w:hAnsi="Arial" w:cs="Arial"/>
          <w:color w:val="000000" w:themeColor="text1"/>
          <w:sz w:val="22"/>
        </w:rPr>
        <w:t xml:space="preserve"> et al., 2017). </w:t>
      </w:r>
    </w:p>
    <w:p w14:paraId="433B1818" w14:textId="77777777" w:rsidR="00B20A2C" w:rsidRPr="00B10FD1" w:rsidRDefault="002C4218"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 xml:space="preserve"> </w:t>
      </w:r>
      <w:r w:rsidR="00B20A2C" w:rsidRPr="00B10FD1">
        <w:rPr>
          <w:rFonts w:ascii="Arial" w:hAnsi="Arial" w:cs="Arial"/>
          <w:color w:val="000000" w:themeColor="text1"/>
          <w:sz w:val="22"/>
        </w:rPr>
        <w:t>(c) Motivation &amp;</w:t>
      </w:r>
      <w:r w:rsidR="00E37514" w:rsidRPr="00B10FD1">
        <w:rPr>
          <w:rFonts w:ascii="Arial" w:hAnsi="Arial" w:cs="Arial"/>
          <w:color w:val="000000" w:themeColor="text1"/>
          <w:sz w:val="22"/>
        </w:rPr>
        <w:t xml:space="preserve"> perceived relevance (“drive”): </w:t>
      </w:r>
      <w:r w:rsidR="00B20A2C" w:rsidRPr="00B10FD1">
        <w:rPr>
          <w:rFonts w:ascii="Arial" w:hAnsi="Arial" w:cs="Arial"/>
          <w:color w:val="000000" w:themeColor="text1"/>
          <w:sz w:val="22"/>
        </w:rPr>
        <w:t>Some perceive online forms and portals as gatekeeping, not enabling care; others prefer relational continuity and face-to-face interaction. Policy discourse analysis warns that casting loneliness as an individual failing to be “fixed” by tech can undermine motivation to engage, especially for those already wary of surveillance (Jentoft, 2023). Evidence from Switzerland during the pandemic shows internet use rose among community-dwelling older adults but far less am</w:t>
      </w:r>
      <w:r w:rsidR="008B2A6C" w:rsidRPr="00B10FD1">
        <w:rPr>
          <w:rFonts w:ascii="Arial" w:hAnsi="Arial" w:cs="Arial"/>
          <w:color w:val="000000" w:themeColor="text1"/>
          <w:sz w:val="22"/>
        </w:rPr>
        <w:t xml:space="preserve">ong residents of long-term care, </w:t>
      </w:r>
      <w:r w:rsidR="00B20A2C" w:rsidRPr="00B10FD1">
        <w:rPr>
          <w:rFonts w:ascii="Arial" w:hAnsi="Arial" w:cs="Arial"/>
          <w:color w:val="000000" w:themeColor="text1"/>
          <w:sz w:val="22"/>
        </w:rPr>
        <w:t xml:space="preserve">underscoring how context (not just attitude) shapes motivation and opportunity (Seifert, 2021). </w:t>
      </w:r>
    </w:p>
    <w:p w14:paraId="4D1832E0" w14:textId="77777777" w:rsidR="00B20A2C" w:rsidRPr="00B10FD1" w:rsidRDefault="00E03B41" w:rsidP="006240B2">
      <w:pPr>
        <w:pStyle w:val="Heading3"/>
        <w:spacing w:before="120" w:beforeAutospacing="0" w:after="120" w:afterAutospacing="0" w:line="360" w:lineRule="auto"/>
        <w:jc w:val="both"/>
        <w:rPr>
          <w:rFonts w:ascii="Arial" w:hAnsi="Arial" w:cs="Arial"/>
          <w:color w:val="000000" w:themeColor="text1"/>
        </w:rPr>
      </w:pPr>
      <w:bookmarkStart w:id="41" w:name="_Toc209284772"/>
      <w:r w:rsidRPr="00B10FD1">
        <w:rPr>
          <w:rFonts w:ascii="Arial" w:hAnsi="Arial" w:cs="Arial"/>
          <w:color w:val="000000" w:themeColor="text1"/>
        </w:rPr>
        <w:t xml:space="preserve">4.3.5 </w:t>
      </w:r>
      <w:r w:rsidR="00B20A2C" w:rsidRPr="00B10FD1">
        <w:rPr>
          <w:rFonts w:ascii="Arial" w:hAnsi="Arial" w:cs="Arial"/>
          <w:color w:val="000000" w:themeColor="text1"/>
        </w:rPr>
        <w:t xml:space="preserve">Theoretical </w:t>
      </w:r>
      <w:r w:rsidR="00E37514" w:rsidRPr="00B10FD1">
        <w:rPr>
          <w:rFonts w:ascii="Arial" w:hAnsi="Arial" w:cs="Arial"/>
          <w:color w:val="000000" w:themeColor="text1"/>
        </w:rPr>
        <w:t>Framing</w:t>
      </w:r>
      <w:bookmarkEnd w:id="41"/>
    </w:p>
    <w:p w14:paraId="34649344" w14:textId="77777777" w:rsidR="00B20A2C" w:rsidRPr="00B10FD1" w:rsidRDefault="00B20A2C"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The three-level model of the digital divide (access → skills → use) explains why device distribution alone rarely produces inclusion (van Dijk, 2006). Social capital perspectives illumi</w:t>
      </w:r>
      <w:r w:rsidR="004255AC" w:rsidRPr="00B10FD1">
        <w:rPr>
          <w:rFonts w:ascii="Arial" w:hAnsi="Arial" w:cs="Arial"/>
          <w:color w:val="000000" w:themeColor="text1"/>
          <w:sz w:val="22"/>
        </w:rPr>
        <w:t xml:space="preserve">nate the role of intermediaries, </w:t>
      </w:r>
      <w:r w:rsidRPr="00B10FD1">
        <w:rPr>
          <w:rFonts w:ascii="Arial" w:hAnsi="Arial" w:cs="Arial"/>
          <w:color w:val="000000" w:themeColor="text1"/>
          <w:sz w:val="22"/>
        </w:rPr>
        <w:t xml:space="preserve">family </w:t>
      </w:r>
      <w:r w:rsidR="004255AC" w:rsidRPr="00B10FD1">
        <w:rPr>
          <w:rFonts w:ascii="Arial" w:hAnsi="Arial" w:cs="Arial"/>
          <w:color w:val="000000" w:themeColor="text1"/>
          <w:sz w:val="22"/>
        </w:rPr>
        <w:t xml:space="preserve">members, librarians, volunteers, </w:t>
      </w:r>
      <w:r w:rsidRPr="00B10FD1">
        <w:rPr>
          <w:rFonts w:ascii="Arial" w:hAnsi="Arial" w:cs="Arial"/>
          <w:color w:val="000000" w:themeColor="text1"/>
          <w:sz w:val="22"/>
        </w:rPr>
        <w:t xml:space="preserve">who act as digital brokers, turning access into connection. From an ageing-studies lens, activity theory </w:t>
      </w:r>
      <w:proofErr w:type="spellStart"/>
      <w:r w:rsidRPr="00B10FD1">
        <w:rPr>
          <w:rFonts w:ascii="Arial" w:hAnsi="Arial" w:cs="Arial"/>
          <w:color w:val="000000" w:themeColor="text1"/>
          <w:sz w:val="22"/>
        </w:rPr>
        <w:t>emphasises</w:t>
      </w:r>
      <w:proofErr w:type="spellEnd"/>
      <w:r w:rsidRPr="00B10FD1">
        <w:rPr>
          <w:rFonts w:ascii="Arial" w:hAnsi="Arial" w:cs="Arial"/>
          <w:color w:val="000000" w:themeColor="text1"/>
          <w:sz w:val="22"/>
        </w:rPr>
        <w:t xml:space="preserve"> wellbeing benefits of ongoing participation, while disengagement is not simply a voluntary retreat but can be enforced by system design (e.g., online-only booking). Importantly, an umbrella review of reviews concludes that evidence on whether digital technologies enhance older people’s access remains mixed, with a notable evaluation blind spot around first-contact tools (online booking/e-triage) (</w:t>
      </w:r>
      <w:proofErr w:type="spellStart"/>
      <w:r w:rsidRPr="00B10FD1">
        <w:rPr>
          <w:rFonts w:ascii="Arial" w:hAnsi="Arial" w:cs="Arial"/>
          <w:color w:val="000000" w:themeColor="text1"/>
          <w:sz w:val="22"/>
        </w:rPr>
        <w:t>Kunonga</w:t>
      </w:r>
      <w:proofErr w:type="spellEnd"/>
      <w:r w:rsidRPr="00B10FD1">
        <w:rPr>
          <w:rFonts w:ascii="Arial" w:hAnsi="Arial" w:cs="Arial"/>
          <w:color w:val="000000" w:themeColor="text1"/>
          <w:sz w:val="22"/>
        </w:rPr>
        <w:t xml:space="preserve"> et al., 2021). </w:t>
      </w:r>
    </w:p>
    <w:p w14:paraId="11727405" w14:textId="77777777" w:rsidR="00B20A2C" w:rsidRPr="00B10FD1" w:rsidRDefault="00206831" w:rsidP="006240B2">
      <w:pPr>
        <w:pStyle w:val="Heading3"/>
        <w:spacing w:before="120" w:beforeAutospacing="0" w:after="120" w:afterAutospacing="0" w:line="360" w:lineRule="auto"/>
        <w:jc w:val="both"/>
        <w:rPr>
          <w:rFonts w:ascii="Arial" w:hAnsi="Arial" w:cs="Arial"/>
          <w:color w:val="000000" w:themeColor="text1"/>
        </w:rPr>
      </w:pPr>
      <w:bookmarkStart w:id="42" w:name="_Toc209284773"/>
      <w:r>
        <w:rPr>
          <w:rFonts w:ascii="Arial" w:hAnsi="Arial" w:cs="Arial"/>
          <w:color w:val="000000" w:themeColor="text1"/>
        </w:rPr>
        <w:t>4.3.6</w:t>
      </w:r>
      <w:r w:rsidR="00E03B41" w:rsidRPr="00B10FD1">
        <w:rPr>
          <w:rFonts w:ascii="Arial" w:hAnsi="Arial" w:cs="Arial"/>
          <w:color w:val="000000" w:themeColor="text1"/>
        </w:rPr>
        <w:t xml:space="preserve"> </w:t>
      </w:r>
      <w:r w:rsidR="00B20A2C" w:rsidRPr="00B10FD1">
        <w:rPr>
          <w:rFonts w:ascii="Arial" w:hAnsi="Arial" w:cs="Arial"/>
          <w:color w:val="000000" w:themeColor="text1"/>
        </w:rPr>
        <w:t>Illustrative UK examples</w:t>
      </w:r>
      <w:bookmarkEnd w:id="42"/>
    </w:p>
    <w:p w14:paraId="6ED98EE6" w14:textId="77777777" w:rsidR="00B20A2C" w:rsidRPr="00B10FD1" w:rsidRDefault="00B20A2C"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Local, trusted-place models such as 100% Digital Leeds position VCSEs, libraries and housing providers as partners delivering one-to-one coaching, small-group learnin</w:t>
      </w:r>
      <w:r w:rsidR="00701FDA" w:rsidRPr="00B10FD1">
        <w:rPr>
          <w:rFonts w:ascii="Arial" w:hAnsi="Arial" w:cs="Arial"/>
          <w:color w:val="000000" w:themeColor="text1"/>
          <w:sz w:val="22"/>
        </w:rPr>
        <w:t xml:space="preserve">g, device loans and data access, </w:t>
      </w:r>
      <w:r w:rsidRPr="00B10FD1">
        <w:rPr>
          <w:rFonts w:ascii="Arial" w:hAnsi="Arial" w:cs="Arial"/>
          <w:color w:val="000000" w:themeColor="text1"/>
          <w:sz w:val="22"/>
        </w:rPr>
        <w:t xml:space="preserve">functions that reduce anxiety and enable meaningful use of GP portals and booking systems (Leeds City Council/Digital Inclusion Toolkit, 2022). Such models </w:t>
      </w:r>
      <w:proofErr w:type="spellStart"/>
      <w:r w:rsidRPr="00B10FD1">
        <w:rPr>
          <w:rFonts w:ascii="Arial" w:hAnsi="Arial" w:cs="Arial"/>
          <w:color w:val="000000" w:themeColor="text1"/>
          <w:sz w:val="22"/>
        </w:rPr>
        <w:t>operationalise</w:t>
      </w:r>
      <w:proofErr w:type="spellEnd"/>
      <w:r w:rsidRPr="00B10FD1">
        <w:rPr>
          <w:rFonts w:ascii="Arial" w:hAnsi="Arial" w:cs="Arial"/>
          <w:color w:val="000000" w:themeColor="text1"/>
          <w:sz w:val="22"/>
        </w:rPr>
        <w:t xml:space="preserve"> the NHS principle that digital must remain complementary and assisted, not compulsory (NHS England, 2023/2024). </w:t>
      </w:r>
    </w:p>
    <w:p w14:paraId="2B4BF867" w14:textId="77777777" w:rsidR="00BD2355" w:rsidRPr="00B10FD1" w:rsidRDefault="00206831" w:rsidP="006240B2">
      <w:pPr>
        <w:pStyle w:val="Heading3"/>
        <w:spacing w:before="120" w:beforeAutospacing="0" w:after="120" w:afterAutospacing="0" w:line="360" w:lineRule="auto"/>
        <w:jc w:val="both"/>
        <w:rPr>
          <w:rFonts w:ascii="Arial" w:hAnsi="Arial" w:cs="Arial"/>
          <w:color w:val="000000" w:themeColor="text1"/>
        </w:rPr>
      </w:pPr>
      <w:bookmarkStart w:id="43" w:name="_Toc209284774"/>
      <w:r>
        <w:rPr>
          <w:rFonts w:ascii="Arial" w:hAnsi="Arial" w:cs="Arial"/>
          <w:color w:val="000000" w:themeColor="text1"/>
        </w:rPr>
        <w:lastRenderedPageBreak/>
        <w:t>4.3.7</w:t>
      </w:r>
      <w:r w:rsidR="00BD2355" w:rsidRPr="00B10FD1">
        <w:rPr>
          <w:rFonts w:ascii="Arial" w:hAnsi="Arial" w:cs="Arial"/>
          <w:color w:val="000000" w:themeColor="text1"/>
        </w:rPr>
        <w:t xml:space="preserve"> Relevance to The Research Objective 1</w:t>
      </w:r>
      <w:bookmarkEnd w:id="43"/>
    </w:p>
    <w:p w14:paraId="1C856229" w14:textId="77777777" w:rsidR="00BD2355" w:rsidRPr="00B10FD1" w:rsidRDefault="00BD2355"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Digital exclusion precedes and compounds social isolation. When first-contact routes to care (appointments, repeat prescriptions, advice) move behind digital thresholds, older adults with limited access, low skills/confidence, or low perceived relevance experience cumulative disadvantage. This raises the likelihood of foregone care and intensifies loneliness and anxiety, established determinants of poorer mental and physical health (Holt-</w:t>
      </w:r>
      <w:proofErr w:type="spellStart"/>
      <w:r w:rsidRPr="00B10FD1">
        <w:rPr>
          <w:rFonts w:ascii="Arial" w:hAnsi="Arial" w:cs="Arial"/>
          <w:color w:val="000000" w:themeColor="text1"/>
          <w:sz w:val="22"/>
        </w:rPr>
        <w:t>Lunstad</w:t>
      </w:r>
      <w:proofErr w:type="spellEnd"/>
      <w:r w:rsidRPr="00B10FD1">
        <w:rPr>
          <w:rFonts w:ascii="Arial" w:hAnsi="Arial" w:cs="Arial"/>
          <w:color w:val="000000" w:themeColor="text1"/>
          <w:sz w:val="22"/>
        </w:rPr>
        <w:t xml:space="preserve">, 2024; NASEM, 2020). Thus, Theme 1 addresses Objective 1 by specifying how access, proficiency and drive interact in everyday UK care contexts to produce (or reduce) exclusionary experiences. </w:t>
      </w:r>
    </w:p>
    <w:p w14:paraId="44137119" w14:textId="77777777" w:rsidR="00B20A2C" w:rsidRPr="00B10FD1" w:rsidRDefault="00E03B41" w:rsidP="006240B2">
      <w:pPr>
        <w:pStyle w:val="Heading3"/>
        <w:spacing w:before="120" w:beforeAutospacing="0" w:after="120" w:afterAutospacing="0" w:line="360" w:lineRule="auto"/>
        <w:jc w:val="both"/>
        <w:rPr>
          <w:rFonts w:ascii="Arial" w:hAnsi="Arial" w:cs="Arial"/>
          <w:color w:val="000000" w:themeColor="text1"/>
        </w:rPr>
      </w:pPr>
      <w:bookmarkStart w:id="44" w:name="_Toc209284775"/>
      <w:r w:rsidRPr="00B10FD1">
        <w:rPr>
          <w:rFonts w:ascii="Arial" w:hAnsi="Arial" w:cs="Arial"/>
          <w:color w:val="000000" w:themeColor="text1"/>
        </w:rPr>
        <w:t xml:space="preserve">4.3.8 </w:t>
      </w:r>
      <w:r w:rsidR="00B20A2C" w:rsidRPr="00B10FD1">
        <w:rPr>
          <w:rFonts w:ascii="Arial" w:hAnsi="Arial" w:cs="Arial"/>
          <w:color w:val="000000" w:themeColor="text1"/>
        </w:rPr>
        <w:t xml:space="preserve">Connections </w:t>
      </w:r>
      <w:r w:rsidR="00701FDA" w:rsidRPr="00B10FD1">
        <w:rPr>
          <w:rFonts w:ascii="Arial" w:hAnsi="Arial" w:cs="Arial"/>
          <w:color w:val="000000" w:themeColor="text1"/>
        </w:rPr>
        <w:t>to Other Themes</w:t>
      </w:r>
      <w:bookmarkEnd w:id="44"/>
    </w:p>
    <w:p w14:paraId="38E69A62" w14:textId="77777777" w:rsidR="000F04D4" w:rsidRPr="00E64771" w:rsidRDefault="00B20A2C" w:rsidP="00E64771">
      <w:pPr>
        <w:pStyle w:val="NormalWeb"/>
        <w:spacing w:line="360" w:lineRule="auto"/>
        <w:jc w:val="both"/>
        <w:rPr>
          <w:rFonts w:ascii="Arial" w:hAnsi="Arial" w:cs="Arial"/>
          <w:sz w:val="22"/>
          <w:szCs w:val="22"/>
        </w:rPr>
      </w:pPr>
      <w:r w:rsidRPr="00E64771">
        <w:rPr>
          <w:rFonts w:ascii="Arial" w:hAnsi="Arial" w:cs="Arial"/>
          <w:color w:val="000000" w:themeColor="text1"/>
          <w:sz w:val="22"/>
          <w:szCs w:val="22"/>
        </w:rPr>
        <w:t>This foundational theme underpins Theme 2 (consequences for access, wellbeing and care experience) and informs Theme 3 (what works in policy and practice). It also motivates Theme 4 by showing why assisted-digital, parity of access and place-based commissioning are not optional extras but essent</w:t>
      </w:r>
      <w:r w:rsidR="00855CD9" w:rsidRPr="00E64771">
        <w:rPr>
          <w:rFonts w:ascii="Arial" w:hAnsi="Arial" w:cs="Arial"/>
          <w:color w:val="000000" w:themeColor="text1"/>
          <w:sz w:val="22"/>
          <w:szCs w:val="22"/>
        </w:rPr>
        <w:t>ial design features for equity.</w:t>
      </w:r>
      <w:r w:rsidR="00E64771" w:rsidRPr="00E64771">
        <w:rPr>
          <w:rFonts w:ascii="Arial" w:hAnsi="Arial" w:cs="Arial"/>
          <w:color w:val="000000" w:themeColor="text1"/>
          <w:sz w:val="22"/>
          <w:szCs w:val="22"/>
        </w:rPr>
        <w:t xml:space="preserve"> </w:t>
      </w:r>
      <w:r w:rsidR="00E64771" w:rsidRPr="00E64771">
        <w:rPr>
          <w:rFonts w:ascii="Arial" w:hAnsi="Arial" w:cs="Arial"/>
          <w:sz w:val="22"/>
          <w:szCs w:val="22"/>
        </w:rPr>
        <w:t>In doing so, Theme 1 contributes directly to the overall aim of this dissertation by clarifying how layered digital barriers create the conditions in which social isolation and mental-health difficulties arise for older adults in the UK health and social care system.</w:t>
      </w:r>
    </w:p>
    <w:p w14:paraId="01BD7454" w14:textId="77777777" w:rsidR="000F04D4" w:rsidRPr="00E64771" w:rsidRDefault="000F04D4" w:rsidP="000F04D4">
      <w:pPr>
        <w:pStyle w:val="NormalWeb"/>
        <w:spacing w:before="120" w:beforeAutospacing="0" w:after="120" w:afterAutospacing="0" w:line="360" w:lineRule="auto"/>
        <w:jc w:val="both"/>
        <w:rPr>
          <w:rFonts w:ascii="Arial" w:hAnsi="Arial" w:cs="Arial"/>
          <w:color w:val="000000" w:themeColor="text1"/>
          <w:sz w:val="20"/>
        </w:rPr>
      </w:pPr>
      <w:r w:rsidRPr="00E64771">
        <w:rPr>
          <w:rFonts w:ascii="Arial" w:hAnsi="Arial" w:cs="Arial"/>
          <w:sz w:val="22"/>
        </w:rPr>
        <w:t>Building on identified barriers, Theme 2 examines the downstream consequences for access, wellbeing and care experience.</w:t>
      </w:r>
    </w:p>
    <w:p w14:paraId="5C245C02" w14:textId="77777777" w:rsidR="005A6966" w:rsidRPr="00B10FD1" w:rsidRDefault="005A6966" w:rsidP="006240B2">
      <w:pPr>
        <w:pStyle w:val="Heading2"/>
        <w:spacing w:before="120" w:beforeAutospacing="0" w:after="120" w:afterAutospacing="0" w:line="360" w:lineRule="auto"/>
        <w:jc w:val="both"/>
        <w:rPr>
          <w:rFonts w:ascii="Arial" w:hAnsi="Arial" w:cs="Arial"/>
          <w:color w:val="000000" w:themeColor="text1"/>
        </w:rPr>
      </w:pPr>
      <w:bookmarkStart w:id="45" w:name="_Toc209284776"/>
      <w:r w:rsidRPr="00B10FD1">
        <w:rPr>
          <w:rFonts w:ascii="Arial" w:hAnsi="Arial" w:cs="Arial"/>
          <w:color w:val="000000" w:themeColor="text1"/>
        </w:rPr>
        <w:t>4.4 Theme 2 – Consequences: access to services, mental health, wellbeing and care experience</w:t>
      </w:r>
      <w:bookmarkEnd w:id="45"/>
      <w:r w:rsidRPr="00B10FD1">
        <w:rPr>
          <w:rFonts w:ascii="Arial" w:hAnsi="Arial" w:cs="Arial"/>
          <w:color w:val="000000" w:themeColor="text1"/>
        </w:rPr>
        <w:t xml:space="preserve"> </w:t>
      </w:r>
    </w:p>
    <w:p w14:paraId="79EA99FC" w14:textId="77777777" w:rsidR="005A6966" w:rsidRPr="00B10FD1" w:rsidRDefault="007F6802" w:rsidP="006240B2">
      <w:pPr>
        <w:pStyle w:val="Heading3"/>
        <w:spacing w:before="120" w:beforeAutospacing="0" w:after="120" w:afterAutospacing="0" w:line="360" w:lineRule="auto"/>
        <w:jc w:val="both"/>
        <w:rPr>
          <w:rFonts w:ascii="Arial" w:hAnsi="Arial" w:cs="Arial"/>
          <w:color w:val="000000" w:themeColor="text1"/>
        </w:rPr>
      </w:pPr>
      <w:bookmarkStart w:id="46" w:name="_Toc209284777"/>
      <w:r w:rsidRPr="00B10FD1">
        <w:rPr>
          <w:rFonts w:ascii="Arial" w:hAnsi="Arial" w:cs="Arial"/>
          <w:color w:val="000000" w:themeColor="text1"/>
        </w:rPr>
        <w:t xml:space="preserve">4.4.1 </w:t>
      </w:r>
      <w:r w:rsidR="005A6966" w:rsidRPr="00B10FD1">
        <w:rPr>
          <w:rFonts w:ascii="Arial" w:hAnsi="Arial" w:cs="Arial"/>
          <w:color w:val="000000" w:themeColor="text1"/>
        </w:rPr>
        <w:t>Definition and Scope</w:t>
      </w:r>
      <w:bookmarkEnd w:id="46"/>
    </w:p>
    <w:p w14:paraId="3822408C" w14:textId="77777777" w:rsidR="005A6966" w:rsidRPr="00B10FD1" w:rsidRDefault="005A6966"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 xml:space="preserve">This theme </w:t>
      </w:r>
      <w:proofErr w:type="spellStart"/>
      <w:r w:rsidRPr="00B10FD1">
        <w:rPr>
          <w:rFonts w:ascii="Arial" w:hAnsi="Arial" w:cs="Arial"/>
          <w:color w:val="000000" w:themeColor="text1"/>
          <w:sz w:val="22"/>
        </w:rPr>
        <w:t>synthesises</w:t>
      </w:r>
      <w:proofErr w:type="spellEnd"/>
      <w:r w:rsidRPr="00B10FD1">
        <w:rPr>
          <w:rFonts w:ascii="Arial" w:hAnsi="Arial" w:cs="Arial"/>
          <w:color w:val="000000" w:themeColor="text1"/>
          <w:sz w:val="22"/>
        </w:rPr>
        <w:t xml:space="preserve"> how digital exclusion, insufficient access, skills/confidence, or meaningful use, translates into consequences for older adults’ ability to reach services (appointments, prescriptions, results), for mental health and wellbeing (loneliness, anxiety, low mood, loss of control) and for the quality of care experience (dignity, trust, continuity). Consequences are rarely isolated events: friction at the first point of contact can trigger avoidance, which deepens isolation and further erodes confidence, creating a feedback loop with tangible health risks (</w:t>
      </w:r>
      <w:proofErr w:type="spellStart"/>
      <w:r w:rsidRPr="00B10FD1">
        <w:rPr>
          <w:rFonts w:ascii="Arial" w:hAnsi="Arial" w:cs="Arial"/>
          <w:color w:val="000000" w:themeColor="text1"/>
          <w:sz w:val="22"/>
        </w:rPr>
        <w:t>Kunonga</w:t>
      </w:r>
      <w:proofErr w:type="spellEnd"/>
      <w:r w:rsidRPr="00B10FD1">
        <w:rPr>
          <w:rFonts w:ascii="Arial" w:hAnsi="Arial" w:cs="Arial"/>
          <w:color w:val="000000" w:themeColor="text1"/>
          <w:sz w:val="22"/>
        </w:rPr>
        <w:t xml:space="preserve"> et al., 2021; Holt-</w:t>
      </w:r>
      <w:proofErr w:type="spellStart"/>
      <w:r w:rsidRPr="00B10FD1">
        <w:rPr>
          <w:rFonts w:ascii="Arial" w:hAnsi="Arial" w:cs="Arial"/>
          <w:color w:val="000000" w:themeColor="text1"/>
          <w:sz w:val="22"/>
        </w:rPr>
        <w:t>Lunstad</w:t>
      </w:r>
      <w:proofErr w:type="spellEnd"/>
      <w:r w:rsidRPr="00B10FD1">
        <w:rPr>
          <w:rFonts w:ascii="Arial" w:hAnsi="Arial" w:cs="Arial"/>
          <w:color w:val="000000" w:themeColor="text1"/>
          <w:sz w:val="22"/>
        </w:rPr>
        <w:t xml:space="preserve">, 2024). </w:t>
      </w:r>
    </w:p>
    <w:p w14:paraId="15131932" w14:textId="77777777" w:rsidR="005A6966" w:rsidRPr="00B10FD1" w:rsidRDefault="007F6802" w:rsidP="006240B2">
      <w:pPr>
        <w:pStyle w:val="Heading3"/>
        <w:spacing w:before="120" w:beforeAutospacing="0" w:after="120" w:afterAutospacing="0" w:line="360" w:lineRule="auto"/>
        <w:jc w:val="both"/>
        <w:rPr>
          <w:rFonts w:ascii="Arial" w:hAnsi="Arial" w:cs="Arial"/>
          <w:color w:val="000000" w:themeColor="text1"/>
        </w:rPr>
      </w:pPr>
      <w:bookmarkStart w:id="47" w:name="_Toc209284778"/>
      <w:r w:rsidRPr="00B10FD1">
        <w:rPr>
          <w:rFonts w:ascii="Arial" w:hAnsi="Arial" w:cs="Arial"/>
          <w:color w:val="000000" w:themeColor="text1"/>
        </w:rPr>
        <w:t xml:space="preserve">4.4.2 </w:t>
      </w:r>
      <w:r w:rsidR="005A6966" w:rsidRPr="00B10FD1">
        <w:rPr>
          <w:rFonts w:ascii="Arial" w:hAnsi="Arial" w:cs="Arial"/>
          <w:color w:val="000000" w:themeColor="text1"/>
        </w:rPr>
        <w:t>Background and Mechanisms</w:t>
      </w:r>
      <w:bookmarkEnd w:id="47"/>
    </w:p>
    <w:p w14:paraId="18BA60F1" w14:textId="77777777" w:rsidR="005A6966" w:rsidRPr="00B10FD1" w:rsidRDefault="005A6966"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lastRenderedPageBreak/>
        <w:t xml:space="preserve">Rapid </w:t>
      </w:r>
      <w:proofErr w:type="spellStart"/>
      <w:r w:rsidRPr="00B10FD1">
        <w:rPr>
          <w:rFonts w:ascii="Arial" w:hAnsi="Arial" w:cs="Arial"/>
          <w:color w:val="000000" w:themeColor="text1"/>
          <w:sz w:val="22"/>
        </w:rPr>
        <w:t>digitisation</w:t>
      </w:r>
      <w:proofErr w:type="spellEnd"/>
      <w:r w:rsidRPr="00B10FD1">
        <w:rPr>
          <w:rFonts w:ascii="Arial" w:hAnsi="Arial" w:cs="Arial"/>
          <w:color w:val="000000" w:themeColor="text1"/>
          <w:sz w:val="22"/>
        </w:rPr>
        <w:t xml:space="preserve"> accelerated during COVID-19 shifted many “front-door” routes to online forms, e-triage and portals, assuming stable connectivity, usable devices, and confidence with multi-step verification. For a substantial minority of older people, these assumptions do not hold, making digital touchpoints feel like thresholds to care rather than facilitators (</w:t>
      </w:r>
      <w:proofErr w:type="spellStart"/>
      <w:r w:rsidRPr="00B10FD1">
        <w:rPr>
          <w:rFonts w:ascii="Arial" w:hAnsi="Arial" w:cs="Arial"/>
          <w:color w:val="000000" w:themeColor="text1"/>
          <w:sz w:val="22"/>
        </w:rPr>
        <w:t>Kunonga</w:t>
      </w:r>
      <w:proofErr w:type="spellEnd"/>
      <w:r w:rsidRPr="00B10FD1">
        <w:rPr>
          <w:rFonts w:ascii="Arial" w:hAnsi="Arial" w:cs="Arial"/>
          <w:color w:val="000000" w:themeColor="text1"/>
          <w:sz w:val="22"/>
        </w:rPr>
        <w:t xml:space="preserve"> et al., 2021). UK guidance now </w:t>
      </w:r>
      <w:proofErr w:type="spellStart"/>
      <w:r w:rsidRPr="00B10FD1">
        <w:rPr>
          <w:rFonts w:ascii="Arial" w:hAnsi="Arial" w:cs="Arial"/>
          <w:color w:val="000000" w:themeColor="text1"/>
          <w:sz w:val="22"/>
        </w:rPr>
        <w:t>emphasises</w:t>
      </w:r>
      <w:proofErr w:type="spellEnd"/>
      <w:r w:rsidRPr="00B10FD1">
        <w:rPr>
          <w:rFonts w:ascii="Arial" w:hAnsi="Arial" w:cs="Arial"/>
          <w:color w:val="000000" w:themeColor="text1"/>
          <w:sz w:val="22"/>
        </w:rPr>
        <w:t xml:space="preserve"> that digital must remain complementary to non-digital routes and supported by assisted-digital options, precisely to avoid inequitable effects (NHS England, 2023/24). </w:t>
      </w:r>
    </w:p>
    <w:p w14:paraId="4125C5DB" w14:textId="77777777" w:rsidR="005A6966" w:rsidRPr="00B10FD1" w:rsidRDefault="007F6802" w:rsidP="006240B2">
      <w:pPr>
        <w:pStyle w:val="Heading3"/>
        <w:spacing w:before="120" w:beforeAutospacing="0" w:after="120" w:afterAutospacing="0" w:line="360" w:lineRule="auto"/>
        <w:jc w:val="both"/>
        <w:rPr>
          <w:rFonts w:ascii="Arial" w:hAnsi="Arial" w:cs="Arial"/>
          <w:color w:val="000000" w:themeColor="text1"/>
        </w:rPr>
      </w:pPr>
      <w:bookmarkStart w:id="48" w:name="_Toc209284779"/>
      <w:r w:rsidRPr="00B10FD1">
        <w:rPr>
          <w:rFonts w:ascii="Arial" w:hAnsi="Arial" w:cs="Arial"/>
          <w:color w:val="000000" w:themeColor="text1"/>
        </w:rPr>
        <w:t xml:space="preserve">4.4.3 </w:t>
      </w:r>
      <w:r w:rsidR="005A6966" w:rsidRPr="00B10FD1">
        <w:rPr>
          <w:rFonts w:ascii="Arial" w:hAnsi="Arial" w:cs="Arial"/>
          <w:color w:val="000000" w:themeColor="text1"/>
        </w:rPr>
        <w:t xml:space="preserve">Access </w:t>
      </w:r>
      <w:r w:rsidR="00031307" w:rsidRPr="00B10FD1">
        <w:rPr>
          <w:rFonts w:ascii="Arial" w:hAnsi="Arial" w:cs="Arial"/>
          <w:color w:val="000000" w:themeColor="text1"/>
        </w:rPr>
        <w:t>to Services: Friction, Delay and Forgone Care</w:t>
      </w:r>
      <w:bookmarkEnd w:id="48"/>
    </w:p>
    <w:p w14:paraId="61244743" w14:textId="77777777" w:rsidR="005A6966" w:rsidRPr="00B10FD1" w:rsidRDefault="005A6966"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Across UK qualitative and mixed-methods studies, older adults describe abandoning online booking after repeated failures (passwords/2FA, unclear forms), deferring prescription requests, or defaulting to urgent care when problems escalate. Local evidence from North-East England</w:t>
      </w:r>
      <w:r w:rsidR="00992799" w:rsidRPr="00B10FD1">
        <w:rPr>
          <w:rFonts w:ascii="Arial" w:hAnsi="Arial" w:cs="Arial"/>
          <w:color w:val="000000" w:themeColor="text1"/>
          <w:sz w:val="22"/>
        </w:rPr>
        <w:t xml:space="preserve"> shows exclusion is place-based, </w:t>
      </w:r>
      <w:r w:rsidRPr="00B10FD1">
        <w:rPr>
          <w:rFonts w:ascii="Arial" w:hAnsi="Arial" w:cs="Arial"/>
          <w:color w:val="000000" w:themeColor="text1"/>
          <w:sz w:val="22"/>
        </w:rPr>
        <w:t>clustered with deprivation, disa</w:t>
      </w:r>
      <w:r w:rsidR="00992799" w:rsidRPr="00B10FD1">
        <w:rPr>
          <w:rFonts w:ascii="Arial" w:hAnsi="Arial" w:cs="Arial"/>
          <w:color w:val="000000" w:themeColor="text1"/>
          <w:sz w:val="22"/>
        </w:rPr>
        <w:t xml:space="preserve">bility, and poor infrastructure, </w:t>
      </w:r>
      <w:r w:rsidRPr="00B10FD1">
        <w:rPr>
          <w:rFonts w:ascii="Arial" w:hAnsi="Arial" w:cs="Arial"/>
          <w:color w:val="000000" w:themeColor="text1"/>
          <w:sz w:val="22"/>
        </w:rPr>
        <w:t>so generic “skills classes” alone do not fix acce</w:t>
      </w:r>
      <w:r w:rsidR="00C772F5">
        <w:rPr>
          <w:rFonts w:ascii="Arial" w:hAnsi="Arial" w:cs="Arial"/>
          <w:color w:val="000000" w:themeColor="text1"/>
          <w:sz w:val="22"/>
        </w:rPr>
        <w:t>ss (Wilson-</w:t>
      </w:r>
      <w:proofErr w:type="spellStart"/>
      <w:r w:rsidR="00C772F5">
        <w:rPr>
          <w:rFonts w:ascii="Arial" w:hAnsi="Arial" w:cs="Arial"/>
          <w:color w:val="000000" w:themeColor="text1"/>
          <w:sz w:val="22"/>
        </w:rPr>
        <w:t>Menzfeld</w:t>
      </w:r>
      <w:proofErr w:type="spellEnd"/>
      <w:r w:rsidR="00C772F5">
        <w:rPr>
          <w:rFonts w:ascii="Arial" w:hAnsi="Arial" w:cs="Arial"/>
          <w:color w:val="000000" w:themeColor="text1"/>
          <w:sz w:val="22"/>
        </w:rPr>
        <w:t xml:space="preserve"> et al., 2021</w:t>
      </w:r>
      <w:r w:rsidRPr="00B10FD1">
        <w:rPr>
          <w:rFonts w:ascii="Arial" w:hAnsi="Arial" w:cs="Arial"/>
          <w:color w:val="000000" w:themeColor="text1"/>
          <w:sz w:val="22"/>
        </w:rPr>
        <w:t xml:space="preserve">). The umbrella review by </w:t>
      </w:r>
      <w:proofErr w:type="spellStart"/>
      <w:r w:rsidRPr="00B10FD1">
        <w:rPr>
          <w:rFonts w:ascii="Arial" w:hAnsi="Arial" w:cs="Arial"/>
          <w:color w:val="000000" w:themeColor="text1"/>
          <w:sz w:val="22"/>
        </w:rPr>
        <w:t>Kunonga</w:t>
      </w:r>
      <w:proofErr w:type="spellEnd"/>
      <w:r w:rsidRPr="00B10FD1">
        <w:rPr>
          <w:rFonts w:ascii="Arial" w:hAnsi="Arial" w:cs="Arial"/>
          <w:color w:val="000000" w:themeColor="text1"/>
          <w:sz w:val="22"/>
        </w:rPr>
        <w:t xml:space="preserve"> et al. (2021) highlights a notable evaluation gap: first-contact technologies (online booking/e-triage) are under-studied for older adults relative to remote consultations, despite being the point where inequity often emerges. </w:t>
      </w:r>
    </w:p>
    <w:p w14:paraId="47CEB3F9" w14:textId="77777777" w:rsidR="005A6966" w:rsidRPr="00B10FD1" w:rsidRDefault="007F6802" w:rsidP="006240B2">
      <w:pPr>
        <w:pStyle w:val="Heading3"/>
        <w:spacing w:before="120" w:beforeAutospacing="0" w:after="120" w:afterAutospacing="0" w:line="360" w:lineRule="auto"/>
        <w:jc w:val="both"/>
        <w:rPr>
          <w:rFonts w:ascii="Arial" w:hAnsi="Arial" w:cs="Arial"/>
          <w:color w:val="000000" w:themeColor="text1"/>
        </w:rPr>
      </w:pPr>
      <w:bookmarkStart w:id="49" w:name="_Toc209284780"/>
      <w:r w:rsidRPr="00B10FD1">
        <w:rPr>
          <w:rFonts w:ascii="Arial" w:hAnsi="Arial" w:cs="Arial"/>
          <w:color w:val="000000" w:themeColor="text1"/>
        </w:rPr>
        <w:t xml:space="preserve">4.4.4 </w:t>
      </w:r>
      <w:r w:rsidR="005A6966" w:rsidRPr="00B10FD1">
        <w:rPr>
          <w:rFonts w:ascii="Arial" w:hAnsi="Arial" w:cs="Arial"/>
          <w:color w:val="000000" w:themeColor="text1"/>
        </w:rPr>
        <w:t xml:space="preserve">Mental </w:t>
      </w:r>
      <w:r w:rsidR="00031307" w:rsidRPr="00B10FD1">
        <w:rPr>
          <w:rFonts w:ascii="Arial" w:hAnsi="Arial" w:cs="Arial"/>
          <w:color w:val="000000" w:themeColor="text1"/>
        </w:rPr>
        <w:t>Health and Wellbeing</w:t>
      </w:r>
      <w:bookmarkEnd w:id="49"/>
    </w:p>
    <w:p w14:paraId="5FDB411B" w14:textId="77777777" w:rsidR="005A6966" w:rsidRPr="00B10FD1" w:rsidRDefault="005A6966"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Three linked mechanisms recur:</w:t>
      </w:r>
    </w:p>
    <w:p w14:paraId="795D86FE" w14:textId="77777777" w:rsidR="005A6966" w:rsidRPr="00B10FD1" w:rsidRDefault="00031307"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 xml:space="preserve">Loneliness and identity loss: </w:t>
      </w:r>
      <w:r w:rsidR="005A6966" w:rsidRPr="00B10FD1">
        <w:rPr>
          <w:rFonts w:ascii="Arial" w:hAnsi="Arial" w:cs="Arial"/>
          <w:color w:val="000000" w:themeColor="text1"/>
          <w:sz w:val="22"/>
        </w:rPr>
        <w:t>When familiar, relationship-rich routes (walking to reception, phoning a known clerk) are de-</w:t>
      </w:r>
      <w:proofErr w:type="spellStart"/>
      <w:r w:rsidR="005A6966" w:rsidRPr="00B10FD1">
        <w:rPr>
          <w:rFonts w:ascii="Arial" w:hAnsi="Arial" w:cs="Arial"/>
          <w:color w:val="000000" w:themeColor="text1"/>
          <w:sz w:val="22"/>
        </w:rPr>
        <w:t>prioritised</w:t>
      </w:r>
      <w:proofErr w:type="spellEnd"/>
      <w:r w:rsidR="005A6966" w:rsidRPr="00B10FD1">
        <w:rPr>
          <w:rFonts w:ascii="Arial" w:hAnsi="Arial" w:cs="Arial"/>
          <w:color w:val="000000" w:themeColor="text1"/>
          <w:sz w:val="22"/>
        </w:rPr>
        <w:t>, older adults report feeling shut out, undermining social identity and belonging. A social-identity–informed review argues digital interventions must enable group membership and connection, not just content delivery (Stuart et al., 2022). Meta-level evidence affirms that social connection is a causal determinant of mental and physical health (Holt-</w:t>
      </w:r>
      <w:proofErr w:type="spellStart"/>
      <w:r w:rsidR="005A6966" w:rsidRPr="00B10FD1">
        <w:rPr>
          <w:rFonts w:ascii="Arial" w:hAnsi="Arial" w:cs="Arial"/>
          <w:color w:val="000000" w:themeColor="text1"/>
          <w:sz w:val="22"/>
        </w:rPr>
        <w:t>Lunstad</w:t>
      </w:r>
      <w:proofErr w:type="spellEnd"/>
      <w:r w:rsidR="005A6966" w:rsidRPr="00B10FD1">
        <w:rPr>
          <w:rFonts w:ascii="Arial" w:hAnsi="Arial" w:cs="Arial"/>
          <w:color w:val="000000" w:themeColor="text1"/>
          <w:sz w:val="22"/>
        </w:rPr>
        <w:t xml:space="preserve">, 2024). </w:t>
      </w:r>
    </w:p>
    <w:p w14:paraId="1410A47B" w14:textId="77777777" w:rsidR="005A6966" w:rsidRPr="00B10FD1" w:rsidRDefault="005A6966"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Stress–anxi</w:t>
      </w:r>
      <w:r w:rsidR="00031307" w:rsidRPr="00B10FD1">
        <w:rPr>
          <w:rFonts w:ascii="Arial" w:hAnsi="Arial" w:cs="Arial"/>
          <w:color w:val="000000" w:themeColor="text1"/>
          <w:sz w:val="22"/>
        </w:rPr>
        <w:t xml:space="preserve">ety cycle: </w:t>
      </w:r>
      <w:r w:rsidRPr="00B10FD1">
        <w:rPr>
          <w:rFonts w:ascii="Arial" w:hAnsi="Arial" w:cs="Arial"/>
          <w:color w:val="000000" w:themeColor="text1"/>
          <w:sz w:val="22"/>
        </w:rPr>
        <w:t xml:space="preserve">Fear of scams, unfamiliar terminology, and repeated authentication failures heighten anticipatory anxiety; negative experiences lead to withdrawal from help-seeking. Pandemic-era </w:t>
      </w:r>
      <w:proofErr w:type="spellStart"/>
      <w:r w:rsidRPr="00B10FD1">
        <w:rPr>
          <w:rFonts w:ascii="Arial" w:hAnsi="Arial" w:cs="Arial"/>
          <w:color w:val="000000" w:themeColor="text1"/>
          <w:sz w:val="22"/>
        </w:rPr>
        <w:t>digitisation</w:t>
      </w:r>
      <w:proofErr w:type="spellEnd"/>
      <w:r w:rsidRPr="00B10FD1">
        <w:rPr>
          <w:rFonts w:ascii="Arial" w:hAnsi="Arial" w:cs="Arial"/>
          <w:color w:val="000000" w:themeColor="text1"/>
          <w:sz w:val="22"/>
        </w:rPr>
        <w:t xml:space="preserve"> without adequate coaching amplified this stress among people already isolated (Stuart et al., 2022; NASEM, 2020). </w:t>
      </w:r>
    </w:p>
    <w:p w14:paraId="5D82ACDE" w14:textId="77777777" w:rsidR="005A6966" w:rsidRPr="00B10FD1" w:rsidRDefault="005A6966"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Erosion of trust and help-see</w:t>
      </w:r>
      <w:r w:rsidR="00031307" w:rsidRPr="00B10FD1">
        <w:rPr>
          <w:rFonts w:ascii="Arial" w:hAnsi="Arial" w:cs="Arial"/>
          <w:color w:val="000000" w:themeColor="text1"/>
          <w:sz w:val="22"/>
        </w:rPr>
        <w:t>king:</w:t>
      </w:r>
      <w:r w:rsidRPr="00B10FD1">
        <w:rPr>
          <w:rFonts w:ascii="Arial" w:hAnsi="Arial" w:cs="Arial"/>
          <w:color w:val="000000" w:themeColor="text1"/>
          <w:sz w:val="22"/>
        </w:rPr>
        <w:t xml:space="preserve"> When portals are experienced as gatekeeping, trust in services declines; pride and stigma make repeated requests for help harder. Fundamental-rights analysis </w:t>
      </w:r>
      <w:r w:rsidRPr="00B10FD1">
        <w:rPr>
          <w:rFonts w:ascii="Arial" w:hAnsi="Arial" w:cs="Arial"/>
          <w:color w:val="000000" w:themeColor="text1"/>
          <w:sz w:val="22"/>
        </w:rPr>
        <w:lastRenderedPageBreak/>
        <w:t xml:space="preserve">warns that online-only public services risk excluding older people unless offline alternatives are protected as a matter of practice (FRA, 2023). </w:t>
      </w:r>
    </w:p>
    <w:p w14:paraId="792EA49A" w14:textId="77777777" w:rsidR="005A6966" w:rsidRPr="00B10FD1" w:rsidRDefault="007F6802" w:rsidP="006240B2">
      <w:pPr>
        <w:pStyle w:val="Heading3"/>
        <w:spacing w:before="120" w:beforeAutospacing="0" w:after="120" w:afterAutospacing="0" w:line="360" w:lineRule="auto"/>
        <w:jc w:val="both"/>
        <w:rPr>
          <w:rFonts w:ascii="Arial" w:hAnsi="Arial" w:cs="Arial"/>
          <w:color w:val="000000" w:themeColor="text1"/>
        </w:rPr>
      </w:pPr>
      <w:bookmarkStart w:id="50" w:name="_Toc209284781"/>
      <w:r w:rsidRPr="00B10FD1">
        <w:rPr>
          <w:rFonts w:ascii="Arial" w:hAnsi="Arial" w:cs="Arial"/>
          <w:color w:val="000000" w:themeColor="text1"/>
        </w:rPr>
        <w:t xml:space="preserve">4.4.5 </w:t>
      </w:r>
      <w:r w:rsidR="005A6966" w:rsidRPr="00B10FD1">
        <w:rPr>
          <w:rFonts w:ascii="Arial" w:hAnsi="Arial" w:cs="Arial"/>
          <w:color w:val="000000" w:themeColor="text1"/>
        </w:rPr>
        <w:t xml:space="preserve">Care </w:t>
      </w:r>
      <w:r w:rsidR="00031307" w:rsidRPr="00B10FD1">
        <w:rPr>
          <w:rFonts w:ascii="Arial" w:hAnsi="Arial" w:cs="Arial"/>
          <w:color w:val="000000" w:themeColor="text1"/>
        </w:rPr>
        <w:t>Experience: Dignity, Choice and Continuity</w:t>
      </w:r>
      <w:bookmarkEnd w:id="50"/>
    </w:p>
    <w:p w14:paraId="0D6D8DA0" w14:textId="77777777" w:rsidR="005A6966" w:rsidRPr="00B10FD1" w:rsidRDefault="005A6966"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 xml:space="preserve">Older adults consistently value being heard, continuity with known clinicians, and the ability to narrate complex problems. Digital channels can support this (e.g., secure messaging) when assisted-digital support is available at the point of need (reception “digital champions,” library coaching). NHS England’s inclusion framework explicitly instructs that digital approaches must be complementary to phone/face-to-face options and designed with users, to protect dignity and choice (NHS England, 2023/24). </w:t>
      </w:r>
    </w:p>
    <w:p w14:paraId="3EDEF955" w14:textId="77777777" w:rsidR="005A6966" w:rsidRPr="00B10FD1" w:rsidRDefault="007F6802" w:rsidP="006240B2">
      <w:pPr>
        <w:pStyle w:val="Heading3"/>
        <w:spacing w:before="120" w:beforeAutospacing="0" w:after="120" w:afterAutospacing="0" w:line="360" w:lineRule="auto"/>
        <w:jc w:val="both"/>
        <w:rPr>
          <w:rFonts w:ascii="Arial" w:hAnsi="Arial" w:cs="Arial"/>
          <w:color w:val="000000" w:themeColor="text1"/>
        </w:rPr>
      </w:pPr>
      <w:bookmarkStart w:id="51" w:name="_Toc209284782"/>
      <w:r w:rsidRPr="00B10FD1">
        <w:rPr>
          <w:rFonts w:ascii="Arial" w:hAnsi="Arial" w:cs="Arial"/>
          <w:color w:val="000000" w:themeColor="text1"/>
        </w:rPr>
        <w:t xml:space="preserve">4.4.6 </w:t>
      </w:r>
      <w:r w:rsidR="005A6966" w:rsidRPr="00B10FD1">
        <w:rPr>
          <w:rFonts w:ascii="Arial" w:hAnsi="Arial" w:cs="Arial"/>
          <w:color w:val="000000" w:themeColor="text1"/>
        </w:rPr>
        <w:t xml:space="preserve">Statistical </w:t>
      </w:r>
      <w:r w:rsidR="00031307" w:rsidRPr="00B10FD1">
        <w:rPr>
          <w:rFonts w:ascii="Arial" w:hAnsi="Arial" w:cs="Arial"/>
          <w:color w:val="000000" w:themeColor="text1"/>
        </w:rPr>
        <w:t>Context (Triangulation)</w:t>
      </w:r>
      <w:bookmarkEnd w:id="51"/>
    </w:p>
    <w:p w14:paraId="0B10134A" w14:textId="77777777" w:rsidR="005A6966" w:rsidRPr="00B10FD1" w:rsidRDefault="005A6966"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Age UK estimates suggest ~5.8 million people aged 65+ are either offline or unable to use the i</w:t>
      </w:r>
      <w:r w:rsidR="00031307" w:rsidRPr="00B10FD1">
        <w:rPr>
          <w:rFonts w:ascii="Arial" w:hAnsi="Arial" w:cs="Arial"/>
          <w:color w:val="000000" w:themeColor="text1"/>
          <w:sz w:val="22"/>
        </w:rPr>
        <w:t xml:space="preserve">nternet safely and successfully, around 46%, </w:t>
      </w:r>
      <w:r w:rsidRPr="00B10FD1">
        <w:rPr>
          <w:rFonts w:ascii="Arial" w:hAnsi="Arial" w:cs="Arial"/>
          <w:color w:val="000000" w:themeColor="text1"/>
          <w:sz w:val="22"/>
        </w:rPr>
        <w:t>with risk highest among the oldest-old (Age UK, 2023). International evidence shows internet use rose during COVID-19 for many community-dwelling older adults but far less in long-term care, underscoring s</w:t>
      </w:r>
      <w:r w:rsidR="00031307" w:rsidRPr="00B10FD1">
        <w:rPr>
          <w:rFonts w:ascii="Arial" w:hAnsi="Arial" w:cs="Arial"/>
          <w:color w:val="000000" w:themeColor="text1"/>
          <w:sz w:val="22"/>
        </w:rPr>
        <w:t xml:space="preserve">tructural constraints beyond motivation </w:t>
      </w:r>
      <w:r w:rsidRPr="00B10FD1">
        <w:rPr>
          <w:rFonts w:ascii="Arial" w:hAnsi="Arial" w:cs="Arial"/>
          <w:color w:val="000000" w:themeColor="text1"/>
          <w:sz w:val="22"/>
        </w:rPr>
        <w:t xml:space="preserve">(Seifert, 2021). These signals triangulate the qualitative mechanisms above: a large at-risk cohort faces cumulative disadvantage as essential services move online. </w:t>
      </w:r>
    </w:p>
    <w:p w14:paraId="02C0B675" w14:textId="77777777" w:rsidR="005A6966" w:rsidRPr="00B10FD1" w:rsidRDefault="00206831" w:rsidP="006240B2">
      <w:pPr>
        <w:pStyle w:val="Heading3"/>
        <w:spacing w:before="120" w:beforeAutospacing="0" w:after="120" w:afterAutospacing="0" w:line="360" w:lineRule="auto"/>
        <w:jc w:val="both"/>
        <w:rPr>
          <w:rFonts w:ascii="Arial" w:hAnsi="Arial" w:cs="Arial"/>
          <w:color w:val="000000" w:themeColor="text1"/>
        </w:rPr>
      </w:pPr>
      <w:bookmarkStart w:id="52" w:name="_Toc209284783"/>
      <w:r>
        <w:rPr>
          <w:rFonts w:ascii="Arial" w:hAnsi="Arial" w:cs="Arial"/>
          <w:color w:val="000000" w:themeColor="text1"/>
        </w:rPr>
        <w:t>4.4.7</w:t>
      </w:r>
      <w:r w:rsidR="007F6802" w:rsidRPr="00B10FD1">
        <w:rPr>
          <w:rFonts w:ascii="Arial" w:hAnsi="Arial" w:cs="Arial"/>
          <w:color w:val="000000" w:themeColor="text1"/>
        </w:rPr>
        <w:t xml:space="preserve"> </w:t>
      </w:r>
      <w:r w:rsidR="005A6966" w:rsidRPr="00B10FD1">
        <w:rPr>
          <w:rFonts w:ascii="Arial" w:hAnsi="Arial" w:cs="Arial"/>
          <w:color w:val="000000" w:themeColor="text1"/>
        </w:rPr>
        <w:t xml:space="preserve">Illustrative </w:t>
      </w:r>
      <w:r w:rsidR="008E19D4" w:rsidRPr="00B10FD1">
        <w:rPr>
          <w:rFonts w:ascii="Arial" w:hAnsi="Arial" w:cs="Arial"/>
          <w:color w:val="000000" w:themeColor="text1"/>
        </w:rPr>
        <w:t>Intervention Evidence (Mechanism Plausibility)</w:t>
      </w:r>
      <w:bookmarkEnd w:id="52"/>
    </w:p>
    <w:p w14:paraId="36245F4D" w14:textId="77777777" w:rsidR="005A6966" w:rsidRPr="00B10FD1" w:rsidRDefault="005A6966"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 xml:space="preserve">Where assisted digital is built around relationships, mental-health benefits are observable. Quasi-experimental and trial-like studies of staff-mediated video-communication for nursing-home residents report improvements in loneliness and depressive symptoms, illustrating how digitally </w:t>
      </w:r>
      <w:r w:rsidR="00031307" w:rsidRPr="00B10FD1">
        <w:rPr>
          <w:rFonts w:ascii="Arial" w:hAnsi="Arial" w:cs="Arial"/>
          <w:color w:val="000000" w:themeColor="text1"/>
          <w:sz w:val="22"/>
        </w:rPr>
        <w:t xml:space="preserve">enabled social contact can help, </w:t>
      </w:r>
      <w:r w:rsidRPr="00B10FD1">
        <w:rPr>
          <w:rFonts w:ascii="Arial" w:hAnsi="Arial" w:cs="Arial"/>
          <w:color w:val="000000" w:themeColor="text1"/>
          <w:sz w:val="22"/>
        </w:rPr>
        <w:t xml:space="preserve">provided usability and support are addressed (Tsai et al., 2010; Tsai et al., 2011; Lin et al., 2020). These studies reinforce a core point: technology per se is not protective; supported, relational use is. </w:t>
      </w:r>
    </w:p>
    <w:p w14:paraId="2C68DAAD" w14:textId="77777777" w:rsidR="005A6966" w:rsidRPr="00B10FD1" w:rsidRDefault="005A6966"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 xml:space="preserve">Consequences identified here justify current UK policy principles: retain offline parity, embed assisted-digital at first contact, and partner with community organisations to deliver help in trusted places. They also justify investment in implementation capacity (training, protected staff time, devices/data), because technology spending alone will not reduce inequities in access or mental health (Health Foundation commentary; NHS framework). </w:t>
      </w:r>
    </w:p>
    <w:p w14:paraId="4D99F730" w14:textId="77777777" w:rsidR="00BD2355" w:rsidRPr="00B10FD1" w:rsidRDefault="00206831" w:rsidP="006240B2">
      <w:pPr>
        <w:pStyle w:val="Heading3"/>
        <w:spacing w:before="120" w:beforeAutospacing="0" w:after="120" w:afterAutospacing="0" w:line="360" w:lineRule="auto"/>
        <w:jc w:val="both"/>
        <w:rPr>
          <w:rFonts w:ascii="Arial" w:hAnsi="Arial" w:cs="Arial"/>
          <w:color w:val="000000" w:themeColor="text1"/>
        </w:rPr>
      </w:pPr>
      <w:bookmarkStart w:id="53" w:name="_Toc209284784"/>
      <w:r>
        <w:rPr>
          <w:rFonts w:ascii="Arial" w:hAnsi="Arial" w:cs="Arial"/>
          <w:color w:val="000000" w:themeColor="text1"/>
        </w:rPr>
        <w:t>4.4.8</w:t>
      </w:r>
      <w:r w:rsidR="00BD2355" w:rsidRPr="00B10FD1">
        <w:rPr>
          <w:rFonts w:ascii="Arial" w:hAnsi="Arial" w:cs="Arial"/>
          <w:color w:val="000000" w:themeColor="text1"/>
        </w:rPr>
        <w:t xml:space="preserve"> Relevance to The Research Objective 2</w:t>
      </w:r>
      <w:bookmarkEnd w:id="53"/>
    </w:p>
    <w:p w14:paraId="26ACCC33" w14:textId="77777777" w:rsidR="00BD2355" w:rsidRPr="00B10FD1" w:rsidRDefault="00BD2355"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lastRenderedPageBreak/>
        <w:t>This theme directly evidences how digital exclusion converts into concrete access barriers (missed/foregone appointments, delayed prescriptions), thereby worsening health outcomes and wellbeing through heightened loneliness, anxiety, and loss of control. Lived accounts show that digital-by-default pathways reshape the care experience, eroding dignity and trust when assisted or non-digital options are absent. By mapping these mechanisms, from first-contact friction to psychological harm, the findings fulfil Objective 2’s aim to examine consequences across service access, health effects, wellbeing, and user experience in UK older adults.</w:t>
      </w:r>
    </w:p>
    <w:p w14:paraId="4E22793F" w14:textId="77777777" w:rsidR="005A6966" w:rsidRPr="00B10FD1" w:rsidRDefault="007F6802" w:rsidP="006240B2">
      <w:pPr>
        <w:pStyle w:val="Heading3"/>
        <w:spacing w:before="120" w:beforeAutospacing="0" w:after="120" w:afterAutospacing="0" w:line="360" w:lineRule="auto"/>
        <w:jc w:val="both"/>
        <w:rPr>
          <w:rFonts w:ascii="Arial" w:hAnsi="Arial" w:cs="Arial"/>
          <w:color w:val="000000" w:themeColor="text1"/>
        </w:rPr>
      </w:pPr>
      <w:bookmarkStart w:id="54" w:name="_Toc209284785"/>
      <w:r w:rsidRPr="00B10FD1">
        <w:rPr>
          <w:rFonts w:ascii="Arial" w:hAnsi="Arial" w:cs="Arial"/>
          <w:color w:val="000000" w:themeColor="text1"/>
        </w:rPr>
        <w:t xml:space="preserve">4.4.9 </w:t>
      </w:r>
      <w:r w:rsidR="005A6966" w:rsidRPr="00B10FD1">
        <w:rPr>
          <w:rFonts w:ascii="Arial" w:hAnsi="Arial" w:cs="Arial"/>
          <w:color w:val="000000" w:themeColor="text1"/>
        </w:rPr>
        <w:t xml:space="preserve">Connections </w:t>
      </w:r>
      <w:r w:rsidR="00031307" w:rsidRPr="00B10FD1">
        <w:rPr>
          <w:rFonts w:ascii="Arial" w:hAnsi="Arial" w:cs="Arial"/>
          <w:color w:val="000000" w:themeColor="text1"/>
        </w:rPr>
        <w:t>to Other Themes</w:t>
      </w:r>
      <w:bookmarkEnd w:id="54"/>
    </w:p>
    <w:p w14:paraId="1B9252FC" w14:textId="77777777" w:rsidR="00E64771" w:rsidRPr="00E64771" w:rsidRDefault="005A6966" w:rsidP="00E64771">
      <w:pPr>
        <w:pStyle w:val="NormalWeb"/>
        <w:spacing w:before="120" w:beforeAutospacing="0" w:after="120" w:afterAutospacing="0" w:line="360" w:lineRule="auto"/>
        <w:jc w:val="both"/>
        <w:rPr>
          <w:rFonts w:ascii="Arial" w:hAnsi="Arial" w:cs="Arial"/>
          <w:color w:val="000000" w:themeColor="text1"/>
          <w:sz w:val="22"/>
          <w:szCs w:val="22"/>
        </w:rPr>
      </w:pPr>
      <w:r w:rsidRPr="00E64771">
        <w:rPr>
          <w:rFonts w:ascii="Arial" w:hAnsi="Arial" w:cs="Arial"/>
          <w:color w:val="000000" w:themeColor="text1"/>
          <w:sz w:val="22"/>
          <w:szCs w:val="22"/>
        </w:rPr>
        <w:t>These consequences flow directly from the barriers in Theme 1 and motivate Theme 3’s focus on what works (community-based, assisted models; parity by design). They also und</w:t>
      </w:r>
      <w:r w:rsidR="00031307" w:rsidRPr="00E64771">
        <w:rPr>
          <w:rFonts w:ascii="Arial" w:hAnsi="Arial" w:cs="Arial"/>
          <w:color w:val="000000" w:themeColor="text1"/>
          <w:sz w:val="22"/>
          <w:szCs w:val="22"/>
        </w:rPr>
        <w:t xml:space="preserve">erpin Theme 4’s recommendations, </w:t>
      </w:r>
      <w:r w:rsidRPr="00E64771">
        <w:rPr>
          <w:rFonts w:ascii="Arial" w:hAnsi="Arial" w:cs="Arial"/>
          <w:color w:val="000000" w:themeColor="text1"/>
          <w:sz w:val="22"/>
          <w:szCs w:val="22"/>
        </w:rPr>
        <w:t>especially the call to measure inclusive access and psychosocial outcomes (belonging, anxiety) rather than portal sign-ups alone.</w:t>
      </w:r>
      <w:r w:rsidR="00E64771" w:rsidRPr="00E64771">
        <w:rPr>
          <w:rFonts w:ascii="Arial" w:hAnsi="Arial" w:cs="Arial"/>
          <w:color w:val="000000" w:themeColor="text1"/>
          <w:sz w:val="22"/>
          <w:szCs w:val="22"/>
        </w:rPr>
        <w:t xml:space="preserve"> </w:t>
      </w:r>
      <w:r w:rsidR="00E64771" w:rsidRPr="00E64771">
        <w:rPr>
          <w:rFonts w:ascii="Arial" w:hAnsi="Arial" w:cs="Arial"/>
          <w:sz w:val="22"/>
          <w:szCs w:val="22"/>
        </w:rPr>
        <w:t>By tracing the pathway from digital “thresholds” to missed care, heightened anxiety, loneliness and erosion of dignity, Theme 2 advances the study’s overall aim of understanding how digital exclusion and social isolation intersect to shape older adults’ mental health and care experiences in the UK.</w:t>
      </w:r>
    </w:p>
    <w:p w14:paraId="57865301" w14:textId="77777777" w:rsidR="007F6802" w:rsidRPr="00E64771" w:rsidRDefault="000F04D4" w:rsidP="00E64771">
      <w:pPr>
        <w:pStyle w:val="NormalWeb"/>
        <w:spacing w:line="360" w:lineRule="auto"/>
        <w:rPr>
          <w:rFonts w:ascii="Arial" w:hAnsi="Arial" w:cs="Arial"/>
          <w:sz w:val="22"/>
          <w:szCs w:val="22"/>
        </w:rPr>
      </w:pPr>
      <w:r w:rsidRPr="00E64771">
        <w:rPr>
          <w:rFonts w:ascii="Arial" w:hAnsi="Arial" w:cs="Arial"/>
          <w:sz w:val="22"/>
          <w:szCs w:val="22"/>
        </w:rPr>
        <w:t>Given these impacts, Theme 3 evaluates which UK policies and interventions show evidence of effectiveness.</w:t>
      </w:r>
    </w:p>
    <w:p w14:paraId="572B35D0" w14:textId="77777777" w:rsidR="00170CFA" w:rsidRPr="00B10FD1" w:rsidRDefault="00170CFA" w:rsidP="006240B2">
      <w:pPr>
        <w:pStyle w:val="Heading2"/>
        <w:spacing w:before="120" w:beforeAutospacing="0" w:after="120" w:afterAutospacing="0" w:line="360" w:lineRule="auto"/>
        <w:jc w:val="both"/>
        <w:rPr>
          <w:rFonts w:ascii="Arial" w:hAnsi="Arial" w:cs="Arial"/>
          <w:color w:val="000000" w:themeColor="text1"/>
        </w:rPr>
      </w:pPr>
      <w:bookmarkStart w:id="55" w:name="_Toc209284786"/>
      <w:r w:rsidRPr="00B10FD1">
        <w:rPr>
          <w:rFonts w:ascii="Arial" w:hAnsi="Arial" w:cs="Arial"/>
          <w:color w:val="000000" w:themeColor="text1"/>
        </w:rPr>
        <w:t>4.5 Theme 3 – What works? Efficacy of UK policies and interventions to stimulate digital inclusion</w:t>
      </w:r>
      <w:bookmarkEnd w:id="55"/>
      <w:r w:rsidRPr="00B10FD1">
        <w:rPr>
          <w:rFonts w:ascii="Arial" w:hAnsi="Arial" w:cs="Arial"/>
          <w:color w:val="000000" w:themeColor="text1"/>
        </w:rPr>
        <w:t xml:space="preserve"> </w:t>
      </w:r>
    </w:p>
    <w:p w14:paraId="2FBC4E58" w14:textId="77777777" w:rsidR="00170CFA" w:rsidRPr="00B10FD1" w:rsidRDefault="00F8207A" w:rsidP="006240B2">
      <w:pPr>
        <w:pStyle w:val="Heading3"/>
        <w:spacing w:before="120" w:beforeAutospacing="0" w:after="120" w:afterAutospacing="0" w:line="360" w:lineRule="auto"/>
        <w:jc w:val="both"/>
        <w:rPr>
          <w:rFonts w:ascii="Arial" w:hAnsi="Arial" w:cs="Arial"/>
          <w:color w:val="000000" w:themeColor="text1"/>
        </w:rPr>
      </w:pPr>
      <w:bookmarkStart w:id="56" w:name="_Toc209284787"/>
      <w:r w:rsidRPr="00B10FD1">
        <w:rPr>
          <w:rFonts w:ascii="Arial" w:hAnsi="Arial" w:cs="Arial"/>
          <w:color w:val="000000" w:themeColor="text1"/>
        </w:rPr>
        <w:t xml:space="preserve">4.5.1 </w:t>
      </w:r>
      <w:r w:rsidR="00170CFA" w:rsidRPr="00B10FD1">
        <w:rPr>
          <w:rFonts w:ascii="Arial" w:hAnsi="Arial" w:cs="Arial"/>
          <w:color w:val="000000" w:themeColor="text1"/>
        </w:rPr>
        <w:t>Definition and scope</w:t>
      </w:r>
      <w:bookmarkEnd w:id="56"/>
    </w:p>
    <w:p w14:paraId="66166161" w14:textId="77777777" w:rsidR="00170CFA" w:rsidRPr="00B10FD1" w:rsidRDefault="00170CFA"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Here, “what works” refers to policies and interventions that reduce digital exclusion among older adults by (a) safeguarding equitable routes to care (parity of digital and non-digital access), (b) assisting people at the point of need, and (c) demonstrably improving use, confidence, experience, and ultimately wellbeing. UK system guidance locates digital inclusion within core quality and equity aims, stating that digit</w:t>
      </w:r>
      <w:r w:rsidR="007E3DC9" w:rsidRPr="00B10FD1">
        <w:rPr>
          <w:rFonts w:ascii="Arial" w:hAnsi="Arial" w:cs="Arial"/>
          <w:color w:val="000000" w:themeColor="text1"/>
          <w:sz w:val="22"/>
        </w:rPr>
        <w:t xml:space="preserve">al offers must be complementary, not a substitute, </w:t>
      </w:r>
      <w:r w:rsidRPr="00B10FD1">
        <w:rPr>
          <w:rFonts w:ascii="Arial" w:hAnsi="Arial" w:cs="Arial"/>
          <w:color w:val="000000" w:themeColor="text1"/>
          <w:sz w:val="22"/>
        </w:rPr>
        <w:t>for non-digital services and should be co-designed, supported, measured, and partnered locally. These principles define the yardstick for judging efficacy (NHS England, 2023).</w:t>
      </w:r>
    </w:p>
    <w:p w14:paraId="03A2B729" w14:textId="77777777" w:rsidR="00170CFA" w:rsidRPr="00B10FD1" w:rsidRDefault="00F8207A" w:rsidP="006240B2">
      <w:pPr>
        <w:pStyle w:val="Heading3"/>
        <w:spacing w:before="120" w:beforeAutospacing="0" w:after="120" w:afterAutospacing="0" w:line="360" w:lineRule="auto"/>
        <w:jc w:val="both"/>
        <w:rPr>
          <w:rFonts w:ascii="Arial" w:hAnsi="Arial" w:cs="Arial"/>
          <w:color w:val="000000" w:themeColor="text1"/>
        </w:rPr>
      </w:pPr>
      <w:bookmarkStart w:id="57" w:name="_Toc209284788"/>
      <w:r w:rsidRPr="00B10FD1">
        <w:rPr>
          <w:rFonts w:ascii="Arial" w:hAnsi="Arial" w:cs="Arial"/>
          <w:color w:val="000000" w:themeColor="text1"/>
        </w:rPr>
        <w:t xml:space="preserve">4.5.2 </w:t>
      </w:r>
      <w:r w:rsidR="00170CFA" w:rsidRPr="00B10FD1">
        <w:rPr>
          <w:rFonts w:ascii="Arial" w:hAnsi="Arial" w:cs="Arial"/>
          <w:color w:val="000000" w:themeColor="text1"/>
        </w:rPr>
        <w:t xml:space="preserve">Background </w:t>
      </w:r>
      <w:r w:rsidR="00842BB0" w:rsidRPr="00B10FD1">
        <w:rPr>
          <w:rFonts w:ascii="Arial" w:hAnsi="Arial" w:cs="Arial"/>
          <w:color w:val="000000" w:themeColor="text1"/>
        </w:rPr>
        <w:t>and Policy Direction</w:t>
      </w:r>
      <w:bookmarkEnd w:id="57"/>
    </w:p>
    <w:p w14:paraId="1459491C" w14:textId="77777777" w:rsidR="00170CFA" w:rsidRPr="00B10FD1" w:rsidRDefault="00170CFA"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lastRenderedPageBreak/>
        <w:t>The UK government’s Plan for Digital Health and Social Care (2022) sets a vision for a digitally enabled system, while NHS England’s Inclusive Digital Healthcare framework (2023, updated 2024) translates this into actionable principles: co-design, parity of access, assisted-digital support, partnerships with VCSE/community organisations, and measurement of inclusion</w:t>
      </w:r>
      <w:r w:rsidR="00D753CF" w:rsidRPr="00B10FD1">
        <w:rPr>
          <w:rFonts w:ascii="Arial" w:hAnsi="Arial" w:cs="Arial"/>
          <w:color w:val="000000" w:themeColor="text1"/>
          <w:sz w:val="22"/>
        </w:rPr>
        <w:t xml:space="preserve"> (Health Foundation, 2025)</w:t>
      </w:r>
      <w:r w:rsidRPr="00B10FD1">
        <w:rPr>
          <w:rFonts w:ascii="Arial" w:hAnsi="Arial" w:cs="Arial"/>
          <w:color w:val="000000" w:themeColor="text1"/>
          <w:sz w:val="22"/>
        </w:rPr>
        <w:t>. Independent analysis welcomes the ambition but stresses that technology spend alone does not deliver benefits without parallel investment in implementation capacity (people, training, change management)</w:t>
      </w:r>
      <w:r w:rsidR="00D753CF" w:rsidRPr="00B10FD1">
        <w:rPr>
          <w:rFonts w:ascii="Arial" w:hAnsi="Arial" w:cs="Arial"/>
          <w:color w:val="000000" w:themeColor="text1"/>
          <w:sz w:val="22"/>
        </w:rPr>
        <w:t xml:space="preserve"> (Financial Times, 2025).</w:t>
      </w:r>
      <w:r w:rsidRPr="00B10FD1">
        <w:rPr>
          <w:rFonts w:ascii="Arial" w:hAnsi="Arial" w:cs="Arial"/>
          <w:color w:val="000000" w:themeColor="text1"/>
          <w:sz w:val="22"/>
        </w:rPr>
        <w:t xml:space="preserve"> Recent es</w:t>
      </w:r>
      <w:r w:rsidR="00992799" w:rsidRPr="00B10FD1">
        <w:rPr>
          <w:rFonts w:ascii="Arial" w:hAnsi="Arial" w:cs="Arial"/>
          <w:color w:val="000000" w:themeColor="text1"/>
          <w:sz w:val="22"/>
        </w:rPr>
        <w:t xml:space="preserve">timates suggest the transition from analogue to digital </w:t>
      </w:r>
      <w:r w:rsidRPr="00B10FD1">
        <w:rPr>
          <w:rFonts w:ascii="Arial" w:hAnsi="Arial" w:cs="Arial"/>
          <w:color w:val="000000" w:themeColor="text1"/>
          <w:sz w:val="22"/>
        </w:rPr>
        <w:t xml:space="preserve">will require very substantial, multi-year funding, reinforcing the case for </w:t>
      </w:r>
      <w:proofErr w:type="spellStart"/>
      <w:r w:rsidRPr="00B10FD1">
        <w:rPr>
          <w:rFonts w:ascii="Arial" w:hAnsi="Arial" w:cs="Arial"/>
          <w:color w:val="000000" w:themeColor="text1"/>
          <w:sz w:val="22"/>
        </w:rPr>
        <w:t>prioritising</w:t>
      </w:r>
      <w:proofErr w:type="spellEnd"/>
      <w:r w:rsidRPr="00B10FD1">
        <w:rPr>
          <w:rFonts w:ascii="Arial" w:hAnsi="Arial" w:cs="Arial"/>
          <w:color w:val="000000" w:themeColor="text1"/>
          <w:sz w:val="22"/>
        </w:rPr>
        <w:t xml:space="preserve"> inclusion and evaluation during rollout (Department of Health and So</w:t>
      </w:r>
      <w:r w:rsidR="00D753CF" w:rsidRPr="00B10FD1">
        <w:rPr>
          <w:rFonts w:ascii="Arial" w:hAnsi="Arial" w:cs="Arial"/>
          <w:color w:val="000000" w:themeColor="text1"/>
          <w:sz w:val="22"/>
        </w:rPr>
        <w:t>cial Care and NHS England, 2022</w:t>
      </w:r>
      <w:r w:rsidRPr="00B10FD1">
        <w:rPr>
          <w:rFonts w:ascii="Arial" w:hAnsi="Arial" w:cs="Arial"/>
          <w:color w:val="000000" w:themeColor="text1"/>
          <w:sz w:val="22"/>
        </w:rPr>
        <w:t>).</w:t>
      </w:r>
    </w:p>
    <w:p w14:paraId="405666E7" w14:textId="77777777" w:rsidR="00170CFA" w:rsidRPr="00B10FD1" w:rsidRDefault="00F8207A" w:rsidP="006240B2">
      <w:pPr>
        <w:pStyle w:val="Heading3"/>
        <w:spacing w:before="120" w:beforeAutospacing="0" w:after="120" w:afterAutospacing="0" w:line="360" w:lineRule="auto"/>
        <w:jc w:val="both"/>
        <w:rPr>
          <w:rFonts w:ascii="Arial" w:hAnsi="Arial" w:cs="Arial"/>
          <w:color w:val="000000" w:themeColor="text1"/>
        </w:rPr>
      </w:pPr>
      <w:bookmarkStart w:id="58" w:name="_Toc209284789"/>
      <w:r w:rsidRPr="00B10FD1">
        <w:rPr>
          <w:rFonts w:ascii="Arial" w:hAnsi="Arial" w:cs="Arial"/>
          <w:color w:val="000000" w:themeColor="text1"/>
        </w:rPr>
        <w:t xml:space="preserve">4.5.3 </w:t>
      </w:r>
      <w:r w:rsidR="00170CFA" w:rsidRPr="00B10FD1">
        <w:rPr>
          <w:rFonts w:ascii="Arial" w:hAnsi="Arial" w:cs="Arial"/>
          <w:color w:val="000000" w:themeColor="text1"/>
        </w:rPr>
        <w:t xml:space="preserve">What </w:t>
      </w:r>
      <w:r w:rsidR="00842BB0" w:rsidRPr="00B10FD1">
        <w:rPr>
          <w:rFonts w:ascii="Arial" w:hAnsi="Arial" w:cs="Arial"/>
          <w:color w:val="000000" w:themeColor="text1"/>
        </w:rPr>
        <w:t>Shows Promise in Practice?</w:t>
      </w:r>
      <w:bookmarkEnd w:id="58"/>
    </w:p>
    <w:p w14:paraId="4DB67A71" w14:textId="77777777" w:rsidR="00170CFA" w:rsidRPr="00B10FD1" w:rsidRDefault="00842BB0"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 xml:space="preserve">Community-based models, notably 100% Digital Leeds, </w:t>
      </w:r>
      <w:r w:rsidR="00170CFA" w:rsidRPr="00B10FD1">
        <w:rPr>
          <w:rFonts w:ascii="Arial" w:hAnsi="Arial" w:cs="Arial"/>
          <w:color w:val="000000" w:themeColor="text1"/>
          <w:sz w:val="22"/>
        </w:rPr>
        <w:t xml:space="preserve">consistently surface as practical exemplars. The Leeds model </w:t>
      </w:r>
      <w:proofErr w:type="spellStart"/>
      <w:r w:rsidR="00170CFA" w:rsidRPr="00B10FD1">
        <w:rPr>
          <w:rFonts w:ascii="Arial" w:hAnsi="Arial" w:cs="Arial"/>
          <w:color w:val="000000" w:themeColor="text1"/>
          <w:sz w:val="22"/>
        </w:rPr>
        <w:t>formalises</w:t>
      </w:r>
      <w:proofErr w:type="spellEnd"/>
      <w:r w:rsidR="00170CFA" w:rsidRPr="00B10FD1">
        <w:rPr>
          <w:rFonts w:ascii="Arial" w:hAnsi="Arial" w:cs="Arial"/>
          <w:color w:val="000000" w:themeColor="text1"/>
          <w:sz w:val="22"/>
        </w:rPr>
        <w:t xml:space="preserve"> a place-based coalition (council, libraries, housing, VCSE groups) that provides 1-to-1 coaching, small-group learning, device lending and data access, and acts as a digital broker into GP portals, booking systems and wider support. Evidence from Leeds and similar </w:t>
      </w:r>
      <w:proofErr w:type="spellStart"/>
      <w:r w:rsidR="00170CFA" w:rsidRPr="00B10FD1">
        <w:rPr>
          <w:rFonts w:ascii="Arial" w:hAnsi="Arial" w:cs="Arial"/>
          <w:color w:val="000000" w:themeColor="text1"/>
          <w:sz w:val="22"/>
        </w:rPr>
        <w:t>programmes</w:t>
      </w:r>
      <w:proofErr w:type="spellEnd"/>
      <w:r w:rsidR="00170CFA" w:rsidRPr="00B10FD1">
        <w:rPr>
          <w:rFonts w:ascii="Arial" w:hAnsi="Arial" w:cs="Arial"/>
          <w:color w:val="000000" w:themeColor="text1"/>
          <w:sz w:val="22"/>
        </w:rPr>
        <w:t xml:space="preserve"> indicates that interventions are most effective when delivered in trusted places, paced to individual need, and connected to meaningful goals (e.g., managing repeat prescriptions or contacting a known clinician). These designs align closely with NHS principles and with ageing and social-capital theories (build confidence, reduce cognitive load, embed social belonging) (Leeds City Council/Digital Inclusion Toolkit, 2022; NHS England, 2023; 2024).</w:t>
      </w:r>
    </w:p>
    <w:p w14:paraId="6C8428AD" w14:textId="77777777" w:rsidR="00170CFA" w:rsidRPr="00B10FD1" w:rsidRDefault="00170CFA"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A cross-borough mixed-methods study (North-East England) strengthens the case for place-tailored provision: digital exclusion clustered with deprivation, disability and poorer infrastructure, implying that generic classes are insufficient without assisted options at first contact and offline parity. This reinforces the need for local mapping and commissioning that follows need (Wilson-</w:t>
      </w:r>
      <w:proofErr w:type="spellStart"/>
      <w:r w:rsidRPr="00B10FD1">
        <w:rPr>
          <w:rFonts w:ascii="Arial" w:hAnsi="Arial" w:cs="Arial"/>
          <w:color w:val="000000" w:themeColor="text1"/>
          <w:sz w:val="22"/>
        </w:rPr>
        <w:t>Menzfeld</w:t>
      </w:r>
      <w:proofErr w:type="spellEnd"/>
      <w:r w:rsidRPr="00B10FD1">
        <w:rPr>
          <w:rFonts w:ascii="Arial" w:hAnsi="Arial" w:cs="Arial"/>
          <w:color w:val="000000" w:themeColor="text1"/>
          <w:sz w:val="22"/>
        </w:rPr>
        <w:t xml:space="preserve"> et al., 2024).</w:t>
      </w:r>
    </w:p>
    <w:p w14:paraId="251956B5" w14:textId="77777777" w:rsidR="00170CFA" w:rsidRPr="00B10FD1" w:rsidRDefault="00170CFA"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 xml:space="preserve">From an implementation science perspective, many otherwise promising technologies fail at the points </w:t>
      </w:r>
      <w:r w:rsidR="00842BB0" w:rsidRPr="00B10FD1">
        <w:rPr>
          <w:rFonts w:ascii="Arial" w:hAnsi="Arial" w:cs="Arial"/>
          <w:color w:val="000000" w:themeColor="text1"/>
          <w:sz w:val="22"/>
        </w:rPr>
        <w:t xml:space="preserve">captured by the NASSS framework, </w:t>
      </w:r>
      <w:r w:rsidRPr="00B10FD1">
        <w:rPr>
          <w:rFonts w:ascii="Arial" w:hAnsi="Arial" w:cs="Arial"/>
          <w:color w:val="000000" w:themeColor="text1"/>
          <w:sz w:val="22"/>
        </w:rPr>
        <w:t>Non-adoption, Abandonment, Scal</w:t>
      </w:r>
      <w:r w:rsidR="00842BB0" w:rsidRPr="00B10FD1">
        <w:rPr>
          <w:rFonts w:ascii="Arial" w:hAnsi="Arial" w:cs="Arial"/>
          <w:color w:val="000000" w:themeColor="text1"/>
          <w:sz w:val="22"/>
        </w:rPr>
        <w:t xml:space="preserve">e-up, Spread and Sustainability, </w:t>
      </w:r>
      <w:r w:rsidRPr="00B10FD1">
        <w:rPr>
          <w:rFonts w:ascii="Arial" w:hAnsi="Arial" w:cs="Arial"/>
          <w:color w:val="000000" w:themeColor="text1"/>
          <w:sz w:val="22"/>
        </w:rPr>
        <w:t xml:space="preserve">when complexity is high and </w:t>
      </w:r>
      <w:proofErr w:type="spellStart"/>
      <w:r w:rsidRPr="00B10FD1">
        <w:rPr>
          <w:rFonts w:ascii="Arial" w:hAnsi="Arial" w:cs="Arial"/>
          <w:color w:val="000000" w:themeColor="text1"/>
          <w:sz w:val="22"/>
        </w:rPr>
        <w:t>organisational</w:t>
      </w:r>
      <w:proofErr w:type="spellEnd"/>
      <w:r w:rsidRPr="00B10FD1">
        <w:rPr>
          <w:rFonts w:ascii="Arial" w:hAnsi="Arial" w:cs="Arial"/>
          <w:color w:val="000000" w:themeColor="text1"/>
          <w:sz w:val="22"/>
        </w:rPr>
        <w:t xml:space="preserve"> capacity is thin. Applying NASSS clarifies why assisted-digital roles, parity statements, and co-design reduce non-adoption and abandonment among older adults by addressing complexity in users, technology, value proposition and </w:t>
      </w:r>
      <w:proofErr w:type="spellStart"/>
      <w:r w:rsidRPr="00B10FD1">
        <w:rPr>
          <w:rFonts w:ascii="Arial" w:hAnsi="Arial" w:cs="Arial"/>
          <w:color w:val="000000" w:themeColor="text1"/>
          <w:sz w:val="22"/>
        </w:rPr>
        <w:t>organisational</w:t>
      </w:r>
      <w:proofErr w:type="spellEnd"/>
      <w:r w:rsidRPr="00B10FD1">
        <w:rPr>
          <w:rFonts w:ascii="Arial" w:hAnsi="Arial" w:cs="Arial"/>
          <w:color w:val="000000" w:themeColor="text1"/>
          <w:sz w:val="22"/>
        </w:rPr>
        <w:t xml:space="preserve"> routines (Greenhalgh et al., 2017).</w:t>
      </w:r>
    </w:p>
    <w:p w14:paraId="582019EC" w14:textId="77777777" w:rsidR="00170CFA" w:rsidRPr="00B10FD1" w:rsidRDefault="00170CFA"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lastRenderedPageBreak/>
        <w:t>Libraries are a particularly effective, scalable asset. National reporting underscores libraries’ role in digital and health literacy support and as safe, trusted spaces for “crisis moments” of digital exclusion. Embedding referral pathways between primary care and libraries strengthens continuity and reduces the “front-door” friction that often deters older users (DCMS, 2024; Libraries Connected, 2024).</w:t>
      </w:r>
    </w:p>
    <w:p w14:paraId="628F471A" w14:textId="77777777" w:rsidR="00170CFA" w:rsidRPr="00B10FD1" w:rsidRDefault="00F8207A" w:rsidP="006240B2">
      <w:pPr>
        <w:pStyle w:val="Heading3"/>
        <w:spacing w:before="120" w:beforeAutospacing="0" w:after="120" w:afterAutospacing="0" w:line="360" w:lineRule="auto"/>
        <w:jc w:val="both"/>
        <w:rPr>
          <w:rFonts w:ascii="Arial" w:hAnsi="Arial" w:cs="Arial"/>
          <w:color w:val="000000" w:themeColor="text1"/>
        </w:rPr>
      </w:pPr>
      <w:bookmarkStart w:id="59" w:name="_Toc209284790"/>
      <w:r w:rsidRPr="00B10FD1">
        <w:rPr>
          <w:rFonts w:ascii="Arial" w:hAnsi="Arial" w:cs="Arial"/>
          <w:color w:val="000000" w:themeColor="text1"/>
        </w:rPr>
        <w:t xml:space="preserve">4.5.4 </w:t>
      </w:r>
      <w:r w:rsidR="00170CFA" w:rsidRPr="00B10FD1">
        <w:rPr>
          <w:rFonts w:ascii="Arial" w:hAnsi="Arial" w:cs="Arial"/>
          <w:color w:val="000000" w:themeColor="text1"/>
        </w:rPr>
        <w:t xml:space="preserve">What </w:t>
      </w:r>
      <w:r w:rsidR="00842BB0" w:rsidRPr="00B10FD1">
        <w:rPr>
          <w:rFonts w:ascii="Arial" w:hAnsi="Arial" w:cs="Arial"/>
          <w:color w:val="000000" w:themeColor="text1"/>
        </w:rPr>
        <w:t>The Evidence Cautions?</w:t>
      </w:r>
      <w:bookmarkEnd w:id="59"/>
    </w:p>
    <w:p w14:paraId="2DA79E84" w14:textId="77777777" w:rsidR="00170CFA" w:rsidRPr="00B10FD1" w:rsidRDefault="00170CFA"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 xml:space="preserve">Despite progress, two evidence gaps recur. First, the umbrella review of reviews on older people’s access found no reviews of first-contact tools (online booking/e-triage) and concluded that the impact of digital technologies on equitable access for older </w:t>
      </w:r>
      <w:r w:rsidR="004561AE" w:rsidRPr="00B10FD1">
        <w:rPr>
          <w:rFonts w:ascii="Arial" w:hAnsi="Arial" w:cs="Arial"/>
          <w:color w:val="000000" w:themeColor="text1"/>
          <w:sz w:val="22"/>
        </w:rPr>
        <w:t xml:space="preserve">adults remains unclear, </w:t>
      </w:r>
      <w:r w:rsidRPr="00B10FD1">
        <w:rPr>
          <w:rFonts w:ascii="Arial" w:hAnsi="Arial" w:cs="Arial"/>
          <w:color w:val="000000" w:themeColor="text1"/>
          <w:sz w:val="22"/>
        </w:rPr>
        <w:t xml:space="preserve">precisely where exclusion often originates. Second, measurement frequently </w:t>
      </w:r>
      <w:proofErr w:type="spellStart"/>
      <w:r w:rsidRPr="00B10FD1">
        <w:rPr>
          <w:rFonts w:ascii="Arial" w:hAnsi="Arial" w:cs="Arial"/>
          <w:color w:val="000000" w:themeColor="text1"/>
          <w:sz w:val="22"/>
        </w:rPr>
        <w:t>prioritises</w:t>
      </w:r>
      <w:proofErr w:type="spellEnd"/>
      <w:r w:rsidRPr="00B10FD1">
        <w:rPr>
          <w:rFonts w:ascii="Arial" w:hAnsi="Arial" w:cs="Arial"/>
          <w:color w:val="000000" w:themeColor="text1"/>
          <w:sz w:val="22"/>
        </w:rPr>
        <w:t xml:space="preserve"> sign-ups or downloads over outcomes that matter (e.g., completed contacts for 75+, reduced missed care due to digital barriers, changes in tech-related anxiety or loneliness). Addressing both gaps is essential to demonstrate real-world equity gains (</w:t>
      </w:r>
      <w:proofErr w:type="spellStart"/>
      <w:r w:rsidRPr="00B10FD1">
        <w:rPr>
          <w:rFonts w:ascii="Arial" w:hAnsi="Arial" w:cs="Arial"/>
          <w:color w:val="000000" w:themeColor="text1"/>
          <w:sz w:val="22"/>
        </w:rPr>
        <w:t>Kunonga</w:t>
      </w:r>
      <w:proofErr w:type="spellEnd"/>
      <w:r w:rsidRPr="00B10FD1">
        <w:rPr>
          <w:rFonts w:ascii="Arial" w:hAnsi="Arial" w:cs="Arial"/>
          <w:color w:val="000000" w:themeColor="text1"/>
          <w:sz w:val="22"/>
        </w:rPr>
        <w:t xml:space="preserve"> et al., 2021).</w:t>
      </w:r>
    </w:p>
    <w:p w14:paraId="12790147" w14:textId="77777777" w:rsidR="00170CFA" w:rsidRPr="00B10FD1" w:rsidRDefault="00170CFA"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 xml:space="preserve">Emerging quantitative work shows digital health inequality in </w:t>
      </w:r>
      <w:proofErr w:type="spellStart"/>
      <w:r w:rsidRPr="00B10FD1">
        <w:rPr>
          <w:rFonts w:ascii="Arial" w:hAnsi="Arial" w:cs="Arial"/>
          <w:color w:val="000000" w:themeColor="text1"/>
          <w:sz w:val="22"/>
        </w:rPr>
        <w:t>utilisation</w:t>
      </w:r>
      <w:proofErr w:type="spellEnd"/>
      <w:r w:rsidRPr="00B10FD1">
        <w:rPr>
          <w:rFonts w:ascii="Arial" w:hAnsi="Arial" w:cs="Arial"/>
          <w:color w:val="000000" w:themeColor="text1"/>
          <w:sz w:val="22"/>
        </w:rPr>
        <w:t xml:space="preserve"> of national tools (e.g., NHS App, online primary care services), implying that universal deployment does not equal universal use; without assisted pathways and offline parity, the most disadvantaged groups benefit least. Editorials and scoping reviews reiterate that inclusion, infrastructure and co-design are preconditions for equitable benefit, especially for older people and those in deprived areas (Zhang et al., 2023; The BMJ, 2025).</w:t>
      </w:r>
    </w:p>
    <w:p w14:paraId="4732B3AB" w14:textId="77777777" w:rsidR="00170CFA" w:rsidRPr="00B10FD1" w:rsidRDefault="00170CFA"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Relative to the dissertation aim, the most efficacious approaches are those that build capacity around the patient (assisted-digital staff, library/VCSE partners), guarantee non-digital parity, and simplify digital journeys (fewer steps, accessible design, proxy support). Policy architecture is sou</w:t>
      </w:r>
      <w:r w:rsidR="004561AE" w:rsidRPr="00B10FD1">
        <w:rPr>
          <w:rFonts w:ascii="Arial" w:hAnsi="Arial" w:cs="Arial"/>
          <w:color w:val="000000" w:themeColor="text1"/>
          <w:sz w:val="22"/>
        </w:rPr>
        <w:t xml:space="preserve">nd; implementation quality, </w:t>
      </w:r>
      <w:r w:rsidRPr="00B10FD1">
        <w:rPr>
          <w:rFonts w:ascii="Arial" w:hAnsi="Arial" w:cs="Arial"/>
          <w:color w:val="000000" w:themeColor="text1"/>
          <w:sz w:val="22"/>
        </w:rPr>
        <w:t>funding stability, workforce time</w:t>
      </w:r>
      <w:r w:rsidR="004561AE" w:rsidRPr="00B10FD1">
        <w:rPr>
          <w:rFonts w:ascii="Arial" w:hAnsi="Arial" w:cs="Arial"/>
          <w:color w:val="000000" w:themeColor="text1"/>
          <w:sz w:val="22"/>
        </w:rPr>
        <w:t xml:space="preserve">, partnerships, and measurement, </w:t>
      </w:r>
      <w:r w:rsidRPr="00B10FD1">
        <w:rPr>
          <w:rFonts w:ascii="Arial" w:hAnsi="Arial" w:cs="Arial"/>
          <w:color w:val="000000" w:themeColor="text1"/>
          <w:sz w:val="22"/>
        </w:rPr>
        <w:t>determines whether digital change reduces or reproduces isolation. This aligns with Theme 1–2 mechanisms (thresholds, confidence, belonging) and provides a pathway to measurable improvements in access and wellbeing for older adults (NHS England, 2023; 2024).</w:t>
      </w:r>
    </w:p>
    <w:p w14:paraId="7F238DC5" w14:textId="77777777" w:rsidR="00BD2355" w:rsidRPr="00B10FD1" w:rsidRDefault="00F8207A" w:rsidP="006240B2">
      <w:pPr>
        <w:pStyle w:val="Heading3"/>
        <w:spacing w:before="120" w:beforeAutospacing="0" w:after="120" w:afterAutospacing="0" w:line="360" w:lineRule="auto"/>
        <w:jc w:val="both"/>
        <w:rPr>
          <w:rFonts w:ascii="Arial" w:hAnsi="Arial" w:cs="Arial"/>
          <w:color w:val="000000" w:themeColor="text1"/>
        </w:rPr>
      </w:pPr>
      <w:bookmarkStart w:id="60" w:name="_Toc209284791"/>
      <w:r w:rsidRPr="00B10FD1">
        <w:rPr>
          <w:rFonts w:ascii="Arial" w:hAnsi="Arial" w:cs="Arial"/>
          <w:color w:val="000000" w:themeColor="text1"/>
        </w:rPr>
        <w:t xml:space="preserve">4.5.5 </w:t>
      </w:r>
      <w:r w:rsidR="00BD2355" w:rsidRPr="00B10FD1">
        <w:rPr>
          <w:rFonts w:ascii="Arial" w:hAnsi="Arial" w:cs="Arial"/>
          <w:color w:val="000000" w:themeColor="text1"/>
        </w:rPr>
        <w:t xml:space="preserve">Illustrative </w:t>
      </w:r>
      <w:r w:rsidR="000504CD" w:rsidRPr="00B10FD1">
        <w:rPr>
          <w:rFonts w:ascii="Arial" w:hAnsi="Arial" w:cs="Arial"/>
          <w:color w:val="000000" w:themeColor="text1"/>
        </w:rPr>
        <w:t>from</w:t>
      </w:r>
      <w:r w:rsidR="00BD2355" w:rsidRPr="00B10FD1">
        <w:rPr>
          <w:rFonts w:ascii="Arial" w:hAnsi="Arial" w:cs="Arial"/>
          <w:color w:val="000000" w:themeColor="text1"/>
        </w:rPr>
        <w:t xml:space="preserve"> Convergent Evidence</w:t>
      </w:r>
      <w:bookmarkEnd w:id="60"/>
    </w:p>
    <w:p w14:paraId="1202B8ED" w14:textId="77777777" w:rsidR="00BD2355" w:rsidRPr="00B10FD1" w:rsidRDefault="00BD2355"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An evidence-informed minimum effective package would embed assisted-d</w:t>
      </w:r>
      <w:r w:rsidR="000504CD" w:rsidRPr="00B10FD1">
        <w:rPr>
          <w:rFonts w:ascii="Arial" w:hAnsi="Arial" w:cs="Arial"/>
          <w:color w:val="000000" w:themeColor="text1"/>
          <w:sz w:val="22"/>
        </w:rPr>
        <w:t xml:space="preserve">igital support at first contact, </w:t>
      </w:r>
      <w:r w:rsidRPr="00B10FD1">
        <w:rPr>
          <w:rFonts w:ascii="Arial" w:hAnsi="Arial" w:cs="Arial"/>
          <w:color w:val="000000" w:themeColor="text1"/>
          <w:sz w:val="22"/>
        </w:rPr>
        <w:t xml:space="preserve">for example, reception-based digital champions and warm </w:t>
      </w:r>
      <w:r w:rsidR="000504CD" w:rsidRPr="00B10FD1">
        <w:rPr>
          <w:rFonts w:ascii="Arial" w:hAnsi="Arial" w:cs="Arial"/>
          <w:color w:val="000000" w:themeColor="text1"/>
          <w:sz w:val="22"/>
        </w:rPr>
        <w:t xml:space="preserve">handovers to community partners, </w:t>
      </w:r>
      <w:r w:rsidRPr="00B10FD1">
        <w:rPr>
          <w:rFonts w:ascii="Arial" w:hAnsi="Arial" w:cs="Arial"/>
          <w:color w:val="000000" w:themeColor="text1"/>
          <w:sz w:val="22"/>
        </w:rPr>
        <w:t>because such mediation reduces complexity and non-adoption among older adults (Greenhalgh et al., 2017; Wilson-</w:t>
      </w:r>
      <w:proofErr w:type="spellStart"/>
      <w:r w:rsidRPr="00B10FD1">
        <w:rPr>
          <w:rFonts w:ascii="Arial" w:hAnsi="Arial" w:cs="Arial"/>
          <w:color w:val="000000" w:themeColor="text1"/>
          <w:sz w:val="22"/>
        </w:rPr>
        <w:t>Menzfeld</w:t>
      </w:r>
      <w:proofErr w:type="spellEnd"/>
      <w:r w:rsidRPr="00B10FD1">
        <w:rPr>
          <w:rFonts w:ascii="Arial" w:hAnsi="Arial" w:cs="Arial"/>
          <w:color w:val="000000" w:themeColor="text1"/>
          <w:sz w:val="22"/>
        </w:rPr>
        <w:t xml:space="preserve"> et al., 2024). It should bundle device, data and skills rather than training alone to address first-, second- and third-level divides simultaneously (van </w:t>
      </w:r>
      <w:r w:rsidRPr="00B10FD1">
        <w:rPr>
          <w:rFonts w:ascii="Arial" w:hAnsi="Arial" w:cs="Arial"/>
          <w:color w:val="000000" w:themeColor="text1"/>
          <w:sz w:val="22"/>
        </w:rPr>
        <w:lastRenderedPageBreak/>
        <w:t xml:space="preserve">Dijk, 2006; </w:t>
      </w:r>
      <w:proofErr w:type="spellStart"/>
      <w:r w:rsidRPr="00B10FD1">
        <w:rPr>
          <w:rFonts w:ascii="Arial" w:hAnsi="Arial" w:cs="Arial"/>
          <w:color w:val="000000" w:themeColor="text1"/>
          <w:sz w:val="22"/>
        </w:rPr>
        <w:t>Kunonga</w:t>
      </w:r>
      <w:proofErr w:type="spellEnd"/>
      <w:r w:rsidRPr="00B10FD1">
        <w:rPr>
          <w:rFonts w:ascii="Arial" w:hAnsi="Arial" w:cs="Arial"/>
          <w:color w:val="000000" w:themeColor="text1"/>
          <w:sz w:val="22"/>
        </w:rPr>
        <w:t xml:space="preserve"> et al., 2021). Services must hard-wire parity by design, giving phone/face-to-face routes visible, equal status alongside digital options to mitigate documented digital health inequalities in national tools (Zhang et al., 2023). Commissioning should be place-based, guided by local exclusion maps, reflecting the clustering of barriers with deprivation and disability (Wilson-</w:t>
      </w:r>
      <w:proofErr w:type="spellStart"/>
      <w:r w:rsidRPr="00B10FD1">
        <w:rPr>
          <w:rFonts w:ascii="Arial" w:hAnsi="Arial" w:cs="Arial"/>
          <w:color w:val="000000" w:themeColor="text1"/>
          <w:sz w:val="22"/>
        </w:rPr>
        <w:t>Menzfeld</w:t>
      </w:r>
      <w:proofErr w:type="spellEnd"/>
      <w:r w:rsidRPr="00B10FD1">
        <w:rPr>
          <w:rFonts w:ascii="Arial" w:hAnsi="Arial" w:cs="Arial"/>
          <w:color w:val="000000" w:themeColor="text1"/>
          <w:sz w:val="22"/>
        </w:rPr>
        <w:t xml:space="preserve"> et al., 2024). Finally, co-design with older adults and carers and tracking equity KPIs (e.g., completed access, patient-reported confidence/belonging) are essential for spread and sustainability, aligning with implementation science on scale-up and evaluation (Greenhalgh et al., 2017; Stuart et al., 2022). Collectively, these elements are feasible within existing UK assets and are consistent with the best available evidence on reducing exclusion while protecting wellbeing (</w:t>
      </w:r>
      <w:proofErr w:type="spellStart"/>
      <w:r w:rsidRPr="00B10FD1">
        <w:rPr>
          <w:rFonts w:ascii="Arial" w:hAnsi="Arial" w:cs="Arial"/>
          <w:color w:val="000000" w:themeColor="text1"/>
          <w:sz w:val="22"/>
        </w:rPr>
        <w:t>Kunonga</w:t>
      </w:r>
      <w:proofErr w:type="spellEnd"/>
      <w:r w:rsidRPr="00B10FD1">
        <w:rPr>
          <w:rFonts w:ascii="Arial" w:hAnsi="Arial" w:cs="Arial"/>
          <w:color w:val="000000" w:themeColor="text1"/>
          <w:sz w:val="22"/>
        </w:rPr>
        <w:t xml:space="preserve"> et al., 2021; Holt-</w:t>
      </w:r>
      <w:proofErr w:type="spellStart"/>
      <w:r w:rsidRPr="00B10FD1">
        <w:rPr>
          <w:rFonts w:ascii="Arial" w:hAnsi="Arial" w:cs="Arial"/>
          <w:color w:val="000000" w:themeColor="text1"/>
          <w:sz w:val="22"/>
        </w:rPr>
        <w:t>Lunstad</w:t>
      </w:r>
      <w:proofErr w:type="spellEnd"/>
      <w:r w:rsidRPr="00B10FD1">
        <w:rPr>
          <w:rFonts w:ascii="Arial" w:hAnsi="Arial" w:cs="Arial"/>
          <w:color w:val="000000" w:themeColor="text1"/>
          <w:sz w:val="22"/>
        </w:rPr>
        <w:t>, 2024).</w:t>
      </w:r>
    </w:p>
    <w:p w14:paraId="0D7D2767" w14:textId="77777777" w:rsidR="004561AE" w:rsidRPr="00B10FD1" w:rsidRDefault="00F8207A" w:rsidP="006240B2">
      <w:pPr>
        <w:pStyle w:val="Heading3"/>
        <w:spacing w:before="120" w:beforeAutospacing="0" w:after="120" w:afterAutospacing="0" w:line="360" w:lineRule="auto"/>
        <w:jc w:val="both"/>
        <w:rPr>
          <w:rFonts w:ascii="Arial" w:hAnsi="Arial" w:cs="Arial"/>
          <w:color w:val="000000" w:themeColor="text1"/>
        </w:rPr>
      </w:pPr>
      <w:bookmarkStart w:id="61" w:name="_Toc209284792"/>
      <w:r w:rsidRPr="00B10FD1">
        <w:rPr>
          <w:rFonts w:ascii="Arial" w:hAnsi="Arial" w:cs="Arial"/>
          <w:color w:val="000000" w:themeColor="text1"/>
        </w:rPr>
        <w:t xml:space="preserve">4.5.6 </w:t>
      </w:r>
      <w:r w:rsidR="004561AE" w:rsidRPr="00B10FD1">
        <w:rPr>
          <w:rFonts w:ascii="Arial" w:hAnsi="Arial" w:cs="Arial"/>
          <w:color w:val="000000" w:themeColor="text1"/>
        </w:rPr>
        <w:t>Relev</w:t>
      </w:r>
      <w:r w:rsidR="008B5460" w:rsidRPr="00B10FD1">
        <w:rPr>
          <w:rFonts w:ascii="Arial" w:hAnsi="Arial" w:cs="Arial"/>
          <w:color w:val="000000" w:themeColor="text1"/>
        </w:rPr>
        <w:t>ance to The Research Objective 3</w:t>
      </w:r>
      <w:bookmarkEnd w:id="61"/>
    </w:p>
    <w:p w14:paraId="155D62F4" w14:textId="77777777" w:rsidR="004561AE" w:rsidRPr="00B10FD1" w:rsidRDefault="004561AE" w:rsidP="006240B2">
      <w:pPr>
        <w:pStyle w:val="NormalWeb"/>
        <w:spacing w:before="120" w:beforeAutospacing="0" w:after="120" w:afterAutospacing="0" w:line="360" w:lineRule="auto"/>
        <w:jc w:val="both"/>
        <w:rPr>
          <w:rFonts w:ascii="Arial" w:hAnsi="Arial" w:cs="Arial"/>
          <w:color w:val="000000" w:themeColor="text1"/>
          <w:sz w:val="22"/>
        </w:rPr>
      </w:pPr>
      <w:r w:rsidRPr="00B10FD1">
        <w:rPr>
          <w:rFonts w:ascii="Arial" w:hAnsi="Arial" w:cs="Arial"/>
          <w:color w:val="000000" w:themeColor="text1"/>
          <w:sz w:val="22"/>
        </w:rPr>
        <w:t>This theme evaluates whether UK frameworks (e.g., NHS Inclusive Digital Healthcare) and local community-led models (e.g., 100% Digital Leeds) measurably reduce exclusion through assisted access, parity of offline routes, and place-based delivery. It interrogates not just adoption but outcomes, completed cont</w:t>
      </w:r>
      <w:r w:rsidR="00B22E76" w:rsidRPr="00B10FD1">
        <w:rPr>
          <w:rFonts w:ascii="Arial" w:hAnsi="Arial" w:cs="Arial"/>
          <w:color w:val="000000" w:themeColor="text1"/>
          <w:sz w:val="22"/>
        </w:rPr>
        <w:t xml:space="preserve">acts, confidence, and wellbeing, </w:t>
      </w:r>
      <w:r w:rsidRPr="00B10FD1">
        <w:rPr>
          <w:rFonts w:ascii="Arial" w:hAnsi="Arial" w:cs="Arial"/>
          <w:color w:val="000000" w:themeColor="text1"/>
          <w:sz w:val="22"/>
        </w:rPr>
        <w:t>highlighting that technology spend alone is insufficient without implementation capacity, partnerships, and evaluation. The synthesis therefore directly addresses Objective 3 by identifying which policy ingredients and delivery mechanisms most credibly improve equitable access for older adults.</w:t>
      </w:r>
    </w:p>
    <w:p w14:paraId="3AA9D786" w14:textId="77777777" w:rsidR="004561AE" w:rsidRPr="00B10FD1" w:rsidRDefault="00F8207A" w:rsidP="006240B2">
      <w:pPr>
        <w:pStyle w:val="Heading3"/>
        <w:spacing w:before="120" w:beforeAutospacing="0" w:after="120" w:afterAutospacing="0" w:line="360" w:lineRule="auto"/>
        <w:jc w:val="both"/>
        <w:rPr>
          <w:rFonts w:ascii="Arial" w:hAnsi="Arial" w:cs="Arial"/>
          <w:color w:val="000000" w:themeColor="text1"/>
        </w:rPr>
      </w:pPr>
      <w:bookmarkStart w:id="62" w:name="_Toc209284793"/>
      <w:r w:rsidRPr="00B10FD1">
        <w:rPr>
          <w:rFonts w:ascii="Arial" w:hAnsi="Arial" w:cs="Arial"/>
          <w:color w:val="000000" w:themeColor="text1"/>
        </w:rPr>
        <w:t xml:space="preserve">4.5.7 </w:t>
      </w:r>
      <w:r w:rsidR="004561AE" w:rsidRPr="00B10FD1">
        <w:rPr>
          <w:rFonts w:ascii="Arial" w:hAnsi="Arial" w:cs="Arial"/>
          <w:color w:val="000000" w:themeColor="text1"/>
        </w:rPr>
        <w:t>Connections to Other Themes</w:t>
      </w:r>
      <w:bookmarkEnd w:id="62"/>
    </w:p>
    <w:p w14:paraId="20BE01F4" w14:textId="77777777" w:rsidR="00E64771" w:rsidRPr="00E64771" w:rsidRDefault="004561AE" w:rsidP="00E64771">
      <w:pPr>
        <w:pStyle w:val="NormalWeb"/>
        <w:spacing w:before="120" w:beforeAutospacing="0" w:after="120" w:afterAutospacing="0" w:line="360" w:lineRule="auto"/>
        <w:jc w:val="both"/>
        <w:rPr>
          <w:rFonts w:ascii="Arial" w:hAnsi="Arial" w:cs="Arial"/>
          <w:color w:val="000000" w:themeColor="text1"/>
          <w:sz w:val="22"/>
          <w:szCs w:val="22"/>
        </w:rPr>
      </w:pPr>
      <w:r w:rsidRPr="00E64771">
        <w:rPr>
          <w:rFonts w:ascii="Arial" w:hAnsi="Arial" w:cs="Arial"/>
          <w:color w:val="000000" w:themeColor="text1"/>
          <w:sz w:val="22"/>
          <w:szCs w:val="22"/>
        </w:rPr>
        <w:t xml:space="preserve">Findings here </w:t>
      </w:r>
      <w:r w:rsidR="00232FDC" w:rsidRPr="00E64771">
        <w:rPr>
          <w:rFonts w:ascii="Arial" w:hAnsi="Arial" w:cs="Arial"/>
          <w:color w:val="000000" w:themeColor="text1"/>
          <w:sz w:val="22"/>
          <w:szCs w:val="22"/>
        </w:rPr>
        <w:t>operationalize</w:t>
      </w:r>
      <w:r w:rsidRPr="00E64771">
        <w:rPr>
          <w:rFonts w:ascii="Arial" w:hAnsi="Arial" w:cs="Arial"/>
          <w:color w:val="000000" w:themeColor="text1"/>
          <w:sz w:val="22"/>
          <w:szCs w:val="22"/>
        </w:rPr>
        <w:t xml:space="preserve"> barriers mapped in Theme 1 and target the downstream harms evidenced in Theme 2 (missed care, anxiety, loneliness) via assisted-digital support and parity-by-design. The practical levers and equity KPIs distilled in Theme 3 feed forward into Theme 4’s recommendations, converting principles into actionable commissioning and service changes. Together, t</w:t>
      </w:r>
      <w:r w:rsidR="00232FDC" w:rsidRPr="00E64771">
        <w:rPr>
          <w:rFonts w:ascii="Arial" w:hAnsi="Arial" w:cs="Arial"/>
          <w:color w:val="000000" w:themeColor="text1"/>
          <w:sz w:val="22"/>
          <w:szCs w:val="22"/>
        </w:rPr>
        <w:t xml:space="preserve">he themes move from mechanisms including consequences, solutions, </w:t>
      </w:r>
      <w:r w:rsidRPr="00E64771">
        <w:rPr>
          <w:rFonts w:ascii="Arial" w:hAnsi="Arial" w:cs="Arial"/>
          <w:color w:val="000000" w:themeColor="text1"/>
          <w:sz w:val="22"/>
          <w:szCs w:val="22"/>
        </w:rPr>
        <w:t>implementation guidance, maintaining coherence with the dissertation’</w:t>
      </w:r>
      <w:r w:rsidR="00855CD9" w:rsidRPr="00E64771">
        <w:rPr>
          <w:rFonts w:ascii="Arial" w:hAnsi="Arial" w:cs="Arial"/>
          <w:color w:val="000000" w:themeColor="text1"/>
          <w:sz w:val="22"/>
          <w:szCs w:val="22"/>
        </w:rPr>
        <w:t>s aims.</w:t>
      </w:r>
      <w:r w:rsidR="00E64771" w:rsidRPr="00E64771">
        <w:rPr>
          <w:rFonts w:ascii="Arial" w:hAnsi="Arial" w:cs="Arial"/>
          <w:color w:val="000000" w:themeColor="text1"/>
          <w:sz w:val="22"/>
          <w:szCs w:val="22"/>
        </w:rPr>
        <w:t xml:space="preserve"> </w:t>
      </w:r>
      <w:r w:rsidR="00E64771" w:rsidRPr="00E64771">
        <w:rPr>
          <w:rFonts w:ascii="Arial" w:hAnsi="Arial" w:cs="Arial"/>
          <w:sz w:val="22"/>
          <w:szCs w:val="22"/>
        </w:rPr>
        <w:t>More broadly, Theme 3 contributes to the dissertation’s overall aim by identifying which policy and implementation ingredients most effectively transform digital systems from sources of exclusion into tools that can protect mental health and social connection for older adults.</w:t>
      </w:r>
    </w:p>
    <w:p w14:paraId="345DB20D" w14:textId="77777777" w:rsidR="00A47FEB" w:rsidRPr="00E64771" w:rsidRDefault="00A47FEB" w:rsidP="00A47FEB">
      <w:pPr>
        <w:pStyle w:val="NormalWeb"/>
        <w:spacing w:before="120" w:beforeAutospacing="0" w:after="120" w:afterAutospacing="0" w:line="360" w:lineRule="auto"/>
        <w:jc w:val="both"/>
        <w:rPr>
          <w:rFonts w:ascii="Arial" w:hAnsi="Arial" w:cs="Arial"/>
          <w:color w:val="000000" w:themeColor="text1"/>
          <w:sz w:val="22"/>
          <w:szCs w:val="22"/>
        </w:rPr>
      </w:pPr>
      <w:r w:rsidRPr="00E64771">
        <w:rPr>
          <w:rFonts w:ascii="Arial" w:hAnsi="Arial" w:cs="Arial"/>
          <w:sz w:val="22"/>
          <w:szCs w:val="22"/>
        </w:rPr>
        <w:t>Translating “what works” into action, Theme 4 sets out practical recommendations for providers, commissioners and communities.</w:t>
      </w:r>
    </w:p>
    <w:p w14:paraId="09847059" w14:textId="77777777" w:rsidR="00B771F1" w:rsidRPr="00B10FD1" w:rsidRDefault="000E499C" w:rsidP="006240B2">
      <w:pPr>
        <w:pStyle w:val="Heading2"/>
        <w:spacing w:before="120" w:beforeAutospacing="0" w:after="120" w:afterAutospacing="0" w:line="360" w:lineRule="auto"/>
        <w:jc w:val="both"/>
        <w:rPr>
          <w:rFonts w:ascii="Arial" w:hAnsi="Arial" w:cs="Arial"/>
          <w:color w:val="000000" w:themeColor="text1"/>
        </w:rPr>
      </w:pPr>
      <w:bookmarkStart w:id="63" w:name="_Toc209284794"/>
      <w:r w:rsidRPr="00B10FD1">
        <w:rPr>
          <w:rFonts w:ascii="Arial" w:hAnsi="Arial" w:cs="Arial"/>
          <w:color w:val="000000" w:themeColor="text1"/>
        </w:rPr>
        <w:lastRenderedPageBreak/>
        <w:t xml:space="preserve">4.6 Theme 4 – </w:t>
      </w:r>
      <w:r w:rsidR="00B771F1" w:rsidRPr="00B10FD1">
        <w:rPr>
          <w:rFonts w:ascii="Arial" w:hAnsi="Arial" w:cs="Arial"/>
          <w:color w:val="000000" w:themeColor="text1"/>
        </w:rPr>
        <w:t>Recommendations: evidence-based, achievable actions for providers, policymakers and communities</w:t>
      </w:r>
      <w:bookmarkEnd w:id="63"/>
      <w:r w:rsidR="00B771F1" w:rsidRPr="00B10FD1">
        <w:rPr>
          <w:rFonts w:ascii="Arial" w:hAnsi="Arial" w:cs="Arial"/>
          <w:color w:val="000000" w:themeColor="text1"/>
        </w:rPr>
        <w:t xml:space="preserve"> </w:t>
      </w:r>
    </w:p>
    <w:p w14:paraId="38D6AEB8" w14:textId="77777777" w:rsidR="00B771F1" w:rsidRPr="00B10FD1" w:rsidRDefault="008547EA" w:rsidP="006240B2">
      <w:pPr>
        <w:pStyle w:val="Heading3"/>
        <w:spacing w:before="120" w:beforeAutospacing="0" w:after="120" w:afterAutospacing="0" w:line="360" w:lineRule="auto"/>
        <w:jc w:val="both"/>
        <w:rPr>
          <w:rFonts w:ascii="Arial" w:hAnsi="Arial" w:cs="Arial"/>
          <w:color w:val="000000" w:themeColor="text1"/>
        </w:rPr>
      </w:pPr>
      <w:bookmarkStart w:id="64" w:name="_Toc209284795"/>
      <w:r w:rsidRPr="00B10FD1">
        <w:rPr>
          <w:rFonts w:ascii="Arial" w:hAnsi="Arial" w:cs="Arial"/>
          <w:color w:val="000000" w:themeColor="text1"/>
        </w:rPr>
        <w:t xml:space="preserve">4.6.1 </w:t>
      </w:r>
      <w:r w:rsidR="00B771F1" w:rsidRPr="00B10FD1">
        <w:rPr>
          <w:rFonts w:ascii="Arial" w:hAnsi="Arial" w:cs="Arial"/>
          <w:color w:val="000000" w:themeColor="text1"/>
        </w:rPr>
        <w:t>Definition and orientation</w:t>
      </w:r>
      <w:bookmarkEnd w:id="64"/>
    </w:p>
    <w:p w14:paraId="1EF99F03" w14:textId="77777777" w:rsidR="00B771F1" w:rsidRPr="00B10FD1" w:rsidRDefault="00B771F1" w:rsidP="006240B2">
      <w:pPr>
        <w:spacing w:before="120" w:after="120" w:line="360" w:lineRule="auto"/>
        <w:jc w:val="both"/>
        <w:rPr>
          <w:rFonts w:eastAsia="Times New Roman" w:cs="Arial"/>
          <w:color w:val="000000" w:themeColor="text1"/>
          <w:szCs w:val="24"/>
        </w:rPr>
      </w:pPr>
      <w:r w:rsidRPr="00B10FD1">
        <w:rPr>
          <w:rFonts w:eastAsia="Times New Roman" w:cs="Arial"/>
          <w:color w:val="000000" w:themeColor="text1"/>
          <w:szCs w:val="24"/>
        </w:rPr>
        <w:t>In this theme, recommendations are practical, evidence-based actions that organisations can implement to reduce digital exclusion among older adults while protecting social connection and mental health. The focus is on measures that (</w:t>
      </w:r>
      <w:proofErr w:type="spellStart"/>
      <w:r w:rsidRPr="00B10FD1">
        <w:rPr>
          <w:rFonts w:eastAsia="Times New Roman" w:cs="Arial"/>
          <w:color w:val="000000" w:themeColor="text1"/>
          <w:szCs w:val="24"/>
        </w:rPr>
        <w:t>i</w:t>
      </w:r>
      <w:proofErr w:type="spellEnd"/>
      <w:r w:rsidRPr="00B10FD1">
        <w:rPr>
          <w:rFonts w:eastAsia="Times New Roman" w:cs="Arial"/>
          <w:color w:val="000000" w:themeColor="text1"/>
          <w:szCs w:val="24"/>
        </w:rPr>
        <w:t>) ensure equitable access routes to care, (ii) provide assisted-digital support at the point of need, and (iii) measure incl</w:t>
      </w:r>
      <w:r w:rsidR="00992799" w:rsidRPr="00B10FD1">
        <w:rPr>
          <w:rFonts w:eastAsia="Times New Roman" w:cs="Arial"/>
          <w:color w:val="000000" w:themeColor="text1"/>
          <w:szCs w:val="24"/>
        </w:rPr>
        <w:t xml:space="preserve">usive outcomes, </w:t>
      </w:r>
      <w:r w:rsidRPr="00B10FD1">
        <w:rPr>
          <w:rFonts w:eastAsia="Times New Roman" w:cs="Arial"/>
          <w:color w:val="000000" w:themeColor="text1"/>
          <w:szCs w:val="24"/>
        </w:rPr>
        <w:t>not merely technology uptake (</w:t>
      </w:r>
      <w:proofErr w:type="spellStart"/>
      <w:r w:rsidRPr="00B10FD1">
        <w:rPr>
          <w:rFonts w:eastAsia="Times New Roman" w:cs="Arial"/>
          <w:color w:val="000000" w:themeColor="text1"/>
          <w:szCs w:val="24"/>
        </w:rPr>
        <w:t>Kunonga</w:t>
      </w:r>
      <w:proofErr w:type="spellEnd"/>
      <w:r w:rsidRPr="00B10FD1">
        <w:rPr>
          <w:rFonts w:eastAsia="Times New Roman" w:cs="Arial"/>
          <w:color w:val="000000" w:themeColor="text1"/>
          <w:szCs w:val="24"/>
        </w:rPr>
        <w:t xml:space="preserve"> et al., 2021).</w:t>
      </w:r>
    </w:p>
    <w:p w14:paraId="69560B95" w14:textId="77777777" w:rsidR="00B771F1" w:rsidRPr="00B10FD1" w:rsidRDefault="008547EA" w:rsidP="006240B2">
      <w:pPr>
        <w:pStyle w:val="Heading3"/>
        <w:spacing w:before="120" w:beforeAutospacing="0" w:after="120" w:afterAutospacing="0" w:line="360" w:lineRule="auto"/>
        <w:jc w:val="both"/>
        <w:rPr>
          <w:rFonts w:ascii="Arial" w:hAnsi="Arial" w:cs="Arial"/>
          <w:color w:val="000000" w:themeColor="text1"/>
        </w:rPr>
      </w:pPr>
      <w:bookmarkStart w:id="65" w:name="_Toc209284796"/>
      <w:r w:rsidRPr="00B10FD1">
        <w:rPr>
          <w:rFonts w:ascii="Arial" w:hAnsi="Arial" w:cs="Arial"/>
          <w:color w:val="000000" w:themeColor="text1"/>
        </w:rPr>
        <w:t xml:space="preserve">4.6.2 </w:t>
      </w:r>
      <w:r w:rsidR="00B771F1" w:rsidRPr="00B10FD1">
        <w:rPr>
          <w:rFonts w:ascii="Arial" w:hAnsi="Arial" w:cs="Arial"/>
          <w:color w:val="000000" w:themeColor="text1"/>
        </w:rPr>
        <w:t>Background</w:t>
      </w:r>
      <w:bookmarkEnd w:id="65"/>
      <w:r w:rsidR="00B771F1" w:rsidRPr="00B10FD1">
        <w:rPr>
          <w:rFonts w:ascii="Arial" w:hAnsi="Arial" w:cs="Arial"/>
          <w:color w:val="000000" w:themeColor="text1"/>
        </w:rPr>
        <w:t xml:space="preserve"> </w:t>
      </w:r>
    </w:p>
    <w:p w14:paraId="250736A3" w14:textId="77777777" w:rsidR="00B771F1" w:rsidRPr="00B10FD1" w:rsidRDefault="00B771F1" w:rsidP="006240B2">
      <w:pPr>
        <w:spacing w:before="120" w:after="120" w:line="360" w:lineRule="auto"/>
        <w:jc w:val="both"/>
        <w:rPr>
          <w:rFonts w:eastAsia="Times New Roman" w:cs="Arial"/>
          <w:color w:val="000000" w:themeColor="text1"/>
          <w:szCs w:val="24"/>
        </w:rPr>
      </w:pPr>
      <w:r w:rsidRPr="00B10FD1">
        <w:rPr>
          <w:rFonts w:eastAsia="Times New Roman" w:cs="Arial"/>
          <w:color w:val="000000" w:themeColor="text1"/>
          <w:szCs w:val="24"/>
        </w:rPr>
        <w:t>Chapters 1–3 showed that digital exclusion operates across access, skills/confidence and meaningful use, often clustering with deprivation and ill-health (van Dijk, 20</w:t>
      </w:r>
      <w:r w:rsidR="00C772F5">
        <w:rPr>
          <w:rFonts w:eastAsia="Times New Roman" w:cs="Arial"/>
          <w:color w:val="000000" w:themeColor="text1"/>
          <w:szCs w:val="24"/>
        </w:rPr>
        <w:t>06; Wilson-</w:t>
      </w:r>
      <w:proofErr w:type="spellStart"/>
      <w:r w:rsidR="00C772F5">
        <w:rPr>
          <w:rFonts w:eastAsia="Times New Roman" w:cs="Arial"/>
          <w:color w:val="000000" w:themeColor="text1"/>
          <w:szCs w:val="24"/>
        </w:rPr>
        <w:t>Menzfeld</w:t>
      </w:r>
      <w:proofErr w:type="spellEnd"/>
      <w:r w:rsidR="00C772F5">
        <w:rPr>
          <w:rFonts w:eastAsia="Times New Roman" w:cs="Arial"/>
          <w:color w:val="000000" w:themeColor="text1"/>
          <w:szCs w:val="24"/>
        </w:rPr>
        <w:t xml:space="preserve"> et al., 2021</w:t>
      </w:r>
      <w:r w:rsidRPr="00B10FD1">
        <w:rPr>
          <w:rFonts w:eastAsia="Times New Roman" w:cs="Arial"/>
          <w:color w:val="000000" w:themeColor="text1"/>
          <w:szCs w:val="24"/>
        </w:rPr>
        <w:t>). Chapter 4 (Themes 1–2) linked these barriers to foregone care, anxiety and loneliness, reinforcing the public-health case for action (Holt-Lunstad, 2024; NASEM, 2020). UK po</w:t>
      </w:r>
      <w:r w:rsidR="00D537BC" w:rsidRPr="00B10FD1">
        <w:rPr>
          <w:rFonts w:eastAsia="Times New Roman" w:cs="Arial"/>
          <w:color w:val="000000" w:themeColor="text1"/>
          <w:szCs w:val="24"/>
        </w:rPr>
        <w:t xml:space="preserve">licy already mandates inclusion, </w:t>
      </w:r>
      <w:r w:rsidRPr="00B10FD1">
        <w:rPr>
          <w:rFonts w:eastAsia="Times New Roman" w:cs="Arial"/>
          <w:color w:val="000000" w:themeColor="text1"/>
          <w:szCs w:val="24"/>
        </w:rPr>
        <w:t>digital offers must be complementary to non-digital ro</w:t>
      </w:r>
      <w:r w:rsidR="00D537BC" w:rsidRPr="00B10FD1">
        <w:rPr>
          <w:rFonts w:eastAsia="Times New Roman" w:cs="Arial"/>
          <w:color w:val="000000" w:themeColor="text1"/>
          <w:szCs w:val="24"/>
        </w:rPr>
        <w:t xml:space="preserve">utes and co-designed with users, </w:t>
      </w:r>
      <w:r w:rsidRPr="00B10FD1">
        <w:rPr>
          <w:rFonts w:eastAsia="Times New Roman" w:cs="Arial"/>
          <w:color w:val="000000" w:themeColor="text1"/>
          <w:szCs w:val="24"/>
        </w:rPr>
        <w:t>but outcomes depend on local implementation capacity (NHS England, 2023; DHSC &amp; NHS England, 2022).</w:t>
      </w:r>
    </w:p>
    <w:p w14:paraId="20C7C716" w14:textId="77777777" w:rsidR="00B771F1" w:rsidRPr="00B10FD1" w:rsidRDefault="008547EA" w:rsidP="006240B2">
      <w:pPr>
        <w:pStyle w:val="Heading3"/>
        <w:spacing w:before="120" w:beforeAutospacing="0" w:after="120" w:afterAutospacing="0" w:line="360" w:lineRule="auto"/>
        <w:jc w:val="both"/>
        <w:rPr>
          <w:rFonts w:ascii="Arial" w:hAnsi="Arial" w:cs="Arial"/>
          <w:color w:val="000000" w:themeColor="text1"/>
        </w:rPr>
      </w:pPr>
      <w:bookmarkStart w:id="66" w:name="_Toc209284797"/>
      <w:r w:rsidRPr="00B10FD1">
        <w:rPr>
          <w:rFonts w:ascii="Arial" w:hAnsi="Arial" w:cs="Arial"/>
          <w:color w:val="000000" w:themeColor="text1"/>
        </w:rPr>
        <w:t xml:space="preserve">4.6.3 </w:t>
      </w:r>
      <w:r w:rsidR="00B771F1" w:rsidRPr="00B10FD1">
        <w:rPr>
          <w:rFonts w:ascii="Arial" w:hAnsi="Arial" w:cs="Arial"/>
          <w:color w:val="000000" w:themeColor="text1"/>
        </w:rPr>
        <w:t>Recommendations for providers (NHS trusts, PCNs/GP practices, adult social care)</w:t>
      </w:r>
      <w:bookmarkEnd w:id="66"/>
    </w:p>
    <w:p w14:paraId="2B2D4F7D" w14:textId="77777777" w:rsidR="00B771F1" w:rsidRPr="00B10FD1" w:rsidRDefault="00B771F1" w:rsidP="006240B2">
      <w:pPr>
        <w:pStyle w:val="ListParagraph"/>
        <w:numPr>
          <w:ilvl w:val="0"/>
          <w:numId w:val="14"/>
        </w:numPr>
        <w:spacing w:before="120" w:after="120" w:line="36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Guarantee parity of access. Give visible, equal status to phone and face-to-face booking alongside online options (web pages, IVR messages, posters). Parity mitigates first-contact “digital thresholds” and rebuilds trust among digitally anxious patients (NHS England, 2023; Zhang et al., 2023).</w:t>
      </w:r>
    </w:p>
    <w:p w14:paraId="044F469B" w14:textId="77777777" w:rsidR="00B771F1" w:rsidRPr="00B10FD1" w:rsidRDefault="00B771F1" w:rsidP="006240B2">
      <w:pPr>
        <w:pStyle w:val="ListParagraph"/>
        <w:numPr>
          <w:ilvl w:val="0"/>
          <w:numId w:val="14"/>
        </w:numPr>
        <w:spacing w:before="120" w:after="120" w:line="36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Embed assisted-digital at first contact. Train reception/care-coordination staff as digital champions with protected time for on-the-spot support (account set-up, 2FA, portal navigation) and warm handovers to community partners for follow-up coaching (Greenhalgh et al., 2017; Leeds City Council, 2022).</w:t>
      </w:r>
    </w:p>
    <w:p w14:paraId="705453C4" w14:textId="77777777" w:rsidR="00B771F1" w:rsidRPr="00B10FD1" w:rsidRDefault="00B771F1" w:rsidP="006240B2">
      <w:pPr>
        <w:pStyle w:val="ListParagraph"/>
        <w:numPr>
          <w:ilvl w:val="0"/>
          <w:numId w:val="14"/>
        </w:numPr>
        <w:spacing w:before="120" w:after="120" w:line="36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 xml:space="preserve">Bundle device + data + skills. Where affordability and connectivity are binding constraints, couple training with loan devices, data vouchers/social tariffs, and accessible “how-to” guides, rather than offering stand-alone classes (van Dijk, 2006; </w:t>
      </w:r>
      <w:proofErr w:type="spellStart"/>
      <w:r w:rsidRPr="00B10FD1">
        <w:rPr>
          <w:rFonts w:ascii="Arial" w:eastAsia="Times New Roman" w:hAnsi="Arial" w:cs="Arial"/>
          <w:color w:val="000000" w:themeColor="text1"/>
          <w:sz w:val="22"/>
          <w:szCs w:val="24"/>
        </w:rPr>
        <w:t>Kunonga</w:t>
      </w:r>
      <w:proofErr w:type="spellEnd"/>
      <w:r w:rsidRPr="00B10FD1">
        <w:rPr>
          <w:rFonts w:ascii="Arial" w:eastAsia="Times New Roman" w:hAnsi="Arial" w:cs="Arial"/>
          <w:color w:val="000000" w:themeColor="text1"/>
          <w:sz w:val="22"/>
          <w:szCs w:val="24"/>
        </w:rPr>
        <w:t xml:space="preserve"> et al., 2021).</w:t>
      </w:r>
    </w:p>
    <w:p w14:paraId="6E1E6D87" w14:textId="77777777" w:rsidR="00B771F1" w:rsidRPr="00B10FD1" w:rsidRDefault="00B771F1" w:rsidP="006240B2">
      <w:pPr>
        <w:pStyle w:val="ListParagraph"/>
        <w:numPr>
          <w:ilvl w:val="0"/>
          <w:numId w:val="14"/>
        </w:numPr>
        <w:spacing w:before="120" w:after="120" w:line="36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lastRenderedPageBreak/>
        <w:t>Design for cognitive load and impairment. Simplify flows (fewer steps; plain language), enlarge default text/icons, and offer alternative verification and proxy access for carers (with consent). Co-design features with older adults to avoid “good tech, poor fit” (NHS England, 2024; Stuart et al., 2022).</w:t>
      </w:r>
    </w:p>
    <w:p w14:paraId="205CC077" w14:textId="77777777" w:rsidR="00B771F1" w:rsidRPr="00B10FD1" w:rsidRDefault="00B771F1" w:rsidP="006240B2">
      <w:pPr>
        <w:pStyle w:val="ListParagraph"/>
        <w:numPr>
          <w:ilvl w:val="0"/>
          <w:numId w:val="14"/>
        </w:numPr>
        <w:spacing w:before="120" w:after="120" w:line="36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Protect relational continuity. Where remote tools are used, enable contact with known clinicians/teams and invite supporters to join virtual encounters when appropriate. Continuity supports comprehension, reduces anxiety and sustains belonging (NASEM, 2020; Holt-</w:t>
      </w:r>
      <w:proofErr w:type="spellStart"/>
      <w:r w:rsidRPr="00B10FD1">
        <w:rPr>
          <w:rFonts w:ascii="Arial" w:eastAsia="Times New Roman" w:hAnsi="Arial" w:cs="Arial"/>
          <w:color w:val="000000" w:themeColor="text1"/>
          <w:sz w:val="22"/>
          <w:szCs w:val="24"/>
        </w:rPr>
        <w:t>Lunstad</w:t>
      </w:r>
      <w:proofErr w:type="spellEnd"/>
      <w:r w:rsidRPr="00B10FD1">
        <w:rPr>
          <w:rFonts w:ascii="Arial" w:eastAsia="Times New Roman" w:hAnsi="Arial" w:cs="Arial"/>
          <w:color w:val="000000" w:themeColor="text1"/>
          <w:sz w:val="22"/>
          <w:szCs w:val="24"/>
        </w:rPr>
        <w:t>, 2024).</w:t>
      </w:r>
    </w:p>
    <w:p w14:paraId="215068C7" w14:textId="77777777" w:rsidR="00B771F1" w:rsidRPr="00B10FD1" w:rsidRDefault="008547EA" w:rsidP="006240B2">
      <w:pPr>
        <w:pStyle w:val="Heading3"/>
        <w:spacing w:before="120" w:beforeAutospacing="0" w:after="120" w:afterAutospacing="0" w:line="360" w:lineRule="auto"/>
        <w:jc w:val="both"/>
        <w:rPr>
          <w:rFonts w:ascii="Arial" w:hAnsi="Arial" w:cs="Arial"/>
          <w:color w:val="000000" w:themeColor="text1"/>
        </w:rPr>
      </w:pPr>
      <w:bookmarkStart w:id="67" w:name="_Toc209284798"/>
      <w:r w:rsidRPr="00B10FD1">
        <w:rPr>
          <w:rFonts w:ascii="Arial" w:hAnsi="Arial" w:cs="Arial"/>
          <w:color w:val="000000" w:themeColor="text1"/>
        </w:rPr>
        <w:t xml:space="preserve">4.6.4 </w:t>
      </w:r>
      <w:r w:rsidR="00B771F1" w:rsidRPr="00B10FD1">
        <w:rPr>
          <w:rFonts w:ascii="Arial" w:hAnsi="Arial" w:cs="Arial"/>
          <w:color w:val="000000" w:themeColor="text1"/>
        </w:rPr>
        <w:t>Recommendations for commissioners and policymakers (ICBs/ICSs, local authorities, DHSC/NHSE)</w:t>
      </w:r>
      <w:bookmarkEnd w:id="67"/>
    </w:p>
    <w:p w14:paraId="24D06214" w14:textId="77777777" w:rsidR="00B771F1" w:rsidRPr="00B10FD1" w:rsidRDefault="00B771F1" w:rsidP="006240B2">
      <w:pPr>
        <w:pStyle w:val="ListParagraph"/>
        <w:numPr>
          <w:ilvl w:val="0"/>
          <w:numId w:val="15"/>
        </w:numPr>
        <w:spacing w:before="120" w:after="120" w:line="36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Fund place-based inclusion at scale. Commission multi-year, community-anchored programmes that leverage libraries, housing associations and VCSE partners, mirroring the 100% Digital Leeds model (Leeds City Council, 2022; DCMS, 2024; Libraries Connected, 2024).</w:t>
      </w:r>
    </w:p>
    <w:p w14:paraId="694F4D30" w14:textId="77777777" w:rsidR="00B771F1" w:rsidRPr="00B10FD1" w:rsidRDefault="00B771F1" w:rsidP="006240B2">
      <w:pPr>
        <w:pStyle w:val="ListParagraph"/>
        <w:numPr>
          <w:ilvl w:val="0"/>
          <w:numId w:val="15"/>
        </w:numPr>
        <w:spacing w:before="120" w:after="120" w:line="36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Measure inclusion, not just adoption. Require equity KPIs such as: proportion of 75+ completing bookings without digital barriers; reduction in missed care due to digital obstacles; changes in tech-related anxiety or loneliness among participants. Publish access statements demonstrating how offline options are maintained (NHS England, 2023; FRA, 2023).</w:t>
      </w:r>
    </w:p>
    <w:p w14:paraId="225125EC" w14:textId="77777777" w:rsidR="00B771F1" w:rsidRPr="00B10FD1" w:rsidRDefault="00B771F1" w:rsidP="006240B2">
      <w:pPr>
        <w:pStyle w:val="ListParagraph"/>
        <w:numPr>
          <w:ilvl w:val="0"/>
          <w:numId w:val="15"/>
        </w:numPr>
        <w:spacing w:before="120" w:after="120" w:line="36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Close the first-contact evidence gap. Commission evaluations of online bo</w:t>
      </w:r>
      <w:r w:rsidR="00FF24F7" w:rsidRPr="00B10FD1">
        <w:rPr>
          <w:rFonts w:ascii="Arial" w:eastAsia="Times New Roman" w:hAnsi="Arial" w:cs="Arial"/>
          <w:color w:val="000000" w:themeColor="text1"/>
          <w:sz w:val="22"/>
          <w:szCs w:val="24"/>
        </w:rPr>
        <w:t xml:space="preserve">oking/e-triage for older adults, </w:t>
      </w:r>
      <w:r w:rsidRPr="00B10FD1">
        <w:rPr>
          <w:rFonts w:ascii="Arial" w:eastAsia="Times New Roman" w:hAnsi="Arial" w:cs="Arial"/>
          <w:color w:val="000000" w:themeColor="text1"/>
          <w:sz w:val="22"/>
          <w:szCs w:val="24"/>
        </w:rPr>
        <w:t>including comparators and qua</w:t>
      </w:r>
      <w:r w:rsidR="00FF24F7" w:rsidRPr="00B10FD1">
        <w:rPr>
          <w:rFonts w:ascii="Arial" w:eastAsia="Times New Roman" w:hAnsi="Arial" w:cs="Arial"/>
          <w:color w:val="000000" w:themeColor="text1"/>
          <w:sz w:val="22"/>
          <w:szCs w:val="24"/>
        </w:rPr>
        <w:t xml:space="preserve">litative components, </w:t>
      </w:r>
      <w:r w:rsidRPr="00B10FD1">
        <w:rPr>
          <w:rFonts w:ascii="Arial" w:eastAsia="Times New Roman" w:hAnsi="Arial" w:cs="Arial"/>
          <w:color w:val="000000" w:themeColor="text1"/>
          <w:sz w:val="22"/>
          <w:szCs w:val="24"/>
        </w:rPr>
        <w:t>responding to the umbrella review’s finding that this is an under-evaluated area where exclusion often originates (</w:t>
      </w:r>
      <w:proofErr w:type="spellStart"/>
      <w:r w:rsidRPr="00B10FD1">
        <w:rPr>
          <w:rFonts w:ascii="Arial" w:eastAsia="Times New Roman" w:hAnsi="Arial" w:cs="Arial"/>
          <w:color w:val="000000" w:themeColor="text1"/>
          <w:sz w:val="22"/>
          <w:szCs w:val="24"/>
        </w:rPr>
        <w:t>Kunonga</w:t>
      </w:r>
      <w:proofErr w:type="spellEnd"/>
      <w:r w:rsidRPr="00B10FD1">
        <w:rPr>
          <w:rFonts w:ascii="Arial" w:eastAsia="Times New Roman" w:hAnsi="Arial" w:cs="Arial"/>
          <w:color w:val="000000" w:themeColor="text1"/>
          <w:sz w:val="22"/>
          <w:szCs w:val="24"/>
        </w:rPr>
        <w:t xml:space="preserve"> et al., 2021).</w:t>
      </w:r>
    </w:p>
    <w:p w14:paraId="1E288F66" w14:textId="77777777" w:rsidR="00B771F1" w:rsidRPr="00B10FD1" w:rsidRDefault="00B771F1" w:rsidP="006240B2">
      <w:pPr>
        <w:pStyle w:val="ListParagraph"/>
        <w:numPr>
          <w:ilvl w:val="0"/>
          <w:numId w:val="15"/>
        </w:numPr>
        <w:spacing w:before="120" w:after="120" w:line="36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Address affordability and infrastructure. Expand social tariffs, explore zero-rating key NHS domains, and target rural broadband where poor connectivity blocks access; preserve offline legal entitlements for public services (FRA, 2023; Wilson-</w:t>
      </w:r>
      <w:proofErr w:type="spellStart"/>
      <w:r w:rsidRPr="00B10FD1">
        <w:rPr>
          <w:rFonts w:ascii="Arial" w:eastAsia="Times New Roman" w:hAnsi="Arial" w:cs="Arial"/>
          <w:color w:val="000000" w:themeColor="text1"/>
          <w:sz w:val="22"/>
          <w:szCs w:val="24"/>
        </w:rPr>
        <w:t>Menzfeld</w:t>
      </w:r>
      <w:proofErr w:type="spellEnd"/>
      <w:r w:rsidRPr="00B10FD1">
        <w:rPr>
          <w:rFonts w:ascii="Arial" w:eastAsia="Times New Roman" w:hAnsi="Arial" w:cs="Arial"/>
          <w:color w:val="000000" w:themeColor="text1"/>
          <w:sz w:val="22"/>
          <w:szCs w:val="24"/>
        </w:rPr>
        <w:t xml:space="preserve"> et al., 2024).</w:t>
      </w:r>
    </w:p>
    <w:p w14:paraId="15120C88" w14:textId="77777777" w:rsidR="00B771F1" w:rsidRPr="00B10FD1" w:rsidRDefault="00B771F1" w:rsidP="006240B2">
      <w:pPr>
        <w:pStyle w:val="ListParagraph"/>
        <w:numPr>
          <w:ilvl w:val="0"/>
          <w:numId w:val="15"/>
        </w:numPr>
        <w:spacing w:before="120" w:after="120" w:line="36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Resource implementation capacity. Allocate funds for workforce training, change management, evaluation and data-sharing agreements, recognising that technology procurement alone will not yield equitable benefit (Greenhalgh et al., 2017; DHSC &amp; NHS England, 2022).</w:t>
      </w:r>
    </w:p>
    <w:p w14:paraId="70777407" w14:textId="77777777" w:rsidR="00B771F1" w:rsidRPr="00B10FD1" w:rsidRDefault="008547EA" w:rsidP="006240B2">
      <w:pPr>
        <w:pStyle w:val="Heading3"/>
        <w:spacing w:before="120" w:beforeAutospacing="0" w:after="120" w:afterAutospacing="0" w:line="360" w:lineRule="auto"/>
        <w:jc w:val="both"/>
        <w:rPr>
          <w:rFonts w:ascii="Arial" w:hAnsi="Arial" w:cs="Arial"/>
          <w:color w:val="000000" w:themeColor="text1"/>
        </w:rPr>
      </w:pPr>
      <w:bookmarkStart w:id="68" w:name="_Toc209284799"/>
      <w:r w:rsidRPr="00B10FD1">
        <w:rPr>
          <w:rFonts w:ascii="Arial" w:hAnsi="Arial" w:cs="Arial"/>
          <w:color w:val="000000" w:themeColor="text1"/>
        </w:rPr>
        <w:t xml:space="preserve">4.6.5 </w:t>
      </w:r>
      <w:r w:rsidR="00B771F1" w:rsidRPr="00B10FD1">
        <w:rPr>
          <w:rFonts w:ascii="Arial" w:hAnsi="Arial" w:cs="Arial"/>
          <w:color w:val="000000" w:themeColor="text1"/>
        </w:rPr>
        <w:t>Recommendations for VCSEs, libraries and housing providers</w:t>
      </w:r>
      <w:bookmarkEnd w:id="68"/>
    </w:p>
    <w:p w14:paraId="31AB1A58" w14:textId="77777777" w:rsidR="00B771F1" w:rsidRPr="00B10FD1" w:rsidRDefault="00B771F1" w:rsidP="006240B2">
      <w:pPr>
        <w:pStyle w:val="ListParagraph"/>
        <w:numPr>
          <w:ilvl w:val="0"/>
          <w:numId w:val="16"/>
        </w:numPr>
        <w:spacing w:before="120" w:after="120" w:line="36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lastRenderedPageBreak/>
        <w:t>Deliver in trusted places with social purpose. Provide 1-to-1 and small-group coaching embedded in meaningful activities (e.g., medication management, hobby clubs), which reduces stigma and sustains attendance (Leeds City Council, 2022; Libraries Connected, 2024).</w:t>
      </w:r>
    </w:p>
    <w:p w14:paraId="0C1E67BB" w14:textId="77777777" w:rsidR="00B771F1" w:rsidRPr="00B10FD1" w:rsidRDefault="00B771F1" w:rsidP="006240B2">
      <w:pPr>
        <w:pStyle w:val="ListParagraph"/>
        <w:numPr>
          <w:ilvl w:val="0"/>
          <w:numId w:val="16"/>
        </w:numPr>
        <w:spacing w:before="120" w:after="120" w:line="36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Act as digital brokers. Formalise referral pathways with GP practices/social prescribers; provide assisted account set-up and follow-up coaching; share simple referral feedback loops (van Dijk, 2006; Greenhalgh et al., 2017).</w:t>
      </w:r>
    </w:p>
    <w:p w14:paraId="057E2889" w14:textId="77777777" w:rsidR="00B771F1" w:rsidRPr="00B10FD1" w:rsidRDefault="00B771F1" w:rsidP="006240B2">
      <w:pPr>
        <w:pStyle w:val="ListParagraph"/>
        <w:numPr>
          <w:ilvl w:val="0"/>
          <w:numId w:val="16"/>
        </w:numPr>
        <w:spacing w:before="120" w:after="120" w:line="360" w:lineRule="auto"/>
        <w:jc w:val="both"/>
        <w:rPr>
          <w:rFonts w:ascii="Arial" w:eastAsia="Times New Roman" w:hAnsi="Arial" w:cs="Arial"/>
          <w:color w:val="000000" w:themeColor="text1"/>
          <w:sz w:val="22"/>
          <w:szCs w:val="24"/>
        </w:rPr>
      </w:pPr>
      <w:r w:rsidRPr="00B10FD1">
        <w:rPr>
          <w:rFonts w:ascii="Arial" w:eastAsia="Times New Roman" w:hAnsi="Arial" w:cs="Arial"/>
          <w:color w:val="000000" w:themeColor="text1"/>
          <w:sz w:val="22"/>
          <w:szCs w:val="24"/>
        </w:rPr>
        <w:t xml:space="preserve">Co-design and co-evaluate. Involve older adults and carers from scoping to testing; publish </w:t>
      </w:r>
      <w:r w:rsidR="00B472D7" w:rsidRPr="00B10FD1">
        <w:rPr>
          <w:rFonts w:ascii="Arial" w:eastAsia="Times New Roman" w:hAnsi="Arial" w:cs="Arial"/>
          <w:color w:val="000000" w:themeColor="text1"/>
          <w:sz w:val="22"/>
          <w:szCs w:val="24"/>
        </w:rPr>
        <w:t>Plain</w:t>
      </w:r>
      <w:r w:rsidRPr="00B10FD1">
        <w:rPr>
          <w:rFonts w:ascii="Arial" w:eastAsia="Times New Roman" w:hAnsi="Arial" w:cs="Arial"/>
          <w:color w:val="000000" w:themeColor="text1"/>
          <w:sz w:val="22"/>
          <w:szCs w:val="24"/>
        </w:rPr>
        <w:t>-English learning to aid spread; prioritise groups facing multiple exclusions (NHS England, 2024; Stuart et al., 2022).</w:t>
      </w:r>
    </w:p>
    <w:p w14:paraId="53E5BAB4" w14:textId="77777777" w:rsidR="00B771F1" w:rsidRPr="00B10FD1" w:rsidRDefault="008547EA" w:rsidP="006240B2">
      <w:pPr>
        <w:pStyle w:val="Heading3"/>
        <w:spacing w:before="120" w:beforeAutospacing="0" w:after="120" w:afterAutospacing="0" w:line="360" w:lineRule="auto"/>
        <w:jc w:val="both"/>
        <w:rPr>
          <w:rFonts w:ascii="Arial" w:hAnsi="Arial" w:cs="Arial"/>
          <w:color w:val="000000" w:themeColor="text1"/>
        </w:rPr>
      </w:pPr>
      <w:bookmarkStart w:id="69" w:name="_Toc209284800"/>
      <w:r w:rsidRPr="00B10FD1">
        <w:rPr>
          <w:rFonts w:ascii="Arial" w:hAnsi="Arial" w:cs="Arial"/>
          <w:color w:val="000000" w:themeColor="text1"/>
        </w:rPr>
        <w:t xml:space="preserve">4.6.6 </w:t>
      </w:r>
      <w:r w:rsidR="00B771F1" w:rsidRPr="00B10FD1">
        <w:rPr>
          <w:rFonts w:ascii="Arial" w:hAnsi="Arial" w:cs="Arial"/>
          <w:color w:val="000000" w:themeColor="text1"/>
        </w:rPr>
        <w:t>Theoretical and ethical underpinnings</w:t>
      </w:r>
      <w:bookmarkEnd w:id="69"/>
    </w:p>
    <w:p w14:paraId="2F38684E" w14:textId="77777777" w:rsidR="00B771F1" w:rsidRPr="00B10FD1" w:rsidRDefault="00B771F1" w:rsidP="006240B2">
      <w:pPr>
        <w:spacing w:before="120" w:after="120" w:line="360" w:lineRule="auto"/>
        <w:jc w:val="both"/>
        <w:rPr>
          <w:rFonts w:eastAsia="Times New Roman" w:cs="Arial"/>
          <w:color w:val="000000" w:themeColor="text1"/>
          <w:szCs w:val="24"/>
        </w:rPr>
      </w:pPr>
      <w:r w:rsidRPr="00B10FD1">
        <w:rPr>
          <w:rFonts w:eastAsia="Times New Roman" w:cs="Arial"/>
          <w:color w:val="000000" w:themeColor="text1"/>
          <w:szCs w:val="24"/>
        </w:rPr>
        <w:t xml:space="preserve">The package addresses all three levels of the digital divide (access, skills, meaningful use) (van Dijk, 2006), strengthens social capital via trusted intermediaries (community partners), and aligns with NASSS by reducing complexity and supporting scale-up/sustainability (Greenhalgh et al., 2017). Ethically, it </w:t>
      </w:r>
      <w:proofErr w:type="spellStart"/>
      <w:r w:rsidRPr="00B10FD1">
        <w:rPr>
          <w:rFonts w:eastAsia="Times New Roman" w:cs="Arial"/>
          <w:color w:val="000000" w:themeColor="text1"/>
          <w:szCs w:val="24"/>
        </w:rPr>
        <w:t>honours</w:t>
      </w:r>
      <w:proofErr w:type="spellEnd"/>
      <w:r w:rsidRPr="00B10FD1">
        <w:rPr>
          <w:rFonts w:eastAsia="Times New Roman" w:cs="Arial"/>
          <w:color w:val="000000" w:themeColor="text1"/>
          <w:szCs w:val="24"/>
        </w:rPr>
        <w:t xml:space="preserve"> principles of proportionality, fairness and respect by preserving choice and dignity while enabling participation (FRA, 2023; NHS England, 2023).</w:t>
      </w:r>
    </w:p>
    <w:p w14:paraId="220634CE" w14:textId="77777777" w:rsidR="00442836" w:rsidRPr="00B10FD1" w:rsidRDefault="008547EA" w:rsidP="006240B2">
      <w:pPr>
        <w:pStyle w:val="Heading3"/>
        <w:spacing w:before="120" w:beforeAutospacing="0" w:after="120" w:afterAutospacing="0" w:line="360" w:lineRule="auto"/>
        <w:jc w:val="both"/>
        <w:rPr>
          <w:rFonts w:ascii="Arial" w:hAnsi="Arial" w:cs="Arial"/>
          <w:color w:val="000000" w:themeColor="text1"/>
        </w:rPr>
      </w:pPr>
      <w:bookmarkStart w:id="70" w:name="_Toc209284801"/>
      <w:r w:rsidRPr="00B10FD1">
        <w:rPr>
          <w:rFonts w:ascii="Arial" w:hAnsi="Arial" w:cs="Arial"/>
          <w:color w:val="000000" w:themeColor="text1"/>
        </w:rPr>
        <w:t xml:space="preserve">4.6.7 </w:t>
      </w:r>
      <w:r w:rsidR="00442836" w:rsidRPr="00B10FD1">
        <w:rPr>
          <w:rFonts w:ascii="Arial" w:hAnsi="Arial" w:cs="Arial"/>
          <w:color w:val="000000" w:themeColor="text1"/>
        </w:rPr>
        <w:t>Relevance to Research Objective 4</w:t>
      </w:r>
      <w:bookmarkEnd w:id="70"/>
    </w:p>
    <w:p w14:paraId="63248CB7" w14:textId="77777777" w:rsidR="00442836" w:rsidRPr="00B10FD1" w:rsidRDefault="00442836" w:rsidP="006240B2">
      <w:pPr>
        <w:spacing w:before="120" w:after="120" w:line="360" w:lineRule="auto"/>
        <w:jc w:val="both"/>
        <w:rPr>
          <w:rFonts w:eastAsia="Times New Roman" w:cs="Arial"/>
          <w:color w:val="000000" w:themeColor="text1"/>
          <w:szCs w:val="24"/>
        </w:rPr>
      </w:pPr>
      <w:r w:rsidRPr="00B10FD1">
        <w:rPr>
          <w:rFonts w:eastAsia="Times New Roman" w:cs="Arial"/>
          <w:color w:val="000000" w:themeColor="text1"/>
          <w:szCs w:val="24"/>
        </w:rPr>
        <w:t xml:space="preserve">Theme 4 </w:t>
      </w:r>
      <w:proofErr w:type="spellStart"/>
      <w:r w:rsidRPr="00B10FD1">
        <w:rPr>
          <w:rFonts w:eastAsia="Times New Roman" w:cs="Arial"/>
          <w:color w:val="000000" w:themeColor="text1"/>
          <w:szCs w:val="24"/>
        </w:rPr>
        <w:t>operationalises</w:t>
      </w:r>
      <w:proofErr w:type="spellEnd"/>
      <w:r w:rsidRPr="00B10FD1">
        <w:rPr>
          <w:rFonts w:eastAsia="Times New Roman" w:cs="Arial"/>
          <w:color w:val="000000" w:themeColor="text1"/>
          <w:szCs w:val="24"/>
        </w:rPr>
        <w:t xml:space="preserve"> Objective 4 by translating evidence into actionable, context-ready recommendations for providers, commis</w:t>
      </w:r>
      <w:r w:rsidR="00F8207A" w:rsidRPr="00B10FD1">
        <w:rPr>
          <w:rFonts w:eastAsia="Times New Roman" w:cs="Arial"/>
          <w:color w:val="000000" w:themeColor="text1"/>
          <w:szCs w:val="24"/>
        </w:rPr>
        <w:t xml:space="preserve">sioners, and community partners, </w:t>
      </w:r>
      <w:proofErr w:type="spellStart"/>
      <w:r w:rsidRPr="00B10FD1">
        <w:rPr>
          <w:rFonts w:eastAsia="Times New Roman" w:cs="Arial"/>
          <w:color w:val="000000" w:themeColor="text1"/>
          <w:szCs w:val="24"/>
        </w:rPr>
        <w:t>centred</w:t>
      </w:r>
      <w:proofErr w:type="spellEnd"/>
      <w:r w:rsidRPr="00B10FD1">
        <w:rPr>
          <w:rFonts w:eastAsia="Times New Roman" w:cs="Arial"/>
          <w:color w:val="000000" w:themeColor="text1"/>
          <w:szCs w:val="24"/>
        </w:rPr>
        <w:t xml:space="preserve"> on assisted-digital support, parity of offline and online routes, place-based delivery, and equity-focused metrics. These actions directly target reduction of digital exclusion and improvement of accessible, dignified care and mental wellbeing for older adults.</w:t>
      </w:r>
    </w:p>
    <w:p w14:paraId="0C372612" w14:textId="77777777" w:rsidR="00442836" w:rsidRPr="00B10FD1" w:rsidRDefault="008547EA" w:rsidP="006240B2">
      <w:pPr>
        <w:pStyle w:val="Heading3"/>
        <w:spacing w:before="120" w:beforeAutospacing="0" w:after="120" w:afterAutospacing="0" w:line="360" w:lineRule="auto"/>
        <w:jc w:val="both"/>
        <w:rPr>
          <w:rFonts w:ascii="Arial" w:hAnsi="Arial" w:cs="Arial"/>
          <w:color w:val="000000" w:themeColor="text1"/>
        </w:rPr>
      </w:pPr>
      <w:bookmarkStart w:id="71" w:name="_Toc209284802"/>
      <w:r w:rsidRPr="00B10FD1">
        <w:rPr>
          <w:rFonts w:ascii="Arial" w:hAnsi="Arial" w:cs="Arial"/>
          <w:color w:val="000000" w:themeColor="text1"/>
        </w:rPr>
        <w:t xml:space="preserve">4.6.8 </w:t>
      </w:r>
      <w:r w:rsidR="00442836" w:rsidRPr="00B10FD1">
        <w:rPr>
          <w:rFonts w:ascii="Arial" w:hAnsi="Arial" w:cs="Arial"/>
          <w:color w:val="000000" w:themeColor="text1"/>
        </w:rPr>
        <w:t>Connections to Other Themes</w:t>
      </w:r>
      <w:bookmarkEnd w:id="71"/>
    </w:p>
    <w:p w14:paraId="3ABC2EFF" w14:textId="77777777" w:rsidR="00442836" w:rsidRPr="00B10FD1" w:rsidRDefault="00442836" w:rsidP="006240B2">
      <w:pPr>
        <w:spacing w:before="120" w:after="120" w:line="360" w:lineRule="auto"/>
        <w:jc w:val="both"/>
        <w:rPr>
          <w:rFonts w:eastAsia="Times New Roman" w:cs="Arial"/>
          <w:color w:val="000000" w:themeColor="text1"/>
          <w:szCs w:val="24"/>
        </w:rPr>
      </w:pPr>
      <w:r w:rsidRPr="00B10FD1">
        <w:rPr>
          <w:rFonts w:eastAsia="Times New Roman" w:cs="Arial"/>
          <w:color w:val="000000" w:themeColor="text1"/>
          <w:szCs w:val="24"/>
        </w:rPr>
        <w:t>The recommendations address the barriers mapped in Theme 1 (access, skills, motivation) and interrupt the harms detailed in Theme 2 (missed care, anxiety, loneliness) via practical levers such as digital champions and co-design. They also convert Theme 3 i</w:t>
      </w:r>
      <w:r w:rsidR="00830E3C" w:rsidRPr="00B10FD1">
        <w:rPr>
          <w:rFonts w:eastAsia="Times New Roman" w:cs="Arial"/>
          <w:color w:val="000000" w:themeColor="text1"/>
          <w:szCs w:val="24"/>
        </w:rPr>
        <w:t xml:space="preserve">nsights on </w:t>
      </w:r>
      <w:r w:rsidRPr="00B10FD1">
        <w:rPr>
          <w:rFonts w:eastAsia="Times New Roman" w:cs="Arial"/>
          <w:color w:val="000000" w:themeColor="text1"/>
          <w:szCs w:val="24"/>
        </w:rPr>
        <w:t xml:space="preserve">what </w:t>
      </w:r>
      <w:r w:rsidR="00A47FEB" w:rsidRPr="00B10FD1">
        <w:rPr>
          <w:rFonts w:eastAsia="Times New Roman" w:cs="Arial"/>
          <w:color w:val="000000" w:themeColor="text1"/>
          <w:szCs w:val="24"/>
        </w:rPr>
        <w:t>works into</w:t>
      </w:r>
      <w:r w:rsidRPr="00B10FD1">
        <w:rPr>
          <w:rFonts w:eastAsia="Times New Roman" w:cs="Arial"/>
          <w:color w:val="000000" w:themeColor="text1"/>
          <w:szCs w:val="24"/>
        </w:rPr>
        <w:t xml:space="preserve"> a coherent implementatio</w:t>
      </w:r>
      <w:r w:rsidR="00830E3C" w:rsidRPr="00B10FD1">
        <w:rPr>
          <w:rFonts w:eastAsia="Times New Roman" w:cs="Arial"/>
          <w:color w:val="000000" w:themeColor="text1"/>
          <w:szCs w:val="24"/>
        </w:rPr>
        <w:t xml:space="preserve">n package, linking mechanisms, consequences, </w:t>
      </w:r>
      <w:r w:rsidRPr="00B10FD1">
        <w:rPr>
          <w:rFonts w:eastAsia="Times New Roman" w:cs="Arial"/>
          <w:color w:val="000000" w:themeColor="text1"/>
          <w:szCs w:val="24"/>
        </w:rPr>
        <w:t>evaluated solutions across the chapter.</w:t>
      </w:r>
    </w:p>
    <w:p w14:paraId="6063B7CA" w14:textId="77777777" w:rsidR="00A47FEB" w:rsidRPr="00B10FD1" w:rsidRDefault="00A47FEB" w:rsidP="00A47FEB">
      <w:pPr>
        <w:pStyle w:val="NormalWeb"/>
        <w:rPr>
          <w:rFonts w:ascii="Arial" w:hAnsi="Arial" w:cs="Arial"/>
        </w:rPr>
      </w:pPr>
      <w:r w:rsidRPr="00B10FD1">
        <w:rPr>
          <w:rFonts w:ascii="Arial" w:hAnsi="Arial" w:cs="Arial"/>
        </w:rPr>
        <w:t>Section 4.7 now synthesize insights across themes and signpost the implications for the remainder of the dissertation.</w:t>
      </w:r>
    </w:p>
    <w:p w14:paraId="6C8EA156" w14:textId="77777777" w:rsidR="00D50E4D" w:rsidRPr="00B10FD1" w:rsidRDefault="009E6514" w:rsidP="006240B2">
      <w:pPr>
        <w:pStyle w:val="Heading2"/>
        <w:spacing w:before="120" w:beforeAutospacing="0" w:after="120" w:afterAutospacing="0" w:line="360" w:lineRule="auto"/>
        <w:jc w:val="both"/>
        <w:rPr>
          <w:rFonts w:ascii="Arial" w:hAnsi="Arial" w:cs="Arial"/>
          <w:color w:val="000000" w:themeColor="text1"/>
        </w:rPr>
      </w:pPr>
      <w:bookmarkStart w:id="72" w:name="_Toc209284803"/>
      <w:r w:rsidRPr="00B10FD1">
        <w:rPr>
          <w:rFonts w:ascii="Arial" w:hAnsi="Arial" w:cs="Arial"/>
          <w:color w:val="000000" w:themeColor="text1"/>
        </w:rPr>
        <w:lastRenderedPageBreak/>
        <w:t>4.7</w:t>
      </w:r>
      <w:r w:rsidR="00D24D39" w:rsidRPr="00B10FD1">
        <w:rPr>
          <w:rFonts w:ascii="Arial" w:hAnsi="Arial" w:cs="Arial"/>
          <w:color w:val="000000" w:themeColor="text1"/>
        </w:rPr>
        <w:t xml:space="preserve"> </w:t>
      </w:r>
      <w:r w:rsidR="00D50E4D" w:rsidRPr="00B10FD1">
        <w:rPr>
          <w:rFonts w:ascii="Arial" w:hAnsi="Arial" w:cs="Arial"/>
          <w:color w:val="000000" w:themeColor="text1"/>
        </w:rPr>
        <w:t>Chapter Conclusion</w:t>
      </w:r>
      <w:bookmarkEnd w:id="72"/>
      <w:r w:rsidR="00D50E4D" w:rsidRPr="00B10FD1">
        <w:rPr>
          <w:rFonts w:ascii="Arial" w:hAnsi="Arial" w:cs="Arial"/>
          <w:color w:val="000000" w:themeColor="text1"/>
        </w:rPr>
        <w:t xml:space="preserve"> </w:t>
      </w:r>
    </w:p>
    <w:p w14:paraId="36D06218" w14:textId="77777777" w:rsidR="00D50E4D" w:rsidRPr="00B10FD1" w:rsidRDefault="00D50E4D" w:rsidP="006240B2">
      <w:pPr>
        <w:spacing w:before="120" w:after="120" w:line="360" w:lineRule="auto"/>
        <w:jc w:val="both"/>
        <w:rPr>
          <w:rFonts w:eastAsia="Times New Roman" w:cs="Arial"/>
          <w:color w:val="000000" w:themeColor="text1"/>
          <w:szCs w:val="24"/>
        </w:rPr>
      </w:pPr>
      <w:r w:rsidRPr="00B10FD1">
        <w:rPr>
          <w:rFonts w:eastAsia="Times New Roman" w:cs="Arial"/>
          <w:color w:val="000000" w:themeColor="text1"/>
          <w:szCs w:val="24"/>
        </w:rPr>
        <w:t xml:space="preserve">This chapter </w:t>
      </w:r>
      <w:r w:rsidR="00A47FEB" w:rsidRPr="00B10FD1">
        <w:rPr>
          <w:rFonts w:eastAsia="Times New Roman" w:cs="Arial"/>
          <w:color w:val="000000" w:themeColor="text1"/>
          <w:szCs w:val="24"/>
        </w:rPr>
        <w:t>synthesized</w:t>
      </w:r>
      <w:r w:rsidRPr="00B10FD1">
        <w:rPr>
          <w:rFonts w:eastAsia="Times New Roman" w:cs="Arial"/>
          <w:color w:val="000000" w:themeColor="text1"/>
          <w:szCs w:val="24"/>
        </w:rPr>
        <w:t xml:space="preserve"> qualitative evidence from 44 UK studies (2015–2025) to explain how digital exclusion and social isolation intersect in later life. Theme 1 mapped clu</w:t>
      </w:r>
      <w:r w:rsidR="00992799" w:rsidRPr="00B10FD1">
        <w:rPr>
          <w:rFonts w:eastAsia="Times New Roman" w:cs="Arial"/>
          <w:color w:val="000000" w:themeColor="text1"/>
          <w:szCs w:val="24"/>
        </w:rPr>
        <w:t>stered barriers (access, skills</w:t>
      </w:r>
      <w:r w:rsidRPr="00B10FD1">
        <w:rPr>
          <w:rFonts w:eastAsia="Times New Roman" w:cs="Arial"/>
          <w:color w:val="000000" w:themeColor="text1"/>
          <w:szCs w:val="24"/>
        </w:rPr>
        <w:t xml:space="preserve">, motivation) that can enforce disengagement. Theme 2 showed consequences for service access, mental health and care experience, including foregone care, anxiety and erosion of trust. Theme 3 identified what </w:t>
      </w:r>
      <w:r w:rsidR="00E06165" w:rsidRPr="00B10FD1">
        <w:rPr>
          <w:rFonts w:eastAsia="Times New Roman" w:cs="Arial"/>
          <w:color w:val="000000" w:themeColor="text1"/>
          <w:szCs w:val="24"/>
        </w:rPr>
        <w:t xml:space="preserve">works, </w:t>
      </w:r>
      <w:r w:rsidRPr="00B10FD1">
        <w:rPr>
          <w:rFonts w:eastAsia="Times New Roman" w:cs="Arial"/>
          <w:color w:val="000000" w:themeColor="text1"/>
          <w:szCs w:val="24"/>
        </w:rPr>
        <w:t>parity of offline/online routes, assisted-digital support, place-based partnerships and meaningful metrics. Theme 4 translated these into actionable recommendations for providers, commissioners and communities. The following chapter will evaluate current literature on implementation and evaluation strategies, focusing on closing the first-contact evidence gap and measuring equity outcomes.</w:t>
      </w:r>
    </w:p>
    <w:p w14:paraId="73500450" w14:textId="77777777" w:rsidR="00897DB9" w:rsidRPr="00B10FD1" w:rsidRDefault="00897DB9" w:rsidP="006240B2">
      <w:pPr>
        <w:spacing w:before="120" w:after="120" w:line="360" w:lineRule="auto"/>
        <w:jc w:val="both"/>
        <w:rPr>
          <w:rFonts w:eastAsia="Times New Roman" w:cs="Arial"/>
          <w:color w:val="000000" w:themeColor="text1"/>
          <w:sz w:val="24"/>
          <w:szCs w:val="24"/>
        </w:rPr>
      </w:pPr>
    </w:p>
    <w:p w14:paraId="5FC269D8" w14:textId="77777777" w:rsidR="00897DB9" w:rsidRPr="00B10FD1" w:rsidRDefault="00897DB9" w:rsidP="006240B2">
      <w:pPr>
        <w:spacing w:before="120" w:after="120" w:line="360" w:lineRule="auto"/>
        <w:jc w:val="both"/>
        <w:rPr>
          <w:rFonts w:eastAsia="Times New Roman" w:cs="Arial"/>
          <w:color w:val="000000" w:themeColor="text1"/>
          <w:sz w:val="24"/>
          <w:szCs w:val="24"/>
        </w:rPr>
      </w:pPr>
    </w:p>
    <w:p w14:paraId="40637C2E" w14:textId="77777777" w:rsidR="00897DB9" w:rsidRPr="00B10FD1" w:rsidRDefault="00897DB9" w:rsidP="006240B2">
      <w:pPr>
        <w:spacing w:before="120" w:after="120" w:line="360" w:lineRule="auto"/>
        <w:jc w:val="both"/>
        <w:rPr>
          <w:rFonts w:eastAsia="Times New Roman" w:cs="Arial"/>
          <w:color w:val="000000" w:themeColor="text1"/>
          <w:sz w:val="24"/>
          <w:szCs w:val="24"/>
        </w:rPr>
      </w:pPr>
    </w:p>
    <w:p w14:paraId="439FBC17" w14:textId="77777777" w:rsidR="00897DB9" w:rsidRPr="00B10FD1" w:rsidRDefault="00897DB9" w:rsidP="006240B2">
      <w:pPr>
        <w:spacing w:before="120" w:after="120" w:line="360" w:lineRule="auto"/>
        <w:jc w:val="both"/>
        <w:rPr>
          <w:rFonts w:eastAsia="Times New Roman" w:cs="Arial"/>
          <w:color w:val="000000" w:themeColor="text1"/>
          <w:sz w:val="24"/>
          <w:szCs w:val="24"/>
        </w:rPr>
      </w:pPr>
    </w:p>
    <w:p w14:paraId="61FF8DDA" w14:textId="77777777" w:rsidR="00897DB9" w:rsidRDefault="00897DB9" w:rsidP="006240B2">
      <w:pPr>
        <w:spacing w:before="120" w:after="120" w:line="360" w:lineRule="auto"/>
        <w:jc w:val="both"/>
        <w:rPr>
          <w:rFonts w:eastAsia="Times New Roman" w:cs="Arial"/>
          <w:color w:val="000000" w:themeColor="text1"/>
          <w:sz w:val="24"/>
          <w:szCs w:val="24"/>
        </w:rPr>
      </w:pPr>
    </w:p>
    <w:p w14:paraId="23F1D9AF" w14:textId="77777777" w:rsidR="00D74EF2" w:rsidRDefault="00D74EF2" w:rsidP="006240B2">
      <w:pPr>
        <w:spacing w:before="120" w:after="120" w:line="360" w:lineRule="auto"/>
        <w:jc w:val="both"/>
        <w:rPr>
          <w:rFonts w:eastAsia="Times New Roman" w:cs="Arial"/>
          <w:color w:val="000000" w:themeColor="text1"/>
          <w:sz w:val="24"/>
          <w:szCs w:val="24"/>
        </w:rPr>
      </w:pPr>
    </w:p>
    <w:p w14:paraId="1038E139" w14:textId="77777777" w:rsidR="00D74EF2" w:rsidRDefault="00D74EF2" w:rsidP="006240B2">
      <w:pPr>
        <w:spacing w:before="120" w:after="120" w:line="360" w:lineRule="auto"/>
        <w:jc w:val="both"/>
        <w:rPr>
          <w:rFonts w:eastAsia="Times New Roman" w:cs="Arial"/>
          <w:color w:val="000000" w:themeColor="text1"/>
          <w:sz w:val="24"/>
          <w:szCs w:val="24"/>
        </w:rPr>
      </w:pPr>
    </w:p>
    <w:p w14:paraId="71250898" w14:textId="77777777" w:rsidR="00D74EF2" w:rsidRDefault="00D74EF2" w:rsidP="006240B2">
      <w:pPr>
        <w:spacing w:before="120" w:after="120" w:line="360" w:lineRule="auto"/>
        <w:jc w:val="both"/>
        <w:rPr>
          <w:rFonts w:eastAsia="Times New Roman" w:cs="Arial"/>
          <w:color w:val="000000" w:themeColor="text1"/>
          <w:sz w:val="24"/>
          <w:szCs w:val="24"/>
        </w:rPr>
      </w:pPr>
    </w:p>
    <w:p w14:paraId="34C79499" w14:textId="77777777" w:rsidR="00D74EF2" w:rsidRDefault="00D74EF2" w:rsidP="006240B2">
      <w:pPr>
        <w:spacing w:before="120" w:after="120" w:line="360" w:lineRule="auto"/>
        <w:jc w:val="both"/>
        <w:rPr>
          <w:rFonts w:eastAsia="Times New Roman" w:cs="Arial"/>
          <w:color w:val="000000" w:themeColor="text1"/>
          <w:sz w:val="24"/>
          <w:szCs w:val="24"/>
        </w:rPr>
      </w:pPr>
    </w:p>
    <w:p w14:paraId="679C8247" w14:textId="77777777" w:rsidR="00D74EF2" w:rsidRDefault="00D74EF2" w:rsidP="006240B2">
      <w:pPr>
        <w:spacing w:before="120" w:after="120" w:line="360" w:lineRule="auto"/>
        <w:jc w:val="both"/>
        <w:rPr>
          <w:rFonts w:eastAsia="Times New Roman" w:cs="Arial"/>
          <w:color w:val="000000" w:themeColor="text1"/>
          <w:sz w:val="24"/>
          <w:szCs w:val="24"/>
        </w:rPr>
      </w:pPr>
    </w:p>
    <w:p w14:paraId="7A3ECFAE" w14:textId="77777777" w:rsidR="00D74EF2" w:rsidRDefault="00D74EF2" w:rsidP="006240B2">
      <w:pPr>
        <w:spacing w:before="120" w:after="120" w:line="360" w:lineRule="auto"/>
        <w:jc w:val="both"/>
        <w:rPr>
          <w:rFonts w:eastAsia="Times New Roman" w:cs="Arial"/>
          <w:color w:val="000000" w:themeColor="text1"/>
          <w:sz w:val="24"/>
          <w:szCs w:val="24"/>
        </w:rPr>
      </w:pPr>
    </w:p>
    <w:p w14:paraId="56B24A02" w14:textId="77777777" w:rsidR="00D74EF2" w:rsidRDefault="00D74EF2" w:rsidP="006240B2">
      <w:pPr>
        <w:spacing w:before="120" w:after="120" w:line="360" w:lineRule="auto"/>
        <w:jc w:val="both"/>
        <w:rPr>
          <w:rFonts w:eastAsia="Times New Roman" w:cs="Arial"/>
          <w:color w:val="000000" w:themeColor="text1"/>
          <w:sz w:val="24"/>
          <w:szCs w:val="24"/>
        </w:rPr>
      </w:pPr>
    </w:p>
    <w:p w14:paraId="10CE1C0D" w14:textId="77777777" w:rsidR="00D74EF2" w:rsidRDefault="00D74EF2" w:rsidP="006240B2">
      <w:pPr>
        <w:spacing w:before="120" w:after="120" w:line="360" w:lineRule="auto"/>
        <w:jc w:val="both"/>
        <w:rPr>
          <w:rFonts w:eastAsia="Times New Roman" w:cs="Arial"/>
          <w:color w:val="000000" w:themeColor="text1"/>
          <w:sz w:val="24"/>
          <w:szCs w:val="24"/>
        </w:rPr>
      </w:pPr>
    </w:p>
    <w:p w14:paraId="4E16D2B9" w14:textId="77777777" w:rsidR="00D74EF2" w:rsidRDefault="00D74EF2" w:rsidP="006240B2">
      <w:pPr>
        <w:spacing w:before="120" w:after="120" w:line="360" w:lineRule="auto"/>
        <w:jc w:val="both"/>
        <w:rPr>
          <w:rFonts w:eastAsia="Times New Roman" w:cs="Arial"/>
          <w:color w:val="000000" w:themeColor="text1"/>
          <w:sz w:val="24"/>
          <w:szCs w:val="24"/>
        </w:rPr>
      </w:pPr>
    </w:p>
    <w:p w14:paraId="5C9EDF4B" w14:textId="77777777" w:rsidR="00D74EF2" w:rsidRDefault="00D74EF2" w:rsidP="006240B2">
      <w:pPr>
        <w:spacing w:before="120" w:after="120" w:line="360" w:lineRule="auto"/>
        <w:jc w:val="both"/>
        <w:rPr>
          <w:rFonts w:eastAsia="Times New Roman" w:cs="Arial"/>
          <w:color w:val="000000" w:themeColor="text1"/>
          <w:sz w:val="24"/>
          <w:szCs w:val="24"/>
        </w:rPr>
      </w:pPr>
    </w:p>
    <w:p w14:paraId="55E92327" w14:textId="77777777" w:rsidR="00D74EF2" w:rsidRPr="00B10FD1" w:rsidRDefault="00D74EF2" w:rsidP="006240B2">
      <w:pPr>
        <w:spacing w:before="120" w:after="120" w:line="360" w:lineRule="auto"/>
        <w:jc w:val="both"/>
        <w:rPr>
          <w:rFonts w:eastAsia="Times New Roman" w:cs="Arial"/>
          <w:color w:val="000000" w:themeColor="text1"/>
          <w:sz w:val="24"/>
          <w:szCs w:val="24"/>
        </w:rPr>
      </w:pPr>
    </w:p>
    <w:p w14:paraId="6BF66003" w14:textId="77777777" w:rsidR="00855CD9" w:rsidRPr="00B10FD1" w:rsidRDefault="00855CD9" w:rsidP="006240B2">
      <w:pPr>
        <w:spacing w:before="120" w:after="120" w:line="360" w:lineRule="auto"/>
        <w:jc w:val="both"/>
        <w:rPr>
          <w:rFonts w:eastAsia="Times New Roman" w:cs="Arial"/>
          <w:color w:val="000000" w:themeColor="text1"/>
          <w:sz w:val="24"/>
          <w:szCs w:val="24"/>
        </w:rPr>
      </w:pPr>
    </w:p>
    <w:p w14:paraId="65CE52EA" w14:textId="77777777" w:rsidR="001C0EA8" w:rsidRPr="00B10FD1" w:rsidRDefault="001C0EA8" w:rsidP="00855CD9">
      <w:pPr>
        <w:pStyle w:val="Heading1"/>
        <w:spacing w:before="120" w:after="120" w:line="360" w:lineRule="auto"/>
        <w:jc w:val="center"/>
        <w:rPr>
          <w:rFonts w:ascii="Arial" w:eastAsia="Times New Roman" w:hAnsi="Arial" w:cs="Arial"/>
          <w:b/>
          <w:color w:val="000000" w:themeColor="text1"/>
        </w:rPr>
      </w:pPr>
      <w:bookmarkStart w:id="73" w:name="_Toc209284804"/>
      <w:r w:rsidRPr="00B10FD1">
        <w:rPr>
          <w:rFonts w:ascii="Arial" w:eastAsia="Times New Roman" w:hAnsi="Arial" w:cs="Arial"/>
          <w:b/>
          <w:color w:val="000000" w:themeColor="text1"/>
        </w:rPr>
        <w:lastRenderedPageBreak/>
        <w:t>CHAPTER 5 – Conclusion and Recommendations</w:t>
      </w:r>
      <w:bookmarkEnd w:id="73"/>
    </w:p>
    <w:p w14:paraId="374FD6B7" w14:textId="77777777" w:rsidR="001C0EA8" w:rsidRPr="00B10FD1" w:rsidRDefault="001C0EA8" w:rsidP="006240B2">
      <w:pPr>
        <w:pStyle w:val="Heading2"/>
        <w:spacing w:before="120" w:beforeAutospacing="0" w:after="120" w:afterAutospacing="0" w:line="360" w:lineRule="auto"/>
        <w:jc w:val="both"/>
        <w:rPr>
          <w:rFonts w:ascii="Arial" w:hAnsi="Arial" w:cs="Arial"/>
        </w:rPr>
      </w:pPr>
      <w:bookmarkStart w:id="74" w:name="_Toc209284805"/>
      <w:r w:rsidRPr="00B10FD1">
        <w:rPr>
          <w:rFonts w:ascii="Arial" w:hAnsi="Arial" w:cs="Arial"/>
        </w:rPr>
        <w:t>5.1 Overall Conclusion</w:t>
      </w:r>
      <w:bookmarkEnd w:id="74"/>
      <w:r w:rsidRPr="00B10FD1">
        <w:rPr>
          <w:rFonts w:ascii="Arial" w:hAnsi="Arial" w:cs="Arial"/>
        </w:rPr>
        <w:t xml:space="preserve"> </w:t>
      </w:r>
    </w:p>
    <w:p w14:paraId="0CED000D" w14:textId="77777777" w:rsidR="002201B4" w:rsidRPr="00B10FD1" w:rsidRDefault="001C0EA8" w:rsidP="002201B4">
      <w:pPr>
        <w:spacing w:before="120" w:after="120" w:line="360" w:lineRule="auto"/>
        <w:jc w:val="both"/>
        <w:rPr>
          <w:rFonts w:eastAsia="Times New Roman" w:cs="Arial"/>
          <w:szCs w:val="24"/>
        </w:rPr>
      </w:pPr>
      <w:r w:rsidRPr="00B10FD1">
        <w:rPr>
          <w:rFonts w:eastAsia="Times New Roman" w:cs="Arial"/>
          <w:szCs w:val="24"/>
        </w:rPr>
        <w:t xml:space="preserve">This dissertation examined how social isolation and digital exclusion intersect to shape the mental health and care experiences of older adults in the UK. Chapter 1 set out the problem, defined terms, and established four objectives focused on describing digital exclusion, examining its consequences, assessing the efficacy of UK interventions, and generating actionable recommendations. Chapter 2 provided historical, theoretical, and policy context, showing how access, skills/confidence, and meaningful use form layered barriers. Chapter 3 outlined a rigorous qualitative synthesis approach that yielded 44 studies (2015–2025). Chapter 4 reported four themes: (1) Disengagement and Barriers, access, proficiency and motivation constraints that can enforce withdrawal; (2) Consequences, missed care, heightened anxiety and loneliness, and erosion of trust and dignity; (3) What Works, parity of offline/online routes, assisted-digital support, and place-based delivery; and (4) Recommendations, a minimum effective package </w:t>
      </w:r>
      <w:proofErr w:type="spellStart"/>
      <w:r w:rsidRPr="00B10FD1">
        <w:rPr>
          <w:rFonts w:eastAsia="Times New Roman" w:cs="Arial"/>
          <w:szCs w:val="24"/>
        </w:rPr>
        <w:t>centred</w:t>
      </w:r>
      <w:proofErr w:type="spellEnd"/>
      <w:r w:rsidRPr="00B10FD1">
        <w:rPr>
          <w:rFonts w:eastAsia="Times New Roman" w:cs="Arial"/>
          <w:szCs w:val="24"/>
        </w:rPr>
        <w:t xml:space="preserve"> on co-design and equity metrics.</w:t>
      </w:r>
      <w:r w:rsidR="00D21DA0" w:rsidRPr="00B10FD1">
        <w:rPr>
          <w:rFonts w:eastAsia="Times New Roman" w:cs="Arial"/>
          <w:szCs w:val="24"/>
        </w:rPr>
        <w:t xml:space="preserve"> </w:t>
      </w:r>
      <w:r w:rsidR="00C62DD9" w:rsidRPr="00B10FD1">
        <w:rPr>
          <w:rFonts w:eastAsia="Times New Roman" w:cs="Arial"/>
          <w:szCs w:val="24"/>
        </w:rPr>
        <w:t>In short</w:t>
      </w:r>
      <w:r w:rsidRPr="00B10FD1">
        <w:rPr>
          <w:rFonts w:eastAsia="Times New Roman" w:cs="Arial"/>
          <w:szCs w:val="24"/>
        </w:rPr>
        <w:t>, the evidence supports the aim: digital exclusion meaningfully affects older adults’ mental health and access to services, but feasible solutions exist. Objectives 1–3 were satisfied through detailed mapping of barriers, consequences, and intervention efficacy. Objective 4 is fulfilled through a set of practical, context-ready recommendations for providers, commissioners, and community partners.</w:t>
      </w:r>
    </w:p>
    <w:p w14:paraId="7B27B6D4" w14:textId="77777777" w:rsidR="00847BC9" w:rsidRPr="00B10FD1" w:rsidRDefault="002201B4" w:rsidP="002201B4">
      <w:pPr>
        <w:spacing w:before="120" w:after="120" w:line="360" w:lineRule="auto"/>
        <w:jc w:val="both"/>
        <w:rPr>
          <w:rFonts w:eastAsia="Times New Roman" w:cs="Arial"/>
          <w:szCs w:val="24"/>
        </w:rPr>
      </w:pPr>
      <w:r w:rsidRPr="00B10FD1">
        <w:rPr>
          <w:rFonts w:cs="Arial"/>
        </w:rPr>
        <w:t xml:space="preserve">With the overarching findings consolidated, section </w:t>
      </w:r>
      <w:r w:rsidR="008F40DA" w:rsidRPr="00B10FD1">
        <w:rPr>
          <w:rFonts w:cs="Arial"/>
        </w:rPr>
        <w:t xml:space="preserve">5.2 </w:t>
      </w:r>
      <w:r w:rsidRPr="00B10FD1">
        <w:rPr>
          <w:rFonts w:cs="Arial"/>
        </w:rPr>
        <w:t>translates evidence into practical, actionable recommendations for practice, commissioning and policy.</w:t>
      </w:r>
    </w:p>
    <w:p w14:paraId="3D9DE77D" w14:textId="77777777" w:rsidR="001C0EA8" w:rsidRPr="00B10FD1" w:rsidRDefault="001C0EA8" w:rsidP="006240B2">
      <w:pPr>
        <w:pStyle w:val="Heading2"/>
        <w:spacing w:before="120" w:beforeAutospacing="0" w:after="120" w:afterAutospacing="0" w:line="360" w:lineRule="auto"/>
        <w:jc w:val="both"/>
        <w:rPr>
          <w:rFonts w:ascii="Arial" w:hAnsi="Arial" w:cs="Arial"/>
        </w:rPr>
      </w:pPr>
      <w:bookmarkStart w:id="75" w:name="_Toc209284806"/>
      <w:r w:rsidRPr="00B10FD1">
        <w:rPr>
          <w:rFonts w:ascii="Arial" w:hAnsi="Arial" w:cs="Arial"/>
        </w:rPr>
        <w:t>5.2 Recommendations</w:t>
      </w:r>
      <w:bookmarkEnd w:id="75"/>
      <w:r w:rsidRPr="00B10FD1">
        <w:rPr>
          <w:rFonts w:ascii="Arial" w:hAnsi="Arial" w:cs="Arial"/>
        </w:rPr>
        <w:t xml:space="preserve"> </w:t>
      </w:r>
    </w:p>
    <w:p w14:paraId="6DC685A4" w14:textId="77777777" w:rsidR="001C0EA8" w:rsidRPr="00B10FD1" w:rsidRDefault="001C0EA8" w:rsidP="006240B2">
      <w:pPr>
        <w:pStyle w:val="Heading3"/>
        <w:spacing w:before="120" w:beforeAutospacing="0" w:after="120" w:afterAutospacing="0" w:line="360" w:lineRule="auto"/>
        <w:jc w:val="both"/>
        <w:rPr>
          <w:rFonts w:ascii="Arial" w:hAnsi="Arial" w:cs="Arial"/>
        </w:rPr>
      </w:pPr>
      <w:bookmarkStart w:id="76" w:name="_Toc209284807"/>
      <w:r w:rsidRPr="00B10FD1">
        <w:rPr>
          <w:rFonts w:ascii="Arial" w:hAnsi="Arial" w:cs="Arial"/>
        </w:rPr>
        <w:t>5.2.1 Recommendation 1: Embed assisted-digital support and parity by design at the first point of contact</w:t>
      </w:r>
      <w:bookmarkEnd w:id="76"/>
      <w:r w:rsidR="0014186F">
        <w:rPr>
          <w:rFonts w:ascii="Arial" w:hAnsi="Arial" w:cs="Arial"/>
        </w:rPr>
        <w:t xml:space="preserve"> (Responds to Theme 1 and Theme 2)</w:t>
      </w:r>
    </w:p>
    <w:p w14:paraId="7401DF9C" w14:textId="77777777" w:rsidR="0014186F" w:rsidRPr="0014186F" w:rsidRDefault="0014186F" w:rsidP="0014186F">
      <w:pPr>
        <w:spacing w:before="100" w:beforeAutospacing="1" w:after="100" w:afterAutospacing="1" w:line="360" w:lineRule="auto"/>
        <w:rPr>
          <w:rFonts w:eastAsia="Times New Roman" w:cs="Arial"/>
          <w:szCs w:val="24"/>
        </w:rPr>
      </w:pPr>
      <w:r w:rsidRPr="0014186F">
        <w:rPr>
          <w:rFonts w:eastAsia="Times New Roman" w:cs="Arial"/>
          <w:szCs w:val="24"/>
        </w:rPr>
        <w:t>This recommendation responds directly to the layered barriers and enforced disengagement identified in Theme 1, and to the evidence in Theme 2 that first-contact friction contributes to missed care, heightened anxiety and loneliness</w:t>
      </w:r>
    </w:p>
    <w:p w14:paraId="06EC4768" w14:textId="77777777" w:rsidR="001C0EA8" w:rsidRPr="00B10FD1" w:rsidRDefault="00E43055" w:rsidP="006240B2">
      <w:pPr>
        <w:spacing w:before="120" w:after="120" w:line="360" w:lineRule="auto"/>
        <w:jc w:val="both"/>
        <w:rPr>
          <w:rFonts w:eastAsia="Times New Roman" w:cs="Arial"/>
          <w:szCs w:val="24"/>
        </w:rPr>
      </w:pPr>
      <w:r w:rsidRPr="00B10FD1">
        <w:rPr>
          <w:rFonts w:eastAsia="Times New Roman" w:cs="Arial"/>
          <w:szCs w:val="24"/>
        </w:rPr>
        <w:t>What to do:</w:t>
      </w:r>
      <w:r w:rsidR="001C0EA8" w:rsidRPr="00B10FD1">
        <w:rPr>
          <w:rFonts w:eastAsia="Times New Roman" w:cs="Arial"/>
          <w:szCs w:val="24"/>
        </w:rPr>
        <w:t xml:space="preserve"> In every primary care, community health and adult social care setting, make assisted-digital help available at reception or the “front door” (e.g., trained digital champions with protected time). Publicly commit to parity by design—phone and face-to-face routes remain visibly equal to </w:t>
      </w:r>
      <w:r w:rsidR="001C0EA8" w:rsidRPr="00B10FD1">
        <w:rPr>
          <w:rFonts w:eastAsia="Times New Roman" w:cs="Arial"/>
          <w:szCs w:val="24"/>
        </w:rPr>
        <w:lastRenderedPageBreak/>
        <w:t>digital channels on websites, posters, IVR messages and appointment letters. Build warm handovers from reception to local libraries/VCSE partners for ongoing coaching.</w:t>
      </w:r>
    </w:p>
    <w:p w14:paraId="317C0B44" w14:textId="77777777" w:rsidR="001C0EA8" w:rsidRPr="00B10FD1" w:rsidRDefault="00E43055" w:rsidP="006240B2">
      <w:pPr>
        <w:spacing w:before="120" w:after="120" w:line="360" w:lineRule="auto"/>
        <w:jc w:val="both"/>
        <w:rPr>
          <w:rFonts w:eastAsia="Times New Roman" w:cs="Arial"/>
          <w:szCs w:val="24"/>
        </w:rPr>
      </w:pPr>
      <w:r w:rsidRPr="00B10FD1">
        <w:rPr>
          <w:rFonts w:eastAsia="Times New Roman" w:cs="Arial"/>
          <w:szCs w:val="24"/>
        </w:rPr>
        <w:t>Why it matters:</w:t>
      </w:r>
      <w:r w:rsidR="001C0EA8" w:rsidRPr="00B10FD1">
        <w:rPr>
          <w:rFonts w:eastAsia="Times New Roman" w:cs="Arial"/>
          <w:szCs w:val="24"/>
        </w:rPr>
        <w:t xml:space="preserve"> This removes the digital “threshold” that deters older adults, reduces anxiety, and turns digital tools into facilitators rather than gatekeepers. It also preserves choice and dignity—critical for mental wellbeing.</w:t>
      </w:r>
    </w:p>
    <w:p w14:paraId="7EC9092A" w14:textId="77777777" w:rsidR="001C0EA8" w:rsidRPr="00B10FD1" w:rsidRDefault="00E43055" w:rsidP="006240B2">
      <w:pPr>
        <w:spacing w:before="120" w:after="120" w:line="360" w:lineRule="auto"/>
        <w:jc w:val="both"/>
        <w:rPr>
          <w:rFonts w:eastAsia="Times New Roman" w:cs="Arial"/>
          <w:szCs w:val="24"/>
        </w:rPr>
      </w:pPr>
      <w:r w:rsidRPr="00B10FD1">
        <w:rPr>
          <w:rFonts w:eastAsia="Times New Roman" w:cs="Arial"/>
          <w:szCs w:val="24"/>
        </w:rPr>
        <w:t>Barriers:</w:t>
      </w:r>
      <w:r w:rsidR="001C0EA8" w:rsidRPr="00B10FD1">
        <w:rPr>
          <w:rFonts w:eastAsia="Times New Roman" w:cs="Arial"/>
          <w:szCs w:val="24"/>
        </w:rPr>
        <w:t xml:space="preserve"> Staffing capacity, variable digital confidence among front-line staff, and inconsistent local partnerships.</w:t>
      </w:r>
    </w:p>
    <w:p w14:paraId="01718BD2" w14:textId="77777777" w:rsidR="001C0EA8" w:rsidRPr="00B10FD1" w:rsidRDefault="00E43055" w:rsidP="006240B2">
      <w:pPr>
        <w:spacing w:before="120" w:after="120" w:line="360" w:lineRule="auto"/>
        <w:jc w:val="both"/>
        <w:rPr>
          <w:rFonts w:eastAsia="Times New Roman" w:cs="Arial"/>
          <w:szCs w:val="24"/>
        </w:rPr>
      </w:pPr>
      <w:r w:rsidRPr="00B10FD1">
        <w:rPr>
          <w:rFonts w:eastAsia="Times New Roman" w:cs="Arial"/>
          <w:szCs w:val="24"/>
        </w:rPr>
        <w:t>How to overcome:</w:t>
      </w:r>
      <w:r w:rsidR="001C0EA8" w:rsidRPr="00B10FD1">
        <w:rPr>
          <w:rFonts w:eastAsia="Times New Roman" w:cs="Arial"/>
          <w:szCs w:val="24"/>
        </w:rPr>
        <w:t xml:space="preserve"> (</w:t>
      </w:r>
      <w:proofErr w:type="spellStart"/>
      <w:r w:rsidR="001C0EA8" w:rsidRPr="00B10FD1">
        <w:rPr>
          <w:rFonts w:eastAsia="Times New Roman" w:cs="Arial"/>
          <w:szCs w:val="24"/>
        </w:rPr>
        <w:t>i</w:t>
      </w:r>
      <w:proofErr w:type="spellEnd"/>
      <w:r w:rsidR="001C0EA8" w:rsidRPr="00B10FD1">
        <w:rPr>
          <w:rFonts w:eastAsia="Times New Roman" w:cs="Arial"/>
          <w:szCs w:val="24"/>
        </w:rPr>
        <w:t xml:space="preserve">) Create a short accredited micro-credential for reception/coordination staff; (ii) ring-fence small amounts of recurrent funding for </w:t>
      </w:r>
      <w:proofErr w:type="spellStart"/>
      <w:r w:rsidR="001C0EA8" w:rsidRPr="00B10FD1">
        <w:rPr>
          <w:rFonts w:eastAsia="Times New Roman" w:cs="Arial"/>
          <w:szCs w:val="24"/>
        </w:rPr>
        <w:t>rota</w:t>
      </w:r>
      <w:proofErr w:type="spellEnd"/>
      <w:r w:rsidR="001C0EA8" w:rsidRPr="00B10FD1">
        <w:rPr>
          <w:rFonts w:eastAsia="Times New Roman" w:cs="Arial"/>
          <w:szCs w:val="24"/>
        </w:rPr>
        <w:t xml:space="preserve">-based champion time; (iii) sign lightweight </w:t>
      </w:r>
      <w:proofErr w:type="spellStart"/>
      <w:r w:rsidR="001C0EA8" w:rsidRPr="00B10FD1">
        <w:rPr>
          <w:rFonts w:eastAsia="Times New Roman" w:cs="Arial"/>
          <w:szCs w:val="24"/>
        </w:rPr>
        <w:t>MoUs</w:t>
      </w:r>
      <w:proofErr w:type="spellEnd"/>
      <w:r w:rsidR="001C0EA8" w:rsidRPr="00B10FD1">
        <w:rPr>
          <w:rFonts w:eastAsia="Times New Roman" w:cs="Arial"/>
          <w:szCs w:val="24"/>
        </w:rPr>
        <w:t xml:space="preserve"> with libraries/housing/VCSEs to </w:t>
      </w:r>
      <w:proofErr w:type="spellStart"/>
      <w:r w:rsidR="001C0EA8" w:rsidRPr="00B10FD1">
        <w:rPr>
          <w:rFonts w:eastAsia="Times New Roman" w:cs="Arial"/>
          <w:szCs w:val="24"/>
        </w:rPr>
        <w:t>formalise</w:t>
      </w:r>
      <w:proofErr w:type="spellEnd"/>
      <w:r w:rsidR="001C0EA8" w:rsidRPr="00B10FD1">
        <w:rPr>
          <w:rFonts w:eastAsia="Times New Roman" w:cs="Arial"/>
          <w:szCs w:val="24"/>
        </w:rPr>
        <w:t xml:space="preserve"> handovers; (iv) add equity KPIs (e.g., proportion of 75+ completing bookings without digital obstacles) to practice/PCN dashboards.</w:t>
      </w:r>
    </w:p>
    <w:p w14:paraId="7C0D98A1" w14:textId="77777777" w:rsidR="001C0EA8" w:rsidRPr="00B10FD1" w:rsidRDefault="001C0EA8" w:rsidP="006240B2">
      <w:pPr>
        <w:pStyle w:val="Heading3"/>
        <w:spacing w:before="120" w:beforeAutospacing="0" w:after="120" w:afterAutospacing="0" w:line="360" w:lineRule="auto"/>
        <w:jc w:val="both"/>
        <w:rPr>
          <w:rFonts w:ascii="Arial" w:hAnsi="Arial" w:cs="Arial"/>
        </w:rPr>
      </w:pPr>
      <w:bookmarkStart w:id="77" w:name="_Toc209284808"/>
      <w:r w:rsidRPr="00B10FD1">
        <w:rPr>
          <w:rFonts w:ascii="Arial" w:hAnsi="Arial" w:cs="Arial"/>
        </w:rPr>
        <w:t>5.2.2 Recommendation 2: Commission place-based inclusion</w:t>
      </w:r>
      <w:r w:rsidR="00E43055" w:rsidRPr="00B10FD1">
        <w:rPr>
          <w:rFonts w:ascii="Arial" w:hAnsi="Arial" w:cs="Arial"/>
        </w:rPr>
        <w:t xml:space="preserve"> bundles—device + data + skills – </w:t>
      </w:r>
      <w:r w:rsidRPr="00B10FD1">
        <w:rPr>
          <w:rFonts w:ascii="Arial" w:hAnsi="Arial" w:cs="Arial"/>
        </w:rPr>
        <w:t>co-designed with older adults</w:t>
      </w:r>
      <w:bookmarkEnd w:id="77"/>
      <w:r w:rsidR="009A5C0A">
        <w:rPr>
          <w:rFonts w:ascii="Arial" w:hAnsi="Arial" w:cs="Arial"/>
        </w:rPr>
        <w:t xml:space="preserve"> (Responds to Theme 1 and Theme 3)</w:t>
      </w:r>
    </w:p>
    <w:p w14:paraId="30A5522D" w14:textId="77777777" w:rsidR="009A5C0A" w:rsidRPr="009A5C0A" w:rsidRDefault="009A5C0A" w:rsidP="00493AD4">
      <w:pPr>
        <w:spacing w:before="100" w:beforeAutospacing="1" w:after="100" w:afterAutospacing="1" w:line="360" w:lineRule="auto"/>
        <w:jc w:val="both"/>
        <w:rPr>
          <w:rFonts w:eastAsia="Times New Roman" w:cs="Arial"/>
          <w:szCs w:val="24"/>
        </w:rPr>
      </w:pPr>
      <w:r w:rsidRPr="009A5C0A">
        <w:rPr>
          <w:rFonts w:eastAsia="Times New Roman" w:cs="Arial"/>
          <w:szCs w:val="24"/>
        </w:rPr>
        <w:t>This recommendation builds on Theme 1’s account of access and skills gaps and on Theme 3’s evidence that place-based, co-designed models such as 100% Digital Leeds are among the most effective ways to reduce exclusion and protect mental wellbeing.</w:t>
      </w:r>
    </w:p>
    <w:p w14:paraId="514E46C3" w14:textId="77777777" w:rsidR="001C0EA8" w:rsidRPr="00B10FD1" w:rsidRDefault="00E43055" w:rsidP="006240B2">
      <w:pPr>
        <w:spacing w:before="120" w:after="120" w:line="360" w:lineRule="auto"/>
        <w:jc w:val="both"/>
        <w:rPr>
          <w:rFonts w:eastAsia="Times New Roman" w:cs="Arial"/>
          <w:szCs w:val="24"/>
        </w:rPr>
      </w:pPr>
      <w:r w:rsidRPr="00B10FD1">
        <w:rPr>
          <w:rFonts w:eastAsia="Times New Roman" w:cs="Arial"/>
          <w:szCs w:val="24"/>
        </w:rPr>
        <w:t>What to do:</w:t>
      </w:r>
      <w:r w:rsidR="001C0EA8" w:rsidRPr="00B10FD1">
        <w:rPr>
          <w:rFonts w:eastAsia="Times New Roman" w:cs="Arial"/>
          <w:szCs w:val="24"/>
        </w:rPr>
        <w:t xml:space="preserve"> At ICB/local authority level, fund multi-year, community-anchored </w:t>
      </w:r>
      <w:proofErr w:type="spellStart"/>
      <w:r w:rsidR="001C0EA8" w:rsidRPr="00B10FD1">
        <w:rPr>
          <w:rFonts w:eastAsia="Times New Roman" w:cs="Arial"/>
          <w:szCs w:val="24"/>
        </w:rPr>
        <w:t>programmes</w:t>
      </w:r>
      <w:proofErr w:type="spellEnd"/>
      <w:r w:rsidR="001C0EA8" w:rsidRPr="00B10FD1">
        <w:rPr>
          <w:rFonts w:eastAsia="Times New Roman" w:cs="Arial"/>
          <w:szCs w:val="24"/>
        </w:rPr>
        <w:t xml:space="preserve"> that bundle loan devices, affordable connectivity (social tariffs/data vouchers), and progressive skills support delivered in trusted places (libraries, housing schemes, community </w:t>
      </w:r>
      <w:proofErr w:type="spellStart"/>
      <w:r w:rsidR="001C0EA8" w:rsidRPr="00B10FD1">
        <w:rPr>
          <w:rFonts w:eastAsia="Times New Roman" w:cs="Arial"/>
          <w:szCs w:val="24"/>
        </w:rPr>
        <w:t>centres</w:t>
      </w:r>
      <w:proofErr w:type="spellEnd"/>
      <w:r w:rsidR="001C0EA8" w:rsidRPr="00B10FD1">
        <w:rPr>
          <w:rFonts w:eastAsia="Times New Roman" w:cs="Arial"/>
          <w:szCs w:val="24"/>
        </w:rPr>
        <w:t>). Co-design curricula and materials with older adults and carers; include accessible features (large fonts, plain language, alternative verification, proxy/carer access).</w:t>
      </w:r>
    </w:p>
    <w:p w14:paraId="42FD8C71" w14:textId="77777777" w:rsidR="001C0EA8" w:rsidRPr="00B10FD1" w:rsidRDefault="00E43055" w:rsidP="006240B2">
      <w:pPr>
        <w:spacing w:before="120" w:after="120" w:line="360" w:lineRule="auto"/>
        <w:jc w:val="both"/>
        <w:rPr>
          <w:rFonts w:eastAsia="Times New Roman" w:cs="Arial"/>
          <w:szCs w:val="24"/>
        </w:rPr>
      </w:pPr>
      <w:r w:rsidRPr="00B10FD1">
        <w:rPr>
          <w:rFonts w:eastAsia="Times New Roman" w:cs="Arial"/>
          <w:szCs w:val="24"/>
        </w:rPr>
        <w:t>Why it matters:</w:t>
      </w:r>
      <w:r w:rsidR="001C0EA8" w:rsidRPr="00B10FD1">
        <w:rPr>
          <w:rFonts w:eastAsia="Times New Roman" w:cs="Arial"/>
          <w:szCs w:val="24"/>
        </w:rPr>
        <w:t xml:space="preserve"> Training alone does not resolve affordability or connectivity barriers. Bundling addresses first-, second- and third-level divides simultaneously and links learning to meaningful goals (e.g., ordering prescriptions, contacting known clinicians, social connection tools), which improves motivation and sustained use.</w:t>
      </w:r>
    </w:p>
    <w:p w14:paraId="1401B095" w14:textId="77777777" w:rsidR="001C0EA8" w:rsidRPr="00B10FD1" w:rsidRDefault="00E43055" w:rsidP="006240B2">
      <w:pPr>
        <w:spacing w:before="120" w:after="120" w:line="360" w:lineRule="auto"/>
        <w:jc w:val="both"/>
        <w:rPr>
          <w:rFonts w:eastAsia="Times New Roman" w:cs="Arial"/>
          <w:szCs w:val="24"/>
        </w:rPr>
      </w:pPr>
      <w:r w:rsidRPr="00B10FD1">
        <w:rPr>
          <w:rFonts w:eastAsia="Times New Roman" w:cs="Arial"/>
          <w:szCs w:val="24"/>
        </w:rPr>
        <w:t>Barriers:</w:t>
      </w:r>
      <w:r w:rsidR="001C0EA8" w:rsidRPr="00B10FD1">
        <w:rPr>
          <w:rFonts w:eastAsia="Times New Roman" w:cs="Arial"/>
          <w:szCs w:val="24"/>
        </w:rPr>
        <w:t xml:space="preserve"> Short-term funding cycles (“</w:t>
      </w:r>
      <w:proofErr w:type="spellStart"/>
      <w:r w:rsidR="001C0EA8" w:rsidRPr="00B10FD1">
        <w:rPr>
          <w:rFonts w:eastAsia="Times New Roman" w:cs="Arial"/>
          <w:szCs w:val="24"/>
        </w:rPr>
        <w:t>pilotitis</w:t>
      </w:r>
      <w:proofErr w:type="spellEnd"/>
      <w:r w:rsidR="001C0EA8" w:rsidRPr="00B10FD1">
        <w:rPr>
          <w:rFonts w:eastAsia="Times New Roman" w:cs="Arial"/>
          <w:szCs w:val="24"/>
        </w:rPr>
        <w:t>”); fragmented local mapping of need; stigma about “not being good with tech.”</w:t>
      </w:r>
    </w:p>
    <w:p w14:paraId="1FDFFC54" w14:textId="77777777" w:rsidR="001C0EA8" w:rsidRPr="00B10FD1" w:rsidRDefault="00E43055" w:rsidP="006240B2">
      <w:pPr>
        <w:spacing w:before="120" w:after="120" w:line="360" w:lineRule="auto"/>
        <w:jc w:val="both"/>
        <w:rPr>
          <w:rFonts w:eastAsia="Times New Roman" w:cs="Arial"/>
          <w:szCs w:val="24"/>
        </w:rPr>
      </w:pPr>
      <w:r w:rsidRPr="00B10FD1">
        <w:rPr>
          <w:rFonts w:eastAsia="Times New Roman" w:cs="Arial"/>
          <w:szCs w:val="24"/>
        </w:rPr>
        <w:t>How to overcome:</w:t>
      </w:r>
      <w:r w:rsidR="001C0EA8" w:rsidRPr="00B10FD1">
        <w:rPr>
          <w:rFonts w:eastAsia="Times New Roman" w:cs="Arial"/>
          <w:szCs w:val="24"/>
        </w:rPr>
        <w:t xml:space="preserve"> (</w:t>
      </w:r>
      <w:proofErr w:type="spellStart"/>
      <w:r w:rsidR="001C0EA8" w:rsidRPr="00B10FD1">
        <w:rPr>
          <w:rFonts w:eastAsia="Times New Roman" w:cs="Arial"/>
          <w:szCs w:val="24"/>
        </w:rPr>
        <w:t>i</w:t>
      </w:r>
      <w:proofErr w:type="spellEnd"/>
      <w:r w:rsidR="001C0EA8" w:rsidRPr="00B10FD1">
        <w:rPr>
          <w:rFonts w:eastAsia="Times New Roman" w:cs="Arial"/>
          <w:szCs w:val="24"/>
        </w:rPr>
        <w:t xml:space="preserve">) Use multi-year commissioning with milestones tied to equity outcomes (completed contacts, reduced missed care, self-reported confidence/belonging); (ii) require a </w:t>
      </w:r>
      <w:r w:rsidR="001C0EA8" w:rsidRPr="00B10FD1">
        <w:rPr>
          <w:rFonts w:eastAsia="Times New Roman" w:cs="Arial"/>
          <w:szCs w:val="24"/>
        </w:rPr>
        <w:lastRenderedPageBreak/>
        <w:t xml:space="preserve">local exclusion map (deprivation, disability, rural connectivity) to target outreach; (iii) embed </w:t>
      </w:r>
      <w:proofErr w:type="spellStart"/>
      <w:r w:rsidR="001C0EA8" w:rsidRPr="00B10FD1">
        <w:rPr>
          <w:rFonts w:eastAsia="Times New Roman" w:cs="Arial"/>
          <w:szCs w:val="24"/>
        </w:rPr>
        <w:t>programmes</w:t>
      </w:r>
      <w:proofErr w:type="spellEnd"/>
      <w:r w:rsidR="001C0EA8" w:rsidRPr="00B10FD1">
        <w:rPr>
          <w:rFonts w:eastAsia="Times New Roman" w:cs="Arial"/>
          <w:szCs w:val="24"/>
        </w:rPr>
        <w:t xml:space="preserve"> in social activities (hobby clubs, coffee mornings) to </w:t>
      </w:r>
      <w:proofErr w:type="spellStart"/>
      <w:r w:rsidR="001C0EA8" w:rsidRPr="00B10FD1">
        <w:rPr>
          <w:rFonts w:eastAsia="Times New Roman" w:cs="Arial"/>
          <w:szCs w:val="24"/>
        </w:rPr>
        <w:t>normalise</w:t>
      </w:r>
      <w:proofErr w:type="spellEnd"/>
      <w:r w:rsidR="001C0EA8" w:rsidRPr="00B10FD1">
        <w:rPr>
          <w:rFonts w:eastAsia="Times New Roman" w:cs="Arial"/>
          <w:szCs w:val="24"/>
        </w:rPr>
        <w:t xml:space="preserve"> participation and reduce stigma.</w:t>
      </w:r>
    </w:p>
    <w:p w14:paraId="6EDFDED5" w14:textId="77777777" w:rsidR="001C0EA8" w:rsidRPr="00B10FD1" w:rsidRDefault="001C0EA8" w:rsidP="006240B2">
      <w:pPr>
        <w:pStyle w:val="Heading3"/>
        <w:spacing w:before="120" w:beforeAutospacing="0" w:after="120" w:afterAutospacing="0" w:line="360" w:lineRule="auto"/>
        <w:jc w:val="both"/>
        <w:rPr>
          <w:rFonts w:ascii="Arial" w:hAnsi="Arial" w:cs="Arial"/>
        </w:rPr>
      </w:pPr>
      <w:bookmarkStart w:id="78" w:name="_Toc209284809"/>
      <w:r w:rsidRPr="00B10FD1">
        <w:rPr>
          <w:rFonts w:ascii="Arial" w:hAnsi="Arial" w:cs="Arial"/>
        </w:rPr>
        <w:t>5.2.3 Recommendation 3: Close the first-contact evidence gap and mainstream equity-led evaluation</w:t>
      </w:r>
      <w:bookmarkEnd w:id="78"/>
      <w:r w:rsidR="00493AD4">
        <w:rPr>
          <w:rFonts w:ascii="Arial" w:hAnsi="Arial" w:cs="Arial"/>
        </w:rPr>
        <w:t xml:space="preserve"> (Responds to Theme 3 and Theme 4)</w:t>
      </w:r>
    </w:p>
    <w:p w14:paraId="1D7473B0" w14:textId="77777777" w:rsidR="00493AD4" w:rsidRPr="00493AD4" w:rsidRDefault="00493AD4" w:rsidP="00493AD4">
      <w:pPr>
        <w:spacing w:before="100" w:beforeAutospacing="1" w:after="100" w:afterAutospacing="1" w:line="360" w:lineRule="auto"/>
        <w:jc w:val="both"/>
        <w:rPr>
          <w:rFonts w:eastAsia="Times New Roman" w:cs="Arial"/>
          <w:szCs w:val="24"/>
        </w:rPr>
      </w:pPr>
      <w:r w:rsidRPr="00493AD4">
        <w:rPr>
          <w:rFonts w:eastAsia="Times New Roman" w:cs="Arial"/>
          <w:szCs w:val="24"/>
        </w:rPr>
        <w:t>This recommendat</w:t>
      </w:r>
      <w:r>
        <w:rPr>
          <w:rFonts w:eastAsia="Times New Roman" w:cs="Arial"/>
          <w:szCs w:val="24"/>
        </w:rPr>
        <w:t>ion responds directly to Theme 3</w:t>
      </w:r>
      <w:r w:rsidRPr="00493AD4">
        <w:rPr>
          <w:rFonts w:eastAsia="Times New Roman" w:cs="Arial"/>
          <w:szCs w:val="24"/>
        </w:rPr>
        <w:t>’s finding that digital thresholds can trigger avoida</w:t>
      </w:r>
      <w:r>
        <w:rPr>
          <w:rFonts w:eastAsia="Times New Roman" w:cs="Arial"/>
          <w:szCs w:val="24"/>
        </w:rPr>
        <w:t>nce and distress, and to Theme 4</w:t>
      </w:r>
      <w:r w:rsidRPr="00493AD4">
        <w:rPr>
          <w:rFonts w:eastAsia="Times New Roman" w:cs="Arial"/>
          <w:szCs w:val="24"/>
        </w:rPr>
        <w:t>’s identification of a major evaluation gap around first-contact tools and equity outcomes.</w:t>
      </w:r>
    </w:p>
    <w:p w14:paraId="1786E668" w14:textId="77777777" w:rsidR="001C0EA8" w:rsidRPr="00B10FD1" w:rsidRDefault="00702196" w:rsidP="006240B2">
      <w:pPr>
        <w:spacing w:before="120" w:after="120" w:line="360" w:lineRule="auto"/>
        <w:jc w:val="both"/>
        <w:rPr>
          <w:rFonts w:eastAsia="Times New Roman" w:cs="Arial"/>
          <w:szCs w:val="24"/>
        </w:rPr>
      </w:pPr>
      <w:r w:rsidRPr="00B10FD1">
        <w:rPr>
          <w:rFonts w:eastAsia="Times New Roman" w:cs="Arial"/>
          <w:szCs w:val="24"/>
        </w:rPr>
        <w:t>What to do:</w:t>
      </w:r>
      <w:r w:rsidR="001C0EA8" w:rsidRPr="00B10FD1">
        <w:rPr>
          <w:rFonts w:eastAsia="Times New Roman" w:cs="Arial"/>
          <w:szCs w:val="24"/>
        </w:rPr>
        <w:t xml:space="preserve"> </w:t>
      </w:r>
      <w:proofErr w:type="spellStart"/>
      <w:r w:rsidR="001C0EA8" w:rsidRPr="00B10FD1">
        <w:rPr>
          <w:rFonts w:eastAsia="Times New Roman" w:cs="Arial"/>
          <w:szCs w:val="24"/>
        </w:rPr>
        <w:t>Prioritise</w:t>
      </w:r>
      <w:proofErr w:type="spellEnd"/>
      <w:r w:rsidR="001C0EA8" w:rsidRPr="00B10FD1">
        <w:rPr>
          <w:rFonts w:eastAsia="Times New Roman" w:cs="Arial"/>
          <w:szCs w:val="24"/>
        </w:rPr>
        <w:t xml:space="preserve"> evaluation of online booking and e-tri</w:t>
      </w:r>
      <w:r w:rsidRPr="00B10FD1">
        <w:rPr>
          <w:rFonts w:eastAsia="Times New Roman" w:cs="Arial"/>
          <w:szCs w:val="24"/>
        </w:rPr>
        <w:t xml:space="preserve">age for older adults, </w:t>
      </w:r>
      <w:r w:rsidR="001C0EA8" w:rsidRPr="00B10FD1">
        <w:rPr>
          <w:rFonts w:eastAsia="Times New Roman" w:cs="Arial"/>
          <w:szCs w:val="24"/>
        </w:rPr>
        <w:t>the current weak point. Mandate routine equity monitoring across digital and non-digital routes (age bands incl. 75+, long-term conditions, deprivation quintiles), and track not only adoption (sign-ups) but experience and wellbeing (technology-related anxiety, loneliness, perceived control). Publish access statements that show how offline options are preserved and how assisted-digital is offered.</w:t>
      </w:r>
    </w:p>
    <w:p w14:paraId="2D41D17D" w14:textId="77777777" w:rsidR="001C0EA8" w:rsidRPr="00B10FD1" w:rsidRDefault="00702196" w:rsidP="006240B2">
      <w:pPr>
        <w:spacing w:before="120" w:after="120" w:line="360" w:lineRule="auto"/>
        <w:jc w:val="both"/>
        <w:rPr>
          <w:rFonts w:eastAsia="Times New Roman" w:cs="Arial"/>
          <w:szCs w:val="24"/>
        </w:rPr>
      </w:pPr>
      <w:r w:rsidRPr="00B10FD1">
        <w:rPr>
          <w:rFonts w:eastAsia="Times New Roman" w:cs="Arial"/>
          <w:szCs w:val="24"/>
        </w:rPr>
        <w:t>Why it matters:</w:t>
      </w:r>
      <w:r w:rsidR="001C0EA8" w:rsidRPr="00B10FD1">
        <w:rPr>
          <w:rFonts w:eastAsia="Times New Roman" w:cs="Arial"/>
          <w:szCs w:val="24"/>
        </w:rPr>
        <w:t xml:space="preserve"> Without evidence about the earliest step in the journey, inequities persist un</w:t>
      </w:r>
      <w:r w:rsidRPr="00B10FD1">
        <w:rPr>
          <w:rFonts w:eastAsia="Times New Roman" w:cs="Arial"/>
          <w:szCs w:val="24"/>
        </w:rPr>
        <w:t xml:space="preserve">noticed. Measuring what matters, </w:t>
      </w:r>
      <w:r w:rsidR="001C0EA8" w:rsidRPr="00B10FD1">
        <w:rPr>
          <w:rFonts w:eastAsia="Times New Roman" w:cs="Arial"/>
          <w:szCs w:val="24"/>
        </w:rPr>
        <w:t>completed a</w:t>
      </w:r>
      <w:r w:rsidRPr="00B10FD1">
        <w:rPr>
          <w:rFonts w:eastAsia="Times New Roman" w:cs="Arial"/>
          <w:szCs w:val="24"/>
        </w:rPr>
        <w:t xml:space="preserve">ccess and psychosocial outcomes, </w:t>
      </w:r>
      <w:r w:rsidR="001C0EA8" w:rsidRPr="00B10FD1">
        <w:rPr>
          <w:rFonts w:eastAsia="Times New Roman" w:cs="Arial"/>
          <w:szCs w:val="24"/>
        </w:rPr>
        <w:t>prevents false reassurance from portal registrations alone.</w:t>
      </w:r>
    </w:p>
    <w:p w14:paraId="510E7A9B" w14:textId="77777777" w:rsidR="001C0EA8" w:rsidRPr="00B10FD1" w:rsidRDefault="00702196" w:rsidP="006240B2">
      <w:pPr>
        <w:spacing w:before="120" w:after="120" w:line="360" w:lineRule="auto"/>
        <w:jc w:val="both"/>
        <w:rPr>
          <w:rFonts w:eastAsia="Times New Roman" w:cs="Arial"/>
          <w:szCs w:val="24"/>
        </w:rPr>
      </w:pPr>
      <w:r w:rsidRPr="00B10FD1">
        <w:rPr>
          <w:rFonts w:eastAsia="Times New Roman" w:cs="Arial"/>
          <w:szCs w:val="24"/>
        </w:rPr>
        <w:t>Barriers:</w:t>
      </w:r>
      <w:r w:rsidR="001C0EA8" w:rsidRPr="00B10FD1">
        <w:rPr>
          <w:rFonts w:eastAsia="Times New Roman" w:cs="Arial"/>
          <w:szCs w:val="24"/>
        </w:rPr>
        <w:t xml:space="preserve"> Data linkage challenges across systems; limited analytic capacity; concern about additional reporting burden.</w:t>
      </w:r>
    </w:p>
    <w:p w14:paraId="3382701D" w14:textId="77777777" w:rsidR="008F40DA" w:rsidRPr="00B10FD1" w:rsidRDefault="00702196" w:rsidP="008F40DA">
      <w:pPr>
        <w:spacing w:before="120" w:after="120" w:line="360" w:lineRule="auto"/>
        <w:jc w:val="both"/>
        <w:rPr>
          <w:rFonts w:eastAsia="Times New Roman" w:cs="Arial"/>
          <w:szCs w:val="24"/>
        </w:rPr>
      </w:pPr>
      <w:r w:rsidRPr="00B10FD1">
        <w:rPr>
          <w:rFonts w:eastAsia="Times New Roman" w:cs="Arial"/>
          <w:szCs w:val="24"/>
        </w:rPr>
        <w:t>How to overcome:</w:t>
      </w:r>
      <w:r w:rsidR="001C0EA8" w:rsidRPr="00B10FD1">
        <w:rPr>
          <w:rFonts w:eastAsia="Times New Roman" w:cs="Arial"/>
          <w:szCs w:val="24"/>
        </w:rPr>
        <w:t xml:space="preserve"> (</w:t>
      </w:r>
      <w:proofErr w:type="spellStart"/>
      <w:r w:rsidR="001C0EA8" w:rsidRPr="00B10FD1">
        <w:rPr>
          <w:rFonts w:eastAsia="Times New Roman" w:cs="Arial"/>
          <w:szCs w:val="24"/>
        </w:rPr>
        <w:t>i</w:t>
      </w:r>
      <w:proofErr w:type="spellEnd"/>
      <w:r w:rsidR="001C0EA8" w:rsidRPr="00B10FD1">
        <w:rPr>
          <w:rFonts w:eastAsia="Times New Roman" w:cs="Arial"/>
          <w:szCs w:val="24"/>
        </w:rPr>
        <w:t xml:space="preserve">) </w:t>
      </w:r>
      <w:proofErr w:type="spellStart"/>
      <w:r w:rsidR="001C0EA8" w:rsidRPr="00B10FD1">
        <w:rPr>
          <w:rFonts w:eastAsia="Times New Roman" w:cs="Arial"/>
          <w:szCs w:val="24"/>
        </w:rPr>
        <w:t>Standardise</w:t>
      </w:r>
      <w:proofErr w:type="spellEnd"/>
      <w:r w:rsidR="001C0EA8" w:rsidRPr="00B10FD1">
        <w:rPr>
          <w:rFonts w:eastAsia="Times New Roman" w:cs="Arial"/>
          <w:szCs w:val="24"/>
        </w:rPr>
        <w:t xml:space="preserve"> a lean indicator set (e.g., three access KPIs and two wellbeing items) built into existing systems; (ii) provide shared analytics via ICB teams; (iii) </w:t>
      </w:r>
      <w:proofErr w:type="spellStart"/>
      <w:r w:rsidR="001C0EA8" w:rsidRPr="00B10FD1">
        <w:rPr>
          <w:rFonts w:eastAsia="Times New Roman" w:cs="Arial"/>
          <w:szCs w:val="24"/>
        </w:rPr>
        <w:t>incentivise</w:t>
      </w:r>
      <w:proofErr w:type="spellEnd"/>
      <w:r w:rsidR="001C0EA8" w:rsidRPr="00B10FD1">
        <w:rPr>
          <w:rFonts w:eastAsia="Times New Roman" w:cs="Arial"/>
          <w:szCs w:val="24"/>
        </w:rPr>
        <w:t xml:space="preserve"> through quality improvement schemes or contractual schedules; (iv) engage Patient and Public Involvement (PPIE) groups of older adults to co-design measures and interpret findings.</w:t>
      </w:r>
    </w:p>
    <w:p w14:paraId="2E13E047" w14:textId="77777777" w:rsidR="008F40DA" w:rsidRPr="00B10FD1" w:rsidRDefault="008F40DA" w:rsidP="008F40DA">
      <w:pPr>
        <w:spacing w:before="120" w:after="120" w:line="360" w:lineRule="auto"/>
        <w:jc w:val="both"/>
        <w:rPr>
          <w:rFonts w:eastAsia="Times New Roman" w:cs="Arial"/>
          <w:szCs w:val="24"/>
        </w:rPr>
      </w:pPr>
      <w:r w:rsidRPr="00B10FD1">
        <w:rPr>
          <w:rFonts w:cs="Arial"/>
        </w:rPr>
        <w:t>Having set out feasible actions and enablers, section 5.3 conclude the chapter by drawing these strands together and clarifying their system-level implications.</w:t>
      </w:r>
    </w:p>
    <w:p w14:paraId="4B8FD22B" w14:textId="77777777" w:rsidR="001C0EA8" w:rsidRPr="00B10FD1" w:rsidRDefault="001C0EA8" w:rsidP="006240B2">
      <w:pPr>
        <w:pStyle w:val="Heading2"/>
        <w:spacing w:before="120" w:beforeAutospacing="0" w:after="120" w:afterAutospacing="0" w:line="360" w:lineRule="auto"/>
        <w:jc w:val="both"/>
        <w:rPr>
          <w:rFonts w:ascii="Arial" w:hAnsi="Arial" w:cs="Arial"/>
        </w:rPr>
      </w:pPr>
      <w:bookmarkStart w:id="79" w:name="_Toc209284810"/>
      <w:r w:rsidRPr="00B10FD1">
        <w:rPr>
          <w:rFonts w:ascii="Arial" w:hAnsi="Arial" w:cs="Arial"/>
        </w:rPr>
        <w:t>5.3 Closing note</w:t>
      </w:r>
      <w:bookmarkEnd w:id="79"/>
    </w:p>
    <w:p w14:paraId="677E954F" w14:textId="77777777" w:rsidR="000F614C" w:rsidRDefault="001C0EA8" w:rsidP="000F614C">
      <w:pPr>
        <w:spacing w:before="120" w:after="120" w:line="360" w:lineRule="auto"/>
        <w:jc w:val="both"/>
        <w:rPr>
          <w:rFonts w:eastAsia="Times New Roman" w:cs="Arial"/>
          <w:szCs w:val="24"/>
        </w:rPr>
      </w:pPr>
      <w:r w:rsidRPr="00B10FD1">
        <w:rPr>
          <w:rFonts w:eastAsia="Times New Roman" w:cs="Arial"/>
          <w:szCs w:val="24"/>
        </w:rPr>
        <w:t xml:space="preserve">Together, these recommendations form a coherent, achievable programme that matches the realities of UK health and social care: keep choice and assistance at the front door; invest where people live and learn; and measure equity and wellbeing, not just clicks. Implemented in concert, they offer a credible route to reduce digital exclusion, enhance mental health and social </w:t>
      </w:r>
      <w:r w:rsidRPr="00B10FD1">
        <w:rPr>
          <w:rFonts w:eastAsia="Times New Roman" w:cs="Arial"/>
          <w:szCs w:val="24"/>
        </w:rPr>
        <w:lastRenderedPageBreak/>
        <w:t xml:space="preserve">connection, and ensure that system </w:t>
      </w:r>
      <w:proofErr w:type="spellStart"/>
      <w:r w:rsidRPr="00B10FD1">
        <w:rPr>
          <w:rFonts w:eastAsia="Times New Roman" w:cs="Arial"/>
          <w:szCs w:val="24"/>
        </w:rPr>
        <w:t>digitisation</w:t>
      </w:r>
      <w:proofErr w:type="spellEnd"/>
      <w:r w:rsidRPr="00B10FD1">
        <w:rPr>
          <w:rFonts w:eastAsia="Times New Roman" w:cs="Arial"/>
          <w:szCs w:val="24"/>
        </w:rPr>
        <w:t xml:space="preserve"> narrows, rather than widens, inequalities for older adults.</w:t>
      </w:r>
    </w:p>
    <w:p w14:paraId="7E32E1CB" w14:textId="77777777" w:rsidR="000F614C" w:rsidRPr="000F614C" w:rsidRDefault="00493AD4" w:rsidP="000F614C">
      <w:pPr>
        <w:spacing w:before="120" w:after="120" w:line="360" w:lineRule="auto"/>
        <w:jc w:val="both"/>
        <w:rPr>
          <w:rFonts w:eastAsia="Times New Roman" w:cs="Arial"/>
          <w:sz w:val="20"/>
          <w:szCs w:val="24"/>
        </w:rPr>
      </w:pPr>
      <w:r w:rsidRPr="00493AD4">
        <w:rPr>
          <w:rFonts w:eastAsia="Times New Roman" w:cs="Arial"/>
          <w:b/>
          <w:szCs w:val="24"/>
        </w:rPr>
        <w:t>Reflective note on limitations</w:t>
      </w:r>
    </w:p>
    <w:p w14:paraId="010D30BF" w14:textId="77777777" w:rsidR="00493AD4" w:rsidRPr="00493AD4" w:rsidRDefault="00493AD4" w:rsidP="000F614C">
      <w:pPr>
        <w:spacing w:before="120" w:after="120" w:line="360" w:lineRule="auto"/>
        <w:jc w:val="both"/>
        <w:rPr>
          <w:rFonts w:eastAsia="Times New Roman" w:cs="Arial"/>
          <w:sz w:val="20"/>
          <w:szCs w:val="24"/>
        </w:rPr>
      </w:pPr>
      <w:r w:rsidRPr="00493AD4">
        <w:rPr>
          <w:rFonts w:eastAsia="Times New Roman" w:cs="Arial"/>
          <w:szCs w:val="24"/>
        </w:rPr>
        <w:t xml:space="preserve">While the review is methodologically rigorous, one limitation is the reliance on secondary literature, which varies in quality, depth of reporting and methodological detail. Some potentially relevant experiences may be under-represented where studies provided limited contextual information, and the focus on English-language, UK-based research may omit insights from non-English or non-UK contexts. </w:t>
      </w:r>
      <w:proofErr w:type="spellStart"/>
      <w:r w:rsidRPr="00493AD4">
        <w:rPr>
          <w:rFonts w:eastAsia="Times New Roman" w:cs="Arial"/>
          <w:szCs w:val="24"/>
        </w:rPr>
        <w:t>Recognising</w:t>
      </w:r>
      <w:proofErr w:type="spellEnd"/>
      <w:r w:rsidRPr="00493AD4">
        <w:rPr>
          <w:rFonts w:eastAsia="Times New Roman" w:cs="Arial"/>
          <w:szCs w:val="24"/>
        </w:rPr>
        <w:t xml:space="preserve"> these constraints supports a cautious, critical interpretation of the findings and highlights the need for further primary, equity-focused research with older adults who are most affected by digital exclusion.</w:t>
      </w:r>
    </w:p>
    <w:p w14:paraId="7213B692" w14:textId="77777777" w:rsidR="00493AD4" w:rsidRPr="00B10FD1" w:rsidRDefault="00493AD4" w:rsidP="006240B2">
      <w:pPr>
        <w:spacing w:before="120" w:after="120" w:line="360" w:lineRule="auto"/>
        <w:jc w:val="both"/>
        <w:rPr>
          <w:rFonts w:eastAsia="Times New Roman" w:cs="Arial"/>
          <w:szCs w:val="24"/>
        </w:rPr>
      </w:pPr>
    </w:p>
    <w:p w14:paraId="794FFF2A" w14:textId="77777777" w:rsidR="00897DB9" w:rsidRPr="00B10FD1" w:rsidRDefault="00897DB9" w:rsidP="006240B2">
      <w:pPr>
        <w:spacing w:before="120" w:after="120" w:line="360" w:lineRule="auto"/>
        <w:jc w:val="both"/>
        <w:rPr>
          <w:rFonts w:eastAsia="Times New Roman" w:cs="Arial"/>
          <w:sz w:val="24"/>
          <w:szCs w:val="24"/>
        </w:rPr>
      </w:pPr>
    </w:p>
    <w:p w14:paraId="0CFCEADE" w14:textId="77777777" w:rsidR="008547EA" w:rsidRPr="00B10FD1" w:rsidRDefault="008547EA" w:rsidP="006240B2">
      <w:pPr>
        <w:spacing w:before="120" w:after="120" w:line="360" w:lineRule="auto"/>
        <w:jc w:val="both"/>
        <w:rPr>
          <w:rFonts w:eastAsia="Times New Roman" w:cs="Arial"/>
          <w:sz w:val="24"/>
          <w:szCs w:val="24"/>
        </w:rPr>
      </w:pPr>
    </w:p>
    <w:p w14:paraId="5DCAFCD2" w14:textId="77777777" w:rsidR="00B66E34" w:rsidRPr="00B10FD1" w:rsidRDefault="00B66E34" w:rsidP="006240B2">
      <w:pPr>
        <w:pStyle w:val="NormalWeb"/>
        <w:spacing w:before="120" w:beforeAutospacing="0" w:after="120" w:afterAutospacing="0" w:line="360" w:lineRule="auto"/>
        <w:jc w:val="both"/>
        <w:rPr>
          <w:rFonts w:ascii="Arial" w:hAnsi="Arial" w:cs="Arial"/>
        </w:rPr>
      </w:pPr>
    </w:p>
    <w:p w14:paraId="4F51EAA4" w14:textId="77777777" w:rsidR="00855CD9" w:rsidRDefault="00855CD9" w:rsidP="006240B2">
      <w:pPr>
        <w:pStyle w:val="NormalWeb"/>
        <w:spacing w:before="120" w:beforeAutospacing="0" w:after="120" w:afterAutospacing="0" w:line="360" w:lineRule="auto"/>
        <w:jc w:val="both"/>
        <w:rPr>
          <w:rFonts w:ascii="Arial" w:hAnsi="Arial" w:cs="Arial"/>
        </w:rPr>
      </w:pPr>
    </w:p>
    <w:p w14:paraId="14A37411" w14:textId="77777777" w:rsidR="00D74EF2" w:rsidRDefault="00D74EF2" w:rsidP="006240B2">
      <w:pPr>
        <w:pStyle w:val="NormalWeb"/>
        <w:spacing w:before="120" w:beforeAutospacing="0" w:after="120" w:afterAutospacing="0" w:line="360" w:lineRule="auto"/>
        <w:jc w:val="both"/>
        <w:rPr>
          <w:rFonts w:ascii="Arial" w:hAnsi="Arial" w:cs="Arial"/>
        </w:rPr>
      </w:pPr>
    </w:p>
    <w:p w14:paraId="5DA86586" w14:textId="77777777" w:rsidR="00D74EF2" w:rsidRDefault="00D74EF2" w:rsidP="006240B2">
      <w:pPr>
        <w:pStyle w:val="NormalWeb"/>
        <w:spacing w:before="120" w:beforeAutospacing="0" w:after="120" w:afterAutospacing="0" w:line="360" w:lineRule="auto"/>
        <w:jc w:val="both"/>
        <w:rPr>
          <w:rFonts w:ascii="Arial" w:hAnsi="Arial" w:cs="Arial"/>
        </w:rPr>
      </w:pPr>
    </w:p>
    <w:p w14:paraId="204BAC1C" w14:textId="77777777" w:rsidR="00D74EF2" w:rsidRDefault="00D74EF2" w:rsidP="006240B2">
      <w:pPr>
        <w:pStyle w:val="NormalWeb"/>
        <w:spacing w:before="120" w:beforeAutospacing="0" w:after="120" w:afterAutospacing="0" w:line="360" w:lineRule="auto"/>
        <w:jc w:val="both"/>
        <w:rPr>
          <w:rFonts w:ascii="Arial" w:hAnsi="Arial" w:cs="Arial"/>
        </w:rPr>
      </w:pPr>
    </w:p>
    <w:p w14:paraId="12166D44" w14:textId="77777777" w:rsidR="00D74EF2" w:rsidRDefault="00D74EF2" w:rsidP="006240B2">
      <w:pPr>
        <w:pStyle w:val="NormalWeb"/>
        <w:spacing w:before="120" w:beforeAutospacing="0" w:after="120" w:afterAutospacing="0" w:line="360" w:lineRule="auto"/>
        <w:jc w:val="both"/>
        <w:rPr>
          <w:rFonts w:ascii="Arial" w:hAnsi="Arial" w:cs="Arial"/>
        </w:rPr>
      </w:pPr>
    </w:p>
    <w:p w14:paraId="016A7AEF" w14:textId="77777777" w:rsidR="00D74EF2" w:rsidRDefault="00D74EF2" w:rsidP="006240B2">
      <w:pPr>
        <w:pStyle w:val="NormalWeb"/>
        <w:spacing w:before="120" w:beforeAutospacing="0" w:after="120" w:afterAutospacing="0" w:line="360" w:lineRule="auto"/>
        <w:jc w:val="both"/>
        <w:rPr>
          <w:rFonts w:ascii="Arial" w:hAnsi="Arial" w:cs="Arial"/>
        </w:rPr>
      </w:pPr>
    </w:p>
    <w:p w14:paraId="6CFAE343" w14:textId="77777777" w:rsidR="00D74EF2" w:rsidRDefault="00D74EF2" w:rsidP="006240B2">
      <w:pPr>
        <w:pStyle w:val="NormalWeb"/>
        <w:spacing w:before="120" w:beforeAutospacing="0" w:after="120" w:afterAutospacing="0" w:line="360" w:lineRule="auto"/>
        <w:jc w:val="both"/>
        <w:rPr>
          <w:rFonts w:ascii="Arial" w:hAnsi="Arial" w:cs="Arial"/>
        </w:rPr>
      </w:pPr>
    </w:p>
    <w:p w14:paraId="6FED6345" w14:textId="77777777" w:rsidR="00D74EF2" w:rsidRDefault="00D74EF2" w:rsidP="006240B2">
      <w:pPr>
        <w:pStyle w:val="NormalWeb"/>
        <w:spacing w:before="120" w:beforeAutospacing="0" w:after="120" w:afterAutospacing="0" w:line="360" w:lineRule="auto"/>
        <w:jc w:val="both"/>
        <w:rPr>
          <w:rFonts w:ascii="Arial" w:hAnsi="Arial" w:cs="Arial"/>
        </w:rPr>
      </w:pPr>
    </w:p>
    <w:p w14:paraId="01064309" w14:textId="77777777" w:rsidR="00D74EF2" w:rsidRDefault="00D74EF2" w:rsidP="006240B2">
      <w:pPr>
        <w:pStyle w:val="NormalWeb"/>
        <w:spacing w:before="120" w:beforeAutospacing="0" w:after="120" w:afterAutospacing="0" w:line="360" w:lineRule="auto"/>
        <w:jc w:val="both"/>
        <w:rPr>
          <w:rFonts w:ascii="Arial" w:hAnsi="Arial" w:cs="Arial"/>
        </w:rPr>
      </w:pPr>
    </w:p>
    <w:p w14:paraId="68465236" w14:textId="77777777" w:rsidR="00D74EF2" w:rsidRDefault="00D74EF2" w:rsidP="006240B2">
      <w:pPr>
        <w:pStyle w:val="NormalWeb"/>
        <w:spacing w:before="120" w:beforeAutospacing="0" w:after="120" w:afterAutospacing="0" w:line="360" w:lineRule="auto"/>
        <w:jc w:val="both"/>
        <w:rPr>
          <w:rFonts w:ascii="Arial" w:hAnsi="Arial" w:cs="Arial"/>
        </w:rPr>
      </w:pPr>
    </w:p>
    <w:p w14:paraId="6CCCC652" w14:textId="77777777" w:rsidR="00D74EF2" w:rsidRPr="00B10FD1" w:rsidRDefault="00D74EF2" w:rsidP="006240B2">
      <w:pPr>
        <w:pStyle w:val="NormalWeb"/>
        <w:spacing w:before="120" w:beforeAutospacing="0" w:after="120" w:afterAutospacing="0" w:line="360" w:lineRule="auto"/>
        <w:jc w:val="both"/>
        <w:rPr>
          <w:rFonts w:ascii="Arial" w:hAnsi="Arial" w:cs="Arial"/>
        </w:rPr>
      </w:pPr>
    </w:p>
    <w:p w14:paraId="06E121E4" w14:textId="77777777" w:rsidR="00855CD9" w:rsidRPr="00B10FD1" w:rsidRDefault="00855CD9" w:rsidP="006240B2">
      <w:pPr>
        <w:pStyle w:val="NormalWeb"/>
        <w:spacing w:before="120" w:beforeAutospacing="0" w:after="120" w:afterAutospacing="0" w:line="360" w:lineRule="auto"/>
        <w:jc w:val="both"/>
        <w:rPr>
          <w:rFonts w:ascii="Arial" w:hAnsi="Arial" w:cs="Arial"/>
        </w:rPr>
      </w:pPr>
    </w:p>
    <w:p w14:paraId="05DDE31A" w14:textId="77777777" w:rsidR="009D7FE7" w:rsidRPr="00B10FD1" w:rsidRDefault="00855CD9" w:rsidP="00FF24F7">
      <w:pPr>
        <w:pStyle w:val="Heading1"/>
        <w:spacing w:before="120" w:after="120" w:line="360" w:lineRule="auto"/>
        <w:jc w:val="center"/>
        <w:rPr>
          <w:rFonts w:ascii="Arial" w:hAnsi="Arial" w:cs="Arial"/>
          <w:b/>
          <w:color w:val="000000" w:themeColor="text1"/>
        </w:rPr>
      </w:pPr>
      <w:bookmarkStart w:id="80" w:name="_Toc209284811"/>
      <w:r w:rsidRPr="00B10FD1">
        <w:rPr>
          <w:rFonts w:ascii="Arial" w:hAnsi="Arial" w:cs="Arial"/>
          <w:b/>
          <w:color w:val="000000" w:themeColor="text1"/>
        </w:rPr>
        <w:lastRenderedPageBreak/>
        <w:t xml:space="preserve">CHAPTER 6: </w:t>
      </w:r>
      <w:r w:rsidR="003E2889" w:rsidRPr="00B10FD1">
        <w:rPr>
          <w:rFonts w:ascii="Arial" w:hAnsi="Arial" w:cs="Arial"/>
          <w:b/>
          <w:color w:val="000000" w:themeColor="text1"/>
        </w:rPr>
        <w:t>References</w:t>
      </w:r>
      <w:r w:rsidR="00C943AC" w:rsidRPr="00B10FD1">
        <w:rPr>
          <w:rFonts w:ascii="Arial" w:hAnsi="Arial" w:cs="Arial"/>
          <w:b/>
          <w:color w:val="000000" w:themeColor="text1"/>
        </w:rPr>
        <w:t xml:space="preserve"> and Appendices</w:t>
      </w:r>
      <w:bookmarkEnd w:id="80"/>
    </w:p>
    <w:p w14:paraId="2C5E038F" w14:textId="77777777" w:rsidR="00845127" w:rsidRDefault="00662B90" w:rsidP="00845127">
      <w:pPr>
        <w:pStyle w:val="Heading2"/>
      </w:pPr>
      <w:r>
        <w:t xml:space="preserve">6.1 </w:t>
      </w:r>
      <w:r w:rsidR="00845127">
        <w:t>References</w:t>
      </w:r>
    </w:p>
    <w:p w14:paraId="2DBB57BF"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AGE Platform Europe. (2019, November 27). </w:t>
      </w:r>
      <w:r w:rsidRPr="00B10FD1">
        <w:rPr>
          <w:rFonts w:ascii="Arial" w:hAnsi="Arial" w:cs="Arial"/>
          <w:i/>
          <w:iCs/>
          <w:color w:val="000000" w:themeColor="text1"/>
          <w:sz w:val="22"/>
          <w:szCs w:val="22"/>
        </w:rPr>
        <w:t>Age UK campaigns against loneliness in old age - AGE Platform Europe</w:t>
      </w:r>
      <w:r w:rsidRPr="00B10FD1">
        <w:rPr>
          <w:rFonts w:ascii="Arial" w:hAnsi="Arial" w:cs="Arial"/>
          <w:color w:val="000000" w:themeColor="text1"/>
          <w:sz w:val="22"/>
          <w:szCs w:val="22"/>
        </w:rPr>
        <w:t xml:space="preserve">. </w:t>
      </w:r>
      <w:hyperlink r:id="rId20" w:history="1">
        <w:r w:rsidR="009C77DD" w:rsidRPr="00B10FD1">
          <w:rPr>
            <w:rStyle w:val="Hyperlink"/>
            <w:rFonts w:ascii="Arial" w:hAnsi="Arial" w:cs="Arial"/>
            <w:sz w:val="22"/>
            <w:szCs w:val="22"/>
          </w:rPr>
          <w:t>https://www.age-platform.eu/age-uk-campaigns-against-loneliness-in-old-age/</w:t>
        </w:r>
      </w:hyperlink>
      <w:r w:rsidR="009C77DD" w:rsidRPr="00B10FD1">
        <w:rPr>
          <w:rStyle w:val="url"/>
          <w:rFonts w:ascii="Arial" w:hAnsi="Arial" w:cs="Arial"/>
          <w:color w:val="000000" w:themeColor="text1"/>
          <w:sz w:val="22"/>
          <w:szCs w:val="22"/>
        </w:rPr>
        <w:t xml:space="preserve"> (Accessed: July 17, 2025).</w:t>
      </w:r>
    </w:p>
    <w:p w14:paraId="07220937" w14:textId="77777777" w:rsidR="00855CD9" w:rsidRPr="00B10FD1" w:rsidRDefault="009D7FE7" w:rsidP="00855CD9">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Age UK. (2023). </w:t>
      </w:r>
      <w:r w:rsidRPr="00B10FD1">
        <w:rPr>
          <w:rFonts w:ascii="Arial" w:hAnsi="Arial" w:cs="Arial"/>
          <w:i/>
          <w:iCs/>
          <w:color w:val="000000" w:themeColor="text1"/>
          <w:sz w:val="22"/>
          <w:szCs w:val="22"/>
        </w:rPr>
        <w:t>Age UK launches offline and overlooked digital campaign</w:t>
      </w:r>
      <w:r w:rsidRPr="00B10FD1">
        <w:rPr>
          <w:rFonts w:ascii="Arial" w:hAnsi="Arial" w:cs="Arial"/>
          <w:color w:val="000000" w:themeColor="text1"/>
          <w:sz w:val="22"/>
          <w:szCs w:val="22"/>
        </w:rPr>
        <w:t xml:space="preserve">. </w:t>
      </w:r>
      <w:hyperlink r:id="rId21" w:history="1">
        <w:r w:rsidR="009C77DD" w:rsidRPr="00B10FD1">
          <w:rPr>
            <w:rStyle w:val="Hyperlink"/>
            <w:rFonts w:ascii="Arial" w:hAnsi="Arial" w:cs="Arial"/>
            <w:sz w:val="22"/>
            <w:szCs w:val="22"/>
          </w:rPr>
          <w:t>https://www.ageuk.org.uk/latest-press/articles/2023/age-uk-analysis-reveals-that-almost-6-million-people-5800000-aged-65-are-either-unable-to-use-the-internet-safely-and-successfully-or-arent-online-at-all/</w:t>
        </w:r>
      </w:hyperlink>
      <w:r w:rsidR="009C77DD" w:rsidRPr="00B10FD1">
        <w:rPr>
          <w:rStyle w:val="url"/>
          <w:rFonts w:ascii="Arial" w:hAnsi="Arial" w:cs="Arial"/>
          <w:color w:val="000000" w:themeColor="text1"/>
          <w:sz w:val="22"/>
          <w:szCs w:val="22"/>
        </w:rPr>
        <w:t xml:space="preserve">  (Accessed: July 17, 2025).</w:t>
      </w:r>
    </w:p>
    <w:p w14:paraId="3FC839C1" w14:textId="77777777" w:rsidR="00855CD9" w:rsidRPr="00B10FD1" w:rsidRDefault="00855CD9" w:rsidP="00855CD9">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sz w:val="22"/>
          <w:szCs w:val="22"/>
        </w:rPr>
        <w:t xml:space="preserve">Age UK (2023) ‘Age UK analysis reveals that almost 6 million people (5,800,000) aged 65+ are either unable to use the internet safely and successfully or aren’t online at all.’ Available at: </w:t>
      </w:r>
      <w:hyperlink r:id="rId22" w:tgtFrame="_new" w:history="1">
        <w:r w:rsidRPr="00B10FD1">
          <w:rPr>
            <w:rStyle w:val="Hyperlink"/>
            <w:rFonts w:ascii="Arial" w:hAnsi="Arial" w:cs="Arial"/>
            <w:sz w:val="22"/>
            <w:szCs w:val="22"/>
          </w:rPr>
          <w:t>https://www.ageuk.org.uk/latest-press/articles/2023/age-uk-analysis-reveals-that-almost-6-million-people-5800000-aged-65-are-either-unable-to-use-the-internet-safely-and-successfully-or-arent-online-at-all/</w:t>
        </w:r>
      </w:hyperlink>
      <w:r w:rsidRPr="00B10FD1">
        <w:rPr>
          <w:rFonts w:ascii="Arial" w:hAnsi="Arial" w:cs="Arial"/>
          <w:sz w:val="22"/>
          <w:szCs w:val="22"/>
        </w:rPr>
        <w:t xml:space="preserve"> (Accessed 20 September 2025).</w:t>
      </w:r>
    </w:p>
    <w:p w14:paraId="7F5C727B" w14:textId="77777777" w:rsidR="00477ADA" w:rsidRPr="00B10FD1" w:rsidRDefault="00855CD9" w:rsidP="00477ADA">
      <w:pPr>
        <w:pStyle w:val="NormalWeb"/>
        <w:spacing w:before="120" w:beforeAutospacing="0" w:after="120" w:afterAutospacing="0" w:line="360" w:lineRule="auto"/>
        <w:ind w:left="720" w:hanging="720"/>
        <w:jc w:val="both"/>
        <w:rPr>
          <w:rFonts w:ascii="Arial" w:hAnsi="Arial" w:cs="Arial"/>
          <w:sz w:val="22"/>
          <w:szCs w:val="22"/>
        </w:rPr>
      </w:pPr>
      <w:r w:rsidRPr="00B10FD1">
        <w:rPr>
          <w:rFonts w:ascii="Arial" w:hAnsi="Arial" w:cs="Arial"/>
          <w:sz w:val="22"/>
          <w:szCs w:val="22"/>
        </w:rPr>
        <w:t xml:space="preserve">Age UK (2023) </w:t>
      </w:r>
      <w:r w:rsidRPr="00B10FD1">
        <w:rPr>
          <w:rStyle w:val="Emphasis"/>
          <w:rFonts w:ascii="Arial" w:hAnsi="Arial" w:cs="Arial"/>
          <w:sz w:val="22"/>
          <w:szCs w:val="22"/>
        </w:rPr>
        <w:t>The State of Health and Care of Older People (abridged)</w:t>
      </w:r>
      <w:r w:rsidRPr="00B10FD1">
        <w:rPr>
          <w:rFonts w:ascii="Arial" w:hAnsi="Arial" w:cs="Arial"/>
          <w:sz w:val="22"/>
          <w:szCs w:val="22"/>
        </w:rPr>
        <w:t xml:space="preserve">. Available at: </w:t>
      </w:r>
      <w:hyperlink r:id="rId23" w:tgtFrame="_new" w:history="1">
        <w:r w:rsidRPr="00B10FD1">
          <w:rPr>
            <w:rStyle w:val="Hyperlink"/>
            <w:rFonts w:ascii="Arial" w:hAnsi="Arial" w:cs="Arial"/>
            <w:sz w:val="22"/>
            <w:szCs w:val="22"/>
          </w:rPr>
          <w:t>https://www.ageuk.org.uk/siteassets/documents/reports-and-publications/reports-and-briefings/health--wellbeing/age-uk-briefing-state-of-health-and-care-july-2023-abridged-version.pdf</w:t>
        </w:r>
      </w:hyperlink>
      <w:r w:rsidRPr="00B10FD1">
        <w:rPr>
          <w:rFonts w:ascii="Arial" w:hAnsi="Arial" w:cs="Arial"/>
          <w:sz w:val="22"/>
          <w:szCs w:val="22"/>
        </w:rPr>
        <w:t xml:space="preserve"> (Accessed 20 September 2025).</w:t>
      </w:r>
    </w:p>
    <w:p w14:paraId="18A0E2EE" w14:textId="77777777" w:rsidR="00477ADA" w:rsidRPr="00B10FD1" w:rsidRDefault="00477ADA" w:rsidP="00477ADA">
      <w:pPr>
        <w:pStyle w:val="NormalWeb"/>
        <w:spacing w:before="120" w:beforeAutospacing="0" w:after="120" w:afterAutospacing="0" w:line="360" w:lineRule="auto"/>
        <w:ind w:left="720" w:hanging="720"/>
        <w:jc w:val="both"/>
        <w:rPr>
          <w:rFonts w:ascii="Arial" w:hAnsi="Arial" w:cs="Arial"/>
        </w:rPr>
      </w:pPr>
      <w:r w:rsidRPr="00B10FD1">
        <w:rPr>
          <w:rFonts w:ascii="Arial" w:hAnsi="Arial" w:cs="Arial"/>
        </w:rPr>
        <w:t xml:space="preserve">Booth, A., Sutton, A., &amp; Papaioannou, D. (2016). </w:t>
      </w:r>
      <w:r w:rsidRPr="00B10FD1">
        <w:rPr>
          <w:rFonts w:ascii="Arial" w:hAnsi="Arial" w:cs="Arial"/>
          <w:i/>
          <w:iCs/>
        </w:rPr>
        <w:t>Systematic Approaches to a Successful Literature Review</w:t>
      </w:r>
      <w:r w:rsidRPr="00B10FD1">
        <w:rPr>
          <w:rFonts w:ascii="Arial" w:hAnsi="Arial" w:cs="Arial"/>
        </w:rPr>
        <w:t xml:space="preserve"> (2nd ed.). Sage.</w:t>
      </w:r>
    </w:p>
    <w:p w14:paraId="6F2E7CE1" w14:textId="77777777" w:rsidR="00855CD9" w:rsidRPr="00B10FD1" w:rsidRDefault="00855CD9" w:rsidP="00855CD9">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sz w:val="22"/>
          <w:szCs w:val="22"/>
        </w:rPr>
        <w:t xml:space="preserve">Braun, V. and Clarke, V. (2006) ‘Using thematic analysis in psychology’, </w:t>
      </w:r>
      <w:r w:rsidRPr="00B10FD1">
        <w:rPr>
          <w:rStyle w:val="Emphasis"/>
          <w:rFonts w:ascii="Arial" w:hAnsi="Arial" w:cs="Arial"/>
          <w:sz w:val="22"/>
          <w:szCs w:val="22"/>
        </w:rPr>
        <w:t>Qualitative Research in Psychology</w:t>
      </w:r>
      <w:r w:rsidRPr="00B10FD1">
        <w:rPr>
          <w:rFonts w:ascii="Arial" w:hAnsi="Arial" w:cs="Arial"/>
          <w:sz w:val="22"/>
          <w:szCs w:val="22"/>
        </w:rPr>
        <w:t xml:space="preserve">, 3(2), pp. 77–101. DOI: 10.1191/1478088706qp063oa. Available at: </w:t>
      </w:r>
      <w:hyperlink r:id="rId24" w:history="1">
        <w:r w:rsidRPr="00B10FD1">
          <w:rPr>
            <w:rStyle w:val="Hyperlink"/>
            <w:rFonts w:ascii="Arial" w:hAnsi="Arial" w:cs="Arial"/>
            <w:sz w:val="22"/>
            <w:szCs w:val="22"/>
          </w:rPr>
          <w:t>https://qualresmethods.files.wordpress.com/2016/05/braun_2006_using-thematic-analysis-in-psychology.pdf</w:t>
        </w:r>
      </w:hyperlink>
      <w:r w:rsidRPr="00B10FD1">
        <w:rPr>
          <w:rFonts w:ascii="Arial" w:hAnsi="Arial" w:cs="Arial"/>
          <w:sz w:val="22"/>
          <w:szCs w:val="22"/>
        </w:rPr>
        <w:t xml:space="preserve"> (Accessed 20 September 2025).</w:t>
      </w:r>
    </w:p>
    <w:p w14:paraId="6579BB52"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Bober, T., Rollman, B. L., Handler, S., Watson, A., Nelson, L. A., Faieta, J., &amp; Rosland, A. (2024). Digital Health Readiness: Making digital health care more inclusive. </w:t>
      </w:r>
      <w:r w:rsidRPr="00B10FD1">
        <w:rPr>
          <w:rFonts w:ascii="Arial" w:hAnsi="Arial" w:cs="Arial"/>
          <w:i/>
          <w:iCs/>
          <w:color w:val="000000" w:themeColor="text1"/>
          <w:sz w:val="22"/>
          <w:szCs w:val="22"/>
        </w:rPr>
        <w:t xml:space="preserve">JMIR </w:t>
      </w:r>
      <w:proofErr w:type="spellStart"/>
      <w:r w:rsidRPr="00B10FD1">
        <w:rPr>
          <w:rFonts w:ascii="Arial" w:hAnsi="Arial" w:cs="Arial"/>
          <w:i/>
          <w:iCs/>
          <w:color w:val="000000" w:themeColor="text1"/>
          <w:sz w:val="22"/>
          <w:szCs w:val="22"/>
        </w:rPr>
        <w:t>Mhealth</w:t>
      </w:r>
      <w:proofErr w:type="spellEnd"/>
      <w:r w:rsidRPr="00B10FD1">
        <w:rPr>
          <w:rFonts w:ascii="Arial" w:hAnsi="Arial" w:cs="Arial"/>
          <w:i/>
          <w:iCs/>
          <w:color w:val="000000" w:themeColor="text1"/>
          <w:sz w:val="22"/>
          <w:szCs w:val="22"/>
        </w:rPr>
        <w:t xml:space="preserve"> and </w:t>
      </w:r>
      <w:proofErr w:type="spellStart"/>
      <w:r w:rsidRPr="00B10FD1">
        <w:rPr>
          <w:rFonts w:ascii="Arial" w:hAnsi="Arial" w:cs="Arial"/>
          <w:i/>
          <w:iCs/>
          <w:color w:val="000000" w:themeColor="text1"/>
          <w:sz w:val="22"/>
          <w:szCs w:val="22"/>
        </w:rPr>
        <w:t>Uhealth</w:t>
      </w:r>
      <w:proofErr w:type="spellEnd"/>
      <w:r w:rsidRPr="00B10FD1">
        <w:rPr>
          <w:rFonts w:ascii="Arial" w:hAnsi="Arial" w:cs="Arial"/>
          <w:color w:val="000000" w:themeColor="text1"/>
          <w:sz w:val="22"/>
          <w:szCs w:val="22"/>
        </w:rPr>
        <w:t xml:space="preserve">, </w:t>
      </w:r>
      <w:r w:rsidRPr="00B10FD1">
        <w:rPr>
          <w:rFonts w:ascii="Arial" w:hAnsi="Arial" w:cs="Arial"/>
          <w:i/>
          <w:iCs/>
          <w:color w:val="000000" w:themeColor="text1"/>
          <w:sz w:val="22"/>
          <w:szCs w:val="22"/>
        </w:rPr>
        <w:t>12</w:t>
      </w:r>
      <w:r w:rsidRPr="00B10FD1">
        <w:rPr>
          <w:rFonts w:ascii="Arial" w:hAnsi="Arial" w:cs="Arial"/>
          <w:color w:val="000000" w:themeColor="text1"/>
          <w:sz w:val="22"/>
          <w:szCs w:val="22"/>
        </w:rPr>
        <w:t xml:space="preserve">, e58035. </w:t>
      </w:r>
      <w:hyperlink r:id="rId25" w:history="1">
        <w:r w:rsidR="009C77DD" w:rsidRPr="00B10FD1">
          <w:rPr>
            <w:rStyle w:val="Hyperlink"/>
            <w:rFonts w:ascii="Arial" w:hAnsi="Arial" w:cs="Arial"/>
            <w:sz w:val="22"/>
            <w:szCs w:val="22"/>
          </w:rPr>
          <w:t>https://doi.org/10.2196/58035</w:t>
        </w:r>
      </w:hyperlink>
      <w:r w:rsidR="009C77DD" w:rsidRPr="00B10FD1">
        <w:rPr>
          <w:rStyle w:val="url"/>
          <w:rFonts w:ascii="Arial" w:hAnsi="Arial" w:cs="Arial"/>
          <w:color w:val="000000" w:themeColor="text1"/>
          <w:sz w:val="22"/>
          <w:szCs w:val="22"/>
        </w:rPr>
        <w:t xml:space="preserve"> </w:t>
      </w:r>
    </w:p>
    <w:p w14:paraId="0A143519"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Bourdieu, P. (1986). </w:t>
      </w:r>
      <w:r w:rsidRPr="00B10FD1">
        <w:rPr>
          <w:rFonts w:ascii="Arial" w:hAnsi="Arial" w:cs="Arial"/>
          <w:i/>
          <w:iCs/>
          <w:color w:val="000000" w:themeColor="text1"/>
          <w:sz w:val="22"/>
          <w:szCs w:val="22"/>
        </w:rPr>
        <w:t>The Forms of Capital by Pierre Bourdieu 1986</w:t>
      </w:r>
      <w:r w:rsidRPr="00B10FD1">
        <w:rPr>
          <w:rFonts w:ascii="Arial" w:hAnsi="Arial" w:cs="Arial"/>
          <w:color w:val="000000" w:themeColor="text1"/>
          <w:sz w:val="22"/>
          <w:szCs w:val="22"/>
        </w:rPr>
        <w:t xml:space="preserve">. </w:t>
      </w:r>
      <w:hyperlink r:id="rId26" w:history="1">
        <w:r w:rsidR="009C77DD" w:rsidRPr="00B10FD1">
          <w:rPr>
            <w:rStyle w:val="Hyperlink"/>
            <w:rFonts w:ascii="Arial" w:hAnsi="Arial" w:cs="Arial"/>
            <w:sz w:val="22"/>
            <w:szCs w:val="22"/>
          </w:rPr>
          <w:t>https://www.marxists.org/reference/subject/philosophy/works/fr/bourdieu-forms-capital.htm</w:t>
        </w:r>
      </w:hyperlink>
      <w:r w:rsidR="009C77DD" w:rsidRPr="00B10FD1">
        <w:rPr>
          <w:rStyle w:val="url"/>
          <w:rFonts w:ascii="Arial" w:hAnsi="Arial" w:cs="Arial"/>
          <w:color w:val="000000" w:themeColor="text1"/>
          <w:sz w:val="22"/>
          <w:szCs w:val="22"/>
        </w:rPr>
        <w:t xml:space="preserve"> (Accessed: July 17, 2025).</w:t>
      </w:r>
    </w:p>
    <w:p w14:paraId="4445C0AC"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proofErr w:type="spellStart"/>
      <w:r w:rsidRPr="00B10FD1">
        <w:rPr>
          <w:rFonts w:ascii="Arial" w:hAnsi="Arial" w:cs="Arial"/>
          <w:color w:val="000000" w:themeColor="text1"/>
          <w:sz w:val="22"/>
          <w:szCs w:val="22"/>
        </w:rPr>
        <w:lastRenderedPageBreak/>
        <w:t>Bražinová</w:t>
      </w:r>
      <w:proofErr w:type="spellEnd"/>
      <w:r w:rsidRPr="00B10FD1">
        <w:rPr>
          <w:rFonts w:ascii="Arial" w:hAnsi="Arial" w:cs="Arial"/>
          <w:color w:val="000000" w:themeColor="text1"/>
          <w:sz w:val="22"/>
          <w:szCs w:val="22"/>
        </w:rPr>
        <w:t xml:space="preserve">, I., &amp; Chytil, O. (2024). The family as a source of social support for older adults: Implications for gerontological social work. </w:t>
      </w:r>
      <w:r w:rsidRPr="00B10FD1">
        <w:rPr>
          <w:rFonts w:ascii="Arial" w:hAnsi="Arial" w:cs="Arial"/>
          <w:i/>
          <w:iCs/>
          <w:color w:val="000000" w:themeColor="text1"/>
          <w:sz w:val="22"/>
          <w:szCs w:val="22"/>
        </w:rPr>
        <w:t>Journal of Social Work</w:t>
      </w:r>
      <w:r w:rsidRPr="00B10FD1">
        <w:rPr>
          <w:rFonts w:ascii="Arial" w:hAnsi="Arial" w:cs="Arial"/>
          <w:color w:val="000000" w:themeColor="text1"/>
          <w:sz w:val="22"/>
          <w:szCs w:val="22"/>
        </w:rPr>
        <w:t xml:space="preserve">, </w:t>
      </w:r>
      <w:r w:rsidRPr="00B10FD1">
        <w:rPr>
          <w:rFonts w:ascii="Arial" w:hAnsi="Arial" w:cs="Arial"/>
          <w:i/>
          <w:iCs/>
          <w:color w:val="000000" w:themeColor="text1"/>
          <w:sz w:val="22"/>
          <w:szCs w:val="22"/>
        </w:rPr>
        <w:t>24</w:t>
      </w:r>
      <w:r w:rsidRPr="00B10FD1">
        <w:rPr>
          <w:rFonts w:ascii="Arial" w:hAnsi="Arial" w:cs="Arial"/>
          <w:color w:val="000000" w:themeColor="text1"/>
          <w:sz w:val="22"/>
          <w:szCs w:val="22"/>
        </w:rPr>
        <w:t xml:space="preserve">(3), 339–356. </w:t>
      </w:r>
      <w:hyperlink r:id="rId27" w:history="1">
        <w:r w:rsidR="009C77DD" w:rsidRPr="00B10FD1">
          <w:rPr>
            <w:rStyle w:val="Hyperlink"/>
            <w:rFonts w:ascii="Arial" w:hAnsi="Arial" w:cs="Arial"/>
            <w:sz w:val="22"/>
            <w:szCs w:val="22"/>
          </w:rPr>
          <w:t>https://doi.org/10.1177/14680173231222612</w:t>
        </w:r>
      </w:hyperlink>
      <w:r w:rsidR="009C77DD" w:rsidRPr="00B10FD1">
        <w:rPr>
          <w:rStyle w:val="url"/>
          <w:rFonts w:ascii="Arial" w:hAnsi="Arial" w:cs="Arial"/>
          <w:color w:val="000000" w:themeColor="text1"/>
          <w:sz w:val="22"/>
          <w:szCs w:val="22"/>
        </w:rPr>
        <w:t xml:space="preserve"> </w:t>
      </w:r>
    </w:p>
    <w:p w14:paraId="42FD4FFD"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Cambridge Centre for Housing and Planning Research (CCHPR). (2020, May 6). </w:t>
      </w:r>
      <w:r w:rsidRPr="00B10FD1">
        <w:rPr>
          <w:rFonts w:ascii="Arial" w:hAnsi="Arial" w:cs="Arial"/>
          <w:i/>
          <w:iCs/>
          <w:color w:val="000000" w:themeColor="text1"/>
          <w:sz w:val="22"/>
          <w:szCs w:val="22"/>
        </w:rPr>
        <w:t>Opinion: Coronavirus has intensified the UK’s digital divide</w:t>
      </w:r>
      <w:r w:rsidRPr="00B10FD1">
        <w:rPr>
          <w:rFonts w:ascii="Arial" w:hAnsi="Arial" w:cs="Arial"/>
          <w:color w:val="000000" w:themeColor="text1"/>
          <w:sz w:val="22"/>
          <w:szCs w:val="22"/>
        </w:rPr>
        <w:t xml:space="preserve">. University of Cambridge. </w:t>
      </w:r>
      <w:hyperlink r:id="rId28" w:history="1">
        <w:r w:rsidR="009C77DD" w:rsidRPr="00B10FD1">
          <w:rPr>
            <w:rStyle w:val="Hyperlink"/>
            <w:rFonts w:ascii="Arial" w:hAnsi="Arial" w:cs="Arial"/>
            <w:sz w:val="22"/>
            <w:szCs w:val="22"/>
          </w:rPr>
          <w:t>https://www.cam.ac.uk/stories/digitaldivide</w:t>
        </w:r>
      </w:hyperlink>
      <w:r w:rsidR="009C77DD" w:rsidRPr="00B10FD1">
        <w:rPr>
          <w:rStyle w:val="url"/>
          <w:rFonts w:ascii="Arial" w:hAnsi="Arial" w:cs="Arial"/>
          <w:color w:val="000000" w:themeColor="text1"/>
          <w:sz w:val="22"/>
          <w:szCs w:val="22"/>
        </w:rPr>
        <w:t xml:space="preserve"> (Accessed: July 17, 2025).</w:t>
      </w:r>
    </w:p>
    <w:p w14:paraId="0AF27E05" w14:textId="77777777" w:rsidR="00477ADA" w:rsidRPr="00B10FD1" w:rsidRDefault="009D7FE7" w:rsidP="00477ADA">
      <w:pPr>
        <w:pStyle w:val="NormalWeb"/>
        <w:spacing w:before="120" w:beforeAutospacing="0" w:after="120" w:afterAutospacing="0" w:line="360" w:lineRule="auto"/>
        <w:ind w:left="720" w:hanging="720"/>
        <w:jc w:val="both"/>
        <w:rPr>
          <w:rStyle w:val="url"/>
          <w:rFonts w:ascii="Arial" w:hAnsi="Arial" w:cs="Arial"/>
          <w:color w:val="000000" w:themeColor="text1"/>
          <w:sz w:val="22"/>
          <w:szCs w:val="22"/>
        </w:rPr>
      </w:pPr>
      <w:r w:rsidRPr="00B10FD1">
        <w:rPr>
          <w:rFonts w:ascii="Arial" w:hAnsi="Arial" w:cs="Arial"/>
          <w:color w:val="000000" w:themeColor="text1"/>
          <w:sz w:val="22"/>
          <w:szCs w:val="22"/>
        </w:rPr>
        <w:t xml:space="preserve">Carpenter, S. (2019, June 3). </w:t>
      </w:r>
      <w:r w:rsidRPr="00B10FD1">
        <w:rPr>
          <w:rFonts w:ascii="Arial" w:hAnsi="Arial" w:cs="Arial"/>
          <w:i/>
          <w:iCs/>
          <w:color w:val="000000" w:themeColor="text1"/>
          <w:sz w:val="22"/>
          <w:szCs w:val="22"/>
        </w:rPr>
        <w:t>Solving Britain’s “rural vs urban” broadband connectivity divide</w:t>
      </w:r>
      <w:r w:rsidRPr="00B10FD1">
        <w:rPr>
          <w:rFonts w:ascii="Arial" w:hAnsi="Arial" w:cs="Arial"/>
          <w:color w:val="000000" w:themeColor="text1"/>
          <w:sz w:val="22"/>
          <w:szCs w:val="22"/>
        </w:rPr>
        <w:t xml:space="preserve">. Open Access Government. </w:t>
      </w:r>
      <w:hyperlink r:id="rId29" w:history="1">
        <w:r w:rsidR="009C77DD" w:rsidRPr="00B10FD1">
          <w:rPr>
            <w:rStyle w:val="Hyperlink"/>
            <w:rFonts w:ascii="Arial" w:hAnsi="Arial" w:cs="Arial"/>
            <w:sz w:val="22"/>
            <w:szCs w:val="22"/>
          </w:rPr>
          <w:t>https://www.openaccessgovernment.org/rural-vs-urban-broadband-connectivity/66215/</w:t>
        </w:r>
      </w:hyperlink>
      <w:r w:rsidR="009C77DD" w:rsidRPr="00B10FD1">
        <w:rPr>
          <w:rStyle w:val="url"/>
          <w:rFonts w:ascii="Arial" w:hAnsi="Arial" w:cs="Arial"/>
          <w:color w:val="000000" w:themeColor="text1"/>
          <w:sz w:val="22"/>
          <w:szCs w:val="22"/>
        </w:rPr>
        <w:t xml:space="preserve"> (Accessed: July 17, 2025).</w:t>
      </w:r>
    </w:p>
    <w:p w14:paraId="13D948E1" w14:textId="77777777" w:rsidR="00477ADA" w:rsidRPr="00B10FD1" w:rsidRDefault="00477ADA" w:rsidP="00477ADA">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rPr>
        <w:t xml:space="preserve">Creswell, J. W., &amp; Poth, C. N. (2018). </w:t>
      </w:r>
      <w:r w:rsidRPr="00B10FD1">
        <w:rPr>
          <w:rFonts w:ascii="Arial" w:hAnsi="Arial" w:cs="Arial"/>
          <w:i/>
          <w:iCs/>
        </w:rPr>
        <w:t>Qualitative Inquiry and Research Design: Choosing Among Five Approaches</w:t>
      </w:r>
      <w:r w:rsidRPr="00B10FD1">
        <w:rPr>
          <w:rFonts w:ascii="Arial" w:hAnsi="Arial" w:cs="Arial"/>
        </w:rPr>
        <w:t xml:space="preserve"> (4th ed.). Sage.</w:t>
      </w:r>
    </w:p>
    <w:p w14:paraId="11CDA905"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Clark. (2024). </w:t>
      </w:r>
      <w:r w:rsidRPr="00B10FD1">
        <w:rPr>
          <w:rFonts w:ascii="Arial" w:hAnsi="Arial" w:cs="Arial"/>
          <w:i/>
          <w:iCs/>
          <w:color w:val="000000" w:themeColor="text1"/>
          <w:sz w:val="22"/>
          <w:szCs w:val="22"/>
        </w:rPr>
        <w:t>Debate on digital exclusion</w:t>
      </w:r>
      <w:r w:rsidRPr="00B10FD1">
        <w:rPr>
          <w:rFonts w:ascii="Arial" w:hAnsi="Arial" w:cs="Arial"/>
          <w:color w:val="000000" w:themeColor="text1"/>
          <w:sz w:val="22"/>
          <w:szCs w:val="22"/>
        </w:rPr>
        <w:t xml:space="preserve">. </w:t>
      </w:r>
      <w:hyperlink r:id="rId30" w:history="1">
        <w:r w:rsidR="009C77DD" w:rsidRPr="00B10FD1">
          <w:rPr>
            <w:rStyle w:val="Hyperlink"/>
            <w:rFonts w:ascii="Arial" w:hAnsi="Arial" w:cs="Arial"/>
            <w:sz w:val="22"/>
            <w:szCs w:val="22"/>
          </w:rPr>
          <w:t>https://researchbriefings.files.parliament.uk/documents/CDP-2024-0041/CDP-2024-0041.pdf</w:t>
        </w:r>
      </w:hyperlink>
      <w:r w:rsidR="009C77DD" w:rsidRPr="00B10FD1">
        <w:rPr>
          <w:rStyle w:val="url"/>
          <w:rFonts w:ascii="Arial" w:hAnsi="Arial" w:cs="Arial"/>
          <w:color w:val="000000" w:themeColor="text1"/>
          <w:sz w:val="22"/>
          <w:szCs w:val="22"/>
        </w:rPr>
        <w:t xml:space="preserve"> (Accessed: July 17, 2025).</w:t>
      </w:r>
    </w:p>
    <w:p w14:paraId="19D9F105"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Cumming E. and Henry W., Growing Old</w:t>
      </w:r>
      <w:r w:rsidR="00C85C4D" w:rsidRPr="00B10FD1">
        <w:rPr>
          <w:rFonts w:ascii="Arial" w:hAnsi="Arial" w:cs="Arial"/>
          <w:color w:val="000000" w:themeColor="text1"/>
          <w:sz w:val="22"/>
          <w:szCs w:val="22"/>
        </w:rPr>
        <w:t xml:space="preserve"> (1961)</w:t>
      </w:r>
      <w:r w:rsidRPr="00B10FD1">
        <w:rPr>
          <w:rFonts w:ascii="Arial" w:hAnsi="Arial" w:cs="Arial"/>
          <w:color w:val="000000" w:themeColor="text1"/>
          <w:sz w:val="22"/>
          <w:szCs w:val="22"/>
        </w:rPr>
        <w:t xml:space="preserve">: the Process of Disengagement. Basic Books, New York, 1961. (Reprint: Arno, New York, 1979, ISBN 0405 118147.). </w:t>
      </w:r>
      <w:r w:rsidRPr="00B10FD1">
        <w:rPr>
          <w:rFonts w:ascii="Arial" w:hAnsi="Arial" w:cs="Arial"/>
          <w:i/>
          <w:iCs/>
          <w:color w:val="000000" w:themeColor="text1"/>
          <w:sz w:val="22"/>
          <w:szCs w:val="22"/>
        </w:rPr>
        <w:t>Ageing and Society</w:t>
      </w:r>
      <w:r w:rsidRPr="00B10FD1">
        <w:rPr>
          <w:rFonts w:ascii="Arial" w:hAnsi="Arial" w:cs="Arial"/>
          <w:color w:val="000000" w:themeColor="text1"/>
          <w:sz w:val="22"/>
          <w:szCs w:val="22"/>
        </w:rPr>
        <w:t xml:space="preserve">, </w:t>
      </w:r>
      <w:r w:rsidRPr="00B10FD1">
        <w:rPr>
          <w:rFonts w:ascii="Arial" w:hAnsi="Arial" w:cs="Arial"/>
          <w:i/>
          <w:iCs/>
          <w:color w:val="000000" w:themeColor="text1"/>
          <w:sz w:val="22"/>
          <w:szCs w:val="22"/>
        </w:rPr>
        <w:t>11</w:t>
      </w:r>
      <w:r w:rsidRPr="00B10FD1">
        <w:rPr>
          <w:rFonts w:ascii="Arial" w:hAnsi="Arial" w:cs="Arial"/>
          <w:color w:val="000000" w:themeColor="text1"/>
          <w:sz w:val="22"/>
          <w:szCs w:val="22"/>
        </w:rPr>
        <w:t xml:space="preserve">(2), 217–220. </w:t>
      </w:r>
      <w:hyperlink r:id="rId31" w:history="1">
        <w:r w:rsidR="009C77DD" w:rsidRPr="00B10FD1">
          <w:rPr>
            <w:rStyle w:val="Hyperlink"/>
            <w:rFonts w:ascii="Arial" w:hAnsi="Arial" w:cs="Arial"/>
            <w:sz w:val="22"/>
            <w:szCs w:val="22"/>
          </w:rPr>
          <w:t>https://doi.org/10.1017/s0144686x00004025</w:t>
        </w:r>
      </w:hyperlink>
      <w:r w:rsidR="009C77DD" w:rsidRPr="00B10FD1">
        <w:rPr>
          <w:rStyle w:val="url"/>
          <w:rFonts w:ascii="Arial" w:hAnsi="Arial" w:cs="Arial"/>
          <w:color w:val="000000" w:themeColor="text1"/>
          <w:sz w:val="22"/>
          <w:szCs w:val="22"/>
        </w:rPr>
        <w:t xml:space="preserve"> </w:t>
      </w:r>
    </w:p>
    <w:p w14:paraId="59001C3D"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Coyle, D., &amp; Muhtar, A. (2023). Levelling up policies and the failure to learn. </w:t>
      </w:r>
      <w:r w:rsidRPr="00B10FD1">
        <w:rPr>
          <w:rFonts w:ascii="Arial" w:hAnsi="Arial" w:cs="Arial"/>
          <w:i/>
          <w:iCs/>
          <w:color w:val="000000" w:themeColor="text1"/>
          <w:sz w:val="22"/>
          <w:szCs w:val="22"/>
        </w:rPr>
        <w:t>Contemporary Social Science</w:t>
      </w:r>
      <w:r w:rsidRPr="00B10FD1">
        <w:rPr>
          <w:rFonts w:ascii="Arial" w:hAnsi="Arial" w:cs="Arial"/>
          <w:color w:val="000000" w:themeColor="text1"/>
          <w:sz w:val="22"/>
          <w:szCs w:val="22"/>
        </w:rPr>
        <w:t xml:space="preserve">, </w:t>
      </w:r>
      <w:r w:rsidRPr="00B10FD1">
        <w:rPr>
          <w:rFonts w:ascii="Arial" w:hAnsi="Arial" w:cs="Arial"/>
          <w:i/>
          <w:iCs/>
          <w:color w:val="000000" w:themeColor="text1"/>
          <w:sz w:val="22"/>
          <w:szCs w:val="22"/>
        </w:rPr>
        <w:t>18</w:t>
      </w:r>
      <w:r w:rsidRPr="00B10FD1">
        <w:rPr>
          <w:rFonts w:ascii="Arial" w:hAnsi="Arial" w:cs="Arial"/>
          <w:color w:val="000000" w:themeColor="text1"/>
          <w:sz w:val="22"/>
          <w:szCs w:val="22"/>
        </w:rPr>
        <w:t xml:space="preserve">(3–4), 406–427. </w:t>
      </w:r>
      <w:hyperlink r:id="rId32" w:history="1">
        <w:r w:rsidR="009C77DD" w:rsidRPr="00B10FD1">
          <w:rPr>
            <w:rStyle w:val="Hyperlink"/>
            <w:rFonts w:ascii="Arial" w:hAnsi="Arial" w:cs="Arial"/>
            <w:sz w:val="22"/>
            <w:szCs w:val="22"/>
          </w:rPr>
          <w:t>https://doi.org/10.1080/21582041.2023.2197877</w:t>
        </w:r>
      </w:hyperlink>
      <w:r w:rsidR="009C77DD" w:rsidRPr="00B10FD1">
        <w:rPr>
          <w:rStyle w:val="url"/>
          <w:rFonts w:ascii="Arial" w:hAnsi="Arial" w:cs="Arial"/>
          <w:color w:val="000000" w:themeColor="text1"/>
          <w:sz w:val="22"/>
          <w:szCs w:val="22"/>
        </w:rPr>
        <w:t xml:space="preserve"> </w:t>
      </w:r>
    </w:p>
    <w:p w14:paraId="74483EAD" w14:textId="77777777" w:rsidR="00855CD9" w:rsidRPr="00B10FD1" w:rsidRDefault="009D7FE7" w:rsidP="00855CD9">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Department for Digital, Culture, Media &amp; Sport. (2022, October 4). </w:t>
      </w:r>
      <w:r w:rsidRPr="00B10FD1">
        <w:rPr>
          <w:rFonts w:ascii="Arial" w:hAnsi="Arial" w:cs="Arial"/>
          <w:i/>
          <w:iCs/>
          <w:color w:val="000000" w:themeColor="text1"/>
          <w:sz w:val="22"/>
          <w:szCs w:val="22"/>
        </w:rPr>
        <w:t>UK’s digital strategy</w:t>
      </w:r>
      <w:r w:rsidRPr="00B10FD1">
        <w:rPr>
          <w:rFonts w:ascii="Arial" w:hAnsi="Arial" w:cs="Arial"/>
          <w:color w:val="000000" w:themeColor="text1"/>
          <w:sz w:val="22"/>
          <w:szCs w:val="22"/>
        </w:rPr>
        <w:t xml:space="preserve">. GOV.UK. </w:t>
      </w:r>
      <w:hyperlink r:id="rId33" w:history="1">
        <w:r w:rsidR="009C77DD" w:rsidRPr="00B10FD1">
          <w:rPr>
            <w:rStyle w:val="Hyperlink"/>
            <w:rFonts w:ascii="Arial" w:hAnsi="Arial" w:cs="Arial"/>
            <w:sz w:val="22"/>
            <w:szCs w:val="22"/>
          </w:rPr>
          <w:t>https://www.gov.uk/government/publications/uks-digital-strategy</w:t>
        </w:r>
      </w:hyperlink>
      <w:r w:rsidR="009C77DD" w:rsidRPr="00B10FD1">
        <w:rPr>
          <w:rStyle w:val="url"/>
          <w:rFonts w:ascii="Arial" w:hAnsi="Arial" w:cs="Arial"/>
          <w:color w:val="000000" w:themeColor="text1"/>
          <w:sz w:val="22"/>
          <w:szCs w:val="22"/>
        </w:rPr>
        <w:t xml:space="preserve"> (Accessed: July 17, 2025).</w:t>
      </w:r>
    </w:p>
    <w:p w14:paraId="12996FFB" w14:textId="77777777" w:rsidR="00855CD9" w:rsidRPr="00B10FD1" w:rsidRDefault="00855CD9" w:rsidP="00855CD9">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sz w:val="22"/>
          <w:szCs w:val="22"/>
        </w:rPr>
        <w:t xml:space="preserve">Department for Culture, Media and Sport (DCMS) (2024) </w:t>
      </w:r>
      <w:r w:rsidRPr="00B10FD1">
        <w:rPr>
          <w:rStyle w:val="Emphasis"/>
          <w:rFonts w:ascii="Arial" w:hAnsi="Arial" w:cs="Arial"/>
          <w:sz w:val="22"/>
          <w:szCs w:val="22"/>
        </w:rPr>
        <w:t>Annual Libraries Report 2023–2024</w:t>
      </w:r>
      <w:r w:rsidRPr="00B10FD1">
        <w:rPr>
          <w:rFonts w:ascii="Arial" w:hAnsi="Arial" w:cs="Arial"/>
          <w:sz w:val="22"/>
          <w:szCs w:val="22"/>
        </w:rPr>
        <w:t xml:space="preserve">. London: DCMS. Available at: </w:t>
      </w:r>
      <w:hyperlink r:id="rId34" w:tgtFrame="_new" w:history="1">
        <w:r w:rsidRPr="00B10FD1">
          <w:rPr>
            <w:rStyle w:val="Hyperlink"/>
            <w:rFonts w:ascii="Arial" w:hAnsi="Arial" w:cs="Arial"/>
            <w:sz w:val="22"/>
            <w:szCs w:val="22"/>
          </w:rPr>
          <w:t>https://assets.publishing.service.gov.uk/media/66e0430ffd14944ed96c5b6a/Annual_Libraries_Report_2023-2024_-_accessible_.pdf</w:t>
        </w:r>
      </w:hyperlink>
      <w:r w:rsidRPr="00B10FD1">
        <w:rPr>
          <w:rFonts w:ascii="Arial" w:hAnsi="Arial" w:cs="Arial"/>
          <w:sz w:val="22"/>
          <w:szCs w:val="22"/>
        </w:rPr>
        <w:t xml:space="preserve"> (Accessed 20 September 2025).</w:t>
      </w:r>
    </w:p>
    <w:p w14:paraId="2369B0D9" w14:textId="77777777" w:rsidR="00855CD9" w:rsidRPr="00B10FD1" w:rsidRDefault="00855CD9" w:rsidP="00855CD9">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sz w:val="22"/>
          <w:szCs w:val="22"/>
        </w:rPr>
        <w:t xml:space="preserve">Department of Health and Social Care (DHSC) and NHS England (2022) </w:t>
      </w:r>
      <w:r w:rsidRPr="00B10FD1">
        <w:rPr>
          <w:rStyle w:val="Emphasis"/>
          <w:rFonts w:ascii="Arial" w:hAnsi="Arial" w:cs="Arial"/>
          <w:sz w:val="22"/>
          <w:szCs w:val="22"/>
        </w:rPr>
        <w:t>A plan for digital health and social care</w:t>
      </w:r>
      <w:r w:rsidRPr="00B10FD1">
        <w:rPr>
          <w:rFonts w:ascii="Arial" w:hAnsi="Arial" w:cs="Arial"/>
          <w:sz w:val="22"/>
          <w:szCs w:val="22"/>
        </w:rPr>
        <w:t xml:space="preserve">. Available at: </w:t>
      </w:r>
      <w:hyperlink r:id="rId35" w:tgtFrame="_new" w:history="1">
        <w:r w:rsidRPr="00B10FD1">
          <w:rPr>
            <w:rStyle w:val="Hyperlink"/>
            <w:rFonts w:ascii="Arial" w:hAnsi="Arial" w:cs="Arial"/>
            <w:sz w:val="22"/>
            <w:szCs w:val="22"/>
          </w:rPr>
          <w:t>https://www.gov.uk/government/publications/a-plan-for-digital-health-and-social-care</w:t>
        </w:r>
      </w:hyperlink>
      <w:r w:rsidRPr="00B10FD1">
        <w:rPr>
          <w:rFonts w:ascii="Arial" w:hAnsi="Arial" w:cs="Arial"/>
          <w:sz w:val="22"/>
          <w:szCs w:val="22"/>
        </w:rPr>
        <w:t xml:space="preserve"> (Accessed 20 September 2025).</w:t>
      </w:r>
    </w:p>
    <w:p w14:paraId="28B2454F" w14:textId="77777777" w:rsidR="00855CD9" w:rsidRPr="00B10FD1" w:rsidRDefault="00855CD9" w:rsidP="00855CD9">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sz w:val="22"/>
          <w:szCs w:val="22"/>
        </w:rPr>
        <w:t xml:space="preserve">Digital Inclusion Toolkit / Leeds City Council (2022) </w:t>
      </w:r>
      <w:r w:rsidRPr="00B10FD1">
        <w:rPr>
          <w:rStyle w:val="Emphasis"/>
          <w:rFonts w:ascii="Arial" w:hAnsi="Arial" w:cs="Arial"/>
          <w:sz w:val="22"/>
          <w:szCs w:val="22"/>
        </w:rPr>
        <w:t>100% Digital Leeds: A community-based approach to digital inclusion</w:t>
      </w:r>
      <w:r w:rsidRPr="00B10FD1">
        <w:rPr>
          <w:rFonts w:ascii="Arial" w:hAnsi="Arial" w:cs="Arial"/>
          <w:sz w:val="22"/>
          <w:szCs w:val="22"/>
        </w:rPr>
        <w:t xml:space="preserve">. Available at: </w:t>
      </w:r>
      <w:hyperlink r:id="rId36" w:tgtFrame="_new" w:history="1">
        <w:r w:rsidRPr="00B10FD1">
          <w:rPr>
            <w:rStyle w:val="Hyperlink"/>
            <w:rFonts w:ascii="Arial" w:hAnsi="Arial" w:cs="Arial"/>
            <w:sz w:val="22"/>
            <w:szCs w:val="22"/>
          </w:rPr>
          <w:t>https://digitalinclusionkit.org/wp-</w:t>
        </w:r>
        <w:r w:rsidRPr="00B10FD1">
          <w:rPr>
            <w:rStyle w:val="Hyperlink"/>
            <w:rFonts w:ascii="Arial" w:hAnsi="Arial" w:cs="Arial"/>
            <w:sz w:val="22"/>
            <w:szCs w:val="22"/>
          </w:rPr>
          <w:lastRenderedPageBreak/>
          <w:t>content/uploads/2022/12/100-Digital-Leeds-model-for-a-community-based-approach-to-digital-inclusion.pdf</w:t>
        </w:r>
      </w:hyperlink>
      <w:r w:rsidRPr="00B10FD1">
        <w:rPr>
          <w:rFonts w:ascii="Arial" w:hAnsi="Arial" w:cs="Arial"/>
          <w:sz w:val="22"/>
          <w:szCs w:val="22"/>
        </w:rPr>
        <w:t xml:space="preserve"> (Accessed 20 September 2025).</w:t>
      </w:r>
    </w:p>
    <w:p w14:paraId="5A199E52" w14:textId="77777777" w:rsidR="00855CD9" w:rsidRPr="00B10FD1" w:rsidRDefault="00855CD9" w:rsidP="00855CD9">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sz w:val="22"/>
          <w:szCs w:val="22"/>
        </w:rPr>
        <w:t xml:space="preserve">European Union Agency for Fundamental Rights (FRA) (2023) </w:t>
      </w:r>
      <w:r w:rsidRPr="00B10FD1">
        <w:rPr>
          <w:rStyle w:val="Emphasis"/>
          <w:rFonts w:ascii="Arial" w:hAnsi="Arial" w:cs="Arial"/>
          <w:sz w:val="22"/>
          <w:szCs w:val="22"/>
        </w:rPr>
        <w:t>Ensuring access to public services for older people in digital societies</w:t>
      </w:r>
      <w:r w:rsidRPr="00B10FD1">
        <w:rPr>
          <w:rFonts w:ascii="Arial" w:hAnsi="Arial" w:cs="Arial"/>
          <w:sz w:val="22"/>
          <w:szCs w:val="22"/>
        </w:rPr>
        <w:t xml:space="preserve">. Available at: </w:t>
      </w:r>
      <w:hyperlink r:id="rId37" w:tgtFrame="_new" w:history="1">
        <w:r w:rsidRPr="00B10FD1">
          <w:rPr>
            <w:rStyle w:val="Hyperlink"/>
            <w:rFonts w:ascii="Arial" w:hAnsi="Arial" w:cs="Arial"/>
            <w:sz w:val="22"/>
            <w:szCs w:val="22"/>
          </w:rPr>
          <w:t>https://fra.europa.eu/en/publication/2023/older-people-digital-rights</w:t>
        </w:r>
      </w:hyperlink>
      <w:r w:rsidRPr="00B10FD1">
        <w:rPr>
          <w:rFonts w:ascii="Arial" w:hAnsi="Arial" w:cs="Arial"/>
          <w:sz w:val="22"/>
          <w:szCs w:val="22"/>
        </w:rPr>
        <w:t xml:space="preserve"> (Accessed 20 September 2025).</w:t>
      </w:r>
    </w:p>
    <w:p w14:paraId="23DB9997" w14:textId="77777777" w:rsidR="00855CD9" w:rsidRPr="00B10FD1" w:rsidRDefault="00855CD9" w:rsidP="00855CD9">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sz w:val="22"/>
          <w:szCs w:val="22"/>
        </w:rPr>
        <w:t xml:space="preserve">Financial Times (2025) ‘Moving NHS “from analogue to digital” will cost £21bn, think-tank says’, 7 May. Available at: </w:t>
      </w:r>
      <w:hyperlink r:id="rId38" w:tgtFrame="_new" w:history="1">
        <w:r w:rsidRPr="00B10FD1">
          <w:rPr>
            <w:rStyle w:val="Hyperlink"/>
            <w:rFonts w:ascii="Arial" w:hAnsi="Arial" w:cs="Arial"/>
            <w:sz w:val="22"/>
            <w:szCs w:val="22"/>
          </w:rPr>
          <w:t>https://www.ft.com/content/81a9fcfe-dae9-4145-948f-4638670a598e</w:t>
        </w:r>
      </w:hyperlink>
      <w:r w:rsidRPr="00B10FD1">
        <w:rPr>
          <w:rFonts w:ascii="Arial" w:hAnsi="Arial" w:cs="Arial"/>
          <w:sz w:val="22"/>
          <w:szCs w:val="22"/>
        </w:rPr>
        <w:t xml:space="preserve"> (Accessed 20 September 2025).</w:t>
      </w:r>
    </w:p>
    <w:p w14:paraId="3A9FFB9D" w14:textId="77777777" w:rsidR="00855CD9" w:rsidRPr="00B10FD1" w:rsidRDefault="00855CD9" w:rsidP="00855CD9">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sz w:val="22"/>
          <w:szCs w:val="22"/>
        </w:rPr>
        <w:t xml:space="preserve">Frontiers in Sociology (2023) ‘Internet usage, frequency and intensity in old age during the COVID-19 pandemic’. </w:t>
      </w:r>
      <w:r w:rsidRPr="00B10FD1">
        <w:rPr>
          <w:rStyle w:val="Emphasis"/>
          <w:rFonts w:ascii="Arial" w:hAnsi="Arial" w:cs="Arial"/>
          <w:sz w:val="22"/>
          <w:szCs w:val="22"/>
        </w:rPr>
        <w:t>Frontiers in Sociology</w:t>
      </w:r>
      <w:r w:rsidRPr="00B10FD1">
        <w:rPr>
          <w:rFonts w:ascii="Arial" w:hAnsi="Arial" w:cs="Arial"/>
          <w:sz w:val="22"/>
          <w:szCs w:val="22"/>
        </w:rPr>
        <w:t xml:space="preserve">, 8, 1268613. DOI: 10.3389/fsoc.2023.1268613. Available at: </w:t>
      </w:r>
      <w:hyperlink r:id="rId39" w:history="1">
        <w:r w:rsidRPr="00B10FD1">
          <w:rPr>
            <w:rStyle w:val="Hyperlink"/>
            <w:rFonts w:ascii="Arial" w:hAnsi="Arial" w:cs="Arial"/>
            <w:sz w:val="22"/>
            <w:szCs w:val="22"/>
          </w:rPr>
          <w:t>https://www.frontiersin.org/articles/10.3389/fsoc.2023.1268613/full</w:t>
        </w:r>
      </w:hyperlink>
    </w:p>
    <w:p w14:paraId="268493FF" w14:textId="77777777" w:rsidR="009D7FE7" w:rsidRPr="00B10FD1" w:rsidRDefault="009D7FE7" w:rsidP="00855CD9">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FRA. (2023, September 13). </w:t>
      </w:r>
      <w:r w:rsidRPr="00B10FD1">
        <w:rPr>
          <w:rFonts w:ascii="Arial" w:hAnsi="Arial" w:cs="Arial"/>
          <w:i/>
          <w:iCs/>
          <w:color w:val="000000" w:themeColor="text1"/>
          <w:sz w:val="22"/>
          <w:szCs w:val="22"/>
        </w:rPr>
        <w:t>Ensuring access to public services for older people in digital societies</w:t>
      </w:r>
      <w:r w:rsidRPr="00B10FD1">
        <w:rPr>
          <w:rFonts w:ascii="Arial" w:hAnsi="Arial" w:cs="Arial"/>
          <w:color w:val="000000" w:themeColor="text1"/>
          <w:sz w:val="22"/>
          <w:szCs w:val="22"/>
        </w:rPr>
        <w:t xml:space="preserve">. European Union Agency for Fundamental Rights. </w:t>
      </w:r>
      <w:hyperlink r:id="rId40" w:history="1">
        <w:r w:rsidR="009C77DD" w:rsidRPr="00B10FD1">
          <w:rPr>
            <w:rStyle w:val="Hyperlink"/>
            <w:rFonts w:ascii="Arial" w:hAnsi="Arial" w:cs="Arial"/>
            <w:sz w:val="22"/>
            <w:szCs w:val="22"/>
          </w:rPr>
          <w:t>https://fra.europa.eu/en/news/2023/ensuring-access-public-services-older-people-digital-societies</w:t>
        </w:r>
      </w:hyperlink>
      <w:r w:rsidR="009C77DD" w:rsidRPr="00B10FD1">
        <w:rPr>
          <w:rStyle w:val="url"/>
          <w:rFonts w:ascii="Arial" w:hAnsi="Arial" w:cs="Arial"/>
          <w:color w:val="000000" w:themeColor="text1"/>
          <w:sz w:val="22"/>
          <w:szCs w:val="22"/>
        </w:rPr>
        <w:t xml:space="preserve"> (Accessed: July 17, 2025).</w:t>
      </w:r>
    </w:p>
    <w:p w14:paraId="472E6EEF"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Garlatti, A., Iacuzzi, S., </w:t>
      </w:r>
      <w:proofErr w:type="spellStart"/>
      <w:r w:rsidRPr="00B10FD1">
        <w:rPr>
          <w:rFonts w:ascii="Arial" w:hAnsi="Arial" w:cs="Arial"/>
          <w:color w:val="000000" w:themeColor="text1"/>
          <w:sz w:val="22"/>
          <w:szCs w:val="22"/>
        </w:rPr>
        <w:t>Pauluzzo</w:t>
      </w:r>
      <w:proofErr w:type="spellEnd"/>
      <w:r w:rsidRPr="00B10FD1">
        <w:rPr>
          <w:rFonts w:ascii="Arial" w:hAnsi="Arial" w:cs="Arial"/>
          <w:color w:val="000000" w:themeColor="text1"/>
          <w:sz w:val="22"/>
          <w:szCs w:val="22"/>
        </w:rPr>
        <w:t xml:space="preserve">, R., &amp; </w:t>
      </w:r>
      <w:proofErr w:type="spellStart"/>
      <w:r w:rsidRPr="00B10FD1">
        <w:rPr>
          <w:rFonts w:ascii="Arial" w:hAnsi="Arial" w:cs="Arial"/>
          <w:color w:val="000000" w:themeColor="text1"/>
          <w:sz w:val="22"/>
          <w:szCs w:val="22"/>
        </w:rPr>
        <w:t>Pericolo</w:t>
      </w:r>
      <w:proofErr w:type="spellEnd"/>
      <w:r w:rsidRPr="00B10FD1">
        <w:rPr>
          <w:rFonts w:ascii="Arial" w:hAnsi="Arial" w:cs="Arial"/>
          <w:color w:val="000000" w:themeColor="text1"/>
          <w:sz w:val="22"/>
          <w:szCs w:val="22"/>
        </w:rPr>
        <w:t xml:space="preserve">, E. (2025). Assessing the effect of </w:t>
      </w:r>
      <w:proofErr w:type="spellStart"/>
      <w:r w:rsidRPr="00B10FD1">
        <w:rPr>
          <w:rFonts w:ascii="Arial" w:hAnsi="Arial" w:cs="Arial"/>
          <w:color w:val="000000" w:themeColor="text1"/>
          <w:sz w:val="22"/>
          <w:szCs w:val="22"/>
        </w:rPr>
        <w:t>digitalisation</w:t>
      </w:r>
      <w:proofErr w:type="spellEnd"/>
      <w:r w:rsidRPr="00B10FD1">
        <w:rPr>
          <w:rFonts w:ascii="Arial" w:hAnsi="Arial" w:cs="Arial"/>
          <w:color w:val="000000" w:themeColor="text1"/>
          <w:sz w:val="22"/>
          <w:szCs w:val="22"/>
        </w:rPr>
        <w:t xml:space="preserve"> on a public “self-servicing” service. </w:t>
      </w:r>
      <w:r w:rsidRPr="00B10FD1">
        <w:rPr>
          <w:rFonts w:ascii="Arial" w:hAnsi="Arial" w:cs="Arial"/>
          <w:i/>
          <w:iCs/>
          <w:color w:val="000000" w:themeColor="text1"/>
          <w:sz w:val="22"/>
          <w:szCs w:val="22"/>
        </w:rPr>
        <w:t>Journal of Public Budgeting Accounting &amp; Financial Management</w:t>
      </w:r>
      <w:r w:rsidRPr="00B10FD1">
        <w:rPr>
          <w:rFonts w:ascii="Arial" w:hAnsi="Arial" w:cs="Arial"/>
          <w:color w:val="000000" w:themeColor="text1"/>
          <w:sz w:val="22"/>
          <w:szCs w:val="22"/>
        </w:rPr>
        <w:t xml:space="preserve">. </w:t>
      </w:r>
      <w:hyperlink r:id="rId41" w:history="1">
        <w:r w:rsidR="009C77DD" w:rsidRPr="00B10FD1">
          <w:rPr>
            <w:rStyle w:val="Hyperlink"/>
            <w:rFonts w:ascii="Arial" w:hAnsi="Arial" w:cs="Arial"/>
            <w:sz w:val="22"/>
            <w:szCs w:val="22"/>
          </w:rPr>
          <w:t>https://doi.org/10.1108/jpbafm-09-2024-0186</w:t>
        </w:r>
      </w:hyperlink>
      <w:r w:rsidR="009C77DD" w:rsidRPr="00B10FD1">
        <w:rPr>
          <w:rStyle w:val="url"/>
          <w:rFonts w:ascii="Arial" w:hAnsi="Arial" w:cs="Arial"/>
          <w:color w:val="000000" w:themeColor="text1"/>
          <w:sz w:val="22"/>
          <w:szCs w:val="22"/>
        </w:rPr>
        <w:t xml:space="preserve"> </w:t>
      </w:r>
    </w:p>
    <w:p w14:paraId="5B62A3BC"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Gerlach, L. B., Solway, E. S., &amp; Malani, P. N. (2024). Social isolation and loneliness in older adults. </w:t>
      </w:r>
      <w:r w:rsidRPr="00B10FD1">
        <w:rPr>
          <w:rFonts w:ascii="Arial" w:hAnsi="Arial" w:cs="Arial"/>
          <w:i/>
          <w:iCs/>
          <w:color w:val="000000" w:themeColor="text1"/>
          <w:sz w:val="22"/>
          <w:szCs w:val="22"/>
        </w:rPr>
        <w:t>JAMA</w:t>
      </w:r>
      <w:r w:rsidRPr="00B10FD1">
        <w:rPr>
          <w:rFonts w:ascii="Arial" w:hAnsi="Arial" w:cs="Arial"/>
          <w:color w:val="000000" w:themeColor="text1"/>
          <w:sz w:val="22"/>
          <w:szCs w:val="22"/>
        </w:rPr>
        <w:t xml:space="preserve">, </w:t>
      </w:r>
      <w:r w:rsidRPr="00B10FD1">
        <w:rPr>
          <w:rFonts w:ascii="Arial" w:hAnsi="Arial" w:cs="Arial"/>
          <w:i/>
          <w:iCs/>
          <w:color w:val="000000" w:themeColor="text1"/>
          <w:sz w:val="22"/>
          <w:szCs w:val="22"/>
        </w:rPr>
        <w:t>331</w:t>
      </w:r>
      <w:r w:rsidRPr="00B10FD1">
        <w:rPr>
          <w:rFonts w:ascii="Arial" w:hAnsi="Arial" w:cs="Arial"/>
          <w:color w:val="000000" w:themeColor="text1"/>
          <w:sz w:val="22"/>
          <w:szCs w:val="22"/>
        </w:rPr>
        <w:t xml:space="preserve">(23), 2058. </w:t>
      </w:r>
      <w:hyperlink r:id="rId42" w:history="1">
        <w:r w:rsidR="009C77DD" w:rsidRPr="00B10FD1">
          <w:rPr>
            <w:rStyle w:val="Hyperlink"/>
            <w:rFonts w:ascii="Arial" w:hAnsi="Arial" w:cs="Arial"/>
            <w:sz w:val="22"/>
            <w:szCs w:val="22"/>
          </w:rPr>
          <w:t>https://doi.org/10.1001/jama.2024.3456</w:t>
        </w:r>
      </w:hyperlink>
      <w:r w:rsidR="009C77DD" w:rsidRPr="00B10FD1">
        <w:rPr>
          <w:rStyle w:val="url"/>
          <w:rFonts w:ascii="Arial" w:hAnsi="Arial" w:cs="Arial"/>
          <w:color w:val="000000" w:themeColor="text1"/>
          <w:sz w:val="22"/>
          <w:szCs w:val="22"/>
        </w:rPr>
        <w:t xml:space="preserve"> </w:t>
      </w:r>
    </w:p>
    <w:p w14:paraId="72304620"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Gorsky, M. (2008). The British National Health Service 1948-2008: A review of the Historiography. </w:t>
      </w:r>
      <w:r w:rsidRPr="00B10FD1">
        <w:rPr>
          <w:rFonts w:ascii="Arial" w:hAnsi="Arial" w:cs="Arial"/>
          <w:i/>
          <w:iCs/>
          <w:color w:val="000000" w:themeColor="text1"/>
          <w:sz w:val="22"/>
          <w:szCs w:val="22"/>
        </w:rPr>
        <w:t>Social History of Medicine</w:t>
      </w:r>
      <w:r w:rsidRPr="00B10FD1">
        <w:rPr>
          <w:rFonts w:ascii="Arial" w:hAnsi="Arial" w:cs="Arial"/>
          <w:color w:val="000000" w:themeColor="text1"/>
          <w:sz w:val="22"/>
          <w:szCs w:val="22"/>
        </w:rPr>
        <w:t xml:space="preserve">, </w:t>
      </w:r>
      <w:r w:rsidRPr="00B10FD1">
        <w:rPr>
          <w:rFonts w:ascii="Arial" w:hAnsi="Arial" w:cs="Arial"/>
          <w:i/>
          <w:iCs/>
          <w:color w:val="000000" w:themeColor="text1"/>
          <w:sz w:val="22"/>
          <w:szCs w:val="22"/>
        </w:rPr>
        <w:t>21</w:t>
      </w:r>
      <w:r w:rsidRPr="00B10FD1">
        <w:rPr>
          <w:rFonts w:ascii="Arial" w:hAnsi="Arial" w:cs="Arial"/>
          <w:color w:val="000000" w:themeColor="text1"/>
          <w:sz w:val="22"/>
          <w:szCs w:val="22"/>
        </w:rPr>
        <w:t xml:space="preserve">(3), 437–460. </w:t>
      </w:r>
      <w:hyperlink r:id="rId43" w:history="1">
        <w:r w:rsidR="009C77DD" w:rsidRPr="00B10FD1">
          <w:rPr>
            <w:rStyle w:val="Hyperlink"/>
            <w:rFonts w:ascii="Arial" w:hAnsi="Arial" w:cs="Arial"/>
            <w:sz w:val="22"/>
            <w:szCs w:val="22"/>
          </w:rPr>
          <w:t>https://doi.org/10.1093/shm/hkn064</w:t>
        </w:r>
      </w:hyperlink>
      <w:r w:rsidR="009C77DD" w:rsidRPr="00B10FD1">
        <w:rPr>
          <w:rStyle w:val="url"/>
          <w:rFonts w:ascii="Arial" w:hAnsi="Arial" w:cs="Arial"/>
          <w:color w:val="000000" w:themeColor="text1"/>
          <w:sz w:val="22"/>
          <w:szCs w:val="22"/>
        </w:rPr>
        <w:t xml:space="preserve"> </w:t>
      </w:r>
    </w:p>
    <w:p w14:paraId="40FF29DE" w14:textId="77777777" w:rsidR="00C40371" w:rsidRPr="00B10FD1" w:rsidRDefault="009D7FE7" w:rsidP="00C40371">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Gorsky, M. (2015). </w:t>
      </w:r>
      <w:r w:rsidRPr="00B10FD1">
        <w:rPr>
          <w:rFonts w:ascii="Arial" w:hAnsi="Arial" w:cs="Arial"/>
          <w:i/>
          <w:iCs/>
          <w:color w:val="000000" w:themeColor="text1"/>
          <w:sz w:val="22"/>
          <w:szCs w:val="22"/>
        </w:rPr>
        <w:t>The NHS in Britain: Any Lesson from History for Universal Health Coverage?</w:t>
      </w:r>
      <w:r w:rsidRPr="00B10FD1">
        <w:rPr>
          <w:rFonts w:ascii="Arial" w:hAnsi="Arial" w:cs="Arial"/>
          <w:color w:val="000000" w:themeColor="text1"/>
          <w:sz w:val="22"/>
          <w:szCs w:val="22"/>
        </w:rPr>
        <w:t xml:space="preserve"> Health for All - NCBI Bookshelf. </w:t>
      </w:r>
      <w:hyperlink r:id="rId44" w:history="1">
        <w:r w:rsidR="009C77DD" w:rsidRPr="00B10FD1">
          <w:rPr>
            <w:rStyle w:val="Hyperlink"/>
            <w:rFonts w:ascii="Arial" w:hAnsi="Arial" w:cs="Arial"/>
            <w:sz w:val="22"/>
            <w:szCs w:val="22"/>
          </w:rPr>
          <w:t>https://www.ncbi.nlm.nih.gov/books/NBK316274/</w:t>
        </w:r>
      </w:hyperlink>
      <w:r w:rsidR="009C77DD" w:rsidRPr="00B10FD1">
        <w:rPr>
          <w:rStyle w:val="url"/>
          <w:rFonts w:ascii="Arial" w:hAnsi="Arial" w:cs="Arial"/>
          <w:color w:val="000000" w:themeColor="text1"/>
          <w:sz w:val="22"/>
          <w:szCs w:val="22"/>
        </w:rPr>
        <w:t xml:space="preserve"> (Accessed: July 17, 2025).</w:t>
      </w:r>
    </w:p>
    <w:p w14:paraId="17F60763" w14:textId="77777777" w:rsidR="00C40371" w:rsidRPr="00B10FD1" w:rsidRDefault="00C40371" w:rsidP="00C40371">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sz w:val="22"/>
          <w:szCs w:val="22"/>
        </w:rPr>
        <w:t xml:space="preserve">Greenhalgh, T., </w:t>
      </w:r>
      <w:proofErr w:type="spellStart"/>
      <w:r w:rsidRPr="00B10FD1">
        <w:rPr>
          <w:rFonts w:ascii="Arial" w:hAnsi="Arial" w:cs="Arial"/>
          <w:sz w:val="22"/>
          <w:szCs w:val="22"/>
        </w:rPr>
        <w:t>Wherton</w:t>
      </w:r>
      <w:proofErr w:type="spellEnd"/>
      <w:r w:rsidRPr="00B10FD1">
        <w:rPr>
          <w:rFonts w:ascii="Arial" w:hAnsi="Arial" w:cs="Arial"/>
          <w:sz w:val="22"/>
          <w:szCs w:val="22"/>
        </w:rPr>
        <w:t xml:space="preserve">, J., Papoutsi, C., Lynch, J., Hughes, G., A’Court, C., Hinder, S. and Shaw, S. (2017) ‘Beyond adoption: A new framework for </w:t>
      </w:r>
      <w:proofErr w:type="spellStart"/>
      <w:r w:rsidRPr="00B10FD1">
        <w:rPr>
          <w:rFonts w:ascii="Arial" w:hAnsi="Arial" w:cs="Arial"/>
          <w:sz w:val="22"/>
          <w:szCs w:val="22"/>
        </w:rPr>
        <w:t>theorising</w:t>
      </w:r>
      <w:proofErr w:type="spellEnd"/>
      <w:r w:rsidRPr="00B10FD1">
        <w:rPr>
          <w:rFonts w:ascii="Arial" w:hAnsi="Arial" w:cs="Arial"/>
          <w:sz w:val="22"/>
          <w:szCs w:val="22"/>
        </w:rPr>
        <w:t xml:space="preserve"> and evaluating non-adoption, abandonment, and challenges to scale-up, spread, and sustainability (NASSS) </w:t>
      </w:r>
      <w:r w:rsidRPr="00B10FD1">
        <w:rPr>
          <w:rFonts w:ascii="Arial" w:hAnsi="Arial" w:cs="Arial"/>
          <w:sz w:val="22"/>
          <w:szCs w:val="22"/>
        </w:rPr>
        <w:lastRenderedPageBreak/>
        <w:t xml:space="preserve">of health and care technologies’, </w:t>
      </w:r>
      <w:r w:rsidRPr="00B10FD1">
        <w:rPr>
          <w:rStyle w:val="Emphasis"/>
          <w:rFonts w:ascii="Arial" w:hAnsi="Arial" w:cs="Arial"/>
          <w:sz w:val="22"/>
          <w:szCs w:val="22"/>
        </w:rPr>
        <w:t>Journal of Medical Internet Research</w:t>
      </w:r>
      <w:r w:rsidRPr="00B10FD1">
        <w:rPr>
          <w:rFonts w:ascii="Arial" w:hAnsi="Arial" w:cs="Arial"/>
          <w:sz w:val="22"/>
          <w:szCs w:val="22"/>
        </w:rPr>
        <w:t xml:space="preserve">, 19(11), e367. DOI: 10.2196/jmir.8775. Available at: </w:t>
      </w:r>
      <w:hyperlink r:id="rId45" w:tgtFrame="_new" w:history="1">
        <w:r w:rsidRPr="00B10FD1">
          <w:rPr>
            <w:rStyle w:val="Hyperlink"/>
            <w:rFonts w:ascii="Arial" w:hAnsi="Arial" w:cs="Arial"/>
            <w:sz w:val="22"/>
            <w:szCs w:val="22"/>
          </w:rPr>
          <w:t>https://www.jmir.org/2017/11/e367</w:t>
        </w:r>
      </w:hyperlink>
    </w:p>
    <w:p w14:paraId="54861D5B" w14:textId="77777777" w:rsidR="00C40371" w:rsidRPr="00B10FD1" w:rsidRDefault="00C40371" w:rsidP="00C40371">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sz w:val="22"/>
          <w:szCs w:val="22"/>
        </w:rPr>
        <w:t xml:space="preserve">Health Foundation (2022) ‘The plan for digital health and social care: what will be needed to make it work?’ (Blog). Available at: </w:t>
      </w:r>
      <w:hyperlink r:id="rId46" w:tgtFrame="_new" w:history="1">
        <w:r w:rsidRPr="00B10FD1">
          <w:rPr>
            <w:rStyle w:val="Hyperlink"/>
            <w:rFonts w:ascii="Arial" w:hAnsi="Arial" w:cs="Arial"/>
            <w:sz w:val="22"/>
            <w:szCs w:val="22"/>
          </w:rPr>
          <w:t>https://www.health.org.uk/features-and-opinion/blogs/the-plan-for-digital-health-and-social-care-what-will-be-needed-to</w:t>
        </w:r>
      </w:hyperlink>
      <w:r w:rsidRPr="00B10FD1">
        <w:rPr>
          <w:rFonts w:ascii="Arial" w:hAnsi="Arial" w:cs="Arial"/>
          <w:sz w:val="22"/>
          <w:szCs w:val="22"/>
        </w:rPr>
        <w:t xml:space="preserve"> (Accessed 20 September 2025).</w:t>
      </w:r>
    </w:p>
    <w:p w14:paraId="38211555" w14:textId="77777777" w:rsidR="00C40371" w:rsidRPr="00B10FD1" w:rsidRDefault="00C40371" w:rsidP="00C40371">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sz w:val="22"/>
          <w:szCs w:val="22"/>
        </w:rPr>
        <w:t xml:space="preserve">Health Foundation (2025) ‘Estimated £21 billion required over next 5 years to </w:t>
      </w:r>
      <w:proofErr w:type="spellStart"/>
      <w:r w:rsidRPr="00B10FD1">
        <w:rPr>
          <w:rFonts w:ascii="Arial" w:hAnsi="Arial" w:cs="Arial"/>
          <w:sz w:val="22"/>
          <w:szCs w:val="22"/>
        </w:rPr>
        <w:t>digitise</w:t>
      </w:r>
      <w:proofErr w:type="spellEnd"/>
      <w:r w:rsidRPr="00B10FD1">
        <w:rPr>
          <w:rFonts w:ascii="Arial" w:hAnsi="Arial" w:cs="Arial"/>
          <w:sz w:val="22"/>
          <w:szCs w:val="22"/>
        </w:rPr>
        <w:t xml:space="preserve"> NHS and adult social care across UK’ (Press release). Available at: </w:t>
      </w:r>
      <w:hyperlink r:id="rId47" w:tgtFrame="_new" w:history="1">
        <w:r w:rsidRPr="00B10FD1">
          <w:rPr>
            <w:rStyle w:val="Hyperlink"/>
            <w:rFonts w:ascii="Arial" w:hAnsi="Arial" w:cs="Arial"/>
            <w:sz w:val="22"/>
            <w:szCs w:val="22"/>
          </w:rPr>
          <w:t>https://www.health.org.uk/press-office/press-releases/estimated-21-billion-required-over-next-5-years-to-digitise-nhs-and-adult-social-care-across-uk</w:t>
        </w:r>
      </w:hyperlink>
      <w:r w:rsidRPr="00B10FD1">
        <w:rPr>
          <w:rFonts w:ascii="Arial" w:hAnsi="Arial" w:cs="Arial"/>
          <w:sz w:val="22"/>
          <w:szCs w:val="22"/>
        </w:rPr>
        <w:t xml:space="preserve"> (Accessed 20 September 2025).</w:t>
      </w:r>
    </w:p>
    <w:p w14:paraId="683C3F95" w14:textId="77777777" w:rsidR="00C40371" w:rsidRPr="00B10FD1" w:rsidRDefault="00C40371" w:rsidP="00C40371">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sz w:val="22"/>
          <w:szCs w:val="22"/>
        </w:rPr>
        <w:t xml:space="preserve">Holt-Lunstad, J. (2024) ‘Social connection as a critical factor for mental and physical health: evidence, trends, challenges, and future implications’, </w:t>
      </w:r>
      <w:r w:rsidRPr="00B10FD1">
        <w:rPr>
          <w:rStyle w:val="Emphasis"/>
          <w:rFonts w:ascii="Arial" w:hAnsi="Arial" w:cs="Arial"/>
          <w:sz w:val="22"/>
          <w:szCs w:val="22"/>
        </w:rPr>
        <w:t>World Psychiatry</w:t>
      </w:r>
      <w:r w:rsidRPr="00B10FD1">
        <w:rPr>
          <w:rFonts w:ascii="Arial" w:hAnsi="Arial" w:cs="Arial"/>
          <w:sz w:val="22"/>
          <w:szCs w:val="22"/>
        </w:rPr>
        <w:t xml:space="preserve">, 23(3), pp. 312–332. DOI: 10.1002/wps.21224. Available at: </w:t>
      </w:r>
      <w:hyperlink r:id="rId48" w:tgtFrame="_new" w:history="1">
        <w:r w:rsidRPr="00B10FD1">
          <w:rPr>
            <w:rStyle w:val="Hyperlink"/>
            <w:rFonts w:ascii="Arial" w:hAnsi="Arial" w:cs="Arial"/>
            <w:sz w:val="22"/>
            <w:szCs w:val="22"/>
          </w:rPr>
          <w:t>https://doi.org/10.1002/wps.21224</w:t>
        </w:r>
      </w:hyperlink>
    </w:p>
    <w:p w14:paraId="6A6031EF"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Havighurst, R. J. (1961). Successful aging1. </w:t>
      </w:r>
      <w:r w:rsidRPr="00B10FD1">
        <w:rPr>
          <w:rFonts w:ascii="Arial" w:hAnsi="Arial" w:cs="Arial"/>
          <w:i/>
          <w:iCs/>
          <w:color w:val="000000" w:themeColor="text1"/>
          <w:sz w:val="22"/>
          <w:szCs w:val="22"/>
        </w:rPr>
        <w:t>The Gerontologist</w:t>
      </w:r>
      <w:r w:rsidRPr="00B10FD1">
        <w:rPr>
          <w:rFonts w:ascii="Arial" w:hAnsi="Arial" w:cs="Arial"/>
          <w:color w:val="000000" w:themeColor="text1"/>
          <w:sz w:val="22"/>
          <w:szCs w:val="22"/>
        </w:rPr>
        <w:t xml:space="preserve">, </w:t>
      </w:r>
      <w:r w:rsidRPr="00B10FD1">
        <w:rPr>
          <w:rFonts w:ascii="Arial" w:hAnsi="Arial" w:cs="Arial"/>
          <w:i/>
          <w:iCs/>
          <w:color w:val="000000" w:themeColor="text1"/>
          <w:sz w:val="22"/>
          <w:szCs w:val="22"/>
        </w:rPr>
        <w:t>1</w:t>
      </w:r>
      <w:r w:rsidRPr="00B10FD1">
        <w:rPr>
          <w:rFonts w:ascii="Arial" w:hAnsi="Arial" w:cs="Arial"/>
          <w:color w:val="000000" w:themeColor="text1"/>
          <w:sz w:val="22"/>
          <w:szCs w:val="22"/>
        </w:rPr>
        <w:t xml:space="preserve">(1), 8–13. </w:t>
      </w:r>
      <w:hyperlink r:id="rId49" w:history="1">
        <w:r w:rsidR="009C77DD" w:rsidRPr="00B10FD1">
          <w:rPr>
            <w:rStyle w:val="Hyperlink"/>
            <w:rFonts w:ascii="Arial" w:hAnsi="Arial" w:cs="Arial"/>
            <w:sz w:val="22"/>
            <w:szCs w:val="22"/>
          </w:rPr>
          <w:t>https://doi.org/10.1093/geront/1.1.8</w:t>
        </w:r>
      </w:hyperlink>
      <w:r w:rsidR="009C77DD" w:rsidRPr="00B10FD1">
        <w:rPr>
          <w:rStyle w:val="url"/>
          <w:rFonts w:ascii="Arial" w:hAnsi="Arial" w:cs="Arial"/>
          <w:color w:val="000000" w:themeColor="text1"/>
          <w:sz w:val="22"/>
          <w:szCs w:val="22"/>
        </w:rPr>
        <w:t xml:space="preserve"> </w:t>
      </w:r>
    </w:p>
    <w:p w14:paraId="076892DE"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Hearn, A. (2022, November 23). </w:t>
      </w:r>
      <w:r w:rsidRPr="00B10FD1">
        <w:rPr>
          <w:rFonts w:ascii="Arial" w:hAnsi="Arial" w:cs="Arial"/>
          <w:i/>
          <w:iCs/>
          <w:color w:val="000000" w:themeColor="text1"/>
          <w:sz w:val="22"/>
          <w:szCs w:val="22"/>
        </w:rPr>
        <w:t>Launching the 100% Digital Leeds model for a community-based approach to digital inclusion – 100% Digital Leeds</w:t>
      </w:r>
      <w:r w:rsidRPr="00B10FD1">
        <w:rPr>
          <w:rFonts w:ascii="Arial" w:hAnsi="Arial" w:cs="Arial"/>
          <w:color w:val="000000" w:themeColor="text1"/>
          <w:sz w:val="22"/>
          <w:szCs w:val="22"/>
        </w:rPr>
        <w:t xml:space="preserve">. </w:t>
      </w:r>
      <w:hyperlink r:id="rId50" w:history="1">
        <w:r w:rsidR="009C77DD" w:rsidRPr="00B10FD1">
          <w:rPr>
            <w:rStyle w:val="Hyperlink"/>
            <w:rFonts w:ascii="Arial" w:hAnsi="Arial" w:cs="Arial"/>
            <w:sz w:val="22"/>
            <w:szCs w:val="22"/>
          </w:rPr>
          <w:t>https://digitalinclusionleeds.com/launching-the-100-digital-leeds-model-for-a-community-based-approach-to-digital-inclusion</w:t>
        </w:r>
      </w:hyperlink>
      <w:r w:rsidR="009C77DD" w:rsidRPr="00B10FD1">
        <w:rPr>
          <w:rStyle w:val="url"/>
          <w:rFonts w:ascii="Arial" w:hAnsi="Arial" w:cs="Arial"/>
          <w:color w:val="000000" w:themeColor="text1"/>
          <w:sz w:val="22"/>
          <w:szCs w:val="22"/>
        </w:rPr>
        <w:t xml:space="preserve"> (Accessed: July 17, 2025).</w:t>
      </w:r>
    </w:p>
    <w:p w14:paraId="51D6F77C"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Holt</w:t>
      </w:r>
      <w:r w:rsidRPr="00B10FD1">
        <w:rPr>
          <w:rFonts w:ascii="Cambria Math" w:hAnsi="Cambria Math" w:cs="Cambria Math"/>
          <w:color w:val="000000" w:themeColor="text1"/>
          <w:sz w:val="22"/>
          <w:szCs w:val="22"/>
        </w:rPr>
        <w:t>‐</w:t>
      </w:r>
      <w:r w:rsidRPr="00B10FD1">
        <w:rPr>
          <w:rFonts w:ascii="Arial" w:hAnsi="Arial" w:cs="Arial"/>
          <w:color w:val="000000" w:themeColor="text1"/>
          <w:sz w:val="22"/>
          <w:szCs w:val="22"/>
        </w:rPr>
        <w:t xml:space="preserve">Lunstad, J. (2024). Social connection as a critical factor for mental and physical health: evidence, trends, challenges, and future implications. </w:t>
      </w:r>
      <w:r w:rsidRPr="00B10FD1">
        <w:rPr>
          <w:rFonts w:ascii="Arial" w:hAnsi="Arial" w:cs="Arial"/>
          <w:i/>
          <w:iCs/>
          <w:color w:val="000000" w:themeColor="text1"/>
          <w:sz w:val="22"/>
          <w:szCs w:val="22"/>
        </w:rPr>
        <w:t>World Psychiatry</w:t>
      </w:r>
      <w:r w:rsidRPr="00B10FD1">
        <w:rPr>
          <w:rFonts w:ascii="Arial" w:hAnsi="Arial" w:cs="Arial"/>
          <w:color w:val="000000" w:themeColor="text1"/>
          <w:sz w:val="22"/>
          <w:szCs w:val="22"/>
        </w:rPr>
        <w:t xml:space="preserve">, </w:t>
      </w:r>
      <w:r w:rsidRPr="00B10FD1">
        <w:rPr>
          <w:rFonts w:ascii="Arial" w:hAnsi="Arial" w:cs="Arial"/>
          <w:i/>
          <w:iCs/>
          <w:color w:val="000000" w:themeColor="text1"/>
          <w:sz w:val="22"/>
          <w:szCs w:val="22"/>
        </w:rPr>
        <w:t>23</w:t>
      </w:r>
      <w:r w:rsidRPr="00B10FD1">
        <w:rPr>
          <w:rFonts w:ascii="Arial" w:hAnsi="Arial" w:cs="Arial"/>
          <w:color w:val="000000" w:themeColor="text1"/>
          <w:sz w:val="22"/>
          <w:szCs w:val="22"/>
        </w:rPr>
        <w:t xml:space="preserve">(3), 312–332. </w:t>
      </w:r>
      <w:hyperlink r:id="rId51" w:history="1">
        <w:r w:rsidR="009C77DD" w:rsidRPr="00B10FD1">
          <w:rPr>
            <w:rStyle w:val="Hyperlink"/>
            <w:rFonts w:ascii="Arial" w:hAnsi="Arial" w:cs="Arial"/>
            <w:sz w:val="22"/>
            <w:szCs w:val="22"/>
          </w:rPr>
          <w:t>https://doi.org/10.1002/wps.21224</w:t>
        </w:r>
      </w:hyperlink>
      <w:r w:rsidR="009C77DD" w:rsidRPr="00B10FD1">
        <w:rPr>
          <w:rStyle w:val="url"/>
          <w:rFonts w:ascii="Arial" w:hAnsi="Arial" w:cs="Arial"/>
          <w:color w:val="000000" w:themeColor="text1"/>
          <w:sz w:val="22"/>
          <w:szCs w:val="22"/>
        </w:rPr>
        <w:t xml:space="preserve"> </w:t>
      </w:r>
    </w:p>
    <w:p w14:paraId="3EE129A9" w14:textId="77777777" w:rsidR="00C40371" w:rsidRPr="00B10FD1" w:rsidRDefault="009D7FE7" w:rsidP="00C40371">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Jones, I. R., Hyde, M., Victor, C. R., Wiggins, R. D., </w:t>
      </w:r>
      <w:proofErr w:type="spellStart"/>
      <w:r w:rsidRPr="00B10FD1">
        <w:rPr>
          <w:rFonts w:ascii="Arial" w:hAnsi="Arial" w:cs="Arial"/>
          <w:color w:val="000000" w:themeColor="text1"/>
          <w:sz w:val="22"/>
          <w:szCs w:val="22"/>
        </w:rPr>
        <w:t>Gilleard</w:t>
      </w:r>
      <w:proofErr w:type="spellEnd"/>
      <w:r w:rsidRPr="00B10FD1">
        <w:rPr>
          <w:rFonts w:ascii="Arial" w:hAnsi="Arial" w:cs="Arial"/>
          <w:color w:val="000000" w:themeColor="text1"/>
          <w:sz w:val="22"/>
          <w:szCs w:val="22"/>
        </w:rPr>
        <w:t xml:space="preserve">, C., &amp; Higgs, P. (2008). The historical evolution of the third age. In </w:t>
      </w:r>
      <w:r w:rsidRPr="00B10FD1">
        <w:rPr>
          <w:rFonts w:ascii="Arial" w:hAnsi="Arial" w:cs="Arial"/>
          <w:i/>
          <w:iCs/>
          <w:color w:val="000000" w:themeColor="text1"/>
          <w:sz w:val="22"/>
          <w:szCs w:val="22"/>
        </w:rPr>
        <w:t>Policy Press eBooks</w:t>
      </w:r>
      <w:r w:rsidRPr="00B10FD1">
        <w:rPr>
          <w:rFonts w:ascii="Arial" w:hAnsi="Arial" w:cs="Arial"/>
          <w:color w:val="000000" w:themeColor="text1"/>
          <w:sz w:val="22"/>
          <w:szCs w:val="22"/>
        </w:rPr>
        <w:t xml:space="preserve"> (pp. 13–28). </w:t>
      </w:r>
      <w:hyperlink r:id="rId52" w:history="1">
        <w:r w:rsidR="009C77DD" w:rsidRPr="00B10FD1">
          <w:rPr>
            <w:rStyle w:val="Hyperlink"/>
            <w:rFonts w:ascii="Arial" w:hAnsi="Arial" w:cs="Arial"/>
            <w:sz w:val="22"/>
            <w:szCs w:val="22"/>
          </w:rPr>
          <w:t>https://doi.org/10.51952/9781847423627.ch002</w:t>
        </w:r>
      </w:hyperlink>
      <w:r w:rsidR="009C77DD" w:rsidRPr="00B10FD1">
        <w:rPr>
          <w:rStyle w:val="url"/>
          <w:rFonts w:ascii="Arial" w:hAnsi="Arial" w:cs="Arial"/>
          <w:color w:val="000000" w:themeColor="text1"/>
          <w:sz w:val="22"/>
          <w:szCs w:val="22"/>
        </w:rPr>
        <w:t xml:space="preserve"> </w:t>
      </w:r>
    </w:p>
    <w:p w14:paraId="5F081B86" w14:textId="77777777" w:rsidR="00C40371" w:rsidRPr="00B10FD1" w:rsidRDefault="00C40371" w:rsidP="00C40371">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sz w:val="22"/>
          <w:szCs w:val="22"/>
        </w:rPr>
        <w:t xml:space="preserve">Jentoft, E.E. (2023) ‘Technology and older adults in British loneliness policy and political discourse’, </w:t>
      </w:r>
      <w:r w:rsidRPr="00B10FD1">
        <w:rPr>
          <w:rStyle w:val="Emphasis"/>
          <w:rFonts w:ascii="Arial" w:hAnsi="Arial" w:cs="Arial"/>
          <w:sz w:val="22"/>
          <w:szCs w:val="22"/>
        </w:rPr>
        <w:t>Frontiers in Digital Health</w:t>
      </w:r>
      <w:r w:rsidRPr="00B10FD1">
        <w:rPr>
          <w:rFonts w:ascii="Arial" w:hAnsi="Arial" w:cs="Arial"/>
          <w:sz w:val="22"/>
          <w:szCs w:val="22"/>
        </w:rPr>
        <w:t xml:space="preserve">, 5, 1168413. DOI: 10.3389/fdgth.2023.1168413. Available at: </w:t>
      </w:r>
      <w:hyperlink r:id="rId53" w:history="1">
        <w:r w:rsidRPr="00B10FD1">
          <w:rPr>
            <w:rStyle w:val="Hyperlink"/>
            <w:rFonts w:ascii="Arial" w:hAnsi="Arial" w:cs="Arial"/>
            <w:sz w:val="22"/>
            <w:szCs w:val="22"/>
          </w:rPr>
          <w:t>https://www.frontiersin.org/articles/10.3389/fdgth.2023.1168413/full</w:t>
        </w:r>
      </w:hyperlink>
      <w:r w:rsidRPr="00B10FD1">
        <w:rPr>
          <w:rFonts w:ascii="Arial" w:hAnsi="Arial" w:cs="Arial"/>
          <w:sz w:val="22"/>
          <w:szCs w:val="22"/>
        </w:rPr>
        <w:t xml:space="preserve"> </w:t>
      </w:r>
    </w:p>
    <w:p w14:paraId="5514C96E"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proofErr w:type="spellStart"/>
      <w:r w:rsidRPr="00B10FD1">
        <w:rPr>
          <w:rFonts w:ascii="Arial" w:hAnsi="Arial" w:cs="Arial"/>
          <w:color w:val="000000" w:themeColor="text1"/>
          <w:sz w:val="22"/>
          <w:szCs w:val="22"/>
        </w:rPr>
        <w:t>Khavinson</w:t>
      </w:r>
      <w:proofErr w:type="spellEnd"/>
      <w:r w:rsidRPr="00B10FD1">
        <w:rPr>
          <w:rFonts w:ascii="Arial" w:hAnsi="Arial" w:cs="Arial"/>
          <w:color w:val="000000" w:themeColor="text1"/>
          <w:sz w:val="22"/>
          <w:szCs w:val="22"/>
        </w:rPr>
        <w:t xml:space="preserve">, V., Popovich, I., &amp; Mikhailova, O. (2020). Towards realization of longer life. </w:t>
      </w:r>
      <w:r w:rsidRPr="00B10FD1">
        <w:rPr>
          <w:rFonts w:ascii="Arial" w:hAnsi="Arial" w:cs="Arial"/>
          <w:i/>
          <w:iCs/>
          <w:color w:val="000000" w:themeColor="text1"/>
          <w:sz w:val="22"/>
          <w:szCs w:val="22"/>
        </w:rPr>
        <w:t>Acta Bio-</w:t>
      </w:r>
      <w:proofErr w:type="gramStart"/>
      <w:r w:rsidRPr="00B10FD1">
        <w:rPr>
          <w:rFonts w:ascii="Arial" w:hAnsi="Arial" w:cs="Arial"/>
          <w:i/>
          <w:iCs/>
          <w:color w:val="000000" w:themeColor="text1"/>
          <w:sz w:val="22"/>
          <w:szCs w:val="22"/>
        </w:rPr>
        <w:t>medica :</w:t>
      </w:r>
      <w:proofErr w:type="gramEnd"/>
      <w:r w:rsidRPr="00B10FD1">
        <w:rPr>
          <w:rFonts w:ascii="Arial" w:hAnsi="Arial" w:cs="Arial"/>
          <w:i/>
          <w:iCs/>
          <w:color w:val="000000" w:themeColor="text1"/>
          <w:sz w:val="22"/>
          <w:szCs w:val="22"/>
        </w:rPr>
        <w:t xml:space="preserve"> </w:t>
      </w:r>
      <w:proofErr w:type="spellStart"/>
      <w:r w:rsidRPr="00B10FD1">
        <w:rPr>
          <w:rFonts w:ascii="Arial" w:hAnsi="Arial" w:cs="Arial"/>
          <w:i/>
          <w:iCs/>
          <w:color w:val="000000" w:themeColor="text1"/>
          <w:sz w:val="22"/>
          <w:szCs w:val="22"/>
        </w:rPr>
        <w:t>Atenei</w:t>
      </w:r>
      <w:proofErr w:type="spellEnd"/>
      <w:r w:rsidRPr="00B10FD1">
        <w:rPr>
          <w:rFonts w:ascii="Arial" w:hAnsi="Arial" w:cs="Arial"/>
          <w:i/>
          <w:iCs/>
          <w:color w:val="000000" w:themeColor="text1"/>
          <w:sz w:val="22"/>
          <w:szCs w:val="22"/>
        </w:rPr>
        <w:t xml:space="preserve"> </w:t>
      </w:r>
      <w:proofErr w:type="spellStart"/>
      <w:r w:rsidRPr="00B10FD1">
        <w:rPr>
          <w:rFonts w:ascii="Arial" w:hAnsi="Arial" w:cs="Arial"/>
          <w:i/>
          <w:iCs/>
          <w:color w:val="000000" w:themeColor="text1"/>
          <w:sz w:val="22"/>
          <w:szCs w:val="22"/>
        </w:rPr>
        <w:t>Parmensis</w:t>
      </w:r>
      <w:proofErr w:type="spellEnd"/>
      <w:r w:rsidRPr="00B10FD1">
        <w:rPr>
          <w:rFonts w:ascii="Arial" w:hAnsi="Arial" w:cs="Arial"/>
          <w:color w:val="000000" w:themeColor="text1"/>
          <w:sz w:val="22"/>
          <w:szCs w:val="22"/>
        </w:rPr>
        <w:t xml:space="preserve">, </w:t>
      </w:r>
      <w:r w:rsidRPr="00B10FD1">
        <w:rPr>
          <w:rFonts w:ascii="Arial" w:hAnsi="Arial" w:cs="Arial"/>
          <w:i/>
          <w:iCs/>
          <w:color w:val="000000" w:themeColor="text1"/>
          <w:sz w:val="22"/>
          <w:szCs w:val="22"/>
        </w:rPr>
        <w:t>91</w:t>
      </w:r>
      <w:r w:rsidRPr="00B10FD1">
        <w:rPr>
          <w:rFonts w:ascii="Arial" w:hAnsi="Arial" w:cs="Arial"/>
          <w:color w:val="000000" w:themeColor="text1"/>
          <w:sz w:val="22"/>
          <w:szCs w:val="22"/>
        </w:rPr>
        <w:t xml:space="preserve">(3). </w:t>
      </w:r>
      <w:hyperlink r:id="rId54" w:history="1">
        <w:r w:rsidR="009C77DD" w:rsidRPr="00B10FD1">
          <w:rPr>
            <w:rStyle w:val="Hyperlink"/>
            <w:rFonts w:ascii="Arial" w:hAnsi="Arial" w:cs="Arial"/>
            <w:sz w:val="22"/>
            <w:szCs w:val="22"/>
          </w:rPr>
          <w:t>https://doi.org/10.23750/abm.v91i3.10079</w:t>
        </w:r>
      </w:hyperlink>
      <w:r w:rsidR="009C77DD" w:rsidRPr="00B10FD1">
        <w:rPr>
          <w:rStyle w:val="url"/>
          <w:rFonts w:ascii="Arial" w:hAnsi="Arial" w:cs="Arial"/>
          <w:color w:val="000000" w:themeColor="text1"/>
          <w:sz w:val="22"/>
          <w:szCs w:val="22"/>
        </w:rPr>
        <w:t xml:space="preserve"> </w:t>
      </w:r>
    </w:p>
    <w:p w14:paraId="1980746E" w14:textId="77777777" w:rsidR="00477ADA" w:rsidRPr="00B10FD1" w:rsidRDefault="009D7FE7" w:rsidP="00477ADA">
      <w:pPr>
        <w:pStyle w:val="NormalWeb"/>
        <w:spacing w:before="120" w:beforeAutospacing="0" w:after="120" w:afterAutospacing="0" w:line="360" w:lineRule="auto"/>
        <w:ind w:left="720" w:hanging="720"/>
        <w:jc w:val="both"/>
        <w:rPr>
          <w:rFonts w:ascii="Arial" w:hAnsi="Arial" w:cs="Arial"/>
          <w:color w:val="000000" w:themeColor="text1"/>
          <w:sz w:val="22"/>
          <w:szCs w:val="22"/>
        </w:rPr>
      </w:pPr>
      <w:proofErr w:type="spellStart"/>
      <w:r w:rsidRPr="00B10FD1">
        <w:rPr>
          <w:rFonts w:ascii="Arial" w:hAnsi="Arial" w:cs="Arial"/>
          <w:color w:val="000000" w:themeColor="text1"/>
          <w:sz w:val="22"/>
          <w:szCs w:val="22"/>
        </w:rPr>
        <w:lastRenderedPageBreak/>
        <w:t>Kunonga</w:t>
      </w:r>
      <w:proofErr w:type="spellEnd"/>
      <w:r w:rsidRPr="00B10FD1">
        <w:rPr>
          <w:rFonts w:ascii="Arial" w:hAnsi="Arial" w:cs="Arial"/>
          <w:color w:val="000000" w:themeColor="text1"/>
          <w:sz w:val="22"/>
          <w:szCs w:val="22"/>
        </w:rPr>
        <w:t xml:space="preserve">, T. P., Spiers, G. F., Beyer, F. R., Hanratty, B., Boulton, E., Hall, A., Bower, P., Todd, C., &amp; Craig, D. (2021). Effects of digital technologies on older people’s access to health and social care: Umbrella review. </w:t>
      </w:r>
      <w:r w:rsidRPr="00B10FD1">
        <w:rPr>
          <w:rFonts w:ascii="Arial" w:hAnsi="Arial" w:cs="Arial"/>
          <w:i/>
          <w:iCs/>
          <w:color w:val="000000" w:themeColor="text1"/>
          <w:sz w:val="22"/>
          <w:szCs w:val="22"/>
        </w:rPr>
        <w:t>Journal of Medical Internet Research</w:t>
      </w:r>
      <w:r w:rsidRPr="00B10FD1">
        <w:rPr>
          <w:rFonts w:ascii="Arial" w:hAnsi="Arial" w:cs="Arial"/>
          <w:color w:val="000000" w:themeColor="text1"/>
          <w:sz w:val="22"/>
          <w:szCs w:val="22"/>
        </w:rPr>
        <w:t xml:space="preserve">, </w:t>
      </w:r>
      <w:r w:rsidRPr="00B10FD1">
        <w:rPr>
          <w:rFonts w:ascii="Arial" w:hAnsi="Arial" w:cs="Arial"/>
          <w:i/>
          <w:iCs/>
          <w:color w:val="000000" w:themeColor="text1"/>
          <w:sz w:val="22"/>
          <w:szCs w:val="22"/>
        </w:rPr>
        <w:t>23</w:t>
      </w:r>
      <w:r w:rsidRPr="00B10FD1">
        <w:rPr>
          <w:rFonts w:ascii="Arial" w:hAnsi="Arial" w:cs="Arial"/>
          <w:color w:val="000000" w:themeColor="text1"/>
          <w:sz w:val="22"/>
          <w:szCs w:val="22"/>
        </w:rPr>
        <w:t xml:space="preserve">(11), e25887. </w:t>
      </w:r>
      <w:hyperlink r:id="rId55" w:history="1">
        <w:r w:rsidR="009C77DD" w:rsidRPr="00B10FD1">
          <w:rPr>
            <w:rStyle w:val="Hyperlink"/>
            <w:rFonts w:ascii="Arial" w:hAnsi="Arial" w:cs="Arial"/>
            <w:sz w:val="22"/>
            <w:szCs w:val="22"/>
          </w:rPr>
          <w:t>https://doi.org/10.2196/25887</w:t>
        </w:r>
      </w:hyperlink>
      <w:r w:rsidR="009C77DD" w:rsidRPr="00B10FD1">
        <w:rPr>
          <w:rStyle w:val="url"/>
          <w:rFonts w:ascii="Arial" w:hAnsi="Arial" w:cs="Arial"/>
          <w:color w:val="000000" w:themeColor="text1"/>
          <w:sz w:val="22"/>
          <w:szCs w:val="22"/>
        </w:rPr>
        <w:t xml:space="preserve"> </w:t>
      </w:r>
    </w:p>
    <w:p w14:paraId="6FFF4FEA" w14:textId="77777777" w:rsidR="00477ADA" w:rsidRPr="00B10FD1" w:rsidRDefault="00477ADA" w:rsidP="00477ADA">
      <w:pPr>
        <w:pStyle w:val="NormalWeb"/>
        <w:spacing w:before="120" w:beforeAutospacing="0" w:after="120" w:afterAutospacing="0" w:line="360" w:lineRule="auto"/>
        <w:ind w:left="720" w:hanging="720"/>
        <w:jc w:val="both"/>
        <w:rPr>
          <w:rFonts w:ascii="Arial" w:hAnsi="Arial" w:cs="Arial"/>
          <w:color w:val="000000" w:themeColor="text1"/>
          <w:sz w:val="22"/>
          <w:szCs w:val="22"/>
        </w:rPr>
      </w:pPr>
      <w:proofErr w:type="spellStart"/>
      <w:r w:rsidRPr="00B10FD1">
        <w:rPr>
          <w:rFonts w:ascii="Arial" w:hAnsi="Arial" w:cs="Arial"/>
          <w:sz w:val="22"/>
          <w:szCs w:val="22"/>
        </w:rPr>
        <w:t>Kunonga</w:t>
      </w:r>
      <w:proofErr w:type="spellEnd"/>
      <w:r w:rsidRPr="00B10FD1">
        <w:rPr>
          <w:rFonts w:ascii="Arial" w:hAnsi="Arial" w:cs="Arial"/>
          <w:sz w:val="22"/>
          <w:szCs w:val="22"/>
        </w:rPr>
        <w:t xml:space="preserve">, T.P., Spiers, G.F., Beyer, F.R., Hanratty, B., Boulton, E., Hall, A., Bower, P., Todd, C. and Craig, D. (2021) ‘Effects of digital technologies on older people’s access to health and social care: an umbrella review’, </w:t>
      </w:r>
      <w:r w:rsidRPr="00B10FD1">
        <w:rPr>
          <w:rStyle w:val="Emphasis"/>
          <w:rFonts w:ascii="Arial" w:hAnsi="Arial" w:cs="Arial"/>
          <w:sz w:val="22"/>
          <w:szCs w:val="22"/>
        </w:rPr>
        <w:t>Journal of Medical Internet Research</w:t>
      </w:r>
      <w:r w:rsidRPr="00B10FD1">
        <w:rPr>
          <w:rFonts w:ascii="Arial" w:hAnsi="Arial" w:cs="Arial"/>
          <w:sz w:val="22"/>
          <w:szCs w:val="22"/>
        </w:rPr>
        <w:t xml:space="preserve">, 23(11), e25887. DOI: 10.2196/25887. Available at: </w:t>
      </w:r>
      <w:hyperlink r:id="rId56" w:tgtFrame="_new" w:history="1">
        <w:r w:rsidRPr="00B10FD1">
          <w:rPr>
            <w:rStyle w:val="Hyperlink"/>
            <w:rFonts w:ascii="Arial" w:hAnsi="Arial" w:cs="Arial"/>
            <w:sz w:val="22"/>
            <w:szCs w:val="22"/>
          </w:rPr>
          <w:t>https://www.jmir.org/2021/11/e25887</w:t>
        </w:r>
      </w:hyperlink>
    </w:p>
    <w:p w14:paraId="30A9A770" w14:textId="77777777" w:rsidR="00477ADA" w:rsidRPr="00B10FD1" w:rsidRDefault="00477ADA" w:rsidP="00477ADA">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sz w:val="22"/>
          <w:szCs w:val="22"/>
        </w:rPr>
        <w:t xml:space="preserve">Libraries Connected (2024) </w:t>
      </w:r>
      <w:r w:rsidRPr="00B10FD1">
        <w:rPr>
          <w:rStyle w:val="Emphasis"/>
          <w:rFonts w:ascii="Arial" w:hAnsi="Arial" w:cs="Arial"/>
          <w:sz w:val="22"/>
          <w:szCs w:val="22"/>
        </w:rPr>
        <w:t>Libraries for Living, and for Living Better</w:t>
      </w:r>
      <w:r w:rsidRPr="00B10FD1">
        <w:rPr>
          <w:rFonts w:ascii="Arial" w:hAnsi="Arial" w:cs="Arial"/>
          <w:sz w:val="22"/>
          <w:szCs w:val="22"/>
        </w:rPr>
        <w:t xml:space="preserve">. Available at: </w:t>
      </w:r>
      <w:hyperlink r:id="rId57" w:tgtFrame="_new" w:history="1">
        <w:r w:rsidRPr="00B10FD1">
          <w:rPr>
            <w:rStyle w:val="Hyperlink"/>
            <w:rFonts w:ascii="Arial" w:hAnsi="Arial" w:cs="Arial"/>
            <w:sz w:val="22"/>
            <w:szCs w:val="22"/>
          </w:rPr>
          <w:t>https://www.librariesconnected.org.uk/sites/default/files/2024-10/Libraries%20for%20Living%2C%20and%20for%20Living%20Better.pdf</w:t>
        </w:r>
      </w:hyperlink>
      <w:r w:rsidRPr="00B10FD1">
        <w:rPr>
          <w:rFonts w:ascii="Arial" w:hAnsi="Arial" w:cs="Arial"/>
          <w:sz w:val="22"/>
          <w:szCs w:val="22"/>
        </w:rPr>
        <w:t xml:space="preserve"> (Accessed 20 September 2025).</w:t>
      </w:r>
    </w:p>
    <w:p w14:paraId="77894F06" w14:textId="77777777" w:rsidR="00477ADA" w:rsidRPr="00B10FD1" w:rsidRDefault="00477ADA" w:rsidP="00477ADA">
      <w:pPr>
        <w:pStyle w:val="NormalWeb"/>
        <w:spacing w:before="120" w:beforeAutospacing="0" w:after="120" w:afterAutospacing="0" w:line="360" w:lineRule="auto"/>
        <w:ind w:left="720" w:hanging="720"/>
        <w:jc w:val="both"/>
        <w:rPr>
          <w:rFonts w:ascii="Arial" w:hAnsi="Arial" w:cs="Arial"/>
          <w:sz w:val="22"/>
          <w:szCs w:val="22"/>
        </w:rPr>
      </w:pPr>
      <w:r w:rsidRPr="00B10FD1">
        <w:rPr>
          <w:rFonts w:ascii="Arial" w:hAnsi="Arial" w:cs="Arial"/>
          <w:sz w:val="22"/>
          <w:szCs w:val="22"/>
        </w:rPr>
        <w:t xml:space="preserve">Lin, S.-T., Chen, Y.-M., Hsu, Y.-C., Wang, R.-H., Wu, S.-C. and Lin, L.-J. (2020) ‘Effects of a smartphone-based videoconferencing program for older nursing home residents’, </w:t>
      </w:r>
      <w:r w:rsidRPr="00B10FD1">
        <w:rPr>
          <w:rStyle w:val="Emphasis"/>
          <w:rFonts w:ascii="Arial" w:hAnsi="Arial" w:cs="Arial"/>
          <w:sz w:val="22"/>
          <w:szCs w:val="22"/>
        </w:rPr>
        <w:t>BMC Geriatrics</w:t>
      </w:r>
      <w:r w:rsidRPr="00B10FD1">
        <w:rPr>
          <w:rFonts w:ascii="Arial" w:hAnsi="Arial" w:cs="Arial"/>
          <w:sz w:val="22"/>
          <w:szCs w:val="22"/>
        </w:rPr>
        <w:t xml:space="preserve">, 20, 27. DOI: 10.1186/s12877-020-1426-2. Available at: </w:t>
      </w:r>
      <w:hyperlink r:id="rId58" w:tgtFrame="_new" w:history="1">
        <w:r w:rsidRPr="00B10FD1">
          <w:rPr>
            <w:rStyle w:val="Hyperlink"/>
            <w:rFonts w:ascii="Arial" w:hAnsi="Arial" w:cs="Arial"/>
            <w:sz w:val="22"/>
            <w:szCs w:val="22"/>
          </w:rPr>
          <w:t>https://link.springer.com/content/pdf/10.1186/s12877-020-1426-2.pdf</w:t>
        </w:r>
      </w:hyperlink>
    </w:p>
    <w:p w14:paraId="69A98320" w14:textId="77777777" w:rsidR="00477ADA" w:rsidRPr="00B10FD1" w:rsidRDefault="00477ADA" w:rsidP="00477ADA">
      <w:pPr>
        <w:pStyle w:val="NormalWeb"/>
        <w:spacing w:before="120" w:beforeAutospacing="0" w:after="120" w:afterAutospacing="0" w:line="360" w:lineRule="auto"/>
        <w:ind w:left="720" w:hanging="720"/>
        <w:jc w:val="both"/>
        <w:rPr>
          <w:rFonts w:ascii="Arial" w:hAnsi="Arial" w:cs="Arial"/>
        </w:rPr>
      </w:pPr>
      <w:r w:rsidRPr="00B10FD1">
        <w:rPr>
          <w:rFonts w:ascii="Arial" w:hAnsi="Arial" w:cs="Arial"/>
        </w:rPr>
        <w:t>Lewin, S., Booth, A., Glenton, C., et al. (2018). Applying GRADE-</w:t>
      </w:r>
      <w:proofErr w:type="spellStart"/>
      <w:r w:rsidRPr="00B10FD1">
        <w:rPr>
          <w:rFonts w:ascii="Arial" w:hAnsi="Arial" w:cs="Arial"/>
        </w:rPr>
        <w:t>CERQual</w:t>
      </w:r>
      <w:proofErr w:type="spellEnd"/>
      <w:r w:rsidRPr="00B10FD1">
        <w:rPr>
          <w:rFonts w:ascii="Arial" w:hAnsi="Arial" w:cs="Arial"/>
        </w:rPr>
        <w:t xml:space="preserve"> to qualitative evidence synthesis findings. </w:t>
      </w:r>
      <w:r w:rsidRPr="00B10FD1">
        <w:rPr>
          <w:rFonts w:ascii="Arial" w:hAnsi="Arial" w:cs="Arial"/>
          <w:i/>
          <w:iCs/>
        </w:rPr>
        <w:t>Implementation Science, 13</w:t>
      </w:r>
      <w:r w:rsidRPr="00B10FD1">
        <w:rPr>
          <w:rFonts w:ascii="Arial" w:hAnsi="Arial" w:cs="Arial"/>
        </w:rPr>
        <w:t xml:space="preserve">(Suppl 1), 2–10. </w:t>
      </w:r>
      <w:hyperlink r:id="rId59" w:history="1">
        <w:r w:rsidRPr="00B10FD1">
          <w:rPr>
            <w:rStyle w:val="Hyperlink"/>
            <w:rFonts w:ascii="Arial" w:hAnsi="Arial" w:cs="Arial"/>
          </w:rPr>
          <w:t>https://doi.org/10.1186/s13012-017-0688-3</w:t>
        </w:r>
      </w:hyperlink>
    </w:p>
    <w:p w14:paraId="27185CD6" w14:textId="77777777" w:rsidR="00477ADA" w:rsidRPr="00B10FD1" w:rsidRDefault="00477ADA" w:rsidP="00477ADA">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rPr>
        <w:t xml:space="preserve">Lockwood, C., Munn, Z., &amp; Porritt, K. (2015). Qualitative research synthesis: methodological guidance for systematic reviewers utilizing JBI methods. </w:t>
      </w:r>
      <w:r w:rsidRPr="00B10FD1">
        <w:rPr>
          <w:rFonts w:ascii="Arial" w:hAnsi="Arial" w:cs="Arial"/>
          <w:i/>
          <w:iCs/>
        </w:rPr>
        <w:t>International Journal of Evidence-Based Healthcare, 13</w:t>
      </w:r>
      <w:r w:rsidRPr="00B10FD1">
        <w:rPr>
          <w:rFonts w:ascii="Arial" w:hAnsi="Arial" w:cs="Arial"/>
        </w:rPr>
        <w:t xml:space="preserve">(3), 179–187. </w:t>
      </w:r>
      <w:hyperlink r:id="rId60" w:history="1">
        <w:r w:rsidRPr="00B10FD1">
          <w:rPr>
            <w:rStyle w:val="Hyperlink"/>
            <w:rFonts w:ascii="Arial" w:hAnsi="Arial" w:cs="Arial"/>
          </w:rPr>
          <w:t>https://doi.org/10.1097/XEB.0000000000000062</w:t>
        </w:r>
      </w:hyperlink>
    </w:p>
    <w:p w14:paraId="6CAE3B08" w14:textId="77777777" w:rsidR="009D7FE7" w:rsidRPr="00B10FD1" w:rsidRDefault="009D7FE7" w:rsidP="00477ADA">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National Academies Press (US). (2020, February 27). </w:t>
      </w:r>
      <w:r w:rsidRPr="00B10FD1">
        <w:rPr>
          <w:rFonts w:ascii="Arial" w:hAnsi="Arial" w:cs="Arial"/>
          <w:i/>
          <w:iCs/>
          <w:color w:val="000000" w:themeColor="text1"/>
          <w:sz w:val="22"/>
          <w:szCs w:val="22"/>
        </w:rPr>
        <w:t>Introduction</w:t>
      </w:r>
      <w:r w:rsidRPr="00B10FD1">
        <w:rPr>
          <w:rFonts w:ascii="Arial" w:hAnsi="Arial" w:cs="Arial"/>
          <w:color w:val="000000" w:themeColor="text1"/>
          <w:sz w:val="22"/>
          <w:szCs w:val="22"/>
        </w:rPr>
        <w:t xml:space="preserve">. Social Isolation and Loneliness in Older Adults - NCBI Bookshelf. </w:t>
      </w:r>
      <w:hyperlink r:id="rId61" w:history="1">
        <w:r w:rsidR="009C77DD" w:rsidRPr="00B10FD1">
          <w:rPr>
            <w:rStyle w:val="Hyperlink"/>
            <w:rFonts w:ascii="Arial" w:hAnsi="Arial" w:cs="Arial"/>
            <w:sz w:val="22"/>
            <w:szCs w:val="22"/>
          </w:rPr>
          <w:t>https://www.ncbi.nlm.nih.gov/books/NBK557969/</w:t>
        </w:r>
      </w:hyperlink>
      <w:r w:rsidR="009C77DD" w:rsidRPr="00B10FD1">
        <w:rPr>
          <w:rStyle w:val="url"/>
          <w:rFonts w:ascii="Arial" w:hAnsi="Arial" w:cs="Arial"/>
          <w:color w:val="000000" w:themeColor="text1"/>
          <w:sz w:val="22"/>
          <w:szCs w:val="22"/>
        </w:rPr>
        <w:t xml:space="preserve"> (Accessed: July 17, 2025).</w:t>
      </w:r>
    </w:p>
    <w:p w14:paraId="731B9212"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NHS England. (2022, June 29). </w:t>
      </w:r>
      <w:r w:rsidRPr="00B10FD1">
        <w:rPr>
          <w:rFonts w:ascii="Arial" w:hAnsi="Arial" w:cs="Arial"/>
          <w:i/>
          <w:iCs/>
          <w:color w:val="000000" w:themeColor="text1"/>
          <w:sz w:val="22"/>
          <w:szCs w:val="22"/>
        </w:rPr>
        <w:t>A plan for digital health and social care</w:t>
      </w:r>
      <w:r w:rsidRPr="00B10FD1">
        <w:rPr>
          <w:rFonts w:ascii="Arial" w:hAnsi="Arial" w:cs="Arial"/>
          <w:color w:val="000000" w:themeColor="text1"/>
          <w:sz w:val="22"/>
          <w:szCs w:val="22"/>
        </w:rPr>
        <w:t xml:space="preserve">. GOV.UK. </w:t>
      </w:r>
      <w:hyperlink r:id="rId62" w:history="1">
        <w:r w:rsidR="009C77DD" w:rsidRPr="00B10FD1">
          <w:rPr>
            <w:rStyle w:val="Hyperlink"/>
            <w:rFonts w:ascii="Arial" w:hAnsi="Arial" w:cs="Arial"/>
            <w:sz w:val="22"/>
            <w:szCs w:val="22"/>
          </w:rPr>
          <w:t>https://www.gov.uk/government/publications/a-plan-for-digital-health-and-social-care/a-plan-for-digital-health-and-social-care</w:t>
        </w:r>
      </w:hyperlink>
      <w:r w:rsidR="009C77DD" w:rsidRPr="00B10FD1">
        <w:rPr>
          <w:rStyle w:val="url"/>
          <w:rFonts w:ascii="Arial" w:hAnsi="Arial" w:cs="Arial"/>
          <w:color w:val="000000" w:themeColor="text1"/>
          <w:sz w:val="22"/>
          <w:szCs w:val="22"/>
        </w:rPr>
        <w:t xml:space="preserve"> (Accessed: July 17, 2025).</w:t>
      </w:r>
    </w:p>
    <w:p w14:paraId="03BFB999"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lastRenderedPageBreak/>
        <w:t xml:space="preserve">NHS England. (2023a). </w:t>
      </w:r>
      <w:r w:rsidRPr="00B10FD1">
        <w:rPr>
          <w:rFonts w:ascii="Arial" w:hAnsi="Arial" w:cs="Arial"/>
          <w:i/>
          <w:iCs/>
          <w:color w:val="000000" w:themeColor="text1"/>
          <w:sz w:val="22"/>
          <w:szCs w:val="22"/>
        </w:rPr>
        <w:t>NHS England » Inclusive digital healthcare: a framework for NHS action on digital inclusion</w:t>
      </w:r>
      <w:r w:rsidRPr="00B10FD1">
        <w:rPr>
          <w:rFonts w:ascii="Arial" w:hAnsi="Arial" w:cs="Arial"/>
          <w:color w:val="000000" w:themeColor="text1"/>
          <w:sz w:val="22"/>
          <w:szCs w:val="22"/>
        </w:rPr>
        <w:t xml:space="preserve">. </w:t>
      </w:r>
      <w:hyperlink r:id="rId63" w:history="1">
        <w:r w:rsidR="009C77DD" w:rsidRPr="00B10FD1">
          <w:rPr>
            <w:rStyle w:val="Hyperlink"/>
            <w:rFonts w:ascii="Arial" w:hAnsi="Arial" w:cs="Arial"/>
            <w:sz w:val="22"/>
            <w:szCs w:val="22"/>
          </w:rPr>
          <w:t>https://www.england.nhs.uk/long-read/inclusive-digital-healthcare-a-framework-for-nhs-action-on-digital-inclusion/</w:t>
        </w:r>
      </w:hyperlink>
      <w:r w:rsidR="009C77DD" w:rsidRPr="00B10FD1">
        <w:rPr>
          <w:rStyle w:val="url"/>
          <w:rFonts w:ascii="Arial" w:hAnsi="Arial" w:cs="Arial"/>
          <w:color w:val="000000" w:themeColor="text1"/>
          <w:sz w:val="22"/>
          <w:szCs w:val="22"/>
        </w:rPr>
        <w:t xml:space="preserve"> (Accessed: July 17, 2025).</w:t>
      </w:r>
    </w:p>
    <w:p w14:paraId="6D3FDC33" w14:textId="77777777" w:rsidR="00477ADA" w:rsidRPr="00B10FD1" w:rsidRDefault="009D7FE7" w:rsidP="00477ADA">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NHS England. (2023b). </w:t>
      </w:r>
      <w:r w:rsidRPr="00B10FD1">
        <w:rPr>
          <w:rFonts w:ascii="Arial" w:hAnsi="Arial" w:cs="Arial"/>
          <w:i/>
          <w:iCs/>
          <w:color w:val="000000" w:themeColor="text1"/>
          <w:sz w:val="22"/>
          <w:szCs w:val="22"/>
        </w:rPr>
        <w:t>NHS England » Milestones of the NHS</w:t>
      </w:r>
      <w:r w:rsidRPr="00B10FD1">
        <w:rPr>
          <w:rFonts w:ascii="Arial" w:hAnsi="Arial" w:cs="Arial"/>
          <w:color w:val="000000" w:themeColor="text1"/>
          <w:sz w:val="22"/>
          <w:szCs w:val="22"/>
        </w:rPr>
        <w:t xml:space="preserve">. </w:t>
      </w:r>
      <w:hyperlink r:id="rId64" w:history="1">
        <w:r w:rsidR="009C77DD" w:rsidRPr="00B10FD1">
          <w:rPr>
            <w:rStyle w:val="Hyperlink"/>
            <w:rFonts w:ascii="Arial" w:hAnsi="Arial" w:cs="Arial"/>
            <w:sz w:val="22"/>
            <w:szCs w:val="22"/>
          </w:rPr>
          <w:t>https://www.england.nhs.uk/about/nhs-history/</w:t>
        </w:r>
      </w:hyperlink>
      <w:r w:rsidR="009C77DD" w:rsidRPr="00B10FD1">
        <w:rPr>
          <w:rStyle w:val="url"/>
          <w:rFonts w:ascii="Arial" w:hAnsi="Arial" w:cs="Arial"/>
          <w:color w:val="000000" w:themeColor="text1"/>
          <w:sz w:val="22"/>
          <w:szCs w:val="22"/>
        </w:rPr>
        <w:t xml:space="preserve"> (Accessed: July 17, 2025).</w:t>
      </w:r>
    </w:p>
    <w:p w14:paraId="45EF8484" w14:textId="77777777" w:rsidR="00477ADA" w:rsidRPr="00B10FD1" w:rsidRDefault="00477ADA" w:rsidP="00477ADA">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sz w:val="22"/>
          <w:szCs w:val="22"/>
        </w:rPr>
        <w:t xml:space="preserve">National Academies of Sciences, Engineering, and Medicine (NASEM) (2020) </w:t>
      </w:r>
      <w:r w:rsidRPr="00B10FD1">
        <w:rPr>
          <w:rStyle w:val="Emphasis"/>
          <w:rFonts w:ascii="Arial" w:hAnsi="Arial" w:cs="Arial"/>
          <w:sz w:val="22"/>
          <w:szCs w:val="22"/>
        </w:rPr>
        <w:t>Social Isolation and Loneliness in Older Adults: Opportunities for the Health Care System</w:t>
      </w:r>
      <w:r w:rsidRPr="00B10FD1">
        <w:rPr>
          <w:rFonts w:ascii="Arial" w:hAnsi="Arial" w:cs="Arial"/>
          <w:sz w:val="22"/>
          <w:szCs w:val="22"/>
        </w:rPr>
        <w:t xml:space="preserve">. Washington, DC: National Academies Press. DOI: 10.17226/25663. Available at: </w:t>
      </w:r>
      <w:hyperlink r:id="rId65" w:history="1">
        <w:r w:rsidRPr="00B10FD1">
          <w:rPr>
            <w:rStyle w:val="Hyperlink"/>
            <w:rFonts w:ascii="Arial" w:hAnsi="Arial" w:cs="Arial"/>
            <w:sz w:val="22"/>
            <w:szCs w:val="22"/>
          </w:rPr>
          <w:t>https://nap.nationalacademies.org/catalog/25663</w:t>
        </w:r>
      </w:hyperlink>
    </w:p>
    <w:p w14:paraId="10BB9CB0" w14:textId="77777777" w:rsidR="00477ADA" w:rsidRPr="00B10FD1" w:rsidRDefault="00477ADA" w:rsidP="00477ADA">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sz w:val="22"/>
          <w:szCs w:val="22"/>
        </w:rPr>
        <w:t xml:space="preserve">NHS England (2023; updated 2024) </w:t>
      </w:r>
      <w:r w:rsidRPr="00B10FD1">
        <w:rPr>
          <w:rStyle w:val="Emphasis"/>
          <w:rFonts w:ascii="Arial" w:hAnsi="Arial" w:cs="Arial"/>
          <w:sz w:val="22"/>
          <w:szCs w:val="22"/>
        </w:rPr>
        <w:t>Inclusive digital healthcare: a framework for NHS action on digital inclusion</w:t>
      </w:r>
      <w:r w:rsidRPr="00B10FD1">
        <w:rPr>
          <w:rFonts w:ascii="Arial" w:hAnsi="Arial" w:cs="Arial"/>
          <w:sz w:val="22"/>
          <w:szCs w:val="22"/>
        </w:rPr>
        <w:t xml:space="preserve">. Available at: </w:t>
      </w:r>
      <w:hyperlink r:id="rId66" w:tgtFrame="_new" w:history="1">
        <w:r w:rsidRPr="00B10FD1">
          <w:rPr>
            <w:rStyle w:val="Hyperlink"/>
            <w:rFonts w:ascii="Arial" w:hAnsi="Arial" w:cs="Arial"/>
            <w:sz w:val="22"/>
            <w:szCs w:val="22"/>
          </w:rPr>
          <w:t>https://www.england.nhs.uk/long-read/inclusive-digital-healthcare-a-framework-for-nhs-action-on-digital-inclusion/</w:t>
        </w:r>
      </w:hyperlink>
      <w:r w:rsidRPr="00B10FD1">
        <w:rPr>
          <w:rFonts w:ascii="Arial" w:hAnsi="Arial" w:cs="Arial"/>
          <w:sz w:val="22"/>
          <w:szCs w:val="22"/>
        </w:rPr>
        <w:t xml:space="preserve"> (Accessed 20 September 2025).</w:t>
      </w:r>
    </w:p>
    <w:p w14:paraId="0876D286" w14:textId="77777777" w:rsidR="00477ADA" w:rsidRPr="00B10FD1" w:rsidRDefault="00477ADA" w:rsidP="00477ADA">
      <w:pPr>
        <w:spacing w:before="120" w:after="120" w:line="360" w:lineRule="auto"/>
        <w:jc w:val="both"/>
        <w:rPr>
          <w:rFonts w:eastAsia="Times New Roman" w:cs="Arial"/>
        </w:rPr>
      </w:pPr>
      <w:r w:rsidRPr="00B10FD1">
        <w:rPr>
          <w:rFonts w:eastAsia="Times New Roman" w:cs="Arial"/>
        </w:rPr>
        <w:t xml:space="preserve">Noblit, G. W., &amp; Hare, R. D. (1988). </w:t>
      </w:r>
      <w:r w:rsidRPr="00B10FD1">
        <w:rPr>
          <w:rFonts w:eastAsia="Times New Roman" w:cs="Arial"/>
          <w:i/>
          <w:iCs/>
        </w:rPr>
        <w:t>Meta-Ethnography: Synthesizing Qualitative Studies</w:t>
      </w:r>
      <w:r w:rsidRPr="00B10FD1">
        <w:rPr>
          <w:rFonts w:eastAsia="Times New Roman" w:cs="Arial"/>
        </w:rPr>
        <w:t>. Sage.</w:t>
      </w:r>
    </w:p>
    <w:p w14:paraId="51771633"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proofErr w:type="spellStart"/>
      <w:r w:rsidRPr="00B10FD1">
        <w:rPr>
          <w:rFonts w:ascii="Arial" w:hAnsi="Arial" w:cs="Arial"/>
          <w:color w:val="000000" w:themeColor="text1"/>
          <w:sz w:val="22"/>
          <w:szCs w:val="22"/>
        </w:rPr>
        <w:t>Paúl</w:t>
      </w:r>
      <w:proofErr w:type="spellEnd"/>
      <w:r w:rsidRPr="00B10FD1">
        <w:rPr>
          <w:rFonts w:ascii="Arial" w:hAnsi="Arial" w:cs="Arial"/>
          <w:color w:val="000000" w:themeColor="text1"/>
          <w:sz w:val="22"/>
          <w:szCs w:val="22"/>
        </w:rPr>
        <w:t xml:space="preserve">, C., Ribeiro, O., &amp; Teixeira, L. (2012). Active Ageing: An Empirical approach to the WHO model. </w:t>
      </w:r>
      <w:r w:rsidRPr="00B10FD1">
        <w:rPr>
          <w:rFonts w:ascii="Arial" w:hAnsi="Arial" w:cs="Arial"/>
          <w:i/>
          <w:iCs/>
          <w:color w:val="000000" w:themeColor="text1"/>
          <w:sz w:val="22"/>
          <w:szCs w:val="22"/>
        </w:rPr>
        <w:t>Current Gerontology and Geriatrics Research</w:t>
      </w:r>
      <w:r w:rsidRPr="00B10FD1">
        <w:rPr>
          <w:rFonts w:ascii="Arial" w:hAnsi="Arial" w:cs="Arial"/>
          <w:color w:val="000000" w:themeColor="text1"/>
          <w:sz w:val="22"/>
          <w:szCs w:val="22"/>
        </w:rPr>
        <w:t xml:space="preserve">, </w:t>
      </w:r>
      <w:r w:rsidRPr="00B10FD1">
        <w:rPr>
          <w:rFonts w:ascii="Arial" w:hAnsi="Arial" w:cs="Arial"/>
          <w:i/>
          <w:iCs/>
          <w:color w:val="000000" w:themeColor="text1"/>
          <w:sz w:val="22"/>
          <w:szCs w:val="22"/>
        </w:rPr>
        <w:t>2012</w:t>
      </w:r>
      <w:r w:rsidRPr="00B10FD1">
        <w:rPr>
          <w:rFonts w:ascii="Arial" w:hAnsi="Arial" w:cs="Arial"/>
          <w:color w:val="000000" w:themeColor="text1"/>
          <w:sz w:val="22"/>
          <w:szCs w:val="22"/>
        </w:rPr>
        <w:t xml:space="preserve">, 1–10. </w:t>
      </w:r>
      <w:hyperlink r:id="rId67" w:history="1">
        <w:r w:rsidR="009C77DD" w:rsidRPr="00B10FD1">
          <w:rPr>
            <w:rStyle w:val="Hyperlink"/>
            <w:rFonts w:ascii="Arial" w:hAnsi="Arial" w:cs="Arial"/>
            <w:sz w:val="22"/>
            <w:szCs w:val="22"/>
          </w:rPr>
          <w:t>https://doi.org/10.1155/2012/382972</w:t>
        </w:r>
      </w:hyperlink>
      <w:r w:rsidR="009C77DD" w:rsidRPr="00B10FD1">
        <w:rPr>
          <w:rStyle w:val="url"/>
          <w:rFonts w:ascii="Arial" w:hAnsi="Arial" w:cs="Arial"/>
          <w:color w:val="000000" w:themeColor="text1"/>
          <w:sz w:val="22"/>
          <w:szCs w:val="22"/>
        </w:rPr>
        <w:t xml:space="preserve"> </w:t>
      </w:r>
    </w:p>
    <w:p w14:paraId="609B9338" w14:textId="77777777" w:rsidR="00477ADA" w:rsidRPr="00B10FD1" w:rsidRDefault="009D7FE7" w:rsidP="00477ADA">
      <w:pPr>
        <w:pStyle w:val="NormalWeb"/>
        <w:spacing w:before="120" w:beforeAutospacing="0" w:after="120" w:afterAutospacing="0" w:line="360" w:lineRule="auto"/>
        <w:ind w:left="720" w:hanging="720"/>
        <w:jc w:val="both"/>
        <w:rPr>
          <w:rStyle w:val="url"/>
          <w:rFonts w:ascii="Arial" w:hAnsi="Arial" w:cs="Arial"/>
          <w:color w:val="000000" w:themeColor="text1"/>
          <w:sz w:val="22"/>
          <w:szCs w:val="22"/>
        </w:rPr>
      </w:pPr>
      <w:r w:rsidRPr="00B10FD1">
        <w:rPr>
          <w:rFonts w:ascii="Arial" w:hAnsi="Arial" w:cs="Arial"/>
          <w:color w:val="000000" w:themeColor="text1"/>
          <w:sz w:val="22"/>
          <w:szCs w:val="22"/>
        </w:rPr>
        <w:t xml:space="preserve">Philip, L., Cottrill, C., Farrington, J., Williams, F., &amp; Ashmore, F. (2017). The digital divide: Patterns, policy and scenarios for connecting the ‘final few’ in rural communities across Great Britain. </w:t>
      </w:r>
      <w:r w:rsidRPr="00B10FD1">
        <w:rPr>
          <w:rFonts w:ascii="Arial" w:hAnsi="Arial" w:cs="Arial"/>
          <w:i/>
          <w:iCs/>
          <w:color w:val="000000" w:themeColor="text1"/>
          <w:sz w:val="22"/>
          <w:szCs w:val="22"/>
        </w:rPr>
        <w:t>Journal of Rural Studies</w:t>
      </w:r>
      <w:r w:rsidRPr="00B10FD1">
        <w:rPr>
          <w:rFonts w:ascii="Arial" w:hAnsi="Arial" w:cs="Arial"/>
          <w:color w:val="000000" w:themeColor="text1"/>
          <w:sz w:val="22"/>
          <w:szCs w:val="22"/>
        </w:rPr>
        <w:t xml:space="preserve">, </w:t>
      </w:r>
      <w:r w:rsidRPr="00B10FD1">
        <w:rPr>
          <w:rFonts w:ascii="Arial" w:hAnsi="Arial" w:cs="Arial"/>
          <w:i/>
          <w:iCs/>
          <w:color w:val="000000" w:themeColor="text1"/>
          <w:sz w:val="22"/>
          <w:szCs w:val="22"/>
        </w:rPr>
        <w:t>54</w:t>
      </w:r>
      <w:r w:rsidRPr="00B10FD1">
        <w:rPr>
          <w:rFonts w:ascii="Arial" w:hAnsi="Arial" w:cs="Arial"/>
          <w:color w:val="000000" w:themeColor="text1"/>
          <w:sz w:val="22"/>
          <w:szCs w:val="22"/>
        </w:rPr>
        <w:t xml:space="preserve">, 386–398. </w:t>
      </w:r>
      <w:hyperlink r:id="rId68" w:history="1">
        <w:r w:rsidR="009C77DD" w:rsidRPr="00B10FD1">
          <w:rPr>
            <w:rStyle w:val="Hyperlink"/>
            <w:rFonts w:ascii="Arial" w:hAnsi="Arial" w:cs="Arial"/>
            <w:sz w:val="22"/>
            <w:szCs w:val="22"/>
          </w:rPr>
          <w:t>https://doi.org/10.1016/j.jrurstud.2016.12.002</w:t>
        </w:r>
      </w:hyperlink>
      <w:r w:rsidR="009C77DD" w:rsidRPr="00B10FD1">
        <w:rPr>
          <w:rStyle w:val="url"/>
          <w:rFonts w:ascii="Arial" w:hAnsi="Arial" w:cs="Arial"/>
          <w:color w:val="000000" w:themeColor="text1"/>
          <w:sz w:val="22"/>
          <w:szCs w:val="22"/>
        </w:rPr>
        <w:t xml:space="preserve"> </w:t>
      </w:r>
    </w:p>
    <w:p w14:paraId="4B6BAC60" w14:textId="77777777" w:rsidR="00477ADA" w:rsidRPr="00B10FD1" w:rsidRDefault="00477ADA" w:rsidP="00477ADA">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rPr>
        <w:t xml:space="preserve">Page, M. J., McKenzie, J. E., Bossuyt, P. M., et al. (2021). The PRISMA 2020 statement: an updated guideline for reporting systematic reviews. </w:t>
      </w:r>
      <w:r w:rsidRPr="00B10FD1">
        <w:rPr>
          <w:rFonts w:ascii="Arial" w:hAnsi="Arial" w:cs="Arial"/>
          <w:i/>
          <w:iCs/>
        </w:rPr>
        <w:t>BMJ, 372</w:t>
      </w:r>
      <w:r w:rsidRPr="00B10FD1">
        <w:rPr>
          <w:rFonts w:ascii="Arial" w:hAnsi="Arial" w:cs="Arial"/>
        </w:rPr>
        <w:t xml:space="preserve">, n71. </w:t>
      </w:r>
      <w:hyperlink r:id="rId69" w:history="1">
        <w:r w:rsidRPr="00B10FD1">
          <w:rPr>
            <w:rStyle w:val="Hyperlink"/>
            <w:rFonts w:ascii="Arial" w:hAnsi="Arial" w:cs="Arial"/>
          </w:rPr>
          <w:t>https://doi.org/10.1136/bmj.n71</w:t>
        </w:r>
      </w:hyperlink>
      <w:r w:rsidRPr="00B10FD1">
        <w:rPr>
          <w:rFonts w:ascii="Arial" w:hAnsi="Arial" w:cs="Arial"/>
        </w:rPr>
        <w:t xml:space="preserve"> </w:t>
      </w:r>
    </w:p>
    <w:p w14:paraId="7CC0C154"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Rosenlund, M., Kinnunen, U., &amp; </w:t>
      </w:r>
      <w:proofErr w:type="spellStart"/>
      <w:r w:rsidRPr="00B10FD1">
        <w:rPr>
          <w:rFonts w:ascii="Arial" w:hAnsi="Arial" w:cs="Arial"/>
          <w:color w:val="000000" w:themeColor="text1"/>
          <w:sz w:val="22"/>
          <w:szCs w:val="22"/>
        </w:rPr>
        <w:t>Saranto</w:t>
      </w:r>
      <w:proofErr w:type="spellEnd"/>
      <w:r w:rsidRPr="00B10FD1">
        <w:rPr>
          <w:rFonts w:ascii="Arial" w:hAnsi="Arial" w:cs="Arial"/>
          <w:color w:val="000000" w:themeColor="text1"/>
          <w:sz w:val="22"/>
          <w:szCs w:val="22"/>
        </w:rPr>
        <w:t xml:space="preserve">, K. (2023). The use of digital health services among patients and citizens living at Home: Scoping review. </w:t>
      </w:r>
      <w:r w:rsidRPr="00B10FD1">
        <w:rPr>
          <w:rFonts w:ascii="Arial" w:hAnsi="Arial" w:cs="Arial"/>
          <w:i/>
          <w:iCs/>
          <w:color w:val="000000" w:themeColor="text1"/>
          <w:sz w:val="22"/>
          <w:szCs w:val="22"/>
        </w:rPr>
        <w:t>Journal of Medical Internet Research</w:t>
      </w:r>
      <w:r w:rsidRPr="00B10FD1">
        <w:rPr>
          <w:rFonts w:ascii="Arial" w:hAnsi="Arial" w:cs="Arial"/>
          <w:color w:val="000000" w:themeColor="text1"/>
          <w:sz w:val="22"/>
          <w:szCs w:val="22"/>
        </w:rPr>
        <w:t xml:space="preserve">, </w:t>
      </w:r>
      <w:r w:rsidRPr="00B10FD1">
        <w:rPr>
          <w:rFonts w:ascii="Arial" w:hAnsi="Arial" w:cs="Arial"/>
          <w:i/>
          <w:iCs/>
          <w:color w:val="000000" w:themeColor="text1"/>
          <w:sz w:val="22"/>
          <w:szCs w:val="22"/>
        </w:rPr>
        <w:t>25</w:t>
      </w:r>
      <w:r w:rsidRPr="00B10FD1">
        <w:rPr>
          <w:rFonts w:ascii="Arial" w:hAnsi="Arial" w:cs="Arial"/>
          <w:color w:val="000000" w:themeColor="text1"/>
          <w:sz w:val="22"/>
          <w:szCs w:val="22"/>
        </w:rPr>
        <w:t xml:space="preserve">, e44711. </w:t>
      </w:r>
      <w:hyperlink r:id="rId70" w:history="1">
        <w:r w:rsidR="009C77DD" w:rsidRPr="00B10FD1">
          <w:rPr>
            <w:rStyle w:val="Hyperlink"/>
            <w:rFonts w:ascii="Arial" w:hAnsi="Arial" w:cs="Arial"/>
            <w:sz w:val="22"/>
            <w:szCs w:val="22"/>
          </w:rPr>
          <w:t>https://doi.org/10.2196/44711</w:t>
        </w:r>
      </w:hyperlink>
      <w:r w:rsidR="009C77DD" w:rsidRPr="00B10FD1">
        <w:rPr>
          <w:rStyle w:val="url"/>
          <w:rFonts w:ascii="Arial" w:hAnsi="Arial" w:cs="Arial"/>
          <w:color w:val="000000" w:themeColor="text1"/>
          <w:sz w:val="22"/>
          <w:szCs w:val="22"/>
        </w:rPr>
        <w:t xml:space="preserve"> </w:t>
      </w:r>
    </w:p>
    <w:p w14:paraId="09C5A749"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Seifert, A. (2021). Growth in Internet Usage During the COVID-19 Pandemic among Older Adults. </w:t>
      </w:r>
      <w:r w:rsidRPr="00B10FD1">
        <w:rPr>
          <w:rFonts w:ascii="Arial" w:hAnsi="Arial" w:cs="Arial"/>
          <w:i/>
          <w:iCs/>
          <w:color w:val="000000" w:themeColor="text1"/>
          <w:sz w:val="22"/>
          <w:szCs w:val="22"/>
        </w:rPr>
        <w:t>Science Open</w:t>
      </w:r>
      <w:r w:rsidRPr="00B10FD1">
        <w:rPr>
          <w:rFonts w:ascii="Arial" w:hAnsi="Arial" w:cs="Arial"/>
          <w:color w:val="000000" w:themeColor="text1"/>
          <w:sz w:val="22"/>
          <w:szCs w:val="22"/>
        </w:rPr>
        <w:t xml:space="preserve">. </w:t>
      </w:r>
      <w:hyperlink r:id="rId71" w:history="1">
        <w:r w:rsidR="009C77DD" w:rsidRPr="00B10FD1">
          <w:rPr>
            <w:rStyle w:val="Hyperlink"/>
            <w:rFonts w:ascii="Arial" w:hAnsi="Arial" w:cs="Arial"/>
            <w:sz w:val="22"/>
            <w:szCs w:val="22"/>
          </w:rPr>
          <w:t>https://doi.org/10.14293/s2199-1006.1.sor-.pp2hohn.v1</w:t>
        </w:r>
      </w:hyperlink>
      <w:r w:rsidR="009C77DD" w:rsidRPr="00B10FD1">
        <w:rPr>
          <w:rStyle w:val="url"/>
          <w:rFonts w:ascii="Arial" w:hAnsi="Arial" w:cs="Arial"/>
          <w:color w:val="000000" w:themeColor="text1"/>
          <w:sz w:val="22"/>
          <w:szCs w:val="22"/>
        </w:rPr>
        <w:t xml:space="preserve"> </w:t>
      </w:r>
    </w:p>
    <w:p w14:paraId="7EAF410E" w14:textId="77777777" w:rsidR="00477ADA" w:rsidRPr="00B10FD1" w:rsidRDefault="009D7FE7" w:rsidP="00477ADA">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Stuart, A., Katz, D., Stevenson, C., Gooch, D., Harkin, L., </w:t>
      </w:r>
      <w:proofErr w:type="spellStart"/>
      <w:r w:rsidRPr="00B10FD1">
        <w:rPr>
          <w:rFonts w:ascii="Arial" w:hAnsi="Arial" w:cs="Arial"/>
          <w:color w:val="000000" w:themeColor="text1"/>
          <w:sz w:val="22"/>
          <w:szCs w:val="22"/>
        </w:rPr>
        <w:t>Bennasar</w:t>
      </w:r>
      <w:proofErr w:type="spellEnd"/>
      <w:r w:rsidRPr="00B10FD1">
        <w:rPr>
          <w:rFonts w:ascii="Arial" w:hAnsi="Arial" w:cs="Arial"/>
          <w:color w:val="000000" w:themeColor="text1"/>
          <w:sz w:val="22"/>
          <w:szCs w:val="22"/>
        </w:rPr>
        <w:t xml:space="preserve">, M., Sanderson, L., Liddle, J., Bennaceur, A., Levine, M., Mehta, V., Wijesundara, A., Talbot, C., Bandara, A., Price, </w:t>
      </w:r>
      <w:r w:rsidRPr="00B10FD1">
        <w:rPr>
          <w:rFonts w:ascii="Arial" w:hAnsi="Arial" w:cs="Arial"/>
          <w:color w:val="000000" w:themeColor="text1"/>
          <w:sz w:val="22"/>
          <w:szCs w:val="22"/>
        </w:rPr>
        <w:lastRenderedPageBreak/>
        <w:t xml:space="preserve">B., &amp; </w:t>
      </w:r>
      <w:proofErr w:type="spellStart"/>
      <w:r w:rsidRPr="00B10FD1">
        <w:rPr>
          <w:rFonts w:ascii="Arial" w:hAnsi="Arial" w:cs="Arial"/>
          <w:color w:val="000000" w:themeColor="text1"/>
          <w:sz w:val="22"/>
          <w:szCs w:val="22"/>
        </w:rPr>
        <w:t>Nuseibeh</w:t>
      </w:r>
      <w:proofErr w:type="spellEnd"/>
      <w:r w:rsidRPr="00B10FD1">
        <w:rPr>
          <w:rFonts w:ascii="Arial" w:hAnsi="Arial" w:cs="Arial"/>
          <w:color w:val="000000" w:themeColor="text1"/>
          <w:sz w:val="22"/>
          <w:szCs w:val="22"/>
        </w:rPr>
        <w:t xml:space="preserve">, B. (2022). Loneliness in older people and COVID-19: Applying the social identity approach to digital intervention design. </w:t>
      </w:r>
      <w:r w:rsidRPr="00B10FD1">
        <w:rPr>
          <w:rFonts w:ascii="Arial" w:hAnsi="Arial" w:cs="Arial"/>
          <w:i/>
          <w:iCs/>
          <w:color w:val="000000" w:themeColor="text1"/>
          <w:sz w:val="22"/>
          <w:szCs w:val="22"/>
        </w:rPr>
        <w:t>Computers in Human Behavior Reports</w:t>
      </w:r>
      <w:r w:rsidRPr="00B10FD1">
        <w:rPr>
          <w:rFonts w:ascii="Arial" w:hAnsi="Arial" w:cs="Arial"/>
          <w:color w:val="000000" w:themeColor="text1"/>
          <w:sz w:val="22"/>
          <w:szCs w:val="22"/>
        </w:rPr>
        <w:t xml:space="preserve">, </w:t>
      </w:r>
      <w:r w:rsidRPr="00B10FD1">
        <w:rPr>
          <w:rFonts w:ascii="Arial" w:hAnsi="Arial" w:cs="Arial"/>
          <w:i/>
          <w:iCs/>
          <w:color w:val="000000" w:themeColor="text1"/>
          <w:sz w:val="22"/>
          <w:szCs w:val="22"/>
        </w:rPr>
        <w:t>6</w:t>
      </w:r>
      <w:r w:rsidRPr="00B10FD1">
        <w:rPr>
          <w:rFonts w:ascii="Arial" w:hAnsi="Arial" w:cs="Arial"/>
          <w:color w:val="000000" w:themeColor="text1"/>
          <w:sz w:val="22"/>
          <w:szCs w:val="22"/>
        </w:rPr>
        <w:t xml:space="preserve">, 100179. </w:t>
      </w:r>
      <w:hyperlink r:id="rId72" w:history="1">
        <w:r w:rsidR="009C77DD" w:rsidRPr="00B10FD1">
          <w:rPr>
            <w:rStyle w:val="Hyperlink"/>
            <w:rFonts w:ascii="Arial" w:hAnsi="Arial" w:cs="Arial"/>
            <w:sz w:val="22"/>
            <w:szCs w:val="22"/>
          </w:rPr>
          <w:t>https://doi.org/10.1016/j.chbr.2022.100179</w:t>
        </w:r>
      </w:hyperlink>
      <w:r w:rsidR="009C77DD" w:rsidRPr="00B10FD1">
        <w:rPr>
          <w:rStyle w:val="url"/>
          <w:rFonts w:ascii="Arial" w:hAnsi="Arial" w:cs="Arial"/>
          <w:color w:val="000000" w:themeColor="text1"/>
          <w:sz w:val="22"/>
          <w:szCs w:val="22"/>
        </w:rPr>
        <w:t xml:space="preserve"> </w:t>
      </w:r>
    </w:p>
    <w:p w14:paraId="245FB65D" w14:textId="77777777" w:rsidR="00477ADA" w:rsidRPr="00B10FD1" w:rsidRDefault="00477ADA" w:rsidP="00477ADA">
      <w:pPr>
        <w:pStyle w:val="NormalWeb"/>
        <w:spacing w:before="120" w:beforeAutospacing="0" w:after="120" w:afterAutospacing="0" w:line="360" w:lineRule="auto"/>
        <w:ind w:left="720" w:hanging="720"/>
        <w:jc w:val="both"/>
        <w:rPr>
          <w:rFonts w:ascii="Arial" w:hAnsi="Arial" w:cs="Arial"/>
        </w:rPr>
      </w:pPr>
      <w:r w:rsidRPr="00B10FD1">
        <w:rPr>
          <w:rFonts w:ascii="Arial" w:hAnsi="Arial" w:cs="Arial"/>
        </w:rPr>
        <w:t xml:space="preserve">Sandelowski, M. (2000). Whatever happened to qualitative description? </w:t>
      </w:r>
      <w:r w:rsidRPr="00B10FD1">
        <w:rPr>
          <w:rFonts w:ascii="Arial" w:hAnsi="Arial" w:cs="Arial"/>
          <w:i/>
          <w:iCs/>
        </w:rPr>
        <w:t>Research in Nursing &amp; Health, 23</w:t>
      </w:r>
      <w:r w:rsidRPr="00B10FD1">
        <w:rPr>
          <w:rFonts w:ascii="Arial" w:hAnsi="Arial" w:cs="Arial"/>
        </w:rPr>
        <w:t xml:space="preserve">(4), 334–340. </w:t>
      </w:r>
      <w:hyperlink r:id="rId73" w:history="1">
        <w:r w:rsidRPr="00B10FD1">
          <w:rPr>
            <w:rStyle w:val="Hyperlink"/>
            <w:rFonts w:ascii="Arial" w:hAnsi="Arial" w:cs="Arial"/>
          </w:rPr>
          <w:t>https://doi.org/10.1002/1098-240X(200008)23:4&lt;334::AID-NUR9&gt;3.0.CO;2-G</w:t>
        </w:r>
      </w:hyperlink>
    </w:p>
    <w:p w14:paraId="06E3E66E" w14:textId="77777777" w:rsidR="00477ADA" w:rsidRPr="00B10FD1" w:rsidRDefault="00477ADA" w:rsidP="00477ADA">
      <w:pPr>
        <w:pStyle w:val="NormalWeb"/>
        <w:spacing w:before="120" w:beforeAutospacing="0" w:after="120" w:afterAutospacing="0" w:line="360" w:lineRule="auto"/>
        <w:ind w:left="720" w:hanging="720"/>
        <w:jc w:val="both"/>
        <w:rPr>
          <w:rFonts w:ascii="Arial" w:hAnsi="Arial" w:cs="Arial"/>
        </w:rPr>
      </w:pPr>
      <w:r w:rsidRPr="00B10FD1">
        <w:rPr>
          <w:rFonts w:ascii="Arial" w:hAnsi="Arial" w:cs="Arial"/>
        </w:rPr>
        <w:t xml:space="preserve">Thomas, J., &amp; Harden, A. (2008). Methods for the thematic synthesis of qualitative research in systematic reviews. </w:t>
      </w:r>
      <w:r w:rsidRPr="00B10FD1">
        <w:rPr>
          <w:rFonts w:ascii="Arial" w:hAnsi="Arial" w:cs="Arial"/>
          <w:i/>
          <w:iCs/>
        </w:rPr>
        <w:t>BMC Medical Research Methodology, 8</w:t>
      </w:r>
      <w:r w:rsidRPr="00B10FD1">
        <w:rPr>
          <w:rFonts w:ascii="Arial" w:hAnsi="Arial" w:cs="Arial"/>
        </w:rPr>
        <w:t xml:space="preserve">, 45. </w:t>
      </w:r>
      <w:hyperlink r:id="rId74" w:history="1">
        <w:r w:rsidRPr="00B10FD1">
          <w:rPr>
            <w:rStyle w:val="Hyperlink"/>
            <w:rFonts w:ascii="Arial" w:hAnsi="Arial" w:cs="Arial"/>
          </w:rPr>
          <w:t>https://doi.org/10.1186/1471-2288-8-45</w:t>
        </w:r>
      </w:hyperlink>
    </w:p>
    <w:p w14:paraId="700BB8DD" w14:textId="77777777" w:rsidR="00477ADA" w:rsidRPr="00B10FD1" w:rsidRDefault="00477ADA" w:rsidP="00477ADA">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rPr>
        <w:t xml:space="preserve">Tong, A., Sainsbury, P., &amp; Craig, J. (2007). Consolidated criteria for reporting qualitative research (COREQ): a 32-item checklist. </w:t>
      </w:r>
      <w:r w:rsidRPr="00B10FD1">
        <w:rPr>
          <w:rFonts w:ascii="Arial" w:hAnsi="Arial" w:cs="Arial"/>
          <w:i/>
          <w:iCs/>
        </w:rPr>
        <w:t>International Journal for Quality in Health Care, 19</w:t>
      </w:r>
      <w:r w:rsidRPr="00B10FD1">
        <w:rPr>
          <w:rFonts w:ascii="Arial" w:hAnsi="Arial" w:cs="Arial"/>
        </w:rPr>
        <w:t xml:space="preserve">(6), 349–357. </w:t>
      </w:r>
      <w:hyperlink r:id="rId75" w:history="1">
        <w:r w:rsidRPr="00B10FD1">
          <w:rPr>
            <w:rStyle w:val="Hyperlink"/>
            <w:rFonts w:ascii="Arial" w:hAnsi="Arial" w:cs="Arial"/>
          </w:rPr>
          <w:t>https://doi.org/10.1093/intqhc/mzm042</w:t>
        </w:r>
      </w:hyperlink>
      <w:r w:rsidRPr="00B10FD1">
        <w:rPr>
          <w:rFonts w:ascii="Arial" w:hAnsi="Arial" w:cs="Arial"/>
        </w:rPr>
        <w:t xml:space="preserve"> </w:t>
      </w:r>
    </w:p>
    <w:p w14:paraId="0CBFEB40" w14:textId="77777777" w:rsidR="00477ADA" w:rsidRPr="00B10FD1" w:rsidRDefault="00477ADA" w:rsidP="00477ADA">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sz w:val="22"/>
          <w:szCs w:val="22"/>
        </w:rPr>
        <w:t xml:space="preserve">The BMJ (2025) ‘Can a digital NHS be equitable?’ </w:t>
      </w:r>
      <w:r w:rsidRPr="00B10FD1">
        <w:rPr>
          <w:rStyle w:val="Emphasis"/>
          <w:rFonts w:ascii="Arial" w:hAnsi="Arial" w:cs="Arial"/>
          <w:sz w:val="22"/>
          <w:szCs w:val="22"/>
        </w:rPr>
        <w:t>The BMJ</w:t>
      </w:r>
      <w:r w:rsidRPr="00B10FD1">
        <w:rPr>
          <w:rFonts w:ascii="Arial" w:hAnsi="Arial" w:cs="Arial"/>
          <w:sz w:val="22"/>
          <w:szCs w:val="22"/>
        </w:rPr>
        <w:t xml:space="preserve">, 389, r1317 (Editorial). Available at: </w:t>
      </w:r>
      <w:hyperlink r:id="rId76" w:tgtFrame="_new" w:history="1">
        <w:r w:rsidRPr="00B10FD1">
          <w:rPr>
            <w:rStyle w:val="Hyperlink"/>
            <w:rFonts w:ascii="Arial" w:hAnsi="Arial" w:cs="Arial"/>
            <w:sz w:val="22"/>
            <w:szCs w:val="22"/>
          </w:rPr>
          <w:t>https://www.bmj.com/content/389/bmj.r1317.full</w:t>
        </w:r>
      </w:hyperlink>
      <w:r w:rsidRPr="00B10FD1">
        <w:rPr>
          <w:rFonts w:ascii="Arial" w:hAnsi="Arial" w:cs="Arial"/>
          <w:sz w:val="22"/>
          <w:szCs w:val="22"/>
        </w:rPr>
        <w:t xml:space="preserve"> (Accessed 20 September 2025).</w:t>
      </w:r>
    </w:p>
    <w:p w14:paraId="39B0BE8E" w14:textId="77777777" w:rsidR="00477ADA" w:rsidRPr="00B10FD1" w:rsidRDefault="00477ADA" w:rsidP="00477ADA">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sz w:val="22"/>
          <w:szCs w:val="22"/>
        </w:rPr>
        <w:t xml:space="preserve">Tsai, H.-H., Tsai, Y.-F., Wang, H.-H., Chang, Y.-C. and Chu, H.H. (2010) ‘Videoconference program enhances social support, loneliness, and depressive status of elderly nursing home residents’, </w:t>
      </w:r>
      <w:r w:rsidRPr="00B10FD1">
        <w:rPr>
          <w:rStyle w:val="Emphasis"/>
          <w:rFonts w:ascii="Arial" w:hAnsi="Arial" w:cs="Arial"/>
          <w:sz w:val="22"/>
          <w:szCs w:val="22"/>
        </w:rPr>
        <w:t>Aging &amp; Mental Health</w:t>
      </w:r>
      <w:r w:rsidRPr="00B10FD1">
        <w:rPr>
          <w:rFonts w:ascii="Arial" w:hAnsi="Arial" w:cs="Arial"/>
          <w:sz w:val="22"/>
          <w:szCs w:val="22"/>
        </w:rPr>
        <w:t xml:space="preserve">, 14(8), pp. 947–954. DOI: 10.1080/13607863.2010.501057. Available at: </w:t>
      </w:r>
      <w:hyperlink r:id="rId77" w:tgtFrame="_new" w:history="1">
        <w:r w:rsidRPr="00B10FD1">
          <w:rPr>
            <w:rStyle w:val="Hyperlink"/>
            <w:rFonts w:ascii="Arial" w:hAnsi="Arial" w:cs="Arial"/>
            <w:sz w:val="22"/>
            <w:szCs w:val="22"/>
          </w:rPr>
          <w:t>https://europepmc.org/article/MED/21069600</w:t>
        </w:r>
      </w:hyperlink>
    </w:p>
    <w:p w14:paraId="4C8B324A" w14:textId="77777777" w:rsidR="00477ADA" w:rsidRPr="00B10FD1" w:rsidRDefault="00477ADA" w:rsidP="00477ADA">
      <w:pPr>
        <w:pStyle w:val="NormalWeb"/>
        <w:spacing w:before="120" w:beforeAutospacing="0" w:after="120" w:afterAutospacing="0" w:line="360" w:lineRule="auto"/>
        <w:ind w:left="720" w:hanging="720"/>
        <w:jc w:val="both"/>
        <w:rPr>
          <w:rFonts w:ascii="Arial" w:hAnsi="Arial" w:cs="Arial"/>
          <w:sz w:val="22"/>
          <w:szCs w:val="22"/>
        </w:rPr>
      </w:pPr>
      <w:r w:rsidRPr="00B10FD1">
        <w:rPr>
          <w:rFonts w:ascii="Arial" w:hAnsi="Arial" w:cs="Arial"/>
          <w:sz w:val="22"/>
          <w:szCs w:val="22"/>
        </w:rPr>
        <w:t xml:space="preserve">Tsai, H.-H., Cheng, C.-Y., Shieh, W.-Y. and Chu, H.H. (2011) ‘Changes in depressive symptoms, social support, and loneliness over 1 year after a videoconference program for older nursing home residents’, </w:t>
      </w:r>
      <w:r w:rsidRPr="00B10FD1">
        <w:rPr>
          <w:rStyle w:val="Emphasis"/>
          <w:rFonts w:ascii="Arial" w:hAnsi="Arial" w:cs="Arial"/>
          <w:sz w:val="22"/>
          <w:szCs w:val="22"/>
        </w:rPr>
        <w:t>Journal of Medical Internet Research</w:t>
      </w:r>
      <w:r w:rsidRPr="00B10FD1">
        <w:rPr>
          <w:rFonts w:ascii="Arial" w:hAnsi="Arial" w:cs="Arial"/>
          <w:sz w:val="22"/>
          <w:szCs w:val="22"/>
        </w:rPr>
        <w:t xml:space="preserve">, 13(4), e93. DOI: 10.2196/jmir.1678. Available at: </w:t>
      </w:r>
      <w:hyperlink r:id="rId78" w:history="1">
        <w:r w:rsidRPr="00B10FD1">
          <w:rPr>
            <w:rStyle w:val="Hyperlink"/>
            <w:rFonts w:ascii="Arial" w:hAnsi="Arial" w:cs="Arial"/>
            <w:sz w:val="22"/>
            <w:szCs w:val="22"/>
          </w:rPr>
          <w:t>https://www.jmir.org/2011/4/e93</w:t>
        </w:r>
      </w:hyperlink>
    </w:p>
    <w:p w14:paraId="13151F85" w14:textId="77777777" w:rsidR="009D7FE7" w:rsidRPr="00B10FD1" w:rsidRDefault="009D7FE7" w:rsidP="00477ADA">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Tomczyk, Ł., Mascia, M. L., Gierszewski, D., &amp; Walker, C. (2023). Barriers to digital inclusion among older people: </w:t>
      </w:r>
      <w:proofErr w:type="spellStart"/>
      <w:proofErr w:type="gramStart"/>
      <w:r w:rsidRPr="00B10FD1">
        <w:rPr>
          <w:rFonts w:ascii="Arial" w:hAnsi="Arial" w:cs="Arial"/>
          <w:color w:val="000000" w:themeColor="text1"/>
          <w:sz w:val="22"/>
          <w:szCs w:val="22"/>
        </w:rPr>
        <w:t>a</w:t>
      </w:r>
      <w:proofErr w:type="spellEnd"/>
      <w:proofErr w:type="gramEnd"/>
      <w:r w:rsidRPr="00B10FD1">
        <w:rPr>
          <w:rFonts w:ascii="Arial" w:hAnsi="Arial" w:cs="Arial"/>
          <w:color w:val="000000" w:themeColor="text1"/>
          <w:sz w:val="22"/>
          <w:szCs w:val="22"/>
        </w:rPr>
        <w:t xml:space="preserve"> intergenerational reflection on the need to develop digital competences for the group with the highest level of digital exclusion. </w:t>
      </w:r>
      <w:proofErr w:type="spellStart"/>
      <w:r w:rsidRPr="00B10FD1">
        <w:rPr>
          <w:rFonts w:ascii="Arial" w:hAnsi="Arial" w:cs="Arial"/>
          <w:i/>
          <w:iCs/>
          <w:color w:val="000000" w:themeColor="text1"/>
          <w:sz w:val="22"/>
          <w:szCs w:val="22"/>
        </w:rPr>
        <w:t>Innoeduca</w:t>
      </w:r>
      <w:proofErr w:type="spellEnd"/>
      <w:r w:rsidRPr="00B10FD1">
        <w:rPr>
          <w:rFonts w:ascii="Arial" w:hAnsi="Arial" w:cs="Arial"/>
          <w:i/>
          <w:iCs/>
          <w:color w:val="000000" w:themeColor="text1"/>
          <w:sz w:val="22"/>
          <w:szCs w:val="22"/>
        </w:rPr>
        <w:t xml:space="preserve"> International Journal of Technology and Educational Innovation</w:t>
      </w:r>
      <w:r w:rsidRPr="00B10FD1">
        <w:rPr>
          <w:rFonts w:ascii="Arial" w:hAnsi="Arial" w:cs="Arial"/>
          <w:color w:val="000000" w:themeColor="text1"/>
          <w:sz w:val="22"/>
          <w:szCs w:val="22"/>
        </w:rPr>
        <w:t xml:space="preserve">, </w:t>
      </w:r>
      <w:r w:rsidRPr="00B10FD1">
        <w:rPr>
          <w:rFonts w:ascii="Arial" w:hAnsi="Arial" w:cs="Arial"/>
          <w:i/>
          <w:iCs/>
          <w:color w:val="000000" w:themeColor="text1"/>
          <w:sz w:val="22"/>
          <w:szCs w:val="22"/>
        </w:rPr>
        <w:t>9</w:t>
      </w:r>
      <w:r w:rsidRPr="00B10FD1">
        <w:rPr>
          <w:rFonts w:ascii="Arial" w:hAnsi="Arial" w:cs="Arial"/>
          <w:color w:val="000000" w:themeColor="text1"/>
          <w:sz w:val="22"/>
          <w:szCs w:val="22"/>
        </w:rPr>
        <w:t xml:space="preserve">(1), 5–26. </w:t>
      </w:r>
      <w:hyperlink r:id="rId79" w:history="1">
        <w:r w:rsidR="009C77DD" w:rsidRPr="00B10FD1">
          <w:rPr>
            <w:rStyle w:val="Hyperlink"/>
            <w:rFonts w:ascii="Arial" w:hAnsi="Arial" w:cs="Arial"/>
            <w:sz w:val="22"/>
            <w:szCs w:val="22"/>
          </w:rPr>
          <w:t>https://doi.org/10.24310/innoeduca.2023.v9i1.16433</w:t>
        </w:r>
      </w:hyperlink>
      <w:r w:rsidR="009C77DD" w:rsidRPr="00B10FD1">
        <w:rPr>
          <w:rStyle w:val="url"/>
          <w:rFonts w:ascii="Arial" w:hAnsi="Arial" w:cs="Arial"/>
          <w:color w:val="000000" w:themeColor="text1"/>
          <w:sz w:val="22"/>
          <w:szCs w:val="22"/>
        </w:rPr>
        <w:t xml:space="preserve"> </w:t>
      </w:r>
    </w:p>
    <w:p w14:paraId="2C66F49B"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Tsai, H., Tsai, Y., Wang, H., Chang, Y., &amp; Chu, H. H. (2010). Videoconference program enhances social support, loneliness, and depressive status of elderly nursing home residents. </w:t>
      </w:r>
      <w:r w:rsidRPr="00B10FD1">
        <w:rPr>
          <w:rFonts w:ascii="Arial" w:hAnsi="Arial" w:cs="Arial"/>
          <w:i/>
          <w:iCs/>
          <w:color w:val="000000" w:themeColor="text1"/>
          <w:sz w:val="22"/>
          <w:szCs w:val="22"/>
        </w:rPr>
        <w:t>Aging &amp; Mental Health</w:t>
      </w:r>
      <w:r w:rsidRPr="00B10FD1">
        <w:rPr>
          <w:rFonts w:ascii="Arial" w:hAnsi="Arial" w:cs="Arial"/>
          <w:color w:val="000000" w:themeColor="text1"/>
          <w:sz w:val="22"/>
          <w:szCs w:val="22"/>
        </w:rPr>
        <w:t xml:space="preserve">, </w:t>
      </w:r>
      <w:r w:rsidRPr="00B10FD1">
        <w:rPr>
          <w:rFonts w:ascii="Arial" w:hAnsi="Arial" w:cs="Arial"/>
          <w:i/>
          <w:iCs/>
          <w:color w:val="000000" w:themeColor="text1"/>
          <w:sz w:val="22"/>
          <w:szCs w:val="22"/>
        </w:rPr>
        <w:t>14</w:t>
      </w:r>
      <w:r w:rsidRPr="00B10FD1">
        <w:rPr>
          <w:rFonts w:ascii="Arial" w:hAnsi="Arial" w:cs="Arial"/>
          <w:color w:val="000000" w:themeColor="text1"/>
          <w:sz w:val="22"/>
          <w:szCs w:val="22"/>
        </w:rPr>
        <w:t xml:space="preserve">(8), 947–954. </w:t>
      </w:r>
      <w:hyperlink r:id="rId80" w:history="1">
        <w:r w:rsidR="009C77DD" w:rsidRPr="00B10FD1">
          <w:rPr>
            <w:rStyle w:val="Hyperlink"/>
            <w:rFonts w:ascii="Arial" w:hAnsi="Arial" w:cs="Arial"/>
            <w:sz w:val="22"/>
            <w:szCs w:val="22"/>
          </w:rPr>
          <w:t>https://doi.org/10.1080/13607863.2010.501057</w:t>
        </w:r>
      </w:hyperlink>
      <w:r w:rsidR="009C77DD" w:rsidRPr="00B10FD1">
        <w:rPr>
          <w:rStyle w:val="url"/>
          <w:rFonts w:ascii="Arial" w:hAnsi="Arial" w:cs="Arial"/>
          <w:color w:val="000000" w:themeColor="text1"/>
          <w:sz w:val="22"/>
          <w:szCs w:val="22"/>
        </w:rPr>
        <w:t xml:space="preserve"> </w:t>
      </w:r>
    </w:p>
    <w:p w14:paraId="04C29622"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lastRenderedPageBreak/>
        <w:t xml:space="preserve">Tsatsou, P. (2011). Digital divides revisited: what is new about divides and their research? </w:t>
      </w:r>
      <w:r w:rsidRPr="00B10FD1">
        <w:rPr>
          <w:rFonts w:ascii="Arial" w:hAnsi="Arial" w:cs="Arial"/>
          <w:i/>
          <w:iCs/>
          <w:color w:val="000000" w:themeColor="text1"/>
          <w:sz w:val="22"/>
          <w:szCs w:val="22"/>
        </w:rPr>
        <w:t>Media Culture &amp; Society</w:t>
      </w:r>
      <w:r w:rsidRPr="00B10FD1">
        <w:rPr>
          <w:rFonts w:ascii="Arial" w:hAnsi="Arial" w:cs="Arial"/>
          <w:color w:val="000000" w:themeColor="text1"/>
          <w:sz w:val="22"/>
          <w:szCs w:val="22"/>
        </w:rPr>
        <w:t xml:space="preserve">, </w:t>
      </w:r>
      <w:r w:rsidRPr="00B10FD1">
        <w:rPr>
          <w:rFonts w:ascii="Arial" w:hAnsi="Arial" w:cs="Arial"/>
          <w:i/>
          <w:iCs/>
          <w:color w:val="000000" w:themeColor="text1"/>
          <w:sz w:val="22"/>
          <w:szCs w:val="22"/>
        </w:rPr>
        <w:t>33</w:t>
      </w:r>
      <w:r w:rsidRPr="00B10FD1">
        <w:rPr>
          <w:rFonts w:ascii="Arial" w:hAnsi="Arial" w:cs="Arial"/>
          <w:color w:val="000000" w:themeColor="text1"/>
          <w:sz w:val="22"/>
          <w:szCs w:val="22"/>
        </w:rPr>
        <w:t xml:space="preserve">(2), 317–331. </w:t>
      </w:r>
      <w:hyperlink r:id="rId81" w:history="1">
        <w:r w:rsidR="009C77DD" w:rsidRPr="00B10FD1">
          <w:rPr>
            <w:rStyle w:val="Hyperlink"/>
            <w:rFonts w:ascii="Arial" w:hAnsi="Arial" w:cs="Arial"/>
            <w:sz w:val="22"/>
            <w:szCs w:val="22"/>
          </w:rPr>
          <w:t>https://doi.org/10.1177/0163443710393865</w:t>
        </w:r>
      </w:hyperlink>
      <w:r w:rsidR="009C77DD" w:rsidRPr="00B10FD1">
        <w:rPr>
          <w:rStyle w:val="url"/>
          <w:rFonts w:ascii="Arial" w:hAnsi="Arial" w:cs="Arial"/>
          <w:color w:val="000000" w:themeColor="text1"/>
          <w:sz w:val="22"/>
          <w:szCs w:val="22"/>
        </w:rPr>
        <w:t xml:space="preserve"> </w:t>
      </w:r>
    </w:p>
    <w:p w14:paraId="38065631"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UNHCR. (2025, June 13). Older persons. </w:t>
      </w:r>
      <w:r w:rsidRPr="00B10FD1">
        <w:rPr>
          <w:rFonts w:ascii="Arial" w:hAnsi="Arial" w:cs="Arial"/>
          <w:i/>
          <w:iCs/>
          <w:color w:val="000000" w:themeColor="text1"/>
          <w:sz w:val="22"/>
          <w:szCs w:val="22"/>
        </w:rPr>
        <w:t>UNHCR</w:t>
      </w:r>
      <w:r w:rsidRPr="00B10FD1">
        <w:rPr>
          <w:rFonts w:ascii="Arial" w:hAnsi="Arial" w:cs="Arial"/>
          <w:color w:val="000000" w:themeColor="text1"/>
          <w:sz w:val="22"/>
          <w:szCs w:val="22"/>
        </w:rPr>
        <w:t xml:space="preserve">. </w:t>
      </w:r>
      <w:hyperlink r:id="rId82" w:history="1">
        <w:r w:rsidR="009C77DD" w:rsidRPr="00B10FD1">
          <w:rPr>
            <w:rStyle w:val="Hyperlink"/>
            <w:rFonts w:ascii="Arial" w:hAnsi="Arial" w:cs="Arial"/>
            <w:sz w:val="22"/>
            <w:szCs w:val="22"/>
          </w:rPr>
          <w:t>https://emergency.unhcr.org/protection/persons-risk/older-persons</w:t>
        </w:r>
      </w:hyperlink>
      <w:r w:rsidR="009C77DD" w:rsidRPr="00B10FD1">
        <w:rPr>
          <w:rStyle w:val="url"/>
          <w:rFonts w:ascii="Arial" w:hAnsi="Arial" w:cs="Arial"/>
          <w:color w:val="000000" w:themeColor="text1"/>
          <w:sz w:val="22"/>
          <w:szCs w:val="22"/>
        </w:rPr>
        <w:t xml:space="preserve"> (Accessed: July 17, 2025).</w:t>
      </w:r>
    </w:p>
    <w:p w14:paraId="66256659"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Van Dijk, J. A. (2006). Digital divide research, achievements and shortcomings. </w:t>
      </w:r>
      <w:r w:rsidRPr="00B10FD1">
        <w:rPr>
          <w:rFonts w:ascii="Arial" w:hAnsi="Arial" w:cs="Arial"/>
          <w:i/>
          <w:iCs/>
          <w:color w:val="000000" w:themeColor="text1"/>
          <w:sz w:val="22"/>
          <w:szCs w:val="22"/>
        </w:rPr>
        <w:t>Poetics</w:t>
      </w:r>
      <w:r w:rsidRPr="00B10FD1">
        <w:rPr>
          <w:rFonts w:ascii="Arial" w:hAnsi="Arial" w:cs="Arial"/>
          <w:color w:val="000000" w:themeColor="text1"/>
          <w:sz w:val="22"/>
          <w:szCs w:val="22"/>
        </w:rPr>
        <w:t xml:space="preserve">, </w:t>
      </w:r>
      <w:r w:rsidRPr="00B10FD1">
        <w:rPr>
          <w:rFonts w:ascii="Arial" w:hAnsi="Arial" w:cs="Arial"/>
          <w:i/>
          <w:iCs/>
          <w:color w:val="000000" w:themeColor="text1"/>
          <w:sz w:val="22"/>
          <w:szCs w:val="22"/>
        </w:rPr>
        <w:t>34</w:t>
      </w:r>
      <w:r w:rsidRPr="00B10FD1">
        <w:rPr>
          <w:rFonts w:ascii="Arial" w:hAnsi="Arial" w:cs="Arial"/>
          <w:color w:val="000000" w:themeColor="text1"/>
          <w:sz w:val="22"/>
          <w:szCs w:val="22"/>
        </w:rPr>
        <w:t xml:space="preserve">(4–5), 221–235. </w:t>
      </w:r>
      <w:hyperlink r:id="rId83" w:history="1">
        <w:r w:rsidR="009C77DD" w:rsidRPr="00B10FD1">
          <w:rPr>
            <w:rStyle w:val="Hyperlink"/>
            <w:rFonts w:ascii="Arial" w:hAnsi="Arial" w:cs="Arial"/>
            <w:sz w:val="22"/>
            <w:szCs w:val="22"/>
          </w:rPr>
          <w:t>https://doi.org/10.1016/j.poetic.2006.05.004</w:t>
        </w:r>
      </w:hyperlink>
      <w:r w:rsidR="009C77DD" w:rsidRPr="00B10FD1">
        <w:rPr>
          <w:rStyle w:val="url"/>
          <w:rFonts w:ascii="Arial" w:hAnsi="Arial" w:cs="Arial"/>
          <w:color w:val="000000" w:themeColor="text1"/>
          <w:sz w:val="22"/>
          <w:szCs w:val="22"/>
        </w:rPr>
        <w:t xml:space="preserve"> </w:t>
      </w:r>
    </w:p>
    <w:p w14:paraId="43D44849"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proofErr w:type="spellStart"/>
      <w:r w:rsidRPr="00B10FD1">
        <w:rPr>
          <w:rFonts w:ascii="Arial" w:hAnsi="Arial" w:cs="Arial"/>
          <w:color w:val="000000" w:themeColor="text1"/>
          <w:sz w:val="22"/>
          <w:szCs w:val="22"/>
        </w:rPr>
        <w:t>Vaportzis</w:t>
      </w:r>
      <w:proofErr w:type="spellEnd"/>
      <w:r w:rsidRPr="00B10FD1">
        <w:rPr>
          <w:rFonts w:ascii="Arial" w:hAnsi="Arial" w:cs="Arial"/>
          <w:color w:val="000000" w:themeColor="text1"/>
          <w:sz w:val="22"/>
          <w:szCs w:val="22"/>
        </w:rPr>
        <w:t xml:space="preserve">, E., Clausen, M. G., &amp; Gow, A. J. (2017). Older Adults Perceptions of Technology and Barriers to Interacting with Tablet Computers: A Focus Group Study. </w:t>
      </w:r>
      <w:r w:rsidRPr="00B10FD1">
        <w:rPr>
          <w:rFonts w:ascii="Arial" w:hAnsi="Arial" w:cs="Arial"/>
          <w:i/>
          <w:iCs/>
          <w:color w:val="000000" w:themeColor="text1"/>
          <w:sz w:val="22"/>
          <w:szCs w:val="22"/>
        </w:rPr>
        <w:t>Frontiers in Psychology</w:t>
      </w:r>
      <w:r w:rsidRPr="00B10FD1">
        <w:rPr>
          <w:rFonts w:ascii="Arial" w:hAnsi="Arial" w:cs="Arial"/>
          <w:color w:val="000000" w:themeColor="text1"/>
          <w:sz w:val="22"/>
          <w:szCs w:val="22"/>
        </w:rPr>
        <w:t xml:space="preserve">, </w:t>
      </w:r>
      <w:r w:rsidRPr="00B10FD1">
        <w:rPr>
          <w:rFonts w:ascii="Arial" w:hAnsi="Arial" w:cs="Arial"/>
          <w:i/>
          <w:iCs/>
          <w:color w:val="000000" w:themeColor="text1"/>
          <w:sz w:val="22"/>
          <w:szCs w:val="22"/>
        </w:rPr>
        <w:t>8</w:t>
      </w:r>
      <w:r w:rsidRPr="00B10FD1">
        <w:rPr>
          <w:rFonts w:ascii="Arial" w:hAnsi="Arial" w:cs="Arial"/>
          <w:color w:val="000000" w:themeColor="text1"/>
          <w:sz w:val="22"/>
          <w:szCs w:val="22"/>
        </w:rPr>
        <w:t xml:space="preserve">. </w:t>
      </w:r>
      <w:hyperlink r:id="rId84" w:history="1">
        <w:r w:rsidR="009C77DD" w:rsidRPr="00B10FD1">
          <w:rPr>
            <w:rStyle w:val="Hyperlink"/>
            <w:rFonts w:ascii="Arial" w:hAnsi="Arial" w:cs="Arial"/>
            <w:sz w:val="22"/>
            <w:szCs w:val="22"/>
          </w:rPr>
          <w:t>https://doi.org/10.3389/fpsyg.2017.01687</w:t>
        </w:r>
      </w:hyperlink>
      <w:r w:rsidR="009C77DD" w:rsidRPr="00B10FD1">
        <w:rPr>
          <w:rStyle w:val="url"/>
          <w:rFonts w:ascii="Arial" w:hAnsi="Arial" w:cs="Arial"/>
          <w:color w:val="000000" w:themeColor="text1"/>
          <w:sz w:val="22"/>
          <w:szCs w:val="22"/>
        </w:rPr>
        <w:t xml:space="preserve"> </w:t>
      </w:r>
    </w:p>
    <w:p w14:paraId="41E5FE33" w14:textId="77777777" w:rsidR="00477ADA" w:rsidRPr="00B10FD1" w:rsidRDefault="009D7FE7" w:rsidP="00477ADA">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Veazie, S., Gilbert, J., Winchell, K., Paynter, R., &amp; Guise, J. (2019, February 1). </w:t>
      </w:r>
      <w:r w:rsidRPr="00B10FD1">
        <w:rPr>
          <w:rFonts w:ascii="Arial" w:hAnsi="Arial" w:cs="Arial"/>
          <w:i/>
          <w:iCs/>
          <w:color w:val="000000" w:themeColor="text1"/>
          <w:sz w:val="22"/>
          <w:szCs w:val="22"/>
        </w:rPr>
        <w:t>Social isolation and Loneliness Definitions and Measures</w:t>
      </w:r>
      <w:r w:rsidRPr="00B10FD1">
        <w:rPr>
          <w:rFonts w:ascii="Arial" w:hAnsi="Arial" w:cs="Arial"/>
          <w:color w:val="000000" w:themeColor="text1"/>
          <w:sz w:val="22"/>
          <w:szCs w:val="22"/>
        </w:rPr>
        <w:t xml:space="preserve">. Addressing Social Isolation to Improve the Health of Older Adults: A Rapid Review - NCBI Bookshelf. </w:t>
      </w:r>
      <w:hyperlink r:id="rId85" w:history="1">
        <w:r w:rsidR="009C77DD" w:rsidRPr="00B10FD1">
          <w:rPr>
            <w:rStyle w:val="Hyperlink"/>
            <w:rFonts w:ascii="Arial" w:hAnsi="Arial" w:cs="Arial"/>
            <w:sz w:val="22"/>
            <w:szCs w:val="22"/>
          </w:rPr>
          <w:t>https://www.ncbi.nlm.nih.gov/books/NBK537897/</w:t>
        </w:r>
      </w:hyperlink>
      <w:r w:rsidR="009C77DD" w:rsidRPr="00B10FD1">
        <w:rPr>
          <w:rStyle w:val="url"/>
          <w:rFonts w:ascii="Arial" w:hAnsi="Arial" w:cs="Arial"/>
          <w:color w:val="000000" w:themeColor="text1"/>
          <w:sz w:val="22"/>
          <w:szCs w:val="22"/>
        </w:rPr>
        <w:t xml:space="preserve"> (Accessed: July 17, 2025).</w:t>
      </w:r>
    </w:p>
    <w:p w14:paraId="2F55B0A9" w14:textId="77777777" w:rsidR="00477ADA" w:rsidRPr="00B10FD1" w:rsidRDefault="00477ADA" w:rsidP="00477ADA">
      <w:pPr>
        <w:pStyle w:val="NormalWeb"/>
        <w:spacing w:before="120" w:beforeAutospacing="0" w:after="120" w:afterAutospacing="0" w:line="360" w:lineRule="auto"/>
        <w:ind w:left="720" w:hanging="720"/>
        <w:jc w:val="both"/>
        <w:rPr>
          <w:rFonts w:ascii="Arial" w:hAnsi="Arial" w:cs="Arial"/>
          <w:sz w:val="22"/>
          <w:szCs w:val="22"/>
        </w:rPr>
      </w:pPr>
      <w:r w:rsidRPr="00B10FD1">
        <w:rPr>
          <w:rFonts w:ascii="Arial" w:hAnsi="Arial" w:cs="Arial"/>
          <w:sz w:val="22"/>
          <w:szCs w:val="22"/>
        </w:rPr>
        <w:t xml:space="preserve">Wilson-Menzfeld, G., Erfani, G., Young-Murphy, L., Charlton, W., De Luca, H., Brittain, K. and Steven, A. (2024) ‘Identifying and understanding digital exclusion: A mixed-methods study’, </w:t>
      </w:r>
      <w:proofErr w:type="spellStart"/>
      <w:r w:rsidRPr="00B10FD1">
        <w:rPr>
          <w:rStyle w:val="Emphasis"/>
          <w:rFonts w:ascii="Arial" w:hAnsi="Arial" w:cs="Arial"/>
          <w:sz w:val="22"/>
          <w:szCs w:val="22"/>
        </w:rPr>
        <w:t>Behaviour</w:t>
      </w:r>
      <w:proofErr w:type="spellEnd"/>
      <w:r w:rsidRPr="00B10FD1">
        <w:rPr>
          <w:rStyle w:val="Emphasis"/>
          <w:rFonts w:ascii="Arial" w:hAnsi="Arial" w:cs="Arial"/>
          <w:sz w:val="22"/>
          <w:szCs w:val="22"/>
        </w:rPr>
        <w:t xml:space="preserve"> &amp; Information Technology</w:t>
      </w:r>
      <w:r w:rsidRPr="00B10FD1">
        <w:rPr>
          <w:rFonts w:ascii="Arial" w:hAnsi="Arial" w:cs="Arial"/>
          <w:sz w:val="22"/>
          <w:szCs w:val="22"/>
        </w:rPr>
        <w:t xml:space="preserve">. DOI: 10.1080/0144929X.2024.2368087. Available at: </w:t>
      </w:r>
      <w:hyperlink r:id="rId86" w:history="1">
        <w:r w:rsidR="00A141A2" w:rsidRPr="00190C11">
          <w:rPr>
            <w:rStyle w:val="Hyperlink"/>
            <w:rFonts w:ascii="Arial" w:hAnsi="Arial" w:cs="Arial"/>
            <w:sz w:val="22"/>
            <w:szCs w:val="22"/>
          </w:rPr>
          <w:t>https://www.tandfonline.com/doi/full/10.1080/0144929X.2024.2368087</w:t>
        </w:r>
      </w:hyperlink>
      <w:r w:rsidR="00A141A2">
        <w:rPr>
          <w:rFonts w:ascii="Arial" w:hAnsi="Arial" w:cs="Arial"/>
          <w:sz w:val="22"/>
          <w:szCs w:val="22"/>
        </w:rPr>
        <w:t xml:space="preserve"> </w:t>
      </w:r>
    </w:p>
    <w:p w14:paraId="05671DD6"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Wani, A., </w:t>
      </w:r>
      <w:proofErr w:type="spellStart"/>
      <w:r w:rsidRPr="00B10FD1">
        <w:rPr>
          <w:rFonts w:ascii="Arial" w:hAnsi="Arial" w:cs="Arial"/>
          <w:color w:val="000000" w:themeColor="text1"/>
          <w:sz w:val="22"/>
          <w:szCs w:val="22"/>
        </w:rPr>
        <w:t>Ganaie</w:t>
      </w:r>
      <w:proofErr w:type="spellEnd"/>
      <w:r w:rsidRPr="00B10FD1">
        <w:rPr>
          <w:rFonts w:ascii="Arial" w:hAnsi="Arial" w:cs="Arial"/>
          <w:color w:val="000000" w:themeColor="text1"/>
          <w:sz w:val="22"/>
          <w:szCs w:val="22"/>
        </w:rPr>
        <w:t xml:space="preserve">, S., &amp; Shafi, A. (2024). Family transition and older adults: does age still matter? </w:t>
      </w:r>
      <w:r w:rsidRPr="00B10FD1">
        <w:rPr>
          <w:rFonts w:ascii="Arial" w:hAnsi="Arial" w:cs="Arial"/>
          <w:i/>
          <w:iCs/>
          <w:color w:val="000000" w:themeColor="text1"/>
          <w:sz w:val="22"/>
          <w:szCs w:val="22"/>
        </w:rPr>
        <w:t>Working With Older People</w:t>
      </w:r>
      <w:r w:rsidRPr="00B10FD1">
        <w:rPr>
          <w:rFonts w:ascii="Arial" w:hAnsi="Arial" w:cs="Arial"/>
          <w:color w:val="000000" w:themeColor="text1"/>
          <w:sz w:val="22"/>
          <w:szCs w:val="22"/>
        </w:rPr>
        <w:t xml:space="preserve">. </w:t>
      </w:r>
      <w:hyperlink r:id="rId87" w:history="1">
        <w:r w:rsidR="009C77DD" w:rsidRPr="00B10FD1">
          <w:rPr>
            <w:rStyle w:val="Hyperlink"/>
            <w:rFonts w:ascii="Arial" w:hAnsi="Arial" w:cs="Arial"/>
            <w:sz w:val="22"/>
            <w:szCs w:val="22"/>
          </w:rPr>
          <w:t>https://doi.org/10.1108/wwop-02-2024-0010</w:t>
        </w:r>
      </w:hyperlink>
      <w:r w:rsidR="009C77DD" w:rsidRPr="00B10FD1">
        <w:rPr>
          <w:rStyle w:val="url"/>
          <w:rFonts w:ascii="Arial" w:hAnsi="Arial" w:cs="Arial"/>
          <w:color w:val="000000" w:themeColor="text1"/>
          <w:sz w:val="22"/>
          <w:szCs w:val="22"/>
        </w:rPr>
        <w:t xml:space="preserve"> </w:t>
      </w:r>
    </w:p>
    <w:p w14:paraId="5FF0576F"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Wilson-Menzfeld, G., Erfani, G., Young-Murphy, L., Charlton, W., De Luca, H., Brittain, K., &amp; Steven, A. (2024). Identifying and understanding digital exclusion: a mixed-methods study. </w:t>
      </w:r>
      <w:proofErr w:type="spellStart"/>
      <w:r w:rsidRPr="00B10FD1">
        <w:rPr>
          <w:rFonts w:ascii="Arial" w:hAnsi="Arial" w:cs="Arial"/>
          <w:i/>
          <w:iCs/>
          <w:color w:val="000000" w:themeColor="text1"/>
          <w:sz w:val="22"/>
          <w:szCs w:val="22"/>
        </w:rPr>
        <w:t>Behaviour</w:t>
      </w:r>
      <w:proofErr w:type="spellEnd"/>
      <w:r w:rsidRPr="00B10FD1">
        <w:rPr>
          <w:rFonts w:ascii="Arial" w:hAnsi="Arial" w:cs="Arial"/>
          <w:i/>
          <w:iCs/>
          <w:color w:val="000000" w:themeColor="text1"/>
          <w:sz w:val="22"/>
          <w:szCs w:val="22"/>
        </w:rPr>
        <w:t xml:space="preserve"> and Information Technology</w:t>
      </w:r>
      <w:r w:rsidRPr="00B10FD1">
        <w:rPr>
          <w:rFonts w:ascii="Arial" w:hAnsi="Arial" w:cs="Arial"/>
          <w:color w:val="000000" w:themeColor="text1"/>
          <w:sz w:val="22"/>
          <w:szCs w:val="22"/>
        </w:rPr>
        <w:t xml:space="preserve">, 1–18. </w:t>
      </w:r>
      <w:hyperlink r:id="rId88" w:history="1">
        <w:r w:rsidR="009C77DD" w:rsidRPr="00B10FD1">
          <w:rPr>
            <w:rStyle w:val="Hyperlink"/>
            <w:rFonts w:ascii="Arial" w:hAnsi="Arial" w:cs="Arial"/>
            <w:sz w:val="22"/>
            <w:szCs w:val="22"/>
          </w:rPr>
          <w:t>https://doi.org/10.1080/0144929x.2024.2368087</w:t>
        </w:r>
      </w:hyperlink>
      <w:r w:rsidR="009C77DD" w:rsidRPr="00B10FD1">
        <w:rPr>
          <w:rStyle w:val="url"/>
          <w:rFonts w:ascii="Arial" w:hAnsi="Arial" w:cs="Arial"/>
          <w:color w:val="000000" w:themeColor="text1"/>
          <w:sz w:val="22"/>
          <w:szCs w:val="22"/>
        </w:rPr>
        <w:t xml:space="preserve"> </w:t>
      </w:r>
    </w:p>
    <w:p w14:paraId="22571C1C" w14:textId="77777777" w:rsidR="009D7FE7" w:rsidRPr="00B10FD1" w:rsidRDefault="009D7FE7" w:rsidP="006240B2">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World Health Organization: WHO. (2022, June 17). </w:t>
      </w:r>
      <w:r w:rsidRPr="00B10FD1">
        <w:rPr>
          <w:rFonts w:ascii="Arial" w:hAnsi="Arial" w:cs="Arial"/>
          <w:i/>
          <w:iCs/>
          <w:color w:val="000000" w:themeColor="text1"/>
          <w:sz w:val="22"/>
          <w:szCs w:val="22"/>
        </w:rPr>
        <w:t>Mental health</w:t>
      </w:r>
      <w:r w:rsidRPr="00B10FD1">
        <w:rPr>
          <w:rFonts w:ascii="Arial" w:hAnsi="Arial" w:cs="Arial"/>
          <w:color w:val="000000" w:themeColor="text1"/>
          <w:sz w:val="22"/>
          <w:szCs w:val="22"/>
        </w:rPr>
        <w:t xml:space="preserve">. </w:t>
      </w:r>
      <w:hyperlink r:id="rId89" w:history="1">
        <w:r w:rsidR="009C77DD" w:rsidRPr="00B10FD1">
          <w:rPr>
            <w:rStyle w:val="Hyperlink"/>
            <w:rFonts w:ascii="Arial" w:hAnsi="Arial" w:cs="Arial"/>
            <w:sz w:val="22"/>
            <w:szCs w:val="22"/>
          </w:rPr>
          <w:t>https://www.who.int/news-room/fact-sheets/detail/mental-health-strengthening-our-response</w:t>
        </w:r>
      </w:hyperlink>
      <w:r w:rsidR="009C77DD" w:rsidRPr="00B10FD1">
        <w:rPr>
          <w:rStyle w:val="url"/>
          <w:rFonts w:ascii="Arial" w:hAnsi="Arial" w:cs="Arial"/>
          <w:color w:val="000000" w:themeColor="text1"/>
          <w:sz w:val="22"/>
          <w:szCs w:val="22"/>
        </w:rPr>
        <w:t xml:space="preserve"> (Accessed: July 17, 2025).</w:t>
      </w:r>
    </w:p>
    <w:p w14:paraId="02DE2F66" w14:textId="77777777" w:rsidR="00477ADA" w:rsidRPr="00B10FD1" w:rsidRDefault="009D7FE7" w:rsidP="00477ADA">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color w:val="000000" w:themeColor="text1"/>
          <w:sz w:val="22"/>
          <w:szCs w:val="22"/>
        </w:rPr>
        <w:t xml:space="preserve">Zapletal, A., Wells, T., Russell, E., &amp; Skinner, M. W. (2023). On the triple exclusion of older adults during COVID-19: Technology, digital literacy and social isolation. </w:t>
      </w:r>
      <w:r w:rsidRPr="00B10FD1">
        <w:rPr>
          <w:rFonts w:ascii="Arial" w:hAnsi="Arial" w:cs="Arial"/>
          <w:i/>
          <w:iCs/>
          <w:color w:val="000000" w:themeColor="text1"/>
          <w:sz w:val="22"/>
          <w:szCs w:val="22"/>
        </w:rPr>
        <w:t>Social Sciences &amp; Humanities Open</w:t>
      </w:r>
      <w:r w:rsidRPr="00B10FD1">
        <w:rPr>
          <w:rFonts w:ascii="Arial" w:hAnsi="Arial" w:cs="Arial"/>
          <w:color w:val="000000" w:themeColor="text1"/>
          <w:sz w:val="22"/>
          <w:szCs w:val="22"/>
        </w:rPr>
        <w:t xml:space="preserve">, </w:t>
      </w:r>
      <w:r w:rsidRPr="00B10FD1">
        <w:rPr>
          <w:rFonts w:ascii="Arial" w:hAnsi="Arial" w:cs="Arial"/>
          <w:i/>
          <w:iCs/>
          <w:color w:val="000000" w:themeColor="text1"/>
          <w:sz w:val="22"/>
          <w:szCs w:val="22"/>
        </w:rPr>
        <w:t>8</w:t>
      </w:r>
      <w:r w:rsidRPr="00B10FD1">
        <w:rPr>
          <w:rFonts w:ascii="Arial" w:hAnsi="Arial" w:cs="Arial"/>
          <w:color w:val="000000" w:themeColor="text1"/>
          <w:sz w:val="22"/>
          <w:szCs w:val="22"/>
        </w:rPr>
        <w:t xml:space="preserve">(1), 100511. </w:t>
      </w:r>
      <w:hyperlink r:id="rId90" w:history="1">
        <w:r w:rsidR="009C77DD" w:rsidRPr="00B10FD1">
          <w:rPr>
            <w:rStyle w:val="Hyperlink"/>
            <w:rFonts w:ascii="Arial" w:hAnsi="Arial" w:cs="Arial"/>
            <w:sz w:val="22"/>
            <w:szCs w:val="22"/>
          </w:rPr>
          <w:t>https://doi.org/10.1016/j.ssaho.2023.100511</w:t>
        </w:r>
      </w:hyperlink>
      <w:r w:rsidR="009C77DD" w:rsidRPr="00B10FD1">
        <w:rPr>
          <w:rStyle w:val="url"/>
          <w:rFonts w:ascii="Arial" w:hAnsi="Arial" w:cs="Arial"/>
          <w:color w:val="000000" w:themeColor="text1"/>
          <w:sz w:val="22"/>
          <w:szCs w:val="22"/>
        </w:rPr>
        <w:t xml:space="preserve"> </w:t>
      </w:r>
    </w:p>
    <w:p w14:paraId="20CD0BA3" w14:textId="77777777" w:rsidR="00477ADA" w:rsidRPr="00B10FD1" w:rsidRDefault="00477ADA" w:rsidP="00477ADA">
      <w:pPr>
        <w:pStyle w:val="NormalWeb"/>
        <w:spacing w:before="120" w:beforeAutospacing="0" w:after="120" w:afterAutospacing="0" w:line="360" w:lineRule="auto"/>
        <w:ind w:left="720" w:hanging="720"/>
        <w:jc w:val="both"/>
        <w:rPr>
          <w:rFonts w:ascii="Arial" w:hAnsi="Arial" w:cs="Arial"/>
          <w:color w:val="000000" w:themeColor="text1"/>
          <w:sz w:val="22"/>
          <w:szCs w:val="22"/>
        </w:rPr>
      </w:pPr>
      <w:r w:rsidRPr="00B10FD1">
        <w:rPr>
          <w:rFonts w:ascii="Arial" w:hAnsi="Arial" w:cs="Arial"/>
          <w:sz w:val="22"/>
          <w:szCs w:val="22"/>
        </w:rPr>
        <w:lastRenderedPageBreak/>
        <w:t xml:space="preserve">Zhang, J., </w:t>
      </w:r>
      <w:proofErr w:type="spellStart"/>
      <w:r w:rsidRPr="00B10FD1">
        <w:rPr>
          <w:rFonts w:ascii="Arial" w:hAnsi="Arial" w:cs="Arial"/>
          <w:sz w:val="22"/>
          <w:szCs w:val="22"/>
        </w:rPr>
        <w:t>Gallifant</w:t>
      </w:r>
      <w:proofErr w:type="spellEnd"/>
      <w:r w:rsidRPr="00B10FD1">
        <w:rPr>
          <w:rFonts w:ascii="Arial" w:hAnsi="Arial" w:cs="Arial"/>
          <w:sz w:val="22"/>
          <w:szCs w:val="22"/>
        </w:rPr>
        <w:t xml:space="preserve">, J., Pierce, R.L., Fordham, A., Teo, J.T.H., Celi, L.A. and </w:t>
      </w:r>
      <w:proofErr w:type="spellStart"/>
      <w:r w:rsidRPr="00B10FD1">
        <w:rPr>
          <w:rFonts w:ascii="Arial" w:hAnsi="Arial" w:cs="Arial"/>
          <w:sz w:val="22"/>
          <w:szCs w:val="22"/>
        </w:rPr>
        <w:t>Ashrafian</w:t>
      </w:r>
      <w:proofErr w:type="spellEnd"/>
      <w:r w:rsidRPr="00B10FD1">
        <w:rPr>
          <w:rFonts w:ascii="Arial" w:hAnsi="Arial" w:cs="Arial"/>
          <w:sz w:val="22"/>
          <w:szCs w:val="22"/>
        </w:rPr>
        <w:t xml:space="preserve">, H. (2023) ‘Quantifying digital health inequality across a national healthcare system’, </w:t>
      </w:r>
      <w:r w:rsidRPr="00B10FD1">
        <w:rPr>
          <w:rStyle w:val="Emphasis"/>
          <w:rFonts w:ascii="Arial" w:hAnsi="Arial" w:cs="Arial"/>
          <w:sz w:val="22"/>
          <w:szCs w:val="22"/>
        </w:rPr>
        <w:t>BMJ Health &amp; Care Informatics</w:t>
      </w:r>
      <w:r w:rsidRPr="00B10FD1">
        <w:rPr>
          <w:rFonts w:ascii="Arial" w:hAnsi="Arial" w:cs="Arial"/>
          <w:sz w:val="22"/>
          <w:szCs w:val="22"/>
        </w:rPr>
        <w:t xml:space="preserve">, 30(1), e100809. DOI: 10.1136/bmjhci-2023-100809. Available at: </w:t>
      </w:r>
      <w:hyperlink r:id="rId91" w:tgtFrame="_new" w:history="1">
        <w:r w:rsidRPr="00B10FD1">
          <w:rPr>
            <w:rStyle w:val="Hyperlink"/>
            <w:rFonts w:ascii="Arial" w:hAnsi="Arial" w:cs="Arial"/>
            <w:sz w:val="22"/>
            <w:szCs w:val="22"/>
          </w:rPr>
          <w:t>https://informatics.bmj.com/content/30/1/e100809</w:t>
        </w:r>
      </w:hyperlink>
    </w:p>
    <w:p w14:paraId="75442CCD" w14:textId="77777777" w:rsidR="00662B90" w:rsidRDefault="00662B90" w:rsidP="000B2958"/>
    <w:p w14:paraId="5377BB58" w14:textId="77777777" w:rsidR="00D74EF2" w:rsidRDefault="00D74EF2" w:rsidP="000B2958"/>
    <w:p w14:paraId="335AF703" w14:textId="77777777" w:rsidR="00D74EF2" w:rsidRDefault="00D74EF2" w:rsidP="000B2958"/>
    <w:p w14:paraId="43C2F1FA" w14:textId="77777777" w:rsidR="00D74EF2" w:rsidRDefault="00D74EF2" w:rsidP="000B2958"/>
    <w:p w14:paraId="28C9CD07" w14:textId="77777777" w:rsidR="00D74EF2" w:rsidRDefault="00D74EF2" w:rsidP="000B2958"/>
    <w:p w14:paraId="60CB4AC6" w14:textId="77777777" w:rsidR="00D74EF2" w:rsidRDefault="00D74EF2" w:rsidP="000B2958"/>
    <w:p w14:paraId="720087D6" w14:textId="77777777" w:rsidR="00D74EF2" w:rsidRDefault="00D74EF2" w:rsidP="000B2958"/>
    <w:p w14:paraId="19680AE4" w14:textId="77777777" w:rsidR="00D74EF2" w:rsidRDefault="00D74EF2" w:rsidP="000B2958"/>
    <w:p w14:paraId="477680E7" w14:textId="77777777" w:rsidR="00D74EF2" w:rsidRDefault="00D74EF2" w:rsidP="000B2958"/>
    <w:p w14:paraId="283C00FA" w14:textId="77777777" w:rsidR="00D74EF2" w:rsidRDefault="00D74EF2" w:rsidP="000B2958"/>
    <w:p w14:paraId="20FE2F3E" w14:textId="77777777" w:rsidR="00D74EF2" w:rsidRDefault="00D74EF2" w:rsidP="000B2958"/>
    <w:p w14:paraId="52672EBF" w14:textId="77777777" w:rsidR="00D74EF2" w:rsidRDefault="00D74EF2" w:rsidP="000B2958"/>
    <w:p w14:paraId="5B792B54" w14:textId="77777777" w:rsidR="00D74EF2" w:rsidRDefault="00D74EF2" w:rsidP="000B2958"/>
    <w:p w14:paraId="52801C77" w14:textId="77777777" w:rsidR="00D74EF2" w:rsidRDefault="00D74EF2" w:rsidP="000B2958"/>
    <w:p w14:paraId="17D0F11A" w14:textId="77777777" w:rsidR="00D74EF2" w:rsidRDefault="00D74EF2" w:rsidP="000B2958"/>
    <w:p w14:paraId="45BE2D30" w14:textId="77777777" w:rsidR="00D74EF2" w:rsidRDefault="00D74EF2" w:rsidP="000B2958"/>
    <w:p w14:paraId="2BD873DD" w14:textId="77777777" w:rsidR="00D74EF2" w:rsidRDefault="00D74EF2" w:rsidP="000B2958"/>
    <w:p w14:paraId="29E1AE91" w14:textId="77777777" w:rsidR="00D74EF2" w:rsidRDefault="00D74EF2" w:rsidP="000B2958"/>
    <w:p w14:paraId="51F2BCE1" w14:textId="77777777" w:rsidR="00D74EF2" w:rsidRDefault="00D74EF2" w:rsidP="000B2958"/>
    <w:p w14:paraId="6844D329" w14:textId="77777777" w:rsidR="00D74EF2" w:rsidRDefault="00D74EF2" w:rsidP="000B2958"/>
    <w:p w14:paraId="3365BA6A" w14:textId="77777777" w:rsidR="00D74EF2" w:rsidRDefault="00D74EF2" w:rsidP="000B2958"/>
    <w:p w14:paraId="60AD4B46" w14:textId="77777777" w:rsidR="00D74EF2" w:rsidRDefault="00D74EF2" w:rsidP="000B2958"/>
    <w:p w14:paraId="732DA34E" w14:textId="77777777" w:rsidR="00D74EF2" w:rsidRDefault="00D74EF2" w:rsidP="000B2958"/>
    <w:p w14:paraId="38DED03C" w14:textId="77777777" w:rsidR="00D74EF2" w:rsidRDefault="00D74EF2" w:rsidP="000B2958"/>
    <w:p w14:paraId="56E77306" w14:textId="77777777" w:rsidR="00D74EF2" w:rsidRDefault="00D74EF2" w:rsidP="000B2958"/>
    <w:p w14:paraId="0834963C" w14:textId="77777777" w:rsidR="00D74EF2" w:rsidRDefault="00D74EF2" w:rsidP="000B2958"/>
    <w:p w14:paraId="6474223C" w14:textId="77777777" w:rsidR="003367AF" w:rsidRPr="00F52EB6" w:rsidRDefault="00662B90" w:rsidP="00F52EB6">
      <w:pPr>
        <w:pStyle w:val="Heading2"/>
      </w:pPr>
      <w:r>
        <w:lastRenderedPageBreak/>
        <w:t xml:space="preserve">6.2 </w:t>
      </w:r>
      <w:r w:rsidR="00845127">
        <w:t>Appendices</w:t>
      </w:r>
    </w:p>
    <w:p w14:paraId="5652389A" w14:textId="77777777" w:rsidR="003367AF" w:rsidRPr="00B10FD1" w:rsidRDefault="003367AF" w:rsidP="00F52EB6">
      <w:pPr>
        <w:spacing w:before="120" w:after="120" w:line="360" w:lineRule="auto"/>
        <w:jc w:val="center"/>
        <w:rPr>
          <w:rFonts w:eastAsia="Times New Roman" w:cs="Arial"/>
          <w:color w:val="000000" w:themeColor="text1"/>
          <w:sz w:val="24"/>
          <w:szCs w:val="24"/>
        </w:rPr>
      </w:pPr>
      <w:r w:rsidRPr="00B10FD1">
        <w:rPr>
          <w:rFonts w:eastAsia="Times New Roman" w:cs="Arial"/>
          <w:noProof/>
          <w:color w:val="000000" w:themeColor="text1"/>
          <w:sz w:val="24"/>
          <w:szCs w:val="24"/>
        </w:rPr>
        <w:drawing>
          <wp:inline distT="0" distB="0" distL="0" distR="0" wp14:anchorId="751F6B26" wp14:editId="0443D85B">
            <wp:extent cx="5461079" cy="7728857"/>
            <wp:effectExtent l="0" t="0" r="6350" b="5715"/>
            <wp:docPr id="3" name="Picture 3" descr="C:\Users\fame\AppData\Local\Temp\Rar$DIa0.96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ame\AppData\Local\Temp\Rar$DIa0.968\1.pn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484171" cy="7761538"/>
                    </a:xfrm>
                    <a:prstGeom prst="rect">
                      <a:avLst/>
                    </a:prstGeom>
                    <a:noFill/>
                    <a:ln>
                      <a:noFill/>
                    </a:ln>
                  </pic:spPr>
                </pic:pic>
              </a:graphicData>
            </a:graphic>
          </wp:inline>
        </w:drawing>
      </w:r>
    </w:p>
    <w:p w14:paraId="2B525FDC" w14:textId="77777777" w:rsidR="003367AF" w:rsidRPr="00B10FD1" w:rsidRDefault="003367AF" w:rsidP="003367AF">
      <w:pPr>
        <w:spacing w:before="120" w:after="120" w:line="360" w:lineRule="auto"/>
        <w:jc w:val="both"/>
        <w:rPr>
          <w:rFonts w:eastAsia="Times New Roman" w:cs="Arial"/>
          <w:color w:val="000000" w:themeColor="text1"/>
          <w:sz w:val="24"/>
          <w:szCs w:val="24"/>
        </w:rPr>
      </w:pPr>
      <w:r w:rsidRPr="00B10FD1">
        <w:rPr>
          <w:rFonts w:eastAsia="Times New Roman" w:cs="Arial"/>
          <w:noProof/>
          <w:color w:val="000000" w:themeColor="text1"/>
          <w:sz w:val="24"/>
          <w:szCs w:val="24"/>
        </w:rPr>
        <w:lastRenderedPageBreak/>
        <w:drawing>
          <wp:inline distT="0" distB="0" distL="0" distR="0" wp14:anchorId="3515E99E" wp14:editId="22E49250">
            <wp:extent cx="6342989" cy="8481848"/>
            <wp:effectExtent l="0" t="0" r="1270" b="0"/>
            <wp:docPr id="4" name="Picture 4" descr="C:\Users\fame\AppData\Local\Temp\Rar$DIa0.68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ame\AppData\Local\Temp\Rar$DIa0.688\2.pn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6356396" cy="8499776"/>
                    </a:xfrm>
                    <a:prstGeom prst="rect">
                      <a:avLst/>
                    </a:prstGeom>
                    <a:noFill/>
                    <a:ln>
                      <a:noFill/>
                    </a:ln>
                  </pic:spPr>
                </pic:pic>
              </a:graphicData>
            </a:graphic>
          </wp:inline>
        </w:drawing>
      </w:r>
    </w:p>
    <w:p w14:paraId="123454B0" w14:textId="77777777" w:rsidR="003367AF" w:rsidRPr="00B10FD1" w:rsidRDefault="003367AF" w:rsidP="003367AF">
      <w:pPr>
        <w:spacing w:before="120" w:after="120" w:line="360" w:lineRule="auto"/>
        <w:jc w:val="both"/>
        <w:rPr>
          <w:rFonts w:eastAsia="Times New Roman" w:cs="Arial"/>
          <w:color w:val="000000" w:themeColor="text1"/>
          <w:sz w:val="24"/>
          <w:szCs w:val="24"/>
        </w:rPr>
      </w:pPr>
      <w:r w:rsidRPr="00B10FD1">
        <w:rPr>
          <w:rFonts w:eastAsia="Times New Roman" w:cs="Arial"/>
          <w:noProof/>
          <w:color w:val="000000" w:themeColor="text1"/>
          <w:sz w:val="24"/>
          <w:szCs w:val="24"/>
        </w:rPr>
        <w:lastRenderedPageBreak/>
        <w:drawing>
          <wp:inline distT="0" distB="0" distL="0" distR="0" wp14:anchorId="150598B0" wp14:editId="3F1BA70E">
            <wp:extent cx="6336665" cy="8600090"/>
            <wp:effectExtent l="0" t="0" r="6985" b="0"/>
            <wp:docPr id="5" name="Picture 5" descr="C:\Users\fame\AppData\Local\Temp\Rar$DIa0.73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ame\AppData\Local\Temp\Rar$DIa0.733\3.pn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6346979" cy="8614087"/>
                    </a:xfrm>
                    <a:prstGeom prst="rect">
                      <a:avLst/>
                    </a:prstGeom>
                    <a:noFill/>
                    <a:ln>
                      <a:noFill/>
                    </a:ln>
                  </pic:spPr>
                </pic:pic>
              </a:graphicData>
            </a:graphic>
          </wp:inline>
        </w:drawing>
      </w:r>
    </w:p>
    <w:p w14:paraId="7CA1AEA3" w14:textId="77777777" w:rsidR="00664046" w:rsidRDefault="00664046" w:rsidP="00664046">
      <w:pPr>
        <w:pStyle w:val="Caption"/>
        <w:keepNext/>
        <w:rPr>
          <w:rFonts w:cs="Arial"/>
        </w:rPr>
        <w:sectPr w:rsidR="00664046" w:rsidSect="00214C3A">
          <w:pgSz w:w="12240" w:h="15840"/>
          <w:pgMar w:top="1440" w:right="1440" w:bottom="1440" w:left="1440" w:header="720" w:footer="720" w:gutter="0"/>
          <w:cols w:space="720"/>
          <w:docGrid w:linePitch="360"/>
        </w:sectPr>
      </w:pPr>
      <w:bookmarkStart w:id="81" w:name="_Toc209282433"/>
    </w:p>
    <w:p w14:paraId="61B5A716" w14:textId="7D2C0012" w:rsidR="00967990" w:rsidRPr="00B10FD1" w:rsidRDefault="00967990" w:rsidP="00967990">
      <w:pPr>
        <w:pStyle w:val="Caption"/>
        <w:keepNext/>
        <w:jc w:val="center"/>
        <w:rPr>
          <w:rFonts w:cs="Arial"/>
        </w:rPr>
      </w:pPr>
      <w:r w:rsidRPr="00B10FD1">
        <w:rPr>
          <w:rFonts w:cs="Arial"/>
        </w:rPr>
        <w:lastRenderedPageBreak/>
        <w:t xml:space="preserve">Table </w:t>
      </w:r>
      <w:r w:rsidRPr="00B10FD1">
        <w:rPr>
          <w:rFonts w:cs="Arial"/>
        </w:rPr>
        <w:fldChar w:fldCharType="begin"/>
      </w:r>
      <w:r w:rsidRPr="00B10FD1">
        <w:rPr>
          <w:rFonts w:cs="Arial"/>
        </w:rPr>
        <w:instrText xml:space="preserve"> SEQ Table \* ARABIC </w:instrText>
      </w:r>
      <w:r w:rsidRPr="00B10FD1">
        <w:rPr>
          <w:rFonts w:cs="Arial"/>
        </w:rPr>
        <w:fldChar w:fldCharType="separate"/>
      </w:r>
      <w:r w:rsidR="00204CA5">
        <w:rPr>
          <w:rFonts w:cs="Arial"/>
          <w:noProof/>
        </w:rPr>
        <w:t>4</w:t>
      </w:r>
      <w:r w:rsidRPr="00B10FD1">
        <w:rPr>
          <w:rFonts w:cs="Arial"/>
        </w:rPr>
        <w:fldChar w:fldCharType="end"/>
      </w:r>
      <w:r w:rsidRPr="00B10FD1">
        <w:rPr>
          <w:rFonts w:cs="Arial"/>
        </w:rPr>
        <w:t>: Themes</w:t>
      </w:r>
      <w:bookmarkEnd w:id="81"/>
    </w:p>
    <w:tbl>
      <w:tblPr>
        <w:tblStyle w:val="TableGrid"/>
        <w:tblW w:w="9350" w:type="dxa"/>
        <w:tblLook w:val="04A0" w:firstRow="1" w:lastRow="0" w:firstColumn="1" w:lastColumn="0" w:noHBand="0" w:noVBand="1"/>
      </w:tblPr>
      <w:tblGrid>
        <w:gridCol w:w="1727"/>
        <w:gridCol w:w="1898"/>
        <w:gridCol w:w="2118"/>
        <w:gridCol w:w="2089"/>
        <w:gridCol w:w="1867"/>
        <w:gridCol w:w="1746"/>
        <w:gridCol w:w="1505"/>
      </w:tblGrid>
      <w:tr w:rsidR="00E00D84" w:rsidRPr="00B10FD1" w14:paraId="1223CED0" w14:textId="77777777" w:rsidTr="00967990">
        <w:trPr>
          <w:trHeight w:val="288"/>
        </w:trPr>
        <w:tc>
          <w:tcPr>
            <w:tcW w:w="1207" w:type="dxa"/>
            <w:noWrap/>
            <w:hideMark/>
          </w:tcPr>
          <w:p w14:paraId="10D7EB36" w14:textId="77777777" w:rsidR="00E00D84" w:rsidRPr="00B10FD1" w:rsidRDefault="00E00D84" w:rsidP="00967990">
            <w:pPr>
              <w:jc w:val="both"/>
              <w:rPr>
                <w:rFonts w:eastAsia="Times New Roman" w:cs="Arial"/>
                <w:color w:val="000000"/>
              </w:rPr>
            </w:pPr>
            <w:r w:rsidRPr="00B10FD1">
              <w:rPr>
                <w:rFonts w:eastAsia="Times New Roman" w:cs="Arial"/>
                <w:color w:val="000000"/>
              </w:rPr>
              <w:t>Theme</w:t>
            </w:r>
          </w:p>
        </w:tc>
        <w:tc>
          <w:tcPr>
            <w:tcW w:w="1319" w:type="dxa"/>
            <w:noWrap/>
            <w:hideMark/>
          </w:tcPr>
          <w:p w14:paraId="46671F87" w14:textId="77777777" w:rsidR="00E00D84" w:rsidRPr="00B10FD1" w:rsidRDefault="00E00D84" w:rsidP="00967990">
            <w:pPr>
              <w:jc w:val="both"/>
              <w:rPr>
                <w:rFonts w:eastAsia="Times New Roman" w:cs="Arial"/>
                <w:color w:val="000000"/>
              </w:rPr>
            </w:pPr>
            <w:r w:rsidRPr="00B10FD1">
              <w:rPr>
                <w:rFonts w:eastAsia="Times New Roman" w:cs="Arial"/>
                <w:color w:val="000000"/>
              </w:rPr>
              <w:t>Focus (Definition/Scope)</w:t>
            </w:r>
          </w:p>
        </w:tc>
        <w:tc>
          <w:tcPr>
            <w:tcW w:w="1464" w:type="dxa"/>
            <w:noWrap/>
            <w:hideMark/>
          </w:tcPr>
          <w:p w14:paraId="7D315E9F" w14:textId="77777777" w:rsidR="00E00D84" w:rsidRPr="00B10FD1" w:rsidRDefault="00E00D84" w:rsidP="00967990">
            <w:pPr>
              <w:jc w:val="both"/>
              <w:rPr>
                <w:rFonts w:eastAsia="Times New Roman" w:cs="Arial"/>
                <w:color w:val="000000"/>
              </w:rPr>
            </w:pPr>
            <w:r w:rsidRPr="00B10FD1">
              <w:rPr>
                <w:rFonts w:eastAsia="Times New Roman" w:cs="Arial"/>
                <w:color w:val="000000"/>
              </w:rPr>
              <w:t>Core Mechanisms / Findings</w:t>
            </w:r>
          </w:p>
        </w:tc>
        <w:tc>
          <w:tcPr>
            <w:tcW w:w="1445" w:type="dxa"/>
            <w:noWrap/>
            <w:hideMark/>
          </w:tcPr>
          <w:p w14:paraId="6A07FF22" w14:textId="77777777" w:rsidR="00E00D84" w:rsidRPr="00B10FD1" w:rsidRDefault="00E00D84" w:rsidP="00967990">
            <w:pPr>
              <w:jc w:val="both"/>
              <w:rPr>
                <w:rFonts w:eastAsia="Times New Roman" w:cs="Arial"/>
                <w:color w:val="000000"/>
              </w:rPr>
            </w:pPr>
            <w:r w:rsidRPr="00B10FD1">
              <w:rPr>
                <w:rFonts w:eastAsia="Times New Roman" w:cs="Arial"/>
                <w:color w:val="000000"/>
              </w:rPr>
              <w:t>Key Evidence / Examples</w:t>
            </w:r>
          </w:p>
        </w:tc>
        <w:tc>
          <w:tcPr>
            <w:tcW w:w="1299" w:type="dxa"/>
            <w:noWrap/>
            <w:hideMark/>
          </w:tcPr>
          <w:p w14:paraId="4FD3A17A" w14:textId="77777777" w:rsidR="00E00D84" w:rsidRPr="00B10FD1" w:rsidRDefault="00E00D84" w:rsidP="00967990">
            <w:pPr>
              <w:jc w:val="both"/>
              <w:rPr>
                <w:rFonts w:eastAsia="Times New Roman" w:cs="Arial"/>
                <w:color w:val="000000"/>
              </w:rPr>
            </w:pPr>
            <w:r w:rsidRPr="00B10FD1">
              <w:rPr>
                <w:rFonts w:eastAsia="Times New Roman" w:cs="Arial"/>
                <w:color w:val="000000"/>
              </w:rPr>
              <w:t>Equity &amp; Mental-Health Implications</w:t>
            </w:r>
          </w:p>
        </w:tc>
        <w:tc>
          <w:tcPr>
            <w:tcW w:w="1220" w:type="dxa"/>
            <w:noWrap/>
            <w:hideMark/>
          </w:tcPr>
          <w:p w14:paraId="04E6B544" w14:textId="77777777" w:rsidR="00E00D84" w:rsidRPr="00B10FD1" w:rsidRDefault="00E00D84" w:rsidP="00967990">
            <w:pPr>
              <w:jc w:val="both"/>
              <w:rPr>
                <w:rFonts w:eastAsia="Times New Roman" w:cs="Arial"/>
                <w:color w:val="000000"/>
              </w:rPr>
            </w:pPr>
            <w:r w:rsidRPr="00B10FD1">
              <w:rPr>
                <w:rFonts w:eastAsia="Times New Roman" w:cs="Arial"/>
                <w:color w:val="000000"/>
              </w:rPr>
              <w:t>Policy/Practice Levers</w:t>
            </w:r>
          </w:p>
        </w:tc>
        <w:tc>
          <w:tcPr>
            <w:tcW w:w="1396" w:type="dxa"/>
            <w:noWrap/>
            <w:hideMark/>
          </w:tcPr>
          <w:p w14:paraId="21C4B36B" w14:textId="77777777" w:rsidR="00E00D84" w:rsidRPr="00B10FD1" w:rsidRDefault="00E00D84" w:rsidP="00967990">
            <w:pPr>
              <w:jc w:val="both"/>
              <w:rPr>
                <w:rFonts w:eastAsia="Times New Roman" w:cs="Arial"/>
                <w:color w:val="000000"/>
              </w:rPr>
            </w:pPr>
            <w:r w:rsidRPr="00B10FD1">
              <w:rPr>
                <w:rFonts w:eastAsia="Times New Roman" w:cs="Arial"/>
                <w:color w:val="000000"/>
              </w:rPr>
              <w:t>Relevance to Objective</w:t>
            </w:r>
          </w:p>
        </w:tc>
      </w:tr>
      <w:tr w:rsidR="00E00D84" w:rsidRPr="00B10FD1" w14:paraId="36B454BF" w14:textId="77777777" w:rsidTr="00967990">
        <w:trPr>
          <w:trHeight w:val="288"/>
        </w:trPr>
        <w:tc>
          <w:tcPr>
            <w:tcW w:w="1207" w:type="dxa"/>
            <w:noWrap/>
            <w:hideMark/>
          </w:tcPr>
          <w:p w14:paraId="02C1CB39" w14:textId="77777777" w:rsidR="00E00D84" w:rsidRPr="00B10FD1" w:rsidRDefault="00E00D84" w:rsidP="00967990">
            <w:pPr>
              <w:jc w:val="both"/>
              <w:rPr>
                <w:rFonts w:eastAsia="Times New Roman" w:cs="Arial"/>
                <w:color w:val="000000"/>
              </w:rPr>
            </w:pPr>
            <w:r w:rsidRPr="00B10FD1">
              <w:rPr>
                <w:rFonts w:eastAsia="Times New Roman" w:cs="Arial"/>
                <w:color w:val="000000"/>
              </w:rPr>
              <w:t>1) Disengagement &amp; Barriers</w:t>
            </w:r>
          </w:p>
        </w:tc>
        <w:tc>
          <w:tcPr>
            <w:tcW w:w="1319" w:type="dxa"/>
            <w:noWrap/>
            <w:hideMark/>
          </w:tcPr>
          <w:p w14:paraId="5F9DEC06" w14:textId="77777777" w:rsidR="00E00D84" w:rsidRPr="00B10FD1" w:rsidRDefault="00E00D84" w:rsidP="00967990">
            <w:pPr>
              <w:jc w:val="both"/>
              <w:rPr>
                <w:rFonts w:eastAsia="Times New Roman" w:cs="Arial"/>
                <w:color w:val="000000"/>
              </w:rPr>
            </w:pPr>
            <w:r w:rsidRPr="00B10FD1">
              <w:rPr>
                <w:rFonts w:eastAsia="Times New Roman" w:cs="Arial"/>
                <w:color w:val="000000"/>
              </w:rPr>
              <w:t>How digital exclusion manifests in UK health &amp; social care: layered across access, skills/confidence, and meaningful use.</w:t>
            </w:r>
          </w:p>
        </w:tc>
        <w:tc>
          <w:tcPr>
            <w:tcW w:w="1464" w:type="dxa"/>
            <w:noWrap/>
            <w:hideMark/>
          </w:tcPr>
          <w:p w14:paraId="4874835D" w14:textId="77777777" w:rsidR="00E00D84" w:rsidRPr="00B10FD1" w:rsidRDefault="00E00D84" w:rsidP="00967990">
            <w:pPr>
              <w:jc w:val="both"/>
              <w:rPr>
                <w:rFonts w:eastAsia="Times New Roman" w:cs="Arial"/>
                <w:color w:val="000000"/>
              </w:rPr>
            </w:pPr>
            <w:r w:rsidRPr="00B10FD1">
              <w:rPr>
                <w:rFonts w:eastAsia="Times New Roman" w:cs="Arial"/>
                <w:color w:val="000000"/>
              </w:rPr>
              <w:t>Three-level divide (</w:t>
            </w:r>
            <w:proofErr w:type="spellStart"/>
            <w:r w:rsidRPr="00B10FD1">
              <w:rPr>
                <w:rFonts w:eastAsia="Times New Roman" w:cs="Arial"/>
                <w:color w:val="000000"/>
              </w:rPr>
              <w:t>accessâ</w:t>
            </w:r>
            <w:proofErr w:type="spellEnd"/>
            <w:r w:rsidRPr="00B10FD1">
              <w:rPr>
                <w:rFonts w:eastAsia="Times New Roman" w:cs="Arial"/>
                <w:color w:val="000000"/>
              </w:rPr>
              <w:t>†’</w:t>
            </w:r>
            <w:proofErr w:type="spellStart"/>
            <w:r w:rsidRPr="00B10FD1">
              <w:rPr>
                <w:rFonts w:eastAsia="Times New Roman" w:cs="Arial"/>
                <w:color w:val="000000"/>
              </w:rPr>
              <w:t>skillsâ</w:t>
            </w:r>
            <w:proofErr w:type="spellEnd"/>
            <w:r w:rsidRPr="00B10FD1">
              <w:rPr>
                <w:rFonts w:eastAsia="Times New Roman" w:cs="Arial"/>
                <w:color w:val="000000"/>
              </w:rPr>
              <w:t>†’use); barriers co-occur with age-related changes, deprivation, infrastructure; digital-by-default can enforce disengagement.</w:t>
            </w:r>
          </w:p>
        </w:tc>
        <w:tc>
          <w:tcPr>
            <w:tcW w:w="1445" w:type="dxa"/>
            <w:noWrap/>
            <w:hideMark/>
          </w:tcPr>
          <w:p w14:paraId="38E067D1" w14:textId="77777777" w:rsidR="00E00D84" w:rsidRPr="00B10FD1" w:rsidRDefault="00E00D84" w:rsidP="00967990">
            <w:pPr>
              <w:jc w:val="both"/>
              <w:rPr>
                <w:rFonts w:eastAsia="Times New Roman" w:cs="Arial"/>
                <w:color w:val="000000"/>
              </w:rPr>
            </w:pPr>
            <w:r w:rsidRPr="00B10FD1">
              <w:rPr>
                <w:rFonts w:eastAsia="Times New Roman" w:cs="Arial"/>
                <w:color w:val="000000"/>
              </w:rPr>
              <w:t>Age UK ~5.8m 65+ offline/unsafe use; place-based clustering (North-East England); anxiety re: scams/passwords/2FA; intimidation &amp; poor fit; policy discourses risk stigma.</w:t>
            </w:r>
          </w:p>
        </w:tc>
        <w:tc>
          <w:tcPr>
            <w:tcW w:w="1299" w:type="dxa"/>
            <w:noWrap/>
            <w:hideMark/>
          </w:tcPr>
          <w:p w14:paraId="13FB9F62" w14:textId="77777777" w:rsidR="00E00D84" w:rsidRPr="00B10FD1" w:rsidRDefault="00E00D84" w:rsidP="00967990">
            <w:pPr>
              <w:jc w:val="both"/>
              <w:rPr>
                <w:rFonts w:eastAsia="Times New Roman" w:cs="Arial"/>
                <w:color w:val="000000"/>
              </w:rPr>
            </w:pPr>
            <w:r w:rsidRPr="00B10FD1">
              <w:rPr>
                <w:rFonts w:eastAsia="Times New Roman" w:cs="Arial"/>
                <w:color w:val="000000"/>
              </w:rPr>
              <w:t>Cumulative disadvantage at first contact; increased loneliness/anxiety; risk of foregone care; trust erosion if offline routes disappear.</w:t>
            </w:r>
          </w:p>
        </w:tc>
        <w:tc>
          <w:tcPr>
            <w:tcW w:w="1220" w:type="dxa"/>
            <w:noWrap/>
            <w:hideMark/>
          </w:tcPr>
          <w:p w14:paraId="371E4001" w14:textId="77777777" w:rsidR="00E00D84" w:rsidRPr="00B10FD1" w:rsidRDefault="00E00D84" w:rsidP="00967990">
            <w:pPr>
              <w:jc w:val="both"/>
              <w:rPr>
                <w:rFonts w:eastAsia="Times New Roman" w:cs="Arial"/>
                <w:color w:val="000000"/>
              </w:rPr>
            </w:pPr>
            <w:r w:rsidRPr="00B10FD1">
              <w:rPr>
                <w:rFonts w:eastAsia="Times New Roman" w:cs="Arial"/>
                <w:color w:val="000000"/>
              </w:rPr>
              <w:t>Assisted-digital support; parity of non-digital routes; local mapping &amp; tailored responses; co-design with older adults; social-capital intermediaries (family, VCSE, libraries).</w:t>
            </w:r>
          </w:p>
        </w:tc>
        <w:tc>
          <w:tcPr>
            <w:tcW w:w="1396" w:type="dxa"/>
            <w:noWrap/>
            <w:hideMark/>
          </w:tcPr>
          <w:p w14:paraId="1E8A3231" w14:textId="77777777" w:rsidR="00E00D84" w:rsidRPr="00B10FD1" w:rsidRDefault="00E00D84" w:rsidP="00967990">
            <w:pPr>
              <w:jc w:val="both"/>
              <w:rPr>
                <w:rFonts w:eastAsia="Times New Roman" w:cs="Arial"/>
                <w:color w:val="000000"/>
              </w:rPr>
            </w:pPr>
            <w:r w:rsidRPr="00B10FD1">
              <w:rPr>
                <w:rFonts w:eastAsia="Times New Roman" w:cs="Arial"/>
                <w:color w:val="000000"/>
              </w:rPr>
              <w:t>Objective 1 â specifies how access, proficiency, and motivation interact to produce (or reduce) exclusionary experiences.</w:t>
            </w:r>
          </w:p>
        </w:tc>
      </w:tr>
      <w:tr w:rsidR="00E00D84" w:rsidRPr="00B10FD1" w14:paraId="796C3129" w14:textId="77777777" w:rsidTr="00967990">
        <w:trPr>
          <w:trHeight w:val="288"/>
        </w:trPr>
        <w:tc>
          <w:tcPr>
            <w:tcW w:w="1207" w:type="dxa"/>
            <w:noWrap/>
            <w:hideMark/>
          </w:tcPr>
          <w:p w14:paraId="3F240026" w14:textId="77777777" w:rsidR="00E00D84" w:rsidRPr="00B10FD1" w:rsidRDefault="00E00D84" w:rsidP="00967990">
            <w:pPr>
              <w:jc w:val="both"/>
              <w:rPr>
                <w:rFonts w:eastAsia="Times New Roman" w:cs="Arial"/>
                <w:color w:val="000000"/>
              </w:rPr>
            </w:pPr>
            <w:r w:rsidRPr="00B10FD1">
              <w:rPr>
                <w:rFonts w:eastAsia="Times New Roman" w:cs="Arial"/>
                <w:color w:val="000000"/>
              </w:rPr>
              <w:t>2) Consequences</w:t>
            </w:r>
          </w:p>
        </w:tc>
        <w:tc>
          <w:tcPr>
            <w:tcW w:w="1319" w:type="dxa"/>
            <w:noWrap/>
            <w:hideMark/>
          </w:tcPr>
          <w:p w14:paraId="632686B2" w14:textId="77777777" w:rsidR="00E00D84" w:rsidRPr="00B10FD1" w:rsidRDefault="00E00D84" w:rsidP="00967990">
            <w:pPr>
              <w:jc w:val="both"/>
              <w:rPr>
                <w:rFonts w:eastAsia="Times New Roman" w:cs="Arial"/>
                <w:color w:val="000000"/>
              </w:rPr>
            </w:pPr>
            <w:r w:rsidRPr="00B10FD1">
              <w:rPr>
                <w:rFonts w:eastAsia="Times New Roman" w:cs="Arial"/>
                <w:color w:val="000000"/>
              </w:rPr>
              <w:t>What exclusion does to access, mental health, wellbeing, and care experience.</w:t>
            </w:r>
          </w:p>
        </w:tc>
        <w:tc>
          <w:tcPr>
            <w:tcW w:w="1464" w:type="dxa"/>
            <w:noWrap/>
            <w:hideMark/>
          </w:tcPr>
          <w:p w14:paraId="580A5326" w14:textId="77777777" w:rsidR="00E00D84" w:rsidRPr="00B10FD1" w:rsidRDefault="00E00D84" w:rsidP="00967990">
            <w:pPr>
              <w:jc w:val="both"/>
              <w:rPr>
                <w:rFonts w:eastAsia="Times New Roman" w:cs="Arial"/>
                <w:color w:val="000000"/>
              </w:rPr>
            </w:pPr>
            <w:r w:rsidRPr="00B10FD1">
              <w:rPr>
                <w:rFonts w:eastAsia="Times New Roman" w:cs="Arial"/>
                <w:color w:val="000000"/>
              </w:rPr>
              <w:t xml:space="preserve">Front-door friction (e-triage/booking) â†’ avoidance â†’ isolation; </w:t>
            </w:r>
            <w:proofErr w:type="spellStart"/>
            <w:r w:rsidRPr="00B10FD1">
              <w:rPr>
                <w:rFonts w:eastAsia="Times New Roman" w:cs="Arial"/>
                <w:color w:val="000000"/>
              </w:rPr>
              <w:t>stressâ</w:t>
            </w:r>
            <w:proofErr w:type="spellEnd"/>
            <w:r w:rsidRPr="00B10FD1">
              <w:rPr>
                <w:rFonts w:eastAsia="Times New Roman" w:cs="Arial"/>
                <w:color w:val="000000"/>
              </w:rPr>
              <w:t>€“anxiety cycle; erosion of trust &amp; help-seeking; continuity and dignity impacted.</w:t>
            </w:r>
          </w:p>
        </w:tc>
        <w:tc>
          <w:tcPr>
            <w:tcW w:w="1445" w:type="dxa"/>
            <w:noWrap/>
            <w:hideMark/>
          </w:tcPr>
          <w:p w14:paraId="1F24B5A5" w14:textId="77777777" w:rsidR="00E00D84" w:rsidRPr="00B10FD1" w:rsidRDefault="00E00D84" w:rsidP="00967990">
            <w:pPr>
              <w:jc w:val="both"/>
              <w:rPr>
                <w:rFonts w:eastAsia="Times New Roman" w:cs="Arial"/>
                <w:color w:val="000000"/>
              </w:rPr>
            </w:pPr>
            <w:r w:rsidRPr="00B10FD1">
              <w:rPr>
                <w:rFonts w:eastAsia="Times New Roman" w:cs="Arial"/>
                <w:color w:val="000000"/>
              </w:rPr>
              <w:t>Under-evaluated first-contact tools; place-based exclusion; social-identity needs; assisted use (e.g., champions) can restore belonging; LTC residents benefited less during COVID.</w:t>
            </w:r>
          </w:p>
        </w:tc>
        <w:tc>
          <w:tcPr>
            <w:tcW w:w="1299" w:type="dxa"/>
            <w:noWrap/>
            <w:hideMark/>
          </w:tcPr>
          <w:p w14:paraId="5E593070" w14:textId="77777777" w:rsidR="00E00D84" w:rsidRPr="00B10FD1" w:rsidRDefault="00E00D84" w:rsidP="00967990">
            <w:pPr>
              <w:jc w:val="both"/>
              <w:rPr>
                <w:rFonts w:eastAsia="Times New Roman" w:cs="Arial"/>
                <w:color w:val="000000"/>
              </w:rPr>
            </w:pPr>
            <w:r w:rsidRPr="00B10FD1">
              <w:rPr>
                <w:rFonts w:eastAsia="Times New Roman" w:cs="Arial"/>
                <w:color w:val="000000"/>
              </w:rPr>
              <w:t>Missed/foregone appointments, delayed prescriptions; heightened loneliness/low mood/loss of control; inequities concentrated among oldest-old and deprived areas.</w:t>
            </w:r>
          </w:p>
        </w:tc>
        <w:tc>
          <w:tcPr>
            <w:tcW w:w="1220" w:type="dxa"/>
            <w:noWrap/>
            <w:hideMark/>
          </w:tcPr>
          <w:p w14:paraId="1EA42D0E" w14:textId="77777777" w:rsidR="00E00D84" w:rsidRPr="00B10FD1" w:rsidRDefault="00E00D84" w:rsidP="00967990">
            <w:pPr>
              <w:jc w:val="both"/>
              <w:rPr>
                <w:rFonts w:eastAsia="Times New Roman" w:cs="Arial"/>
                <w:color w:val="000000"/>
              </w:rPr>
            </w:pPr>
            <w:r w:rsidRPr="00B10FD1">
              <w:rPr>
                <w:rFonts w:eastAsia="Times New Roman" w:cs="Arial"/>
                <w:color w:val="000000"/>
              </w:rPr>
              <w:t>Embed assisted-digital at first contact; maintain visible phone/face-to-face; design for cognitive load; enable proxies/carers; relational continuity in remote care.</w:t>
            </w:r>
          </w:p>
        </w:tc>
        <w:tc>
          <w:tcPr>
            <w:tcW w:w="1396" w:type="dxa"/>
            <w:noWrap/>
            <w:hideMark/>
          </w:tcPr>
          <w:p w14:paraId="1B6128F0" w14:textId="77777777" w:rsidR="00E00D84" w:rsidRPr="00B10FD1" w:rsidRDefault="00E00D84" w:rsidP="00967990">
            <w:pPr>
              <w:jc w:val="both"/>
              <w:rPr>
                <w:rFonts w:eastAsia="Times New Roman" w:cs="Arial"/>
                <w:color w:val="000000"/>
              </w:rPr>
            </w:pPr>
            <w:r w:rsidRPr="00B10FD1">
              <w:rPr>
                <w:rFonts w:eastAsia="Times New Roman" w:cs="Arial"/>
                <w:color w:val="000000"/>
              </w:rPr>
              <w:t>Objective 2 maps mechanisms from first-contact friction to psychological harm and degraded experience.</w:t>
            </w:r>
          </w:p>
        </w:tc>
      </w:tr>
      <w:tr w:rsidR="00E00D84" w:rsidRPr="00B10FD1" w14:paraId="57D79DB1" w14:textId="77777777" w:rsidTr="00967990">
        <w:trPr>
          <w:trHeight w:val="288"/>
        </w:trPr>
        <w:tc>
          <w:tcPr>
            <w:tcW w:w="1207" w:type="dxa"/>
            <w:noWrap/>
            <w:hideMark/>
          </w:tcPr>
          <w:p w14:paraId="46A6F804" w14:textId="77777777" w:rsidR="00E00D84" w:rsidRPr="00B10FD1" w:rsidRDefault="00E00D84" w:rsidP="00967990">
            <w:pPr>
              <w:jc w:val="both"/>
              <w:rPr>
                <w:rFonts w:eastAsia="Times New Roman" w:cs="Arial"/>
                <w:color w:val="000000"/>
              </w:rPr>
            </w:pPr>
            <w:r w:rsidRPr="00B10FD1">
              <w:rPr>
                <w:rFonts w:eastAsia="Times New Roman" w:cs="Arial"/>
                <w:color w:val="000000"/>
              </w:rPr>
              <w:t>3) What Works?</w:t>
            </w:r>
          </w:p>
        </w:tc>
        <w:tc>
          <w:tcPr>
            <w:tcW w:w="1319" w:type="dxa"/>
            <w:noWrap/>
            <w:hideMark/>
          </w:tcPr>
          <w:p w14:paraId="0E8590B1" w14:textId="77777777" w:rsidR="00E00D84" w:rsidRPr="00B10FD1" w:rsidRDefault="00E00D84" w:rsidP="00967990">
            <w:pPr>
              <w:jc w:val="both"/>
              <w:rPr>
                <w:rFonts w:eastAsia="Times New Roman" w:cs="Arial"/>
                <w:color w:val="000000"/>
              </w:rPr>
            </w:pPr>
            <w:r w:rsidRPr="00B10FD1">
              <w:rPr>
                <w:rFonts w:eastAsia="Times New Roman" w:cs="Arial"/>
                <w:color w:val="000000"/>
              </w:rPr>
              <w:t xml:space="preserve">Efficacy of UK policies/interventions to reduce exclusion and improve </w:t>
            </w:r>
            <w:r w:rsidRPr="00B10FD1">
              <w:rPr>
                <w:rFonts w:eastAsia="Times New Roman" w:cs="Arial"/>
                <w:color w:val="000000"/>
              </w:rPr>
              <w:lastRenderedPageBreak/>
              <w:t>equitable outcomes.</w:t>
            </w:r>
          </w:p>
        </w:tc>
        <w:tc>
          <w:tcPr>
            <w:tcW w:w="1464" w:type="dxa"/>
            <w:noWrap/>
            <w:hideMark/>
          </w:tcPr>
          <w:p w14:paraId="350C849C" w14:textId="77777777" w:rsidR="00E00D84" w:rsidRPr="00B10FD1" w:rsidRDefault="00E00D84" w:rsidP="00967990">
            <w:pPr>
              <w:jc w:val="both"/>
              <w:rPr>
                <w:rFonts w:eastAsia="Times New Roman" w:cs="Arial"/>
                <w:color w:val="000000"/>
              </w:rPr>
            </w:pPr>
            <w:r w:rsidRPr="00B10FD1">
              <w:rPr>
                <w:rFonts w:eastAsia="Times New Roman" w:cs="Arial"/>
                <w:color w:val="000000"/>
              </w:rPr>
              <w:lastRenderedPageBreak/>
              <w:t xml:space="preserve">Inclusion frameworks (NHSE) set parity/assistance/co-design; success depends on </w:t>
            </w:r>
            <w:r w:rsidRPr="00B10FD1">
              <w:rPr>
                <w:rFonts w:eastAsia="Times New Roman" w:cs="Arial"/>
                <w:color w:val="000000"/>
              </w:rPr>
              <w:lastRenderedPageBreak/>
              <w:t>implementation capacity; NASSS explains non-adoption/abandonment risks.</w:t>
            </w:r>
          </w:p>
        </w:tc>
        <w:tc>
          <w:tcPr>
            <w:tcW w:w="1445" w:type="dxa"/>
            <w:noWrap/>
            <w:hideMark/>
          </w:tcPr>
          <w:p w14:paraId="3C4811E4" w14:textId="77777777" w:rsidR="00E00D84" w:rsidRPr="00B10FD1" w:rsidRDefault="00E00D84" w:rsidP="00967990">
            <w:pPr>
              <w:jc w:val="both"/>
              <w:rPr>
                <w:rFonts w:eastAsia="Times New Roman" w:cs="Arial"/>
                <w:color w:val="000000"/>
              </w:rPr>
            </w:pPr>
            <w:r w:rsidRPr="00B10FD1">
              <w:rPr>
                <w:rFonts w:eastAsia="Times New Roman" w:cs="Arial"/>
                <w:color w:val="000000"/>
              </w:rPr>
              <w:lastRenderedPageBreak/>
              <w:t>100% Digital Leeds (place-based coalition, device/data/skills); libraries as trusted hubs; mixed-</w:t>
            </w:r>
            <w:r w:rsidRPr="00B10FD1">
              <w:rPr>
                <w:rFonts w:eastAsia="Times New Roman" w:cs="Arial"/>
                <w:color w:val="000000"/>
              </w:rPr>
              <w:lastRenderedPageBreak/>
              <w:t>methods evidence for local tailoring; editorials warn tech spend â‰  outcomes.</w:t>
            </w:r>
          </w:p>
        </w:tc>
        <w:tc>
          <w:tcPr>
            <w:tcW w:w="1299" w:type="dxa"/>
            <w:noWrap/>
            <w:hideMark/>
          </w:tcPr>
          <w:p w14:paraId="33E31AAA" w14:textId="77777777" w:rsidR="00E00D84" w:rsidRPr="00B10FD1" w:rsidRDefault="00E00D84" w:rsidP="00967990">
            <w:pPr>
              <w:jc w:val="both"/>
              <w:rPr>
                <w:rFonts w:eastAsia="Times New Roman" w:cs="Arial"/>
                <w:color w:val="000000"/>
              </w:rPr>
            </w:pPr>
            <w:r w:rsidRPr="00B10FD1">
              <w:rPr>
                <w:rFonts w:eastAsia="Times New Roman" w:cs="Arial"/>
                <w:color w:val="000000"/>
              </w:rPr>
              <w:lastRenderedPageBreak/>
              <w:t xml:space="preserve">Assisted, relational, place-based designs reduce non-adoption and anxiety; </w:t>
            </w:r>
            <w:r w:rsidRPr="00B10FD1">
              <w:rPr>
                <w:rFonts w:eastAsia="Times New Roman" w:cs="Arial"/>
                <w:color w:val="000000"/>
              </w:rPr>
              <w:lastRenderedPageBreak/>
              <w:t>universal deployment without assistance widens gaps.</w:t>
            </w:r>
          </w:p>
        </w:tc>
        <w:tc>
          <w:tcPr>
            <w:tcW w:w="1220" w:type="dxa"/>
            <w:noWrap/>
            <w:hideMark/>
          </w:tcPr>
          <w:p w14:paraId="2A82C67F" w14:textId="77777777" w:rsidR="00E00D84" w:rsidRPr="00B10FD1" w:rsidRDefault="00E00D84" w:rsidP="00967990">
            <w:pPr>
              <w:jc w:val="both"/>
              <w:rPr>
                <w:rFonts w:eastAsia="Times New Roman" w:cs="Arial"/>
                <w:color w:val="000000"/>
              </w:rPr>
            </w:pPr>
            <w:r w:rsidRPr="00B10FD1">
              <w:rPr>
                <w:rFonts w:eastAsia="Times New Roman" w:cs="Arial"/>
                <w:color w:val="000000"/>
              </w:rPr>
              <w:lastRenderedPageBreak/>
              <w:t xml:space="preserve">Assisted-digital roles, </w:t>
            </w:r>
            <w:proofErr w:type="spellStart"/>
            <w:r w:rsidRPr="00B10FD1">
              <w:rPr>
                <w:rFonts w:eastAsia="Times New Roman" w:cs="Arial"/>
                <w:color w:val="000000"/>
              </w:rPr>
              <w:t>device+data+skills</w:t>
            </w:r>
            <w:proofErr w:type="spellEnd"/>
            <w:r w:rsidRPr="00B10FD1">
              <w:rPr>
                <w:rFonts w:eastAsia="Times New Roman" w:cs="Arial"/>
                <w:color w:val="000000"/>
              </w:rPr>
              <w:t xml:space="preserve"> bundles, parity-by-design, place-</w:t>
            </w:r>
            <w:r w:rsidRPr="00B10FD1">
              <w:rPr>
                <w:rFonts w:eastAsia="Times New Roman" w:cs="Arial"/>
                <w:color w:val="000000"/>
              </w:rPr>
              <w:lastRenderedPageBreak/>
              <w:t>based commissioning, co-design, equity KPIs, protected workforce time &amp; funding.</w:t>
            </w:r>
          </w:p>
        </w:tc>
        <w:tc>
          <w:tcPr>
            <w:tcW w:w="1396" w:type="dxa"/>
            <w:noWrap/>
            <w:hideMark/>
          </w:tcPr>
          <w:p w14:paraId="7605CEB3" w14:textId="77777777" w:rsidR="00E00D84" w:rsidRPr="00B10FD1" w:rsidRDefault="00E00D84" w:rsidP="00967990">
            <w:pPr>
              <w:jc w:val="both"/>
              <w:rPr>
                <w:rFonts w:eastAsia="Times New Roman" w:cs="Arial"/>
                <w:color w:val="000000"/>
              </w:rPr>
            </w:pPr>
            <w:r w:rsidRPr="00B10FD1">
              <w:rPr>
                <w:rFonts w:eastAsia="Times New Roman" w:cs="Arial"/>
                <w:color w:val="000000"/>
              </w:rPr>
              <w:lastRenderedPageBreak/>
              <w:t xml:space="preserve">Objective 3 identifies policy ingredients and delivery mechanisms </w:t>
            </w:r>
            <w:r w:rsidRPr="00B10FD1">
              <w:rPr>
                <w:rFonts w:eastAsia="Times New Roman" w:cs="Arial"/>
                <w:color w:val="000000"/>
              </w:rPr>
              <w:lastRenderedPageBreak/>
              <w:t>that credibly improve access &amp; wellbeing for older adults.</w:t>
            </w:r>
          </w:p>
        </w:tc>
      </w:tr>
      <w:tr w:rsidR="00E00D84" w:rsidRPr="00B10FD1" w14:paraId="2F6CD47B" w14:textId="77777777" w:rsidTr="00967990">
        <w:trPr>
          <w:trHeight w:val="288"/>
        </w:trPr>
        <w:tc>
          <w:tcPr>
            <w:tcW w:w="1207" w:type="dxa"/>
            <w:noWrap/>
            <w:hideMark/>
          </w:tcPr>
          <w:p w14:paraId="05C9621A" w14:textId="77777777" w:rsidR="00E00D84" w:rsidRPr="00B10FD1" w:rsidRDefault="00E00D84" w:rsidP="00967990">
            <w:pPr>
              <w:jc w:val="both"/>
              <w:rPr>
                <w:rFonts w:eastAsia="Times New Roman" w:cs="Arial"/>
                <w:color w:val="000000"/>
              </w:rPr>
            </w:pPr>
            <w:r w:rsidRPr="00B10FD1">
              <w:rPr>
                <w:rFonts w:eastAsia="Times New Roman" w:cs="Arial"/>
                <w:color w:val="000000"/>
              </w:rPr>
              <w:lastRenderedPageBreak/>
              <w:t>4) Recommendations</w:t>
            </w:r>
          </w:p>
        </w:tc>
        <w:tc>
          <w:tcPr>
            <w:tcW w:w="1319" w:type="dxa"/>
            <w:noWrap/>
            <w:hideMark/>
          </w:tcPr>
          <w:p w14:paraId="19C527E9" w14:textId="77777777" w:rsidR="00E00D84" w:rsidRPr="00B10FD1" w:rsidRDefault="00E00D84" w:rsidP="00967990">
            <w:pPr>
              <w:jc w:val="both"/>
              <w:rPr>
                <w:rFonts w:eastAsia="Times New Roman" w:cs="Arial"/>
                <w:color w:val="000000"/>
              </w:rPr>
            </w:pPr>
            <w:r w:rsidRPr="00B10FD1">
              <w:rPr>
                <w:rFonts w:eastAsia="Times New Roman" w:cs="Arial"/>
                <w:color w:val="000000"/>
              </w:rPr>
              <w:t>Actionable, evidence-based steps for providers, commissioners, and community partners.</w:t>
            </w:r>
          </w:p>
        </w:tc>
        <w:tc>
          <w:tcPr>
            <w:tcW w:w="1464" w:type="dxa"/>
            <w:noWrap/>
            <w:hideMark/>
          </w:tcPr>
          <w:p w14:paraId="3B98CC6B" w14:textId="77777777" w:rsidR="00E00D84" w:rsidRPr="00B10FD1" w:rsidRDefault="00E00D84" w:rsidP="00967990">
            <w:pPr>
              <w:jc w:val="both"/>
              <w:rPr>
                <w:rFonts w:eastAsia="Times New Roman" w:cs="Arial"/>
                <w:color w:val="000000"/>
              </w:rPr>
            </w:pPr>
            <w:r w:rsidRPr="00B10FD1">
              <w:rPr>
                <w:rFonts w:eastAsia="Times New Roman" w:cs="Arial"/>
                <w:color w:val="000000"/>
              </w:rPr>
              <w:t>Target all three divide levels; strengthen social capital; reduce complexity per NASSS; uphold dignity/choice via parity and assistance.</w:t>
            </w:r>
          </w:p>
        </w:tc>
        <w:tc>
          <w:tcPr>
            <w:tcW w:w="1445" w:type="dxa"/>
            <w:noWrap/>
            <w:hideMark/>
          </w:tcPr>
          <w:p w14:paraId="6FE6F63E" w14:textId="77777777" w:rsidR="00E00D84" w:rsidRPr="00B10FD1" w:rsidRDefault="00E00D84" w:rsidP="00967990">
            <w:pPr>
              <w:jc w:val="both"/>
              <w:rPr>
                <w:rFonts w:eastAsia="Times New Roman" w:cs="Arial"/>
                <w:color w:val="000000"/>
              </w:rPr>
            </w:pPr>
            <w:r w:rsidRPr="00B10FD1">
              <w:rPr>
                <w:rFonts w:eastAsia="Times New Roman" w:cs="Arial"/>
                <w:color w:val="000000"/>
              </w:rPr>
              <w:t>Provider: parity statements, digital champions, proxy access, simplified flows; Commissioners: fund place-based at scale, measure inclusion, close first-contact evidence gap; VCSE/libraries: trusted delivery &amp; brokerage.</w:t>
            </w:r>
          </w:p>
        </w:tc>
        <w:tc>
          <w:tcPr>
            <w:tcW w:w="1299" w:type="dxa"/>
            <w:noWrap/>
            <w:hideMark/>
          </w:tcPr>
          <w:p w14:paraId="0A818C68" w14:textId="77777777" w:rsidR="00E00D84" w:rsidRPr="00B10FD1" w:rsidRDefault="00E00D84" w:rsidP="00967990">
            <w:pPr>
              <w:jc w:val="both"/>
              <w:rPr>
                <w:rFonts w:eastAsia="Times New Roman" w:cs="Arial"/>
                <w:color w:val="000000"/>
              </w:rPr>
            </w:pPr>
            <w:r w:rsidRPr="00B10FD1">
              <w:rPr>
                <w:rFonts w:eastAsia="Times New Roman" w:cs="Arial"/>
                <w:color w:val="000000"/>
              </w:rPr>
              <w:t>Reduced missed care; lower tech-related anxiety; improved belonging/continuity; protects offline legal entitlements and practical access.</w:t>
            </w:r>
          </w:p>
        </w:tc>
        <w:tc>
          <w:tcPr>
            <w:tcW w:w="1220" w:type="dxa"/>
            <w:noWrap/>
            <w:hideMark/>
          </w:tcPr>
          <w:p w14:paraId="26F42A34" w14:textId="77777777" w:rsidR="00E00D84" w:rsidRPr="00B10FD1" w:rsidRDefault="00E00D84" w:rsidP="00967990">
            <w:pPr>
              <w:jc w:val="both"/>
              <w:rPr>
                <w:rFonts w:eastAsia="Times New Roman" w:cs="Arial"/>
                <w:color w:val="000000"/>
              </w:rPr>
            </w:pPr>
            <w:r w:rsidRPr="00B10FD1">
              <w:rPr>
                <w:rFonts w:eastAsia="Times New Roman" w:cs="Arial"/>
                <w:color w:val="000000"/>
              </w:rPr>
              <w:t xml:space="preserve">Parity of routes; assisted-digital at first contact; bundle </w:t>
            </w:r>
            <w:proofErr w:type="spellStart"/>
            <w:r w:rsidRPr="00B10FD1">
              <w:rPr>
                <w:rFonts w:eastAsia="Times New Roman" w:cs="Arial"/>
                <w:color w:val="000000"/>
              </w:rPr>
              <w:t>device+data+skills</w:t>
            </w:r>
            <w:proofErr w:type="spellEnd"/>
            <w:r w:rsidRPr="00B10FD1">
              <w:rPr>
                <w:rFonts w:eastAsia="Times New Roman" w:cs="Arial"/>
                <w:color w:val="000000"/>
              </w:rPr>
              <w:t>; co-design &amp; co-evaluation; rural broadband/social tariffs; equity KPIs (completed contacts, anxiety/loneliness changes).</w:t>
            </w:r>
          </w:p>
        </w:tc>
        <w:tc>
          <w:tcPr>
            <w:tcW w:w="1396" w:type="dxa"/>
            <w:noWrap/>
            <w:hideMark/>
          </w:tcPr>
          <w:p w14:paraId="0003DE1E" w14:textId="77777777" w:rsidR="00E00D84" w:rsidRPr="00B10FD1" w:rsidRDefault="00E00D84" w:rsidP="00967990">
            <w:pPr>
              <w:jc w:val="both"/>
              <w:rPr>
                <w:rFonts w:eastAsia="Times New Roman" w:cs="Arial"/>
                <w:color w:val="000000"/>
              </w:rPr>
            </w:pPr>
            <w:r w:rsidRPr="00B10FD1">
              <w:rPr>
                <w:rFonts w:eastAsia="Times New Roman" w:cs="Arial"/>
                <w:color w:val="000000"/>
              </w:rPr>
              <w:t>Objective 4 converts synthesis into a coherent, implementation-ready package focused on equity outcomes.</w:t>
            </w:r>
          </w:p>
        </w:tc>
      </w:tr>
    </w:tbl>
    <w:p w14:paraId="7D203345" w14:textId="77777777" w:rsidR="00EB0BE0" w:rsidRPr="00B10FD1" w:rsidRDefault="00EB0BE0" w:rsidP="006240B2">
      <w:pPr>
        <w:spacing w:before="120" w:after="120" w:line="360" w:lineRule="auto"/>
        <w:jc w:val="both"/>
        <w:rPr>
          <w:rFonts w:cs="Arial"/>
          <w:color w:val="000000" w:themeColor="text1"/>
        </w:rPr>
      </w:pPr>
    </w:p>
    <w:p w14:paraId="575BDBC2" w14:textId="77777777" w:rsidR="00EB0BE0" w:rsidRDefault="00EB0BE0" w:rsidP="006240B2">
      <w:pPr>
        <w:spacing w:before="120" w:after="120" w:line="360" w:lineRule="auto"/>
        <w:jc w:val="both"/>
        <w:rPr>
          <w:rFonts w:cs="Arial"/>
          <w:color w:val="000000" w:themeColor="text1"/>
        </w:rPr>
      </w:pPr>
    </w:p>
    <w:p w14:paraId="7A0A831B" w14:textId="77777777" w:rsidR="001E1BEC" w:rsidRDefault="001E1BEC" w:rsidP="006240B2">
      <w:pPr>
        <w:spacing w:before="120" w:after="120" w:line="360" w:lineRule="auto"/>
        <w:jc w:val="both"/>
        <w:rPr>
          <w:rFonts w:cs="Arial"/>
          <w:color w:val="000000" w:themeColor="text1"/>
        </w:rPr>
      </w:pPr>
    </w:p>
    <w:p w14:paraId="005496A7" w14:textId="77777777" w:rsidR="001E1BEC" w:rsidRDefault="001E1BEC" w:rsidP="006240B2">
      <w:pPr>
        <w:spacing w:before="120" w:after="120" w:line="360" w:lineRule="auto"/>
        <w:jc w:val="both"/>
        <w:rPr>
          <w:rFonts w:cs="Arial"/>
          <w:color w:val="000000" w:themeColor="text1"/>
        </w:rPr>
      </w:pPr>
    </w:p>
    <w:p w14:paraId="48243140" w14:textId="77777777" w:rsidR="001E1BEC" w:rsidRDefault="001E1BEC" w:rsidP="006240B2">
      <w:pPr>
        <w:spacing w:before="120" w:after="120" w:line="360" w:lineRule="auto"/>
        <w:jc w:val="both"/>
        <w:rPr>
          <w:rFonts w:cs="Arial"/>
          <w:color w:val="000000" w:themeColor="text1"/>
        </w:rPr>
      </w:pPr>
    </w:p>
    <w:p w14:paraId="2F824104" w14:textId="42288491" w:rsidR="001E1BEC" w:rsidRDefault="001E1BEC" w:rsidP="001E1BEC">
      <w:pPr>
        <w:pStyle w:val="Caption"/>
        <w:keepNext/>
        <w:jc w:val="center"/>
      </w:pPr>
      <w:r>
        <w:lastRenderedPageBreak/>
        <w:t xml:space="preserve">Table </w:t>
      </w:r>
      <w:fldSimple w:instr=" SEQ Table \* ARABIC ">
        <w:r w:rsidR="00204CA5">
          <w:rPr>
            <w:noProof/>
          </w:rPr>
          <w:t>5</w:t>
        </w:r>
      </w:fldSimple>
      <w:r>
        <w:t>: Achieved Objectives</w:t>
      </w:r>
    </w:p>
    <w:tbl>
      <w:tblPr>
        <w:tblStyle w:val="TableGrid"/>
        <w:tblW w:w="0" w:type="auto"/>
        <w:tblLook w:val="04A0" w:firstRow="1" w:lastRow="0" w:firstColumn="1" w:lastColumn="0" w:noHBand="0" w:noVBand="1"/>
      </w:tblPr>
      <w:tblGrid>
        <w:gridCol w:w="336"/>
        <w:gridCol w:w="2189"/>
        <w:gridCol w:w="2540"/>
        <w:gridCol w:w="3048"/>
        <w:gridCol w:w="2639"/>
        <w:gridCol w:w="1062"/>
        <w:gridCol w:w="1136"/>
      </w:tblGrid>
      <w:tr w:rsidR="001E1BEC" w:rsidRPr="001E1BEC" w14:paraId="1AD78CA6" w14:textId="77777777" w:rsidTr="001E1BEC">
        <w:tc>
          <w:tcPr>
            <w:tcW w:w="0" w:type="auto"/>
            <w:hideMark/>
          </w:tcPr>
          <w:p w14:paraId="3304F35F" w14:textId="77777777" w:rsidR="001E1BEC" w:rsidRPr="001E1BEC" w:rsidRDefault="001E1BEC" w:rsidP="001E1BEC">
            <w:pPr>
              <w:jc w:val="center"/>
              <w:rPr>
                <w:rFonts w:ascii="Times New Roman" w:eastAsia="Times New Roman" w:hAnsi="Times New Roman" w:cs="Times New Roman"/>
                <w:b/>
                <w:bCs/>
                <w:sz w:val="24"/>
                <w:szCs w:val="24"/>
              </w:rPr>
            </w:pPr>
            <w:r w:rsidRPr="001E1BEC">
              <w:rPr>
                <w:rFonts w:ascii="Times New Roman" w:eastAsia="Times New Roman" w:hAnsi="Times New Roman" w:cs="Times New Roman"/>
                <w:b/>
                <w:bCs/>
                <w:sz w:val="24"/>
                <w:szCs w:val="24"/>
              </w:rPr>
              <w:t>#</w:t>
            </w:r>
          </w:p>
        </w:tc>
        <w:tc>
          <w:tcPr>
            <w:tcW w:w="0" w:type="auto"/>
            <w:hideMark/>
          </w:tcPr>
          <w:p w14:paraId="5FF950D6" w14:textId="77777777" w:rsidR="001E1BEC" w:rsidRPr="001E1BEC" w:rsidRDefault="001E1BEC" w:rsidP="001E1BEC">
            <w:pPr>
              <w:jc w:val="center"/>
              <w:rPr>
                <w:rFonts w:ascii="Times New Roman" w:eastAsia="Times New Roman" w:hAnsi="Times New Roman" w:cs="Times New Roman"/>
                <w:b/>
                <w:bCs/>
                <w:sz w:val="24"/>
                <w:szCs w:val="24"/>
              </w:rPr>
            </w:pPr>
            <w:r w:rsidRPr="001E1BEC">
              <w:rPr>
                <w:rFonts w:ascii="Times New Roman" w:eastAsia="Times New Roman" w:hAnsi="Times New Roman" w:cs="Times New Roman"/>
                <w:b/>
                <w:bCs/>
                <w:sz w:val="24"/>
                <w:szCs w:val="24"/>
              </w:rPr>
              <w:t>Objective (from Ch.1 §1.4.2)</w:t>
            </w:r>
          </w:p>
        </w:tc>
        <w:tc>
          <w:tcPr>
            <w:tcW w:w="0" w:type="auto"/>
            <w:hideMark/>
          </w:tcPr>
          <w:p w14:paraId="7A9F0CF6" w14:textId="77777777" w:rsidR="001E1BEC" w:rsidRPr="001E1BEC" w:rsidRDefault="001E1BEC" w:rsidP="001E1BEC">
            <w:pPr>
              <w:jc w:val="center"/>
              <w:rPr>
                <w:rFonts w:ascii="Times New Roman" w:eastAsia="Times New Roman" w:hAnsi="Times New Roman" w:cs="Times New Roman"/>
                <w:b/>
                <w:bCs/>
                <w:sz w:val="24"/>
                <w:szCs w:val="24"/>
              </w:rPr>
            </w:pPr>
            <w:r w:rsidRPr="001E1BEC">
              <w:rPr>
                <w:rFonts w:ascii="Times New Roman" w:eastAsia="Times New Roman" w:hAnsi="Times New Roman" w:cs="Times New Roman"/>
                <w:b/>
                <w:bCs/>
                <w:sz w:val="24"/>
                <w:szCs w:val="24"/>
              </w:rPr>
              <w:t>What was done (methods/approach)</w:t>
            </w:r>
          </w:p>
        </w:tc>
        <w:tc>
          <w:tcPr>
            <w:tcW w:w="0" w:type="auto"/>
            <w:hideMark/>
          </w:tcPr>
          <w:p w14:paraId="42C136CC" w14:textId="77777777" w:rsidR="001E1BEC" w:rsidRPr="001E1BEC" w:rsidRDefault="001E1BEC" w:rsidP="001E1BEC">
            <w:pPr>
              <w:jc w:val="center"/>
              <w:rPr>
                <w:rFonts w:ascii="Times New Roman" w:eastAsia="Times New Roman" w:hAnsi="Times New Roman" w:cs="Times New Roman"/>
                <w:b/>
                <w:bCs/>
                <w:sz w:val="24"/>
                <w:szCs w:val="24"/>
              </w:rPr>
            </w:pPr>
            <w:r w:rsidRPr="001E1BEC">
              <w:rPr>
                <w:rFonts w:ascii="Times New Roman" w:eastAsia="Times New Roman" w:hAnsi="Times New Roman" w:cs="Times New Roman"/>
                <w:b/>
                <w:bCs/>
                <w:sz w:val="24"/>
                <w:szCs w:val="24"/>
              </w:rPr>
              <w:t>Key findings / themes</w:t>
            </w:r>
          </w:p>
        </w:tc>
        <w:tc>
          <w:tcPr>
            <w:tcW w:w="0" w:type="auto"/>
            <w:hideMark/>
          </w:tcPr>
          <w:p w14:paraId="09600CA6" w14:textId="77777777" w:rsidR="001E1BEC" w:rsidRPr="001E1BEC" w:rsidRDefault="001E1BEC" w:rsidP="001E1BEC">
            <w:pPr>
              <w:jc w:val="center"/>
              <w:rPr>
                <w:rFonts w:ascii="Times New Roman" w:eastAsia="Times New Roman" w:hAnsi="Times New Roman" w:cs="Times New Roman"/>
                <w:b/>
                <w:bCs/>
                <w:sz w:val="24"/>
                <w:szCs w:val="24"/>
              </w:rPr>
            </w:pPr>
            <w:r w:rsidRPr="001E1BEC">
              <w:rPr>
                <w:rFonts w:ascii="Times New Roman" w:eastAsia="Times New Roman" w:hAnsi="Times New Roman" w:cs="Times New Roman"/>
                <w:b/>
                <w:bCs/>
                <w:sz w:val="24"/>
                <w:szCs w:val="24"/>
              </w:rPr>
              <w:t>Representative evidence &amp; examples</w:t>
            </w:r>
          </w:p>
        </w:tc>
        <w:tc>
          <w:tcPr>
            <w:tcW w:w="0" w:type="auto"/>
            <w:hideMark/>
          </w:tcPr>
          <w:p w14:paraId="44D1FC4B" w14:textId="77777777" w:rsidR="001E1BEC" w:rsidRPr="001E1BEC" w:rsidRDefault="001E1BEC" w:rsidP="001E1BEC">
            <w:pPr>
              <w:jc w:val="center"/>
              <w:rPr>
                <w:rFonts w:ascii="Times New Roman" w:eastAsia="Times New Roman" w:hAnsi="Times New Roman" w:cs="Times New Roman"/>
                <w:b/>
                <w:bCs/>
                <w:sz w:val="24"/>
                <w:szCs w:val="24"/>
              </w:rPr>
            </w:pPr>
            <w:r w:rsidRPr="001E1BEC">
              <w:rPr>
                <w:rFonts w:ascii="Times New Roman" w:eastAsia="Times New Roman" w:hAnsi="Times New Roman" w:cs="Times New Roman"/>
                <w:b/>
                <w:bCs/>
                <w:sz w:val="24"/>
                <w:szCs w:val="24"/>
              </w:rPr>
              <w:t>Where covered</w:t>
            </w:r>
          </w:p>
        </w:tc>
        <w:tc>
          <w:tcPr>
            <w:tcW w:w="0" w:type="auto"/>
            <w:hideMark/>
          </w:tcPr>
          <w:p w14:paraId="46C8A7BB" w14:textId="77777777" w:rsidR="001E1BEC" w:rsidRPr="001E1BEC" w:rsidRDefault="001E1BEC" w:rsidP="001E1BEC">
            <w:pPr>
              <w:jc w:val="center"/>
              <w:rPr>
                <w:rFonts w:ascii="Times New Roman" w:eastAsia="Times New Roman" w:hAnsi="Times New Roman" w:cs="Times New Roman"/>
                <w:b/>
                <w:bCs/>
                <w:sz w:val="24"/>
                <w:szCs w:val="24"/>
              </w:rPr>
            </w:pPr>
            <w:r w:rsidRPr="001E1BEC">
              <w:rPr>
                <w:rFonts w:ascii="Times New Roman" w:eastAsia="Times New Roman" w:hAnsi="Times New Roman" w:cs="Times New Roman"/>
                <w:b/>
                <w:bCs/>
                <w:sz w:val="24"/>
                <w:szCs w:val="24"/>
              </w:rPr>
              <w:t>Status</w:t>
            </w:r>
          </w:p>
        </w:tc>
      </w:tr>
      <w:tr w:rsidR="001E1BEC" w:rsidRPr="001E1BEC" w14:paraId="46988BE5" w14:textId="77777777" w:rsidTr="001E1BEC">
        <w:tc>
          <w:tcPr>
            <w:tcW w:w="0" w:type="auto"/>
            <w:hideMark/>
          </w:tcPr>
          <w:p w14:paraId="5A3B7C5E" w14:textId="77777777" w:rsidR="001E1BEC" w:rsidRPr="001E1BEC" w:rsidRDefault="001E1BEC" w:rsidP="001E1BEC">
            <w:pPr>
              <w:rPr>
                <w:rFonts w:ascii="Times New Roman" w:eastAsia="Times New Roman" w:hAnsi="Times New Roman" w:cs="Times New Roman"/>
                <w:b/>
                <w:sz w:val="24"/>
                <w:szCs w:val="24"/>
              </w:rPr>
            </w:pPr>
            <w:r w:rsidRPr="001E1BEC">
              <w:rPr>
                <w:rFonts w:ascii="Times New Roman" w:eastAsia="Times New Roman" w:hAnsi="Times New Roman" w:cs="Times New Roman"/>
                <w:b/>
                <w:sz w:val="24"/>
                <w:szCs w:val="24"/>
              </w:rPr>
              <w:t>1</w:t>
            </w:r>
          </w:p>
        </w:tc>
        <w:tc>
          <w:tcPr>
            <w:tcW w:w="0" w:type="auto"/>
            <w:hideMark/>
          </w:tcPr>
          <w:p w14:paraId="371F079A"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sz w:val="24"/>
                <w:szCs w:val="24"/>
              </w:rPr>
              <w:t xml:space="preserve">Describe and discuss the phenomenon of </w:t>
            </w:r>
            <w:r w:rsidRPr="001E1BEC">
              <w:rPr>
                <w:rFonts w:ascii="Times New Roman" w:eastAsia="Times New Roman" w:hAnsi="Times New Roman" w:cs="Times New Roman"/>
                <w:bCs/>
                <w:sz w:val="24"/>
                <w:szCs w:val="24"/>
              </w:rPr>
              <w:t>digital exclusion</w:t>
            </w:r>
            <w:r w:rsidRPr="001E1BEC">
              <w:rPr>
                <w:rFonts w:ascii="Times New Roman" w:eastAsia="Times New Roman" w:hAnsi="Times New Roman" w:cs="Times New Roman"/>
                <w:sz w:val="24"/>
                <w:szCs w:val="24"/>
              </w:rPr>
              <w:t xml:space="preserve"> for older adults in UK health &amp; social care (barriers: access, proficiency, drive)</w:t>
            </w:r>
          </w:p>
        </w:tc>
        <w:tc>
          <w:tcPr>
            <w:tcW w:w="0" w:type="auto"/>
            <w:hideMark/>
          </w:tcPr>
          <w:p w14:paraId="3C737689"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sz w:val="24"/>
                <w:szCs w:val="24"/>
              </w:rPr>
              <w:t>Systematic review of UK qualitative studies (2015–2025); thematic analysis mapping barriers (access–skills/confidence–meaningful use)</w:t>
            </w:r>
          </w:p>
        </w:tc>
        <w:tc>
          <w:tcPr>
            <w:tcW w:w="0" w:type="auto"/>
            <w:hideMark/>
          </w:tcPr>
          <w:p w14:paraId="34974C92"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bCs/>
                <w:sz w:val="24"/>
                <w:szCs w:val="24"/>
              </w:rPr>
              <w:t>Theme 1 – Disengagement &amp; Barriers</w:t>
            </w:r>
            <w:r w:rsidRPr="001E1BEC">
              <w:rPr>
                <w:rFonts w:ascii="Times New Roman" w:eastAsia="Times New Roman" w:hAnsi="Times New Roman" w:cs="Times New Roman"/>
                <w:sz w:val="24"/>
                <w:szCs w:val="24"/>
              </w:rPr>
              <w:t>: affordability/connectivity gaps; low skills/confidence; anxiety about scams/authentication; perceived gatekeeping; need for assisted-digital and offline parity</w:t>
            </w:r>
          </w:p>
        </w:tc>
        <w:tc>
          <w:tcPr>
            <w:tcW w:w="0" w:type="auto"/>
            <w:hideMark/>
          </w:tcPr>
          <w:p w14:paraId="2B615EF9"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sz w:val="24"/>
                <w:szCs w:val="24"/>
              </w:rPr>
              <w:t>Age UK prevalence context; Wilson-</w:t>
            </w:r>
            <w:proofErr w:type="spellStart"/>
            <w:r w:rsidRPr="001E1BEC">
              <w:rPr>
                <w:rFonts w:ascii="Times New Roman" w:eastAsia="Times New Roman" w:hAnsi="Times New Roman" w:cs="Times New Roman"/>
                <w:sz w:val="24"/>
                <w:szCs w:val="24"/>
              </w:rPr>
              <w:t>Menzfeld</w:t>
            </w:r>
            <w:proofErr w:type="spellEnd"/>
            <w:r w:rsidRPr="001E1BEC">
              <w:rPr>
                <w:rFonts w:ascii="Times New Roman" w:eastAsia="Times New Roman" w:hAnsi="Times New Roman" w:cs="Times New Roman"/>
                <w:sz w:val="24"/>
                <w:szCs w:val="24"/>
              </w:rPr>
              <w:t xml:space="preserve"> et al. (2024) on place-based clustering; van Dijk (2006) three-level divide; </w:t>
            </w:r>
            <w:proofErr w:type="spellStart"/>
            <w:r w:rsidRPr="001E1BEC">
              <w:rPr>
                <w:rFonts w:ascii="Times New Roman" w:eastAsia="Times New Roman" w:hAnsi="Times New Roman" w:cs="Times New Roman"/>
                <w:sz w:val="24"/>
                <w:szCs w:val="24"/>
              </w:rPr>
              <w:t>Vaportzis</w:t>
            </w:r>
            <w:proofErr w:type="spellEnd"/>
            <w:r w:rsidRPr="001E1BEC">
              <w:rPr>
                <w:rFonts w:ascii="Times New Roman" w:eastAsia="Times New Roman" w:hAnsi="Times New Roman" w:cs="Times New Roman"/>
                <w:sz w:val="24"/>
                <w:szCs w:val="24"/>
              </w:rPr>
              <w:t xml:space="preserve"> et al. (2017) on usability/confidence; FRA (2023) on risks of online-only</w:t>
            </w:r>
          </w:p>
        </w:tc>
        <w:tc>
          <w:tcPr>
            <w:tcW w:w="0" w:type="auto"/>
            <w:hideMark/>
          </w:tcPr>
          <w:p w14:paraId="51853971"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sz w:val="24"/>
                <w:szCs w:val="24"/>
              </w:rPr>
              <w:t>Ch.4 4.3; Ch.2 2.3–2.4; Ch.3</w:t>
            </w:r>
          </w:p>
        </w:tc>
        <w:tc>
          <w:tcPr>
            <w:tcW w:w="0" w:type="auto"/>
            <w:hideMark/>
          </w:tcPr>
          <w:p w14:paraId="7EF98CB9"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bCs/>
                <w:sz w:val="24"/>
                <w:szCs w:val="24"/>
              </w:rPr>
              <w:t>Achieved</w:t>
            </w:r>
          </w:p>
        </w:tc>
      </w:tr>
      <w:tr w:rsidR="001E1BEC" w:rsidRPr="001E1BEC" w14:paraId="247C5323" w14:textId="77777777" w:rsidTr="001E1BEC">
        <w:tc>
          <w:tcPr>
            <w:tcW w:w="0" w:type="auto"/>
            <w:hideMark/>
          </w:tcPr>
          <w:p w14:paraId="653B9F3D" w14:textId="77777777" w:rsidR="001E1BEC" w:rsidRPr="001E1BEC" w:rsidRDefault="001E1BEC" w:rsidP="001E1BEC">
            <w:pPr>
              <w:rPr>
                <w:rFonts w:ascii="Times New Roman" w:eastAsia="Times New Roman" w:hAnsi="Times New Roman" w:cs="Times New Roman"/>
                <w:b/>
                <w:sz w:val="24"/>
                <w:szCs w:val="24"/>
              </w:rPr>
            </w:pPr>
            <w:r w:rsidRPr="001E1BEC">
              <w:rPr>
                <w:rFonts w:ascii="Times New Roman" w:eastAsia="Times New Roman" w:hAnsi="Times New Roman" w:cs="Times New Roman"/>
                <w:b/>
                <w:sz w:val="24"/>
                <w:szCs w:val="24"/>
              </w:rPr>
              <w:t>2</w:t>
            </w:r>
          </w:p>
        </w:tc>
        <w:tc>
          <w:tcPr>
            <w:tcW w:w="0" w:type="auto"/>
            <w:hideMark/>
          </w:tcPr>
          <w:p w14:paraId="3B58D934"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sz w:val="24"/>
                <w:szCs w:val="24"/>
              </w:rPr>
              <w:t xml:space="preserve">Examine consequences for </w:t>
            </w:r>
            <w:r w:rsidRPr="001E1BEC">
              <w:rPr>
                <w:rFonts w:ascii="Times New Roman" w:eastAsia="Times New Roman" w:hAnsi="Times New Roman" w:cs="Times New Roman"/>
                <w:bCs/>
                <w:sz w:val="24"/>
                <w:szCs w:val="24"/>
              </w:rPr>
              <w:t>access, health, wellbeing and care experience</w:t>
            </w:r>
          </w:p>
        </w:tc>
        <w:tc>
          <w:tcPr>
            <w:tcW w:w="0" w:type="auto"/>
            <w:hideMark/>
          </w:tcPr>
          <w:p w14:paraId="5A9164E6"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sz w:val="24"/>
                <w:szCs w:val="24"/>
              </w:rPr>
              <w:t>Synthesis of lived accounts tracing pathways from digital “thresholds” to service avoidance and psychosocial impacts</w:t>
            </w:r>
          </w:p>
        </w:tc>
        <w:tc>
          <w:tcPr>
            <w:tcW w:w="0" w:type="auto"/>
            <w:hideMark/>
          </w:tcPr>
          <w:p w14:paraId="16D8B090"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bCs/>
                <w:sz w:val="24"/>
                <w:szCs w:val="24"/>
              </w:rPr>
              <w:t>Theme 2 – Consequences</w:t>
            </w:r>
            <w:r w:rsidRPr="001E1BEC">
              <w:rPr>
                <w:rFonts w:ascii="Times New Roman" w:eastAsia="Times New Roman" w:hAnsi="Times New Roman" w:cs="Times New Roman"/>
                <w:sz w:val="24"/>
                <w:szCs w:val="24"/>
              </w:rPr>
              <w:t>: missed/foregone care; stress–anxiety cycle; loneliness/identity loss; erosion of trust/dignity; continuity valued</w:t>
            </w:r>
          </w:p>
        </w:tc>
        <w:tc>
          <w:tcPr>
            <w:tcW w:w="0" w:type="auto"/>
            <w:hideMark/>
          </w:tcPr>
          <w:p w14:paraId="11FA3219" w14:textId="77777777" w:rsidR="001E1BEC" w:rsidRPr="001E1BEC" w:rsidRDefault="001E1BEC" w:rsidP="001E1BEC">
            <w:pPr>
              <w:rPr>
                <w:rFonts w:ascii="Times New Roman" w:eastAsia="Times New Roman" w:hAnsi="Times New Roman" w:cs="Times New Roman"/>
                <w:sz w:val="24"/>
                <w:szCs w:val="24"/>
              </w:rPr>
            </w:pPr>
            <w:proofErr w:type="spellStart"/>
            <w:r w:rsidRPr="001E1BEC">
              <w:rPr>
                <w:rFonts w:ascii="Times New Roman" w:eastAsia="Times New Roman" w:hAnsi="Times New Roman" w:cs="Times New Roman"/>
                <w:sz w:val="24"/>
                <w:szCs w:val="24"/>
              </w:rPr>
              <w:t>Kunonga</w:t>
            </w:r>
            <w:proofErr w:type="spellEnd"/>
            <w:r w:rsidRPr="001E1BEC">
              <w:rPr>
                <w:rFonts w:ascii="Times New Roman" w:eastAsia="Times New Roman" w:hAnsi="Times New Roman" w:cs="Times New Roman"/>
                <w:sz w:val="24"/>
                <w:szCs w:val="24"/>
              </w:rPr>
              <w:t xml:space="preserve"> et al. (2021) umbrella review; Stuart et al. (2022) social identity lens; Holt-</w:t>
            </w:r>
            <w:proofErr w:type="spellStart"/>
            <w:r w:rsidRPr="001E1BEC">
              <w:rPr>
                <w:rFonts w:ascii="Times New Roman" w:eastAsia="Times New Roman" w:hAnsi="Times New Roman" w:cs="Times New Roman"/>
                <w:sz w:val="24"/>
                <w:szCs w:val="24"/>
              </w:rPr>
              <w:t>Lunstad</w:t>
            </w:r>
            <w:proofErr w:type="spellEnd"/>
            <w:r w:rsidRPr="001E1BEC">
              <w:rPr>
                <w:rFonts w:ascii="Times New Roman" w:eastAsia="Times New Roman" w:hAnsi="Times New Roman" w:cs="Times New Roman"/>
                <w:sz w:val="24"/>
                <w:szCs w:val="24"/>
              </w:rPr>
              <w:t xml:space="preserve"> (2024) on health effects of social connection; triangulation with Age UK estimates</w:t>
            </w:r>
          </w:p>
        </w:tc>
        <w:tc>
          <w:tcPr>
            <w:tcW w:w="0" w:type="auto"/>
            <w:hideMark/>
          </w:tcPr>
          <w:p w14:paraId="46609BE2"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sz w:val="24"/>
                <w:szCs w:val="24"/>
              </w:rPr>
              <w:t>Ch.4 4.4</w:t>
            </w:r>
          </w:p>
        </w:tc>
        <w:tc>
          <w:tcPr>
            <w:tcW w:w="0" w:type="auto"/>
            <w:hideMark/>
          </w:tcPr>
          <w:p w14:paraId="03490CCA"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bCs/>
                <w:sz w:val="24"/>
                <w:szCs w:val="24"/>
              </w:rPr>
              <w:t>Achieved</w:t>
            </w:r>
          </w:p>
        </w:tc>
      </w:tr>
      <w:tr w:rsidR="001E1BEC" w:rsidRPr="001E1BEC" w14:paraId="55DE6CB9" w14:textId="77777777" w:rsidTr="001E1BEC">
        <w:tc>
          <w:tcPr>
            <w:tcW w:w="0" w:type="auto"/>
            <w:hideMark/>
          </w:tcPr>
          <w:p w14:paraId="508E3092" w14:textId="77777777" w:rsidR="001E1BEC" w:rsidRPr="001E1BEC" w:rsidRDefault="001E1BEC" w:rsidP="001E1BEC">
            <w:pPr>
              <w:rPr>
                <w:rFonts w:ascii="Times New Roman" w:eastAsia="Times New Roman" w:hAnsi="Times New Roman" w:cs="Times New Roman"/>
                <w:b/>
                <w:sz w:val="24"/>
                <w:szCs w:val="24"/>
              </w:rPr>
            </w:pPr>
            <w:r w:rsidRPr="001E1BEC">
              <w:rPr>
                <w:rFonts w:ascii="Times New Roman" w:eastAsia="Times New Roman" w:hAnsi="Times New Roman" w:cs="Times New Roman"/>
                <w:b/>
                <w:sz w:val="24"/>
                <w:szCs w:val="24"/>
              </w:rPr>
              <w:t>3</w:t>
            </w:r>
          </w:p>
        </w:tc>
        <w:tc>
          <w:tcPr>
            <w:tcW w:w="0" w:type="auto"/>
            <w:hideMark/>
          </w:tcPr>
          <w:p w14:paraId="79EA2D1F"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sz w:val="24"/>
                <w:szCs w:val="24"/>
              </w:rPr>
              <w:t xml:space="preserve">Consider efficacy of </w:t>
            </w:r>
            <w:r w:rsidRPr="001E1BEC">
              <w:rPr>
                <w:rFonts w:ascii="Times New Roman" w:eastAsia="Times New Roman" w:hAnsi="Times New Roman" w:cs="Times New Roman"/>
                <w:bCs/>
                <w:sz w:val="24"/>
                <w:szCs w:val="24"/>
              </w:rPr>
              <w:t>UK interventions and policies</w:t>
            </w:r>
            <w:r w:rsidRPr="001E1BEC">
              <w:rPr>
                <w:rFonts w:ascii="Times New Roman" w:eastAsia="Times New Roman" w:hAnsi="Times New Roman" w:cs="Times New Roman"/>
                <w:sz w:val="24"/>
                <w:szCs w:val="24"/>
              </w:rPr>
              <w:t xml:space="preserve"> to stimulate inclusion</w:t>
            </w:r>
          </w:p>
        </w:tc>
        <w:tc>
          <w:tcPr>
            <w:tcW w:w="0" w:type="auto"/>
            <w:hideMark/>
          </w:tcPr>
          <w:p w14:paraId="27D20788"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sz w:val="24"/>
                <w:szCs w:val="24"/>
              </w:rPr>
              <w:t>Policy/practice synthesis; implementation lens (NASSS); appraisal of community models and system frameworks</w:t>
            </w:r>
          </w:p>
        </w:tc>
        <w:tc>
          <w:tcPr>
            <w:tcW w:w="0" w:type="auto"/>
            <w:hideMark/>
          </w:tcPr>
          <w:p w14:paraId="3F77BD41"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bCs/>
                <w:sz w:val="24"/>
                <w:szCs w:val="24"/>
              </w:rPr>
              <w:t>Theme 3 – What works</w:t>
            </w:r>
            <w:r w:rsidRPr="001E1BEC">
              <w:rPr>
                <w:rFonts w:ascii="Times New Roman" w:eastAsia="Times New Roman" w:hAnsi="Times New Roman" w:cs="Times New Roman"/>
                <w:sz w:val="24"/>
                <w:szCs w:val="24"/>
              </w:rPr>
              <w:t>: parity-by-design; assisted-digital at first contact; place-based partnerships (libraries/VCSE); co-design; measure inclusion (not just adoption)</w:t>
            </w:r>
          </w:p>
        </w:tc>
        <w:tc>
          <w:tcPr>
            <w:tcW w:w="0" w:type="auto"/>
            <w:hideMark/>
          </w:tcPr>
          <w:p w14:paraId="6FA44013"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sz w:val="24"/>
                <w:szCs w:val="24"/>
              </w:rPr>
              <w:t>NHS England Inclusive Digital Healthcare (2023/24); DHSC Plan (2022); 100% Digital Leeds exemplar; Libraries Connected (2024); evidence gaps on first contact; Zhang et al. (2023) inequality signals</w:t>
            </w:r>
          </w:p>
        </w:tc>
        <w:tc>
          <w:tcPr>
            <w:tcW w:w="0" w:type="auto"/>
            <w:hideMark/>
          </w:tcPr>
          <w:p w14:paraId="0B3B1476"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sz w:val="24"/>
                <w:szCs w:val="24"/>
              </w:rPr>
              <w:t xml:space="preserve">Ch.4 </w:t>
            </w:r>
            <w:r>
              <w:rPr>
                <w:rFonts w:ascii="Times New Roman" w:eastAsia="Times New Roman" w:hAnsi="Times New Roman" w:cs="Times New Roman"/>
                <w:sz w:val="24"/>
                <w:szCs w:val="24"/>
              </w:rPr>
              <w:t xml:space="preserve">4.5; Ch.2 </w:t>
            </w:r>
            <w:r w:rsidRPr="001E1BEC">
              <w:rPr>
                <w:rFonts w:ascii="Times New Roman" w:eastAsia="Times New Roman" w:hAnsi="Times New Roman" w:cs="Times New Roman"/>
                <w:sz w:val="24"/>
                <w:szCs w:val="24"/>
              </w:rPr>
              <w:t>2.4</w:t>
            </w:r>
          </w:p>
        </w:tc>
        <w:tc>
          <w:tcPr>
            <w:tcW w:w="0" w:type="auto"/>
            <w:hideMark/>
          </w:tcPr>
          <w:p w14:paraId="748CBA92"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bCs/>
                <w:sz w:val="24"/>
                <w:szCs w:val="24"/>
              </w:rPr>
              <w:t>Achieved</w:t>
            </w:r>
          </w:p>
        </w:tc>
      </w:tr>
      <w:tr w:rsidR="001E1BEC" w:rsidRPr="001E1BEC" w14:paraId="6B297601" w14:textId="77777777" w:rsidTr="001E1BEC">
        <w:tc>
          <w:tcPr>
            <w:tcW w:w="0" w:type="auto"/>
            <w:hideMark/>
          </w:tcPr>
          <w:p w14:paraId="50FDCE72" w14:textId="77777777" w:rsidR="001E1BEC" w:rsidRPr="001E1BEC" w:rsidRDefault="001E1BEC" w:rsidP="001E1BEC">
            <w:pPr>
              <w:rPr>
                <w:rFonts w:ascii="Times New Roman" w:eastAsia="Times New Roman" w:hAnsi="Times New Roman" w:cs="Times New Roman"/>
                <w:b/>
                <w:sz w:val="24"/>
                <w:szCs w:val="24"/>
              </w:rPr>
            </w:pPr>
            <w:r w:rsidRPr="001E1BEC">
              <w:rPr>
                <w:rFonts w:ascii="Times New Roman" w:eastAsia="Times New Roman" w:hAnsi="Times New Roman" w:cs="Times New Roman"/>
                <w:b/>
                <w:sz w:val="24"/>
                <w:szCs w:val="24"/>
              </w:rPr>
              <w:lastRenderedPageBreak/>
              <w:t>4</w:t>
            </w:r>
          </w:p>
        </w:tc>
        <w:tc>
          <w:tcPr>
            <w:tcW w:w="0" w:type="auto"/>
            <w:hideMark/>
          </w:tcPr>
          <w:p w14:paraId="33E5D211"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sz w:val="24"/>
                <w:szCs w:val="24"/>
              </w:rPr>
              <w:t xml:space="preserve">Make </w:t>
            </w:r>
            <w:r w:rsidRPr="001E1BEC">
              <w:rPr>
                <w:rFonts w:ascii="Times New Roman" w:eastAsia="Times New Roman" w:hAnsi="Times New Roman" w:cs="Times New Roman"/>
                <w:bCs/>
                <w:sz w:val="24"/>
                <w:szCs w:val="24"/>
              </w:rPr>
              <w:t>evidence-based recommendations</w:t>
            </w:r>
            <w:r w:rsidRPr="001E1BEC">
              <w:rPr>
                <w:rFonts w:ascii="Times New Roman" w:eastAsia="Times New Roman" w:hAnsi="Times New Roman" w:cs="Times New Roman"/>
                <w:sz w:val="24"/>
                <w:szCs w:val="24"/>
              </w:rPr>
              <w:t xml:space="preserve"> for providers, policymakers and communities</w:t>
            </w:r>
          </w:p>
        </w:tc>
        <w:tc>
          <w:tcPr>
            <w:tcW w:w="0" w:type="auto"/>
            <w:hideMark/>
          </w:tcPr>
          <w:p w14:paraId="12B8AA2C"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sz w:val="24"/>
                <w:szCs w:val="24"/>
              </w:rPr>
              <w:t>Consolidation of convergent evidence into a minimum effective package; feasibility and equity KPIs</w:t>
            </w:r>
          </w:p>
        </w:tc>
        <w:tc>
          <w:tcPr>
            <w:tcW w:w="0" w:type="auto"/>
            <w:hideMark/>
          </w:tcPr>
          <w:p w14:paraId="51652536"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bCs/>
                <w:sz w:val="24"/>
                <w:szCs w:val="24"/>
              </w:rPr>
              <w:t>Theme 4 – Recommendations</w:t>
            </w:r>
            <w:r w:rsidRPr="001E1BEC">
              <w:rPr>
                <w:rFonts w:ascii="Times New Roman" w:eastAsia="Times New Roman" w:hAnsi="Times New Roman" w:cs="Times New Roman"/>
                <w:sz w:val="24"/>
                <w:szCs w:val="24"/>
              </w:rPr>
              <w:t xml:space="preserve">: assisted-digital &amp; warm handovers; </w:t>
            </w:r>
            <w:proofErr w:type="spellStart"/>
            <w:r w:rsidRPr="001E1BEC">
              <w:rPr>
                <w:rFonts w:ascii="Times New Roman" w:eastAsia="Times New Roman" w:hAnsi="Times New Roman" w:cs="Times New Roman"/>
                <w:sz w:val="24"/>
                <w:szCs w:val="24"/>
              </w:rPr>
              <w:t>device+data+skills</w:t>
            </w:r>
            <w:proofErr w:type="spellEnd"/>
            <w:r w:rsidRPr="001E1BEC">
              <w:rPr>
                <w:rFonts w:ascii="Times New Roman" w:eastAsia="Times New Roman" w:hAnsi="Times New Roman" w:cs="Times New Roman"/>
                <w:sz w:val="24"/>
                <w:szCs w:val="24"/>
              </w:rPr>
              <w:t xml:space="preserve"> bundles; local exclusion maps; offline parity; equity KPIs; multi-year commissioning; PPIE co-design</w:t>
            </w:r>
          </w:p>
        </w:tc>
        <w:tc>
          <w:tcPr>
            <w:tcW w:w="0" w:type="auto"/>
            <w:hideMark/>
          </w:tcPr>
          <w:p w14:paraId="3051708B"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sz w:val="24"/>
                <w:szCs w:val="24"/>
              </w:rPr>
              <w:t>Operational actions with examples (reception champions, library referrals, social tariffs, proxy access); evaluation focus on completed access &amp; wellbeing</w:t>
            </w:r>
          </w:p>
        </w:tc>
        <w:tc>
          <w:tcPr>
            <w:tcW w:w="0" w:type="auto"/>
            <w:hideMark/>
          </w:tcPr>
          <w:p w14:paraId="3F575BDD" w14:textId="77777777" w:rsidR="001E1BEC" w:rsidRPr="001E1BEC" w:rsidRDefault="001E1BEC" w:rsidP="001E1BE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Ch.4 4.6; Ch.5 </w:t>
            </w:r>
            <w:r w:rsidRPr="001E1BEC">
              <w:rPr>
                <w:rFonts w:ascii="Times New Roman" w:eastAsia="Times New Roman" w:hAnsi="Times New Roman" w:cs="Times New Roman"/>
                <w:sz w:val="24"/>
                <w:szCs w:val="24"/>
              </w:rPr>
              <w:t>5.2</w:t>
            </w:r>
          </w:p>
        </w:tc>
        <w:tc>
          <w:tcPr>
            <w:tcW w:w="0" w:type="auto"/>
            <w:hideMark/>
          </w:tcPr>
          <w:p w14:paraId="156BFF2F" w14:textId="77777777" w:rsidR="001E1BEC" w:rsidRPr="001E1BEC" w:rsidRDefault="001E1BEC" w:rsidP="001E1BEC">
            <w:pPr>
              <w:rPr>
                <w:rFonts w:ascii="Times New Roman" w:eastAsia="Times New Roman" w:hAnsi="Times New Roman" w:cs="Times New Roman"/>
                <w:sz w:val="24"/>
                <w:szCs w:val="24"/>
              </w:rPr>
            </w:pPr>
            <w:r w:rsidRPr="001E1BEC">
              <w:rPr>
                <w:rFonts w:ascii="Times New Roman" w:eastAsia="Times New Roman" w:hAnsi="Times New Roman" w:cs="Times New Roman"/>
                <w:bCs/>
                <w:sz w:val="24"/>
                <w:szCs w:val="24"/>
              </w:rPr>
              <w:t>Achieved</w:t>
            </w:r>
          </w:p>
        </w:tc>
      </w:tr>
    </w:tbl>
    <w:p w14:paraId="30A0EC97" w14:textId="77777777" w:rsidR="00664046" w:rsidRDefault="00664046" w:rsidP="006240B2">
      <w:pPr>
        <w:spacing w:before="120" w:after="120" w:line="360" w:lineRule="auto"/>
        <w:jc w:val="both"/>
        <w:rPr>
          <w:rFonts w:cs="Arial"/>
          <w:color w:val="000000" w:themeColor="text1"/>
        </w:rPr>
        <w:sectPr w:rsidR="00664046" w:rsidSect="00664046">
          <w:pgSz w:w="15840" w:h="12240" w:orient="landscape"/>
          <w:pgMar w:top="1440" w:right="1440" w:bottom="1440" w:left="1440" w:header="720" w:footer="720" w:gutter="0"/>
          <w:cols w:space="720"/>
          <w:docGrid w:linePitch="360"/>
        </w:sectPr>
      </w:pPr>
    </w:p>
    <w:p w14:paraId="28A129CF" w14:textId="77777777" w:rsidR="009D728F" w:rsidRPr="00B10FD1" w:rsidRDefault="009D728F" w:rsidP="00990481">
      <w:pPr>
        <w:spacing w:before="120" w:after="120" w:line="360" w:lineRule="auto"/>
        <w:jc w:val="both"/>
        <w:rPr>
          <w:rFonts w:cs="Arial"/>
          <w:color w:val="000000" w:themeColor="text1"/>
        </w:rPr>
      </w:pPr>
    </w:p>
    <w:sectPr w:rsidR="009D728F" w:rsidRPr="00B10FD1" w:rsidSect="00214C3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6ECB1" w14:textId="77777777" w:rsidR="00AC1681" w:rsidRDefault="00AC1681" w:rsidP="009D1F2A">
      <w:pPr>
        <w:spacing w:after="0" w:line="240" w:lineRule="auto"/>
      </w:pPr>
      <w:r>
        <w:separator/>
      </w:r>
    </w:p>
  </w:endnote>
  <w:endnote w:type="continuationSeparator" w:id="0">
    <w:p w14:paraId="16CE4D07" w14:textId="77777777" w:rsidR="00AC1681" w:rsidRDefault="00AC1681" w:rsidP="009D1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9459259"/>
      <w:docPartObj>
        <w:docPartGallery w:val="Page Numbers (Bottom of Page)"/>
        <w:docPartUnique/>
      </w:docPartObj>
    </w:sdtPr>
    <w:sdtEndPr>
      <w:rPr>
        <w:noProof/>
      </w:rPr>
    </w:sdtEndPr>
    <w:sdtContent>
      <w:p w14:paraId="1DD2D0DE" w14:textId="77777777" w:rsidR="001725E3" w:rsidRDefault="001725E3">
        <w:pPr>
          <w:pStyle w:val="Footer"/>
          <w:jc w:val="right"/>
        </w:pPr>
        <w:r>
          <w:fldChar w:fldCharType="begin"/>
        </w:r>
        <w:r>
          <w:instrText xml:space="preserve"> PAGE   \* MERGEFORMAT </w:instrText>
        </w:r>
        <w:r>
          <w:fldChar w:fldCharType="separate"/>
        </w:r>
        <w:r w:rsidR="00990481">
          <w:rPr>
            <w:noProof/>
          </w:rPr>
          <w:t>64</w:t>
        </w:r>
        <w:r>
          <w:rPr>
            <w:noProof/>
          </w:rPr>
          <w:fldChar w:fldCharType="end"/>
        </w:r>
      </w:p>
    </w:sdtContent>
  </w:sdt>
  <w:p w14:paraId="3BA39B3B" w14:textId="77777777" w:rsidR="001725E3" w:rsidRDefault="001725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6D7A3" w14:textId="77777777" w:rsidR="00AC1681" w:rsidRDefault="00AC1681" w:rsidP="009D1F2A">
      <w:pPr>
        <w:spacing w:after="0" w:line="240" w:lineRule="auto"/>
      </w:pPr>
      <w:r>
        <w:separator/>
      </w:r>
    </w:p>
  </w:footnote>
  <w:footnote w:type="continuationSeparator" w:id="0">
    <w:p w14:paraId="469971F7" w14:textId="77777777" w:rsidR="00AC1681" w:rsidRDefault="00AC1681" w:rsidP="009D1F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97968"/>
    <w:multiLevelType w:val="hybridMultilevel"/>
    <w:tmpl w:val="9690A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B6171F"/>
    <w:multiLevelType w:val="hybridMultilevel"/>
    <w:tmpl w:val="8C8A1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092F9E"/>
    <w:multiLevelType w:val="hybridMultilevel"/>
    <w:tmpl w:val="FE3C0A56"/>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563F51"/>
    <w:multiLevelType w:val="multilevel"/>
    <w:tmpl w:val="B0F41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973DC6"/>
    <w:multiLevelType w:val="multilevel"/>
    <w:tmpl w:val="2B5240D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D87606"/>
    <w:multiLevelType w:val="multilevel"/>
    <w:tmpl w:val="4560F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AA4871"/>
    <w:multiLevelType w:val="hybridMultilevel"/>
    <w:tmpl w:val="CA081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FB4966"/>
    <w:multiLevelType w:val="multilevel"/>
    <w:tmpl w:val="14E02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9F707B"/>
    <w:multiLevelType w:val="hybridMultilevel"/>
    <w:tmpl w:val="014297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4ED20AF"/>
    <w:multiLevelType w:val="multilevel"/>
    <w:tmpl w:val="096A810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7612FB5"/>
    <w:multiLevelType w:val="hybridMultilevel"/>
    <w:tmpl w:val="61928720"/>
    <w:lvl w:ilvl="0" w:tplc="9856A5E2">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C9110C"/>
    <w:multiLevelType w:val="hybridMultilevel"/>
    <w:tmpl w:val="7E0E669C"/>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FD418A"/>
    <w:multiLevelType w:val="hybridMultilevel"/>
    <w:tmpl w:val="F19A6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014938"/>
    <w:multiLevelType w:val="multilevel"/>
    <w:tmpl w:val="6A04B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176021"/>
    <w:multiLevelType w:val="hybridMultilevel"/>
    <w:tmpl w:val="1616B91C"/>
    <w:lvl w:ilvl="0" w:tplc="04090011">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85338312">
    <w:abstractNumId w:val="8"/>
  </w:num>
  <w:num w:numId="2" w16cid:durableId="656764832">
    <w:abstractNumId w:val="8"/>
  </w:num>
  <w:num w:numId="3" w16cid:durableId="373427733">
    <w:abstractNumId w:val="14"/>
  </w:num>
  <w:num w:numId="4" w16cid:durableId="1313220313">
    <w:abstractNumId w:val="2"/>
  </w:num>
  <w:num w:numId="5" w16cid:durableId="1022826971">
    <w:abstractNumId w:val="12"/>
  </w:num>
  <w:num w:numId="6" w16cid:durableId="508908869">
    <w:abstractNumId w:val="11"/>
  </w:num>
  <w:num w:numId="7" w16cid:durableId="208686442">
    <w:abstractNumId w:val="10"/>
  </w:num>
  <w:num w:numId="8" w16cid:durableId="1606186215">
    <w:abstractNumId w:val="3"/>
  </w:num>
  <w:num w:numId="9" w16cid:durableId="1164977953">
    <w:abstractNumId w:val="13"/>
  </w:num>
  <w:num w:numId="10" w16cid:durableId="1096947880">
    <w:abstractNumId w:val="5"/>
  </w:num>
  <w:num w:numId="11" w16cid:durableId="1762800556">
    <w:abstractNumId w:val="7"/>
  </w:num>
  <w:num w:numId="12" w16cid:durableId="810171180">
    <w:abstractNumId w:val="4"/>
  </w:num>
  <w:num w:numId="13" w16cid:durableId="932590232">
    <w:abstractNumId w:val="9"/>
  </w:num>
  <w:num w:numId="14" w16cid:durableId="1679775091">
    <w:abstractNumId w:val="6"/>
  </w:num>
  <w:num w:numId="15" w16cid:durableId="476580086">
    <w:abstractNumId w:val="0"/>
  </w:num>
  <w:num w:numId="16" w16cid:durableId="16480494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4E1"/>
    <w:rsid w:val="00003CB6"/>
    <w:rsid w:val="00031307"/>
    <w:rsid w:val="00032C71"/>
    <w:rsid w:val="00043318"/>
    <w:rsid w:val="000504CD"/>
    <w:rsid w:val="000525E4"/>
    <w:rsid w:val="00054828"/>
    <w:rsid w:val="000620F3"/>
    <w:rsid w:val="0008102E"/>
    <w:rsid w:val="000A1963"/>
    <w:rsid w:val="000B2958"/>
    <w:rsid w:val="000B2FAD"/>
    <w:rsid w:val="000B6AD7"/>
    <w:rsid w:val="000C3DE6"/>
    <w:rsid w:val="000C7E04"/>
    <w:rsid w:val="000D260F"/>
    <w:rsid w:val="000D3157"/>
    <w:rsid w:val="000E499C"/>
    <w:rsid w:val="000E7E60"/>
    <w:rsid w:val="000F04D4"/>
    <w:rsid w:val="000F5AF8"/>
    <w:rsid w:val="000F614C"/>
    <w:rsid w:val="000F6449"/>
    <w:rsid w:val="00106A3F"/>
    <w:rsid w:val="00115B15"/>
    <w:rsid w:val="0013132A"/>
    <w:rsid w:val="00135E42"/>
    <w:rsid w:val="0014186F"/>
    <w:rsid w:val="00147491"/>
    <w:rsid w:val="00170494"/>
    <w:rsid w:val="00170CFA"/>
    <w:rsid w:val="001725E3"/>
    <w:rsid w:val="00175B13"/>
    <w:rsid w:val="00176C68"/>
    <w:rsid w:val="00177BC7"/>
    <w:rsid w:val="0018249F"/>
    <w:rsid w:val="00193BA2"/>
    <w:rsid w:val="001A57B1"/>
    <w:rsid w:val="001C0EA8"/>
    <w:rsid w:val="001C7091"/>
    <w:rsid w:val="001D1AF1"/>
    <w:rsid w:val="001D3709"/>
    <w:rsid w:val="001E1BEC"/>
    <w:rsid w:val="001F57B7"/>
    <w:rsid w:val="001F617D"/>
    <w:rsid w:val="001F743A"/>
    <w:rsid w:val="00204CA5"/>
    <w:rsid w:val="00206831"/>
    <w:rsid w:val="00207EA2"/>
    <w:rsid w:val="00214C3A"/>
    <w:rsid w:val="00215738"/>
    <w:rsid w:val="00217CFC"/>
    <w:rsid w:val="002201B4"/>
    <w:rsid w:val="002216BD"/>
    <w:rsid w:val="00221E97"/>
    <w:rsid w:val="00232FDC"/>
    <w:rsid w:val="00235714"/>
    <w:rsid w:val="00235BC4"/>
    <w:rsid w:val="0023704C"/>
    <w:rsid w:val="00241C3C"/>
    <w:rsid w:val="00243E0D"/>
    <w:rsid w:val="002611D4"/>
    <w:rsid w:val="0028288A"/>
    <w:rsid w:val="00283970"/>
    <w:rsid w:val="002924E1"/>
    <w:rsid w:val="002A365E"/>
    <w:rsid w:val="002C4218"/>
    <w:rsid w:val="002D2609"/>
    <w:rsid w:val="002F617F"/>
    <w:rsid w:val="0030021C"/>
    <w:rsid w:val="00300581"/>
    <w:rsid w:val="00317C32"/>
    <w:rsid w:val="003244CD"/>
    <w:rsid w:val="00327897"/>
    <w:rsid w:val="00330122"/>
    <w:rsid w:val="003367AF"/>
    <w:rsid w:val="003405B7"/>
    <w:rsid w:val="0034128C"/>
    <w:rsid w:val="003505F4"/>
    <w:rsid w:val="00365155"/>
    <w:rsid w:val="0037302C"/>
    <w:rsid w:val="003738F3"/>
    <w:rsid w:val="0038500D"/>
    <w:rsid w:val="003937D7"/>
    <w:rsid w:val="003955CF"/>
    <w:rsid w:val="003A4053"/>
    <w:rsid w:val="003B69BA"/>
    <w:rsid w:val="003C6B95"/>
    <w:rsid w:val="003D0FA9"/>
    <w:rsid w:val="003D63CC"/>
    <w:rsid w:val="003E2889"/>
    <w:rsid w:val="003F1F82"/>
    <w:rsid w:val="003F25F2"/>
    <w:rsid w:val="003F299F"/>
    <w:rsid w:val="003F4696"/>
    <w:rsid w:val="0040066D"/>
    <w:rsid w:val="00405538"/>
    <w:rsid w:val="004108F7"/>
    <w:rsid w:val="00411570"/>
    <w:rsid w:val="004255AC"/>
    <w:rsid w:val="004271D2"/>
    <w:rsid w:val="004316F3"/>
    <w:rsid w:val="00436B68"/>
    <w:rsid w:val="00437A7E"/>
    <w:rsid w:val="00442836"/>
    <w:rsid w:val="00443516"/>
    <w:rsid w:val="00452533"/>
    <w:rsid w:val="004561AE"/>
    <w:rsid w:val="00477ADA"/>
    <w:rsid w:val="00484BE6"/>
    <w:rsid w:val="00493AD4"/>
    <w:rsid w:val="004A620A"/>
    <w:rsid w:val="004B4B48"/>
    <w:rsid w:val="004C6BD1"/>
    <w:rsid w:val="004D333C"/>
    <w:rsid w:val="004D3F66"/>
    <w:rsid w:val="004D63A4"/>
    <w:rsid w:val="004D65B2"/>
    <w:rsid w:val="004D7FEA"/>
    <w:rsid w:val="004E4844"/>
    <w:rsid w:val="004E6EC3"/>
    <w:rsid w:val="004F1B50"/>
    <w:rsid w:val="00506C82"/>
    <w:rsid w:val="00510CAE"/>
    <w:rsid w:val="00514D8A"/>
    <w:rsid w:val="0052088C"/>
    <w:rsid w:val="00525628"/>
    <w:rsid w:val="00530801"/>
    <w:rsid w:val="00535BDE"/>
    <w:rsid w:val="00537883"/>
    <w:rsid w:val="00540D46"/>
    <w:rsid w:val="00556925"/>
    <w:rsid w:val="00560154"/>
    <w:rsid w:val="00564932"/>
    <w:rsid w:val="00565261"/>
    <w:rsid w:val="00565704"/>
    <w:rsid w:val="00566BFB"/>
    <w:rsid w:val="00577205"/>
    <w:rsid w:val="005819B2"/>
    <w:rsid w:val="005834FB"/>
    <w:rsid w:val="00591ED5"/>
    <w:rsid w:val="00593CE5"/>
    <w:rsid w:val="00596393"/>
    <w:rsid w:val="005A6966"/>
    <w:rsid w:val="005C400E"/>
    <w:rsid w:val="005D0E7C"/>
    <w:rsid w:val="005E3A3B"/>
    <w:rsid w:val="005F12A6"/>
    <w:rsid w:val="005F3A46"/>
    <w:rsid w:val="00607ACA"/>
    <w:rsid w:val="0061674E"/>
    <w:rsid w:val="006240B2"/>
    <w:rsid w:val="00627FBC"/>
    <w:rsid w:val="006317DE"/>
    <w:rsid w:val="0063665F"/>
    <w:rsid w:val="00637DB2"/>
    <w:rsid w:val="0064719F"/>
    <w:rsid w:val="00647FFA"/>
    <w:rsid w:val="006548D7"/>
    <w:rsid w:val="00656DEB"/>
    <w:rsid w:val="00662B90"/>
    <w:rsid w:val="00664046"/>
    <w:rsid w:val="0069489B"/>
    <w:rsid w:val="006960F6"/>
    <w:rsid w:val="006A3328"/>
    <w:rsid w:val="006A6EA6"/>
    <w:rsid w:val="006D0BD0"/>
    <w:rsid w:val="006F50C8"/>
    <w:rsid w:val="00701C79"/>
    <w:rsid w:val="00701FC4"/>
    <w:rsid w:val="00701FDA"/>
    <w:rsid w:val="00702196"/>
    <w:rsid w:val="00705834"/>
    <w:rsid w:val="00710DD9"/>
    <w:rsid w:val="00714C5F"/>
    <w:rsid w:val="00715BEC"/>
    <w:rsid w:val="00716EB8"/>
    <w:rsid w:val="00720EE0"/>
    <w:rsid w:val="007246BC"/>
    <w:rsid w:val="00736B77"/>
    <w:rsid w:val="00770E31"/>
    <w:rsid w:val="0077255E"/>
    <w:rsid w:val="0077788A"/>
    <w:rsid w:val="007906DE"/>
    <w:rsid w:val="00792F02"/>
    <w:rsid w:val="00796CCD"/>
    <w:rsid w:val="007A06F2"/>
    <w:rsid w:val="007A2065"/>
    <w:rsid w:val="007A2AD8"/>
    <w:rsid w:val="007A31D7"/>
    <w:rsid w:val="007D41AE"/>
    <w:rsid w:val="007E3DC9"/>
    <w:rsid w:val="007F6802"/>
    <w:rsid w:val="00811BBE"/>
    <w:rsid w:val="00815FD0"/>
    <w:rsid w:val="00830E3C"/>
    <w:rsid w:val="00832729"/>
    <w:rsid w:val="0083275B"/>
    <w:rsid w:val="00832F82"/>
    <w:rsid w:val="00842BB0"/>
    <w:rsid w:val="00845127"/>
    <w:rsid w:val="00847BC9"/>
    <w:rsid w:val="00850E20"/>
    <w:rsid w:val="008547EA"/>
    <w:rsid w:val="00855CD9"/>
    <w:rsid w:val="008640D9"/>
    <w:rsid w:val="008676DC"/>
    <w:rsid w:val="00870009"/>
    <w:rsid w:val="00873CFB"/>
    <w:rsid w:val="00891ACF"/>
    <w:rsid w:val="00897DB9"/>
    <w:rsid w:val="008A2ADD"/>
    <w:rsid w:val="008B0FE9"/>
    <w:rsid w:val="008B2A6C"/>
    <w:rsid w:val="008B3B80"/>
    <w:rsid w:val="008B5460"/>
    <w:rsid w:val="008B5900"/>
    <w:rsid w:val="008C0F10"/>
    <w:rsid w:val="008C2C57"/>
    <w:rsid w:val="008D0817"/>
    <w:rsid w:val="008D12CF"/>
    <w:rsid w:val="008D698C"/>
    <w:rsid w:val="008E19D4"/>
    <w:rsid w:val="008E456F"/>
    <w:rsid w:val="008F40DA"/>
    <w:rsid w:val="009066BE"/>
    <w:rsid w:val="00916718"/>
    <w:rsid w:val="00916BE4"/>
    <w:rsid w:val="00924883"/>
    <w:rsid w:val="009378A7"/>
    <w:rsid w:val="0094167A"/>
    <w:rsid w:val="00945FA9"/>
    <w:rsid w:val="009613BA"/>
    <w:rsid w:val="00967990"/>
    <w:rsid w:val="00975C96"/>
    <w:rsid w:val="00976495"/>
    <w:rsid w:val="00976CAA"/>
    <w:rsid w:val="009864B2"/>
    <w:rsid w:val="0098774B"/>
    <w:rsid w:val="00990481"/>
    <w:rsid w:val="00992799"/>
    <w:rsid w:val="009938AF"/>
    <w:rsid w:val="00994BFD"/>
    <w:rsid w:val="009A5C0A"/>
    <w:rsid w:val="009A61CD"/>
    <w:rsid w:val="009B1F3E"/>
    <w:rsid w:val="009B5565"/>
    <w:rsid w:val="009B569B"/>
    <w:rsid w:val="009C77DD"/>
    <w:rsid w:val="009D1F2A"/>
    <w:rsid w:val="009D3283"/>
    <w:rsid w:val="009D728F"/>
    <w:rsid w:val="009D7FE7"/>
    <w:rsid w:val="009E3D77"/>
    <w:rsid w:val="009E6514"/>
    <w:rsid w:val="009F241A"/>
    <w:rsid w:val="009F254A"/>
    <w:rsid w:val="009F3D04"/>
    <w:rsid w:val="009F4C5C"/>
    <w:rsid w:val="00A07454"/>
    <w:rsid w:val="00A141A2"/>
    <w:rsid w:val="00A22687"/>
    <w:rsid w:val="00A23E9C"/>
    <w:rsid w:val="00A34F37"/>
    <w:rsid w:val="00A46400"/>
    <w:rsid w:val="00A47FEB"/>
    <w:rsid w:val="00A60D42"/>
    <w:rsid w:val="00A74050"/>
    <w:rsid w:val="00A8098D"/>
    <w:rsid w:val="00A863AC"/>
    <w:rsid w:val="00AA206F"/>
    <w:rsid w:val="00AA585B"/>
    <w:rsid w:val="00AB39A8"/>
    <w:rsid w:val="00AB41E6"/>
    <w:rsid w:val="00AB6805"/>
    <w:rsid w:val="00AC07D1"/>
    <w:rsid w:val="00AC1681"/>
    <w:rsid w:val="00AC19F2"/>
    <w:rsid w:val="00AC2E92"/>
    <w:rsid w:val="00AC5B23"/>
    <w:rsid w:val="00AD0C17"/>
    <w:rsid w:val="00AD7E08"/>
    <w:rsid w:val="00AE0DE7"/>
    <w:rsid w:val="00AE35FF"/>
    <w:rsid w:val="00B007E8"/>
    <w:rsid w:val="00B10FD1"/>
    <w:rsid w:val="00B11AF6"/>
    <w:rsid w:val="00B20A2C"/>
    <w:rsid w:val="00B22E76"/>
    <w:rsid w:val="00B309A8"/>
    <w:rsid w:val="00B30DE3"/>
    <w:rsid w:val="00B3695C"/>
    <w:rsid w:val="00B472D7"/>
    <w:rsid w:val="00B613D1"/>
    <w:rsid w:val="00B66A25"/>
    <w:rsid w:val="00B66E34"/>
    <w:rsid w:val="00B7491C"/>
    <w:rsid w:val="00B76DCF"/>
    <w:rsid w:val="00B771F1"/>
    <w:rsid w:val="00B835BC"/>
    <w:rsid w:val="00BA09D9"/>
    <w:rsid w:val="00BB20DC"/>
    <w:rsid w:val="00BB54BD"/>
    <w:rsid w:val="00BC46FC"/>
    <w:rsid w:val="00BC6289"/>
    <w:rsid w:val="00BD1081"/>
    <w:rsid w:val="00BD2355"/>
    <w:rsid w:val="00BD738E"/>
    <w:rsid w:val="00BE0ABB"/>
    <w:rsid w:val="00BE110B"/>
    <w:rsid w:val="00BE3236"/>
    <w:rsid w:val="00BE7F7C"/>
    <w:rsid w:val="00C038DE"/>
    <w:rsid w:val="00C03B7B"/>
    <w:rsid w:val="00C136AA"/>
    <w:rsid w:val="00C26B77"/>
    <w:rsid w:val="00C40371"/>
    <w:rsid w:val="00C47B29"/>
    <w:rsid w:val="00C55A27"/>
    <w:rsid w:val="00C606F4"/>
    <w:rsid w:val="00C62DD9"/>
    <w:rsid w:val="00C65D63"/>
    <w:rsid w:val="00C7434B"/>
    <w:rsid w:val="00C761E5"/>
    <w:rsid w:val="00C772F5"/>
    <w:rsid w:val="00C85C4D"/>
    <w:rsid w:val="00C943AC"/>
    <w:rsid w:val="00C96DE2"/>
    <w:rsid w:val="00C97CFC"/>
    <w:rsid w:val="00CB045D"/>
    <w:rsid w:val="00CB1C82"/>
    <w:rsid w:val="00CB5F86"/>
    <w:rsid w:val="00CB5FEF"/>
    <w:rsid w:val="00CB76D2"/>
    <w:rsid w:val="00CC41EA"/>
    <w:rsid w:val="00CD1260"/>
    <w:rsid w:val="00CF0EAD"/>
    <w:rsid w:val="00CF23EB"/>
    <w:rsid w:val="00CF4EFC"/>
    <w:rsid w:val="00CF64C8"/>
    <w:rsid w:val="00CF73E7"/>
    <w:rsid w:val="00D01932"/>
    <w:rsid w:val="00D07721"/>
    <w:rsid w:val="00D20196"/>
    <w:rsid w:val="00D21DA0"/>
    <w:rsid w:val="00D24D39"/>
    <w:rsid w:val="00D37DCA"/>
    <w:rsid w:val="00D44896"/>
    <w:rsid w:val="00D50E4D"/>
    <w:rsid w:val="00D5192B"/>
    <w:rsid w:val="00D526C2"/>
    <w:rsid w:val="00D537BC"/>
    <w:rsid w:val="00D74EF2"/>
    <w:rsid w:val="00D753CF"/>
    <w:rsid w:val="00D76382"/>
    <w:rsid w:val="00D76CB0"/>
    <w:rsid w:val="00D80257"/>
    <w:rsid w:val="00D9557E"/>
    <w:rsid w:val="00DB357D"/>
    <w:rsid w:val="00DD2F92"/>
    <w:rsid w:val="00DD714D"/>
    <w:rsid w:val="00DE0235"/>
    <w:rsid w:val="00DE48E8"/>
    <w:rsid w:val="00DF428B"/>
    <w:rsid w:val="00DF54B8"/>
    <w:rsid w:val="00E00D84"/>
    <w:rsid w:val="00E03B41"/>
    <w:rsid w:val="00E04130"/>
    <w:rsid w:val="00E06165"/>
    <w:rsid w:val="00E10A30"/>
    <w:rsid w:val="00E20ABD"/>
    <w:rsid w:val="00E21163"/>
    <w:rsid w:val="00E32028"/>
    <w:rsid w:val="00E33EA9"/>
    <w:rsid w:val="00E37514"/>
    <w:rsid w:val="00E43055"/>
    <w:rsid w:val="00E5199B"/>
    <w:rsid w:val="00E5217A"/>
    <w:rsid w:val="00E64771"/>
    <w:rsid w:val="00E70DF7"/>
    <w:rsid w:val="00E7125F"/>
    <w:rsid w:val="00E7577D"/>
    <w:rsid w:val="00E87487"/>
    <w:rsid w:val="00EA307A"/>
    <w:rsid w:val="00EA50B3"/>
    <w:rsid w:val="00EB0BE0"/>
    <w:rsid w:val="00EB170E"/>
    <w:rsid w:val="00EB52E4"/>
    <w:rsid w:val="00EB645B"/>
    <w:rsid w:val="00EC2B2B"/>
    <w:rsid w:val="00EC59A4"/>
    <w:rsid w:val="00ED3038"/>
    <w:rsid w:val="00ED6137"/>
    <w:rsid w:val="00ED63F5"/>
    <w:rsid w:val="00EE0241"/>
    <w:rsid w:val="00EE1A53"/>
    <w:rsid w:val="00F01BE8"/>
    <w:rsid w:val="00F0599F"/>
    <w:rsid w:val="00F12973"/>
    <w:rsid w:val="00F30A2C"/>
    <w:rsid w:val="00F32165"/>
    <w:rsid w:val="00F4079A"/>
    <w:rsid w:val="00F42895"/>
    <w:rsid w:val="00F525BD"/>
    <w:rsid w:val="00F52EB6"/>
    <w:rsid w:val="00F8207A"/>
    <w:rsid w:val="00F82CFC"/>
    <w:rsid w:val="00F83677"/>
    <w:rsid w:val="00F908C9"/>
    <w:rsid w:val="00F93CE5"/>
    <w:rsid w:val="00F941D1"/>
    <w:rsid w:val="00F95DF7"/>
    <w:rsid w:val="00FA1719"/>
    <w:rsid w:val="00FA2674"/>
    <w:rsid w:val="00FA316B"/>
    <w:rsid w:val="00FA367A"/>
    <w:rsid w:val="00FA6FFE"/>
    <w:rsid w:val="00FB05D5"/>
    <w:rsid w:val="00FB1812"/>
    <w:rsid w:val="00FC7384"/>
    <w:rsid w:val="00FD1A3B"/>
    <w:rsid w:val="00FE0601"/>
    <w:rsid w:val="00FE5CA5"/>
    <w:rsid w:val="00FF2152"/>
    <w:rsid w:val="00FF24F7"/>
    <w:rsid w:val="00FF4B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1607E"/>
  <w15:chartTrackingRefBased/>
  <w15:docId w15:val="{02660A62-0E8F-420F-8633-8380BE0B5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799"/>
    <w:rPr>
      <w:rFonts w:ascii="Arial" w:hAnsi="Arial"/>
    </w:rPr>
  </w:style>
  <w:style w:type="paragraph" w:styleId="Heading1">
    <w:name w:val="heading 1"/>
    <w:basedOn w:val="Normal"/>
    <w:next w:val="Normal"/>
    <w:link w:val="Heading1Char"/>
    <w:uiPriority w:val="9"/>
    <w:qFormat/>
    <w:rsid w:val="009D1F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1F2A"/>
    <w:pPr>
      <w:spacing w:before="100" w:beforeAutospacing="1" w:after="100" w:afterAutospacing="1" w:line="240" w:lineRule="auto"/>
      <w:outlineLvl w:val="1"/>
    </w:pPr>
    <w:rPr>
      <w:rFonts w:ascii="Times New Roman" w:eastAsia="Times New Roman" w:hAnsi="Times New Roman" w:cs="Times New Roman"/>
      <w:b/>
      <w:bCs/>
      <w:sz w:val="28"/>
      <w:szCs w:val="36"/>
    </w:rPr>
  </w:style>
  <w:style w:type="paragraph" w:styleId="Heading3">
    <w:name w:val="heading 3"/>
    <w:basedOn w:val="Normal"/>
    <w:link w:val="Heading3Char"/>
    <w:uiPriority w:val="9"/>
    <w:qFormat/>
    <w:rsid w:val="004A620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924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9D1F2A"/>
    <w:rPr>
      <w:rFonts w:ascii="Times New Roman" w:eastAsia="Times New Roman" w:hAnsi="Times New Roman" w:cs="Times New Roman"/>
      <w:b/>
      <w:bCs/>
      <w:sz w:val="28"/>
      <w:szCs w:val="36"/>
    </w:rPr>
  </w:style>
  <w:style w:type="character" w:customStyle="1" w:styleId="Heading3Char">
    <w:name w:val="Heading 3 Char"/>
    <w:basedOn w:val="DefaultParagraphFont"/>
    <w:link w:val="Heading3"/>
    <w:uiPriority w:val="9"/>
    <w:rsid w:val="004A620A"/>
    <w:rPr>
      <w:rFonts w:ascii="Times New Roman" w:eastAsia="Times New Roman" w:hAnsi="Times New Roman" w:cs="Times New Roman"/>
      <w:b/>
      <w:bCs/>
      <w:sz w:val="27"/>
      <w:szCs w:val="27"/>
    </w:rPr>
  </w:style>
  <w:style w:type="character" w:styleId="Strong">
    <w:name w:val="Strong"/>
    <w:basedOn w:val="DefaultParagraphFont"/>
    <w:uiPriority w:val="22"/>
    <w:qFormat/>
    <w:rsid w:val="004A620A"/>
    <w:rPr>
      <w:b/>
      <w:bCs/>
    </w:rPr>
  </w:style>
  <w:style w:type="table" w:styleId="TableGrid">
    <w:name w:val="Table Grid"/>
    <w:basedOn w:val="TableNormal"/>
    <w:uiPriority w:val="39"/>
    <w:rsid w:val="00E211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0DE3"/>
    <w:pPr>
      <w:spacing w:line="256" w:lineRule="auto"/>
      <w:ind w:left="720"/>
      <w:contextualSpacing/>
    </w:pPr>
    <w:rPr>
      <w:rFonts w:ascii="Times New Roman" w:hAnsi="Times New Roman"/>
      <w:sz w:val="24"/>
      <w:lang w:val="en-GB"/>
    </w:rPr>
  </w:style>
  <w:style w:type="character" w:customStyle="1" w:styleId="url">
    <w:name w:val="url"/>
    <w:basedOn w:val="DefaultParagraphFont"/>
    <w:rsid w:val="009D7FE7"/>
  </w:style>
  <w:style w:type="paragraph" w:styleId="Header">
    <w:name w:val="header"/>
    <w:basedOn w:val="Normal"/>
    <w:link w:val="HeaderChar"/>
    <w:uiPriority w:val="99"/>
    <w:unhideWhenUsed/>
    <w:rsid w:val="009D1F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F2A"/>
  </w:style>
  <w:style w:type="paragraph" w:styleId="Footer">
    <w:name w:val="footer"/>
    <w:basedOn w:val="Normal"/>
    <w:link w:val="FooterChar"/>
    <w:uiPriority w:val="99"/>
    <w:unhideWhenUsed/>
    <w:rsid w:val="009D1F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F2A"/>
  </w:style>
  <w:style w:type="character" w:customStyle="1" w:styleId="Heading1Char">
    <w:name w:val="Heading 1 Char"/>
    <w:basedOn w:val="DefaultParagraphFont"/>
    <w:link w:val="Heading1"/>
    <w:uiPriority w:val="9"/>
    <w:rsid w:val="009D1F2A"/>
    <w:rPr>
      <w:rFonts w:asciiTheme="majorHAnsi" w:eastAsiaTheme="majorEastAsia" w:hAnsiTheme="majorHAnsi" w:cstheme="majorBidi"/>
      <w:color w:val="2E74B5" w:themeColor="accent1" w:themeShade="BF"/>
      <w:sz w:val="32"/>
      <w:szCs w:val="32"/>
    </w:rPr>
  </w:style>
  <w:style w:type="paragraph" w:styleId="Caption">
    <w:name w:val="caption"/>
    <w:basedOn w:val="Normal"/>
    <w:next w:val="Normal"/>
    <w:uiPriority w:val="35"/>
    <w:unhideWhenUsed/>
    <w:qFormat/>
    <w:rsid w:val="00701C79"/>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9A61CD"/>
    <w:pPr>
      <w:spacing w:after="100"/>
    </w:pPr>
  </w:style>
  <w:style w:type="paragraph" w:styleId="TOC2">
    <w:name w:val="toc 2"/>
    <w:basedOn w:val="Normal"/>
    <w:next w:val="Normal"/>
    <w:autoRedefine/>
    <w:uiPriority w:val="39"/>
    <w:unhideWhenUsed/>
    <w:rsid w:val="009A61CD"/>
    <w:pPr>
      <w:spacing w:after="100"/>
      <w:ind w:left="220"/>
    </w:pPr>
  </w:style>
  <w:style w:type="paragraph" w:styleId="TOC3">
    <w:name w:val="toc 3"/>
    <w:basedOn w:val="Normal"/>
    <w:next w:val="Normal"/>
    <w:autoRedefine/>
    <w:uiPriority w:val="39"/>
    <w:unhideWhenUsed/>
    <w:rsid w:val="009A61CD"/>
    <w:pPr>
      <w:spacing w:after="100"/>
      <w:ind w:left="440"/>
    </w:pPr>
  </w:style>
  <w:style w:type="character" w:styleId="Hyperlink">
    <w:name w:val="Hyperlink"/>
    <w:basedOn w:val="DefaultParagraphFont"/>
    <w:uiPriority w:val="99"/>
    <w:unhideWhenUsed/>
    <w:rsid w:val="009A61CD"/>
    <w:rPr>
      <w:color w:val="0563C1" w:themeColor="hyperlink"/>
      <w:u w:val="single"/>
    </w:rPr>
  </w:style>
  <w:style w:type="character" w:customStyle="1" w:styleId="ms-1">
    <w:name w:val="ms-1"/>
    <w:basedOn w:val="DefaultParagraphFont"/>
    <w:rsid w:val="001D1AF1"/>
  </w:style>
  <w:style w:type="character" w:customStyle="1" w:styleId="max-w-15ch">
    <w:name w:val="max-w-[15ch]"/>
    <w:basedOn w:val="DefaultParagraphFont"/>
    <w:rsid w:val="001D1AF1"/>
  </w:style>
  <w:style w:type="character" w:styleId="Emphasis">
    <w:name w:val="Emphasis"/>
    <w:basedOn w:val="DefaultParagraphFont"/>
    <w:uiPriority w:val="20"/>
    <w:qFormat/>
    <w:rsid w:val="00B76DCF"/>
    <w:rPr>
      <w:i/>
      <w:iCs/>
    </w:rPr>
  </w:style>
  <w:style w:type="character" w:customStyle="1" w:styleId="-me-1">
    <w:name w:val="-me-1"/>
    <w:basedOn w:val="DefaultParagraphFont"/>
    <w:rsid w:val="00B76DCF"/>
  </w:style>
  <w:style w:type="paragraph" w:styleId="TableofFigures">
    <w:name w:val="table of figures"/>
    <w:basedOn w:val="Normal"/>
    <w:next w:val="Normal"/>
    <w:uiPriority w:val="99"/>
    <w:unhideWhenUsed/>
    <w:rsid w:val="001725E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1134">
      <w:bodyDiv w:val="1"/>
      <w:marLeft w:val="0"/>
      <w:marRight w:val="0"/>
      <w:marTop w:val="0"/>
      <w:marBottom w:val="0"/>
      <w:divBdr>
        <w:top w:val="none" w:sz="0" w:space="0" w:color="auto"/>
        <w:left w:val="none" w:sz="0" w:space="0" w:color="auto"/>
        <w:bottom w:val="none" w:sz="0" w:space="0" w:color="auto"/>
        <w:right w:val="none" w:sz="0" w:space="0" w:color="auto"/>
      </w:divBdr>
    </w:div>
    <w:div w:id="8413163">
      <w:bodyDiv w:val="1"/>
      <w:marLeft w:val="0"/>
      <w:marRight w:val="0"/>
      <w:marTop w:val="0"/>
      <w:marBottom w:val="0"/>
      <w:divBdr>
        <w:top w:val="none" w:sz="0" w:space="0" w:color="auto"/>
        <w:left w:val="none" w:sz="0" w:space="0" w:color="auto"/>
        <w:bottom w:val="none" w:sz="0" w:space="0" w:color="auto"/>
        <w:right w:val="none" w:sz="0" w:space="0" w:color="auto"/>
      </w:divBdr>
    </w:div>
    <w:div w:id="14574360">
      <w:bodyDiv w:val="1"/>
      <w:marLeft w:val="0"/>
      <w:marRight w:val="0"/>
      <w:marTop w:val="0"/>
      <w:marBottom w:val="0"/>
      <w:divBdr>
        <w:top w:val="none" w:sz="0" w:space="0" w:color="auto"/>
        <w:left w:val="none" w:sz="0" w:space="0" w:color="auto"/>
        <w:bottom w:val="none" w:sz="0" w:space="0" w:color="auto"/>
        <w:right w:val="none" w:sz="0" w:space="0" w:color="auto"/>
      </w:divBdr>
    </w:div>
    <w:div w:id="17854440">
      <w:bodyDiv w:val="1"/>
      <w:marLeft w:val="0"/>
      <w:marRight w:val="0"/>
      <w:marTop w:val="0"/>
      <w:marBottom w:val="0"/>
      <w:divBdr>
        <w:top w:val="none" w:sz="0" w:space="0" w:color="auto"/>
        <w:left w:val="none" w:sz="0" w:space="0" w:color="auto"/>
        <w:bottom w:val="none" w:sz="0" w:space="0" w:color="auto"/>
        <w:right w:val="none" w:sz="0" w:space="0" w:color="auto"/>
      </w:divBdr>
    </w:div>
    <w:div w:id="56782276">
      <w:bodyDiv w:val="1"/>
      <w:marLeft w:val="0"/>
      <w:marRight w:val="0"/>
      <w:marTop w:val="0"/>
      <w:marBottom w:val="0"/>
      <w:divBdr>
        <w:top w:val="none" w:sz="0" w:space="0" w:color="auto"/>
        <w:left w:val="none" w:sz="0" w:space="0" w:color="auto"/>
        <w:bottom w:val="none" w:sz="0" w:space="0" w:color="auto"/>
        <w:right w:val="none" w:sz="0" w:space="0" w:color="auto"/>
      </w:divBdr>
    </w:div>
    <w:div w:id="56826466">
      <w:bodyDiv w:val="1"/>
      <w:marLeft w:val="0"/>
      <w:marRight w:val="0"/>
      <w:marTop w:val="0"/>
      <w:marBottom w:val="0"/>
      <w:divBdr>
        <w:top w:val="none" w:sz="0" w:space="0" w:color="auto"/>
        <w:left w:val="none" w:sz="0" w:space="0" w:color="auto"/>
        <w:bottom w:val="none" w:sz="0" w:space="0" w:color="auto"/>
        <w:right w:val="none" w:sz="0" w:space="0" w:color="auto"/>
      </w:divBdr>
    </w:div>
    <w:div w:id="62069835">
      <w:bodyDiv w:val="1"/>
      <w:marLeft w:val="0"/>
      <w:marRight w:val="0"/>
      <w:marTop w:val="0"/>
      <w:marBottom w:val="0"/>
      <w:divBdr>
        <w:top w:val="none" w:sz="0" w:space="0" w:color="auto"/>
        <w:left w:val="none" w:sz="0" w:space="0" w:color="auto"/>
        <w:bottom w:val="none" w:sz="0" w:space="0" w:color="auto"/>
        <w:right w:val="none" w:sz="0" w:space="0" w:color="auto"/>
      </w:divBdr>
    </w:div>
    <w:div w:id="67383200">
      <w:bodyDiv w:val="1"/>
      <w:marLeft w:val="0"/>
      <w:marRight w:val="0"/>
      <w:marTop w:val="0"/>
      <w:marBottom w:val="0"/>
      <w:divBdr>
        <w:top w:val="none" w:sz="0" w:space="0" w:color="auto"/>
        <w:left w:val="none" w:sz="0" w:space="0" w:color="auto"/>
        <w:bottom w:val="none" w:sz="0" w:space="0" w:color="auto"/>
        <w:right w:val="none" w:sz="0" w:space="0" w:color="auto"/>
      </w:divBdr>
    </w:div>
    <w:div w:id="110323268">
      <w:bodyDiv w:val="1"/>
      <w:marLeft w:val="0"/>
      <w:marRight w:val="0"/>
      <w:marTop w:val="0"/>
      <w:marBottom w:val="0"/>
      <w:divBdr>
        <w:top w:val="none" w:sz="0" w:space="0" w:color="auto"/>
        <w:left w:val="none" w:sz="0" w:space="0" w:color="auto"/>
        <w:bottom w:val="none" w:sz="0" w:space="0" w:color="auto"/>
        <w:right w:val="none" w:sz="0" w:space="0" w:color="auto"/>
      </w:divBdr>
    </w:div>
    <w:div w:id="118494259">
      <w:bodyDiv w:val="1"/>
      <w:marLeft w:val="0"/>
      <w:marRight w:val="0"/>
      <w:marTop w:val="0"/>
      <w:marBottom w:val="0"/>
      <w:divBdr>
        <w:top w:val="none" w:sz="0" w:space="0" w:color="auto"/>
        <w:left w:val="none" w:sz="0" w:space="0" w:color="auto"/>
        <w:bottom w:val="none" w:sz="0" w:space="0" w:color="auto"/>
        <w:right w:val="none" w:sz="0" w:space="0" w:color="auto"/>
      </w:divBdr>
    </w:div>
    <w:div w:id="134565938">
      <w:bodyDiv w:val="1"/>
      <w:marLeft w:val="0"/>
      <w:marRight w:val="0"/>
      <w:marTop w:val="0"/>
      <w:marBottom w:val="0"/>
      <w:divBdr>
        <w:top w:val="none" w:sz="0" w:space="0" w:color="auto"/>
        <w:left w:val="none" w:sz="0" w:space="0" w:color="auto"/>
        <w:bottom w:val="none" w:sz="0" w:space="0" w:color="auto"/>
        <w:right w:val="none" w:sz="0" w:space="0" w:color="auto"/>
      </w:divBdr>
    </w:div>
    <w:div w:id="187380584">
      <w:bodyDiv w:val="1"/>
      <w:marLeft w:val="0"/>
      <w:marRight w:val="0"/>
      <w:marTop w:val="0"/>
      <w:marBottom w:val="0"/>
      <w:divBdr>
        <w:top w:val="none" w:sz="0" w:space="0" w:color="auto"/>
        <w:left w:val="none" w:sz="0" w:space="0" w:color="auto"/>
        <w:bottom w:val="none" w:sz="0" w:space="0" w:color="auto"/>
        <w:right w:val="none" w:sz="0" w:space="0" w:color="auto"/>
      </w:divBdr>
    </w:div>
    <w:div w:id="232933607">
      <w:bodyDiv w:val="1"/>
      <w:marLeft w:val="0"/>
      <w:marRight w:val="0"/>
      <w:marTop w:val="0"/>
      <w:marBottom w:val="0"/>
      <w:divBdr>
        <w:top w:val="none" w:sz="0" w:space="0" w:color="auto"/>
        <w:left w:val="none" w:sz="0" w:space="0" w:color="auto"/>
        <w:bottom w:val="none" w:sz="0" w:space="0" w:color="auto"/>
        <w:right w:val="none" w:sz="0" w:space="0" w:color="auto"/>
      </w:divBdr>
    </w:div>
    <w:div w:id="237836547">
      <w:bodyDiv w:val="1"/>
      <w:marLeft w:val="0"/>
      <w:marRight w:val="0"/>
      <w:marTop w:val="0"/>
      <w:marBottom w:val="0"/>
      <w:divBdr>
        <w:top w:val="none" w:sz="0" w:space="0" w:color="auto"/>
        <w:left w:val="none" w:sz="0" w:space="0" w:color="auto"/>
        <w:bottom w:val="none" w:sz="0" w:space="0" w:color="auto"/>
        <w:right w:val="none" w:sz="0" w:space="0" w:color="auto"/>
      </w:divBdr>
      <w:divsChild>
        <w:div w:id="1658652166">
          <w:marLeft w:val="0"/>
          <w:marRight w:val="0"/>
          <w:marTop w:val="0"/>
          <w:marBottom w:val="0"/>
          <w:divBdr>
            <w:top w:val="none" w:sz="0" w:space="0" w:color="auto"/>
            <w:left w:val="none" w:sz="0" w:space="0" w:color="auto"/>
            <w:bottom w:val="none" w:sz="0" w:space="0" w:color="auto"/>
            <w:right w:val="none" w:sz="0" w:space="0" w:color="auto"/>
          </w:divBdr>
          <w:divsChild>
            <w:div w:id="273631523">
              <w:marLeft w:val="0"/>
              <w:marRight w:val="0"/>
              <w:marTop w:val="0"/>
              <w:marBottom w:val="0"/>
              <w:divBdr>
                <w:top w:val="none" w:sz="0" w:space="0" w:color="auto"/>
                <w:left w:val="none" w:sz="0" w:space="0" w:color="auto"/>
                <w:bottom w:val="none" w:sz="0" w:space="0" w:color="auto"/>
                <w:right w:val="none" w:sz="0" w:space="0" w:color="auto"/>
              </w:divBdr>
              <w:divsChild>
                <w:div w:id="648826549">
                  <w:marLeft w:val="0"/>
                  <w:marRight w:val="0"/>
                  <w:marTop w:val="0"/>
                  <w:marBottom w:val="0"/>
                  <w:divBdr>
                    <w:top w:val="none" w:sz="0" w:space="0" w:color="auto"/>
                    <w:left w:val="none" w:sz="0" w:space="0" w:color="auto"/>
                    <w:bottom w:val="none" w:sz="0" w:space="0" w:color="auto"/>
                    <w:right w:val="none" w:sz="0" w:space="0" w:color="auto"/>
                  </w:divBdr>
                  <w:divsChild>
                    <w:div w:id="1137839770">
                      <w:marLeft w:val="0"/>
                      <w:marRight w:val="0"/>
                      <w:marTop w:val="0"/>
                      <w:marBottom w:val="0"/>
                      <w:divBdr>
                        <w:top w:val="none" w:sz="0" w:space="0" w:color="auto"/>
                        <w:left w:val="none" w:sz="0" w:space="0" w:color="auto"/>
                        <w:bottom w:val="none" w:sz="0" w:space="0" w:color="auto"/>
                        <w:right w:val="none" w:sz="0" w:space="0" w:color="auto"/>
                      </w:divBdr>
                      <w:divsChild>
                        <w:div w:id="696196026">
                          <w:marLeft w:val="0"/>
                          <w:marRight w:val="0"/>
                          <w:marTop w:val="0"/>
                          <w:marBottom w:val="0"/>
                          <w:divBdr>
                            <w:top w:val="none" w:sz="0" w:space="0" w:color="auto"/>
                            <w:left w:val="none" w:sz="0" w:space="0" w:color="auto"/>
                            <w:bottom w:val="none" w:sz="0" w:space="0" w:color="auto"/>
                            <w:right w:val="none" w:sz="0" w:space="0" w:color="auto"/>
                          </w:divBdr>
                          <w:divsChild>
                            <w:div w:id="958994201">
                              <w:marLeft w:val="0"/>
                              <w:marRight w:val="0"/>
                              <w:marTop w:val="0"/>
                              <w:marBottom w:val="0"/>
                              <w:divBdr>
                                <w:top w:val="none" w:sz="0" w:space="0" w:color="auto"/>
                                <w:left w:val="none" w:sz="0" w:space="0" w:color="auto"/>
                                <w:bottom w:val="none" w:sz="0" w:space="0" w:color="auto"/>
                                <w:right w:val="none" w:sz="0" w:space="0" w:color="auto"/>
                              </w:divBdr>
                              <w:divsChild>
                                <w:div w:id="1646079578">
                                  <w:marLeft w:val="0"/>
                                  <w:marRight w:val="0"/>
                                  <w:marTop w:val="0"/>
                                  <w:marBottom w:val="0"/>
                                  <w:divBdr>
                                    <w:top w:val="none" w:sz="0" w:space="0" w:color="auto"/>
                                    <w:left w:val="none" w:sz="0" w:space="0" w:color="auto"/>
                                    <w:bottom w:val="none" w:sz="0" w:space="0" w:color="auto"/>
                                    <w:right w:val="none" w:sz="0" w:space="0" w:color="auto"/>
                                  </w:divBdr>
                                  <w:divsChild>
                                    <w:div w:id="35180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1860523">
      <w:bodyDiv w:val="1"/>
      <w:marLeft w:val="0"/>
      <w:marRight w:val="0"/>
      <w:marTop w:val="0"/>
      <w:marBottom w:val="0"/>
      <w:divBdr>
        <w:top w:val="none" w:sz="0" w:space="0" w:color="auto"/>
        <w:left w:val="none" w:sz="0" w:space="0" w:color="auto"/>
        <w:bottom w:val="none" w:sz="0" w:space="0" w:color="auto"/>
        <w:right w:val="none" w:sz="0" w:space="0" w:color="auto"/>
      </w:divBdr>
    </w:div>
    <w:div w:id="286275639">
      <w:bodyDiv w:val="1"/>
      <w:marLeft w:val="0"/>
      <w:marRight w:val="0"/>
      <w:marTop w:val="0"/>
      <w:marBottom w:val="0"/>
      <w:divBdr>
        <w:top w:val="none" w:sz="0" w:space="0" w:color="auto"/>
        <w:left w:val="none" w:sz="0" w:space="0" w:color="auto"/>
        <w:bottom w:val="none" w:sz="0" w:space="0" w:color="auto"/>
        <w:right w:val="none" w:sz="0" w:space="0" w:color="auto"/>
      </w:divBdr>
    </w:div>
    <w:div w:id="286548045">
      <w:bodyDiv w:val="1"/>
      <w:marLeft w:val="0"/>
      <w:marRight w:val="0"/>
      <w:marTop w:val="0"/>
      <w:marBottom w:val="0"/>
      <w:divBdr>
        <w:top w:val="none" w:sz="0" w:space="0" w:color="auto"/>
        <w:left w:val="none" w:sz="0" w:space="0" w:color="auto"/>
        <w:bottom w:val="none" w:sz="0" w:space="0" w:color="auto"/>
        <w:right w:val="none" w:sz="0" w:space="0" w:color="auto"/>
      </w:divBdr>
    </w:div>
    <w:div w:id="320161276">
      <w:bodyDiv w:val="1"/>
      <w:marLeft w:val="0"/>
      <w:marRight w:val="0"/>
      <w:marTop w:val="0"/>
      <w:marBottom w:val="0"/>
      <w:divBdr>
        <w:top w:val="none" w:sz="0" w:space="0" w:color="auto"/>
        <w:left w:val="none" w:sz="0" w:space="0" w:color="auto"/>
        <w:bottom w:val="none" w:sz="0" w:space="0" w:color="auto"/>
        <w:right w:val="none" w:sz="0" w:space="0" w:color="auto"/>
      </w:divBdr>
    </w:div>
    <w:div w:id="354842628">
      <w:bodyDiv w:val="1"/>
      <w:marLeft w:val="0"/>
      <w:marRight w:val="0"/>
      <w:marTop w:val="0"/>
      <w:marBottom w:val="0"/>
      <w:divBdr>
        <w:top w:val="none" w:sz="0" w:space="0" w:color="auto"/>
        <w:left w:val="none" w:sz="0" w:space="0" w:color="auto"/>
        <w:bottom w:val="none" w:sz="0" w:space="0" w:color="auto"/>
        <w:right w:val="none" w:sz="0" w:space="0" w:color="auto"/>
      </w:divBdr>
    </w:div>
    <w:div w:id="356926278">
      <w:bodyDiv w:val="1"/>
      <w:marLeft w:val="0"/>
      <w:marRight w:val="0"/>
      <w:marTop w:val="0"/>
      <w:marBottom w:val="0"/>
      <w:divBdr>
        <w:top w:val="none" w:sz="0" w:space="0" w:color="auto"/>
        <w:left w:val="none" w:sz="0" w:space="0" w:color="auto"/>
        <w:bottom w:val="none" w:sz="0" w:space="0" w:color="auto"/>
        <w:right w:val="none" w:sz="0" w:space="0" w:color="auto"/>
      </w:divBdr>
    </w:div>
    <w:div w:id="361365705">
      <w:bodyDiv w:val="1"/>
      <w:marLeft w:val="0"/>
      <w:marRight w:val="0"/>
      <w:marTop w:val="0"/>
      <w:marBottom w:val="0"/>
      <w:divBdr>
        <w:top w:val="none" w:sz="0" w:space="0" w:color="auto"/>
        <w:left w:val="none" w:sz="0" w:space="0" w:color="auto"/>
        <w:bottom w:val="none" w:sz="0" w:space="0" w:color="auto"/>
        <w:right w:val="none" w:sz="0" w:space="0" w:color="auto"/>
      </w:divBdr>
    </w:div>
    <w:div w:id="378556436">
      <w:bodyDiv w:val="1"/>
      <w:marLeft w:val="0"/>
      <w:marRight w:val="0"/>
      <w:marTop w:val="0"/>
      <w:marBottom w:val="0"/>
      <w:divBdr>
        <w:top w:val="none" w:sz="0" w:space="0" w:color="auto"/>
        <w:left w:val="none" w:sz="0" w:space="0" w:color="auto"/>
        <w:bottom w:val="none" w:sz="0" w:space="0" w:color="auto"/>
        <w:right w:val="none" w:sz="0" w:space="0" w:color="auto"/>
      </w:divBdr>
    </w:div>
    <w:div w:id="432632640">
      <w:bodyDiv w:val="1"/>
      <w:marLeft w:val="0"/>
      <w:marRight w:val="0"/>
      <w:marTop w:val="0"/>
      <w:marBottom w:val="0"/>
      <w:divBdr>
        <w:top w:val="none" w:sz="0" w:space="0" w:color="auto"/>
        <w:left w:val="none" w:sz="0" w:space="0" w:color="auto"/>
        <w:bottom w:val="none" w:sz="0" w:space="0" w:color="auto"/>
        <w:right w:val="none" w:sz="0" w:space="0" w:color="auto"/>
      </w:divBdr>
      <w:divsChild>
        <w:div w:id="1635286019">
          <w:marLeft w:val="-720"/>
          <w:marRight w:val="0"/>
          <w:marTop w:val="0"/>
          <w:marBottom w:val="0"/>
          <w:divBdr>
            <w:top w:val="none" w:sz="0" w:space="0" w:color="auto"/>
            <w:left w:val="none" w:sz="0" w:space="0" w:color="auto"/>
            <w:bottom w:val="none" w:sz="0" w:space="0" w:color="auto"/>
            <w:right w:val="none" w:sz="0" w:space="0" w:color="auto"/>
          </w:divBdr>
        </w:div>
      </w:divsChild>
    </w:div>
    <w:div w:id="432675737">
      <w:bodyDiv w:val="1"/>
      <w:marLeft w:val="0"/>
      <w:marRight w:val="0"/>
      <w:marTop w:val="0"/>
      <w:marBottom w:val="0"/>
      <w:divBdr>
        <w:top w:val="none" w:sz="0" w:space="0" w:color="auto"/>
        <w:left w:val="none" w:sz="0" w:space="0" w:color="auto"/>
        <w:bottom w:val="none" w:sz="0" w:space="0" w:color="auto"/>
        <w:right w:val="none" w:sz="0" w:space="0" w:color="auto"/>
      </w:divBdr>
    </w:div>
    <w:div w:id="454452067">
      <w:bodyDiv w:val="1"/>
      <w:marLeft w:val="0"/>
      <w:marRight w:val="0"/>
      <w:marTop w:val="0"/>
      <w:marBottom w:val="0"/>
      <w:divBdr>
        <w:top w:val="none" w:sz="0" w:space="0" w:color="auto"/>
        <w:left w:val="none" w:sz="0" w:space="0" w:color="auto"/>
        <w:bottom w:val="none" w:sz="0" w:space="0" w:color="auto"/>
        <w:right w:val="none" w:sz="0" w:space="0" w:color="auto"/>
      </w:divBdr>
    </w:div>
    <w:div w:id="455684552">
      <w:bodyDiv w:val="1"/>
      <w:marLeft w:val="0"/>
      <w:marRight w:val="0"/>
      <w:marTop w:val="0"/>
      <w:marBottom w:val="0"/>
      <w:divBdr>
        <w:top w:val="none" w:sz="0" w:space="0" w:color="auto"/>
        <w:left w:val="none" w:sz="0" w:space="0" w:color="auto"/>
        <w:bottom w:val="none" w:sz="0" w:space="0" w:color="auto"/>
        <w:right w:val="none" w:sz="0" w:space="0" w:color="auto"/>
      </w:divBdr>
    </w:div>
    <w:div w:id="490680669">
      <w:bodyDiv w:val="1"/>
      <w:marLeft w:val="0"/>
      <w:marRight w:val="0"/>
      <w:marTop w:val="0"/>
      <w:marBottom w:val="0"/>
      <w:divBdr>
        <w:top w:val="none" w:sz="0" w:space="0" w:color="auto"/>
        <w:left w:val="none" w:sz="0" w:space="0" w:color="auto"/>
        <w:bottom w:val="none" w:sz="0" w:space="0" w:color="auto"/>
        <w:right w:val="none" w:sz="0" w:space="0" w:color="auto"/>
      </w:divBdr>
    </w:div>
    <w:div w:id="494956567">
      <w:bodyDiv w:val="1"/>
      <w:marLeft w:val="0"/>
      <w:marRight w:val="0"/>
      <w:marTop w:val="0"/>
      <w:marBottom w:val="0"/>
      <w:divBdr>
        <w:top w:val="none" w:sz="0" w:space="0" w:color="auto"/>
        <w:left w:val="none" w:sz="0" w:space="0" w:color="auto"/>
        <w:bottom w:val="none" w:sz="0" w:space="0" w:color="auto"/>
        <w:right w:val="none" w:sz="0" w:space="0" w:color="auto"/>
      </w:divBdr>
    </w:div>
    <w:div w:id="497573509">
      <w:bodyDiv w:val="1"/>
      <w:marLeft w:val="0"/>
      <w:marRight w:val="0"/>
      <w:marTop w:val="0"/>
      <w:marBottom w:val="0"/>
      <w:divBdr>
        <w:top w:val="none" w:sz="0" w:space="0" w:color="auto"/>
        <w:left w:val="none" w:sz="0" w:space="0" w:color="auto"/>
        <w:bottom w:val="none" w:sz="0" w:space="0" w:color="auto"/>
        <w:right w:val="none" w:sz="0" w:space="0" w:color="auto"/>
      </w:divBdr>
    </w:div>
    <w:div w:id="504900335">
      <w:bodyDiv w:val="1"/>
      <w:marLeft w:val="0"/>
      <w:marRight w:val="0"/>
      <w:marTop w:val="0"/>
      <w:marBottom w:val="0"/>
      <w:divBdr>
        <w:top w:val="none" w:sz="0" w:space="0" w:color="auto"/>
        <w:left w:val="none" w:sz="0" w:space="0" w:color="auto"/>
        <w:bottom w:val="none" w:sz="0" w:space="0" w:color="auto"/>
        <w:right w:val="none" w:sz="0" w:space="0" w:color="auto"/>
      </w:divBdr>
    </w:div>
    <w:div w:id="505168394">
      <w:bodyDiv w:val="1"/>
      <w:marLeft w:val="0"/>
      <w:marRight w:val="0"/>
      <w:marTop w:val="0"/>
      <w:marBottom w:val="0"/>
      <w:divBdr>
        <w:top w:val="none" w:sz="0" w:space="0" w:color="auto"/>
        <w:left w:val="none" w:sz="0" w:space="0" w:color="auto"/>
        <w:bottom w:val="none" w:sz="0" w:space="0" w:color="auto"/>
        <w:right w:val="none" w:sz="0" w:space="0" w:color="auto"/>
      </w:divBdr>
    </w:div>
    <w:div w:id="511335493">
      <w:bodyDiv w:val="1"/>
      <w:marLeft w:val="0"/>
      <w:marRight w:val="0"/>
      <w:marTop w:val="0"/>
      <w:marBottom w:val="0"/>
      <w:divBdr>
        <w:top w:val="none" w:sz="0" w:space="0" w:color="auto"/>
        <w:left w:val="none" w:sz="0" w:space="0" w:color="auto"/>
        <w:bottom w:val="none" w:sz="0" w:space="0" w:color="auto"/>
        <w:right w:val="none" w:sz="0" w:space="0" w:color="auto"/>
      </w:divBdr>
    </w:div>
    <w:div w:id="518542443">
      <w:bodyDiv w:val="1"/>
      <w:marLeft w:val="0"/>
      <w:marRight w:val="0"/>
      <w:marTop w:val="0"/>
      <w:marBottom w:val="0"/>
      <w:divBdr>
        <w:top w:val="none" w:sz="0" w:space="0" w:color="auto"/>
        <w:left w:val="none" w:sz="0" w:space="0" w:color="auto"/>
        <w:bottom w:val="none" w:sz="0" w:space="0" w:color="auto"/>
        <w:right w:val="none" w:sz="0" w:space="0" w:color="auto"/>
      </w:divBdr>
      <w:divsChild>
        <w:div w:id="434058064">
          <w:marLeft w:val="0"/>
          <w:marRight w:val="0"/>
          <w:marTop w:val="0"/>
          <w:marBottom w:val="0"/>
          <w:divBdr>
            <w:top w:val="none" w:sz="0" w:space="0" w:color="auto"/>
            <w:left w:val="none" w:sz="0" w:space="0" w:color="auto"/>
            <w:bottom w:val="none" w:sz="0" w:space="0" w:color="auto"/>
            <w:right w:val="none" w:sz="0" w:space="0" w:color="auto"/>
          </w:divBdr>
          <w:divsChild>
            <w:div w:id="1240598963">
              <w:marLeft w:val="0"/>
              <w:marRight w:val="0"/>
              <w:marTop w:val="0"/>
              <w:marBottom w:val="0"/>
              <w:divBdr>
                <w:top w:val="none" w:sz="0" w:space="0" w:color="auto"/>
                <w:left w:val="none" w:sz="0" w:space="0" w:color="auto"/>
                <w:bottom w:val="none" w:sz="0" w:space="0" w:color="auto"/>
                <w:right w:val="none" w:sz="0" w:space="0" w:color="auto"/>
              </w:divBdr>
              <w:divsChild>
                <w:div w:id="275987188">
                  <w:marLeft w:val="0"/>
                  <w:marRight w:val="0"/>
                  <w:marTop w:val="0"/>
                  <w:marBottom w:val="0"/>
                  <w:divBdr>
                    <w:top w:val="none" w:sz="0" w:space="0" w:color="auto"/>
                    <w:left w:val="none" w:sz="0" w:space="0" w:color="auto"/>
                    <w:bottom w:val="none" w:sz="0" w:space="0" w:color="auto"/>
                    <w:right w:val="none" w:sz="0" w:space="0" w:color="auto"/>
                  </w:divBdr>
                  <w:divsChild>
                    <w:div w:id="1528985462">
                      <w:marLeft w:val="0"/>
                      <w:marRight w:val="0"/>
                      <w:marTop w:val="0"/>
                      <w:marBottom w:val="0"/>
                      <w:divBdr>
                        <w:top w:val="none" w:sz="0" w:space="0" w:color="auto"/>
                        <w:left w:val="none" w:sz="0" w:space="0" w:color="auto"/>
                        <w:bottom w:val="none" w:sz="0" w:space="0" w:color="auto"/>
                        <w:right w:val="none" w:sz="0" w:space="0" w:color="auto"/>
                      </w:divBdr>
                      <w:divsChild>
                        <w:div w:id="141384769">
                          <w:marLeft w:val="0"/>
                          <w:marRight w:val="0"/>
                          <w:marTop w:val="0"/>
                          <w:marBottom w:val="0"/>
                          <w:divBdr>
                            <w:top w:val="none" w:sz="0" w:space="0" w:color="auto"/>
                            <w:left w:val="none" w:sz="0" w:space="0" w:color="auto"/>
                            <w:bottom w:val="none" w:sz="0" w:space="0" w:color="auto"/>
                            <w:right w:val="none" w:sz="0" w:space="0" w:color="auto"/>
                          </w:divBdr>
                          <w:divsChild>
                            <w:div w:id="25605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5996377">
      <w:bodyDiv w:val="1"/>
      <w:marLeft w:val="0"/>
      <w:marRight w:val="0"/>
      <w:marTop w:val="0"/>
      <w:marBottom w:val="0"/>
      <w:divBdr>
        <w:top w:val="none" w:sz="0" w:space="0" w:color="auto"/>
        <w:left w:val="none" w:sz="0" w:space="0" w:color="auto"/>
        <w:bottom w:val="none" w:sz="0" w:space="0" w:color="auto"/>
        <w:right w:val="none" w:sz="0" w:space="0" w:color="auto"/>
      </w:divBdr>
    </w:div>
    <w:div w:id="556166001">
      <w:bodyDiv w:val="1"/>
      <w:marLeft w:val="0"/>
      <w:marRight w:val="0"/>
      <w:marTop w:val="0"/>
      <w:marBottom w:val="0"/>
      <w:divBdr>
        <w:top w:val="none" w:sz="0" w:space="0" w:color="auto"/>
        <w:left w:val="none" w:sz="0" w:space="0" w:color="auto"/>
        <w:bottom w:val="none" w:sz="0" w:space="0" w:color="auto"/>
        <w:right w:val="none" w:sz="0" w:space="0" w:color="auto"/>
      </w:divBdr>
    </w:div>
    <w:div w:id="583222569">
      <w:bodyDiv w:val="1"/>
      <w:marLeft w:val="0"/>
      <w:marRight w:val="0"/>
      <w:marTop w:val="0"/>
      <w:marBottom w:val="0"/>
      <w:divBdr>
        <w:top w:val="none" w:sz="0" w:space="0" w:color="auto"/>
        <w:left w:val="none" w:sz="0" w:space="0" w:color="auto"/>
        <w:bottom w:val="none" w:sz="0" w:space="0" w:color="auto"/>
        <w:right w:val="none" w:sz="0" w:space="0" w:color="auto"/>
      </w:divBdr>
    </w:div>
    <w:div w:id="607086257">
      <w:bodyDiv w:val="1"/>
      <w:marLeft w:val="0"/>
      <w:marRight w:val="0"/>
      <w:marTop w:val="0"/>
      <w:marBottom w:val="0"/>
      <w:divBdr>
        <w:top w:val="none" w:sz="0" w:space="0" w:color="auto"/>
        <w:left w:val="none" w:sz="0" w:space="0" w:color="auto"/>
        <w:bottom w:val="none" w:sz="0" w:space="0" w:color="auto"/>
        <w:right w:val="none" w:sz="0" w:space="0" w:color="auto"/>
      </w:divBdr>
    </w:div>
    <w:div w:id="664404866">
      <w:bodyDiv w:val="1"/>
      <w:marLeft w:val="0"/>
      <w:marRight w:val="0"/>
      <w:marTop w:val="0"/>
      <w:marBottom w:val="0"/>
      <w:divBdr>
        <w:top w:val="none" w:sz="0" w:space="0" w:color="auto"/>
        <w:left w:val="none" w:sz="0" w:space="0" w:color="auto"/>
        <w:bottom w:val="none" w:sz="0" w:space="0" w:color="auto"/>
        <w:right w:val="none" w:sz="0" w:space="0" w:color="auto"/>
      </w:divBdr>
    </w:div>
    <w:div w:id="669715816">
      <w:bodyDiv w:val="1"/>
      <w:marLeft w:val="0"/>
      <w:marRight w:val="0"/>
      <w:marTop w:val="0"/>
      <w:marBottom w:val="0"/>
      <w:divBdr>
        <w:top w:val="none" w:sz="0" w:space="0" w:color="auto"/>
        <w:left w:val="none" w:sz="0" w:space="0" w:color="auto"/>
        <w:bottom w:val="none" w:sz="0" w:space="0" w:color="auto"/>
        <w:right w:val="none" w:sz="0" w:space="0" w:color="auto"/>
      </w:divBdr>
    </w:div>
    <w:div w:id="679355710">
      <w:bodyDiv w:val="1"/>
      <w:marLeft w:val="0"/>
      <w:marRight w:val="0"/>
      <w:marTop w:val="0"/>
      <w:marBottom w:val="0"/>
      <w:divBdr>
        <w:top w:val="none" w:sz="0" w:space="0" w:color="auto"/>
        <w:left w:val="none" w:sz="0" w:space="0" w:color="auto"/>
        <w:bottom w:val="none" w:sz="0" w:space="0" w:color="auto"/>
        <w:right w:val="none" w:sz="0" w:space="0" w:color="auto"/>
      </w:divBdr>
    </w:div>
    <w:div w:id="680619784">
      <w:bodyDiv w:val="1"/>
      <w:marLeft w:val="0"/>
      <w:marRight w:val="0"/>
      <w:marTop w:val="0"/>
      <w:marBottom w:val="0"/>
      <w:divBdr>
        <w:top w:val="none" w:sz="0" w:space="0" w:color="auto"/>
        <w:left w:val="none" w:sz="0" w:space="0" w:color="auto"/>
        <w:bottom w:val="none" w:sz="0" w:space="0" w:color="auto"/>
        <w:right w:val="none" w:sz="0" w:space="0" w:color="auto"/>
      </w:divBdr>
    </w:div>
    <w:div w:id="714427004">
      <w:bodyDiv w:val="1"/>
      <w:marLeft w:val="0"/>
      <w:marRight w:val="0"/>
      <w:marTop w:val="0"/>
      <w:marBottom w:val="0"/>
      <w:divBdr>
        <w:top w:val="none" w:sz="0" w:space="0" w:color="auto"/>
        <w:left w:val="none" w:sz="0" w:space="0" w:color="auto"/>
        <w:bottom w:val="none" w:sz="0" w:space="0" w:color="auto"/>
        <w:right w:val="none" w:sz="0" w:space="0" w:color="auto"/>
      </w:divBdr>
    </w:div>
    <w:div w:id="714932439">
      <w:bodyDiv w:val="1"/>
      <w:marLeft w:val="0"/>
      <w:marRight w:val="0"/>
      <w:marTop w:val="0"/>
      <w:marBottom w:val="0"/>
      <w:divBdr>
        <w:top w:val="none" w:sz="0" w:space="0" w:color="auto"/>
        <w:left w:val="none" w:sz="0" w:space="0" w:color="auto"/>
        <w:bottom w:val="none" w:sz="0" w:space="0" w:color="auto"/>
        <w:right w:val="none" w:sz="0" w:space="0" w:color="auto"/>
      </w:divBdr>
    </w:div>
    <w:div w:id="723257449">
      <w:bodyDiv w:val="1"/>
      <w:marLeft w:val="0"/>
      <w:marRight w:val="0"/>
      <w:marTop w:val="0"/>
      <w:marBottom w:val="0"/>
      <w:divBdr>
        <w:top w:val="none" w:sz="0" w:space="0" w:color="auto"/>
        <w:left w:val="none" w:sz="0" w:space="0" w:color="auto"/>
        <w:bottom w:val="none" w:sz="0" w:space="0" w:color="auto"/>
        <w:right w:val="none" w:sz="0" w:space="0" w:color="auto"/>
      </w:divBdr>
    </w:div>
    <w:div w:id="749353175">
      <w:bodyDiv w:val="1"/>
      <w:marLeft w:val="0"/>
      <w:marRight w:val="0"/>
      <w:marTop w:val="0"/>
      <w:marBottom w:val="0"/>
      <w:divBdr>
        <w:top w:val="none" w:sz="0" w:space="0" w:color="auto"/>
        <w:left w:val="none" w:sz="0" w:space="0" w:color="auto"/>
        <w:bottom w:val="none" w:sz="0" w:space="0" w:color="auto"/>
        <w:right w:val="none" w:sz="0" w:space="0" w:color="auto"/>
      </w:divBdr>
    </w:div>
    <w:div w:id="780951210">
      <w:bodyDiv w:val="1"/>
      <w:marLeft w:val="0"/>
      <w:marRight w:val="0"/>
      <w:marTop w:val="0"/>
      <w:marBottom w:val="0"/>
      <w:divBdr>
        <w:top w:val="none" w:sz="0" w:space="0" w:color="auto"/>
        <w:left w:val="none" w:sz="0" w:space="0" w:color="auto"/>
        <w:bottom w:val="none" w:sz="0" w:space="0" w:color="auto"/>
        <w:right w:val="none" w:sz="0" w:space="0" w:color="auto"/>
      </w:divBdr>
    </w:div>
    <w:div w:id="786196690">
      <w:bodyDiv w:val="1"/>
      <w:marLeft w:val="0"/>
      <w:marRight w:val="0"/>
      <w:marTop w:val="0"/>
      <w:marBottom w:val="0"/>
      <w:divBdr>
        <w:top w:val="none" w:sz="0" w:space="0" w:color="auto"/>
        <w:left w:val="none" w:sz="0" w:space="0" w:color="auto"/>
        <w:bottom w:val="none" w:sz="0" w:space="0" w:color="auto"/>
        <w:right w:val="none" w:sz="0" w:space="0" w:color="auto"/>
      </w:divBdr>
    </w:div>
    <w:div w:id="786657118">
      <w:bodyDiv w:val="1"/>
      <w:marLeft w:val="0"/>
      <w:marRight w:val="0"/>
      <w:marTop w:val="0"/>
      <w:marBottom w:val="0"/>
      <w:divBdr>
        <w:top w:val="none" w:sz="0" w:space="0" w:color="auto"/>
        <w:left w:val="none" w:sz="0" w:space="0" w:color="auto"/>
        <w:bottom w:val="none" w:sz="0" w:space="0" w:color="auto"/>
        <w:right w:val="none" w:sz="0" w:space="0" w:color="auto"/>
      </w:divBdr>
    </w:div>
    <w:div w:id="797836327">
      <w:bodyDiv w:val="1"/>
      <w:marLeft w:val="0"/>
      <w:marRight w:val="0"/>
      <w:marTop w:val="0"/>
      <w:marBottom w:val="0"/>
      <w:divBdr>
        <w:top w:val="none" w:sz="0" w:space="0" w:color="auto"/>
        <w:left w:val="none" w:sz="0" w:space="0" w:color="auto"/>
        <w:bottom w:val="none" w:sz="0" w:space="0" w:color="auto"/>
        <w:right w:val="none" w:sz="0" w:space="0" w:color="auto"/>
      </w:divBdr>
    </w:div>
    <w:div w:id="844437642">
      <w:bodyDiv w:val="1"/>
      <w:marLeft w:val="0"/>
      <w:marRight w:val="0"/>
      <w:marTop w:val="0"/>
      <w:marBottom w:val="0"/>
      <w:divBdr>
        <w:top w:val="none" w:sz="0" w:space="0" w:color="auto"/>
        <w:left w:val="none" w:sz="0" w:space="0" w:color="auto"/>
        <w:bottom w:val="none" w:sz="0" w:space="0" w:color="auto"/>
        <w:right w:val="none" w:sz="0" w:space="0" w:color="auto"/>
      </w:divBdr>
    </w:div>
    <w:div w:id="890505648">
      <w:bodyDiv w:val="1"/>
      <w:marLeft w:val="0"/>
      <w:marRight w:val="0"/>
      <w:marTop w:val="0"/>
      <w:marBottom w:val="0"/>
      <w:divBdr>
        <w:top w:val="none" w:sz="0" w:space="0" w:color="auto"/>
        <w:left w:val="none" w:sz="0" w:space="0" w:color="auto"/>
        <w:bottom w:val="none" w:sz="0" w:space="0" w:color="auto"/>
        <w:right w:val="none" w:sz="0" w:space="0" w:color="auto"/>
      </w:divBdr>
    </w:div>
    <w:div w:id="899752993">
      <w:bodyDiv w:val="1"/>
      <w:marLeft w:val="0"/>
      <w:marRight w:val="0"/>
      <w:marTop w:val="0"/>
      <w:marBottom w:val="0"/>
      <w:divBdr>
        <w:top w:val="none" w:sz="0" w:space="0" w:color="auto"/>
        <w:left w:val="none" w:sz="0" w:space="0" w:color="auto"/>
        <w:bottom w:val="none" w:sz="0" w:space="0" w:color="auto"/>
        <w:right w:val="none" w:sz="0" w:space="0" w:color="auto"/>
      </w:divBdr>
    </w:div>
    <w:div w:id="920286559">
      <w:bodyDiv w:val="1"/>
      <w:marLeft w:val="0"/>
      <w:marRight w:val="0"/>
      <w:marTop w:val="0"/>
      <w:marBottom w:val="0"/>
      <w:divBdr>
        <w:top w:val="none" w:sz="0" w:space="0" w:color="auto"/>
        <w:left w:val="none" w:sz="0" w:space="0" w:color="auto"/>
        <w:bottom w:val="none" w:sz="0" w:space="0" w:color="auto"/>
        <w:right w:val="none" w:sz="0" w:space="0" w:color="auto"/>
      </w:divBdr>
    </w:div>
    <w:div w:id="929777634">
      <w:bodyDiv w:val="1"/>
      <w:marLeft w:val="0"/>
      <w:marRight w:val="0"/>
      <w:marTop w:val="0"/>
      <w:marBottom w:val="0"/>
      <w:divBdr>
        <w:top w:val="none" w:sz="0" w:space="0" w:color="auto"/>
        <w:left w:val="none" w:sz="0" w:space="0" w:color="auto"/>
        <w:bottom w:val="none" w:sz="0" w:space="0" w:color="auto"/>
        <w:right w:val="none" w:sz="0" w:space="0" w:color="auto"/>
      </w:divBdr>
    </w:div>
    <w:div w:id="952789233">
      <w:bodyDiv w:val="1"/>
      <w:marLeft w:val="0"/>
      <w:marRight w:val="0"/>
      <w:marTop w:val="0"/>
      <w:marBottom w:val="0"/>
      <w:divBdr>
        <w:top w:val="none" w:sz="0" w:space="0" w:color="auto"/>
        <w:left w:val="none" w:sz="0" w:space="0" w:color="auto"/>
        <w:bottom w:val="none" w:sz="0" w:space="0" w:color="auto"/>
        <w:right w:val="none" w:sz="0" w:space="0" w:color="auto"/>
      </w:divBdr>
    </w:div>
    <w:div w:id="953554742">
      <w:bodyDiv w:val="1"/>
      <w:marLeft w:val="0"/>
      <w:marRight w:val="0"/>
      <w:marTop w:val="0"/>
      <w:marBottom w:val="0"/>
      <w:divBdr>
        <w:top w:val="none" w:sz="0" w:space="0" w:color="auto"/>
        <w:left w:val="none" w:sz="0" w:space="0" w:color="auto"/>
        <w:bottom w:val="none" w:sz="0" w:space="0" w:color="auto"/>
        <w:right w:val="none" w:sz="0" w:space="0" w:color="auto"/>
      </w:divBdr>
    </w:div>
    <w:div w:id="954412438">
      <w:bodyDiv w:val="1"/>
      <w:marLeft w:val="0"/>
      <w:marRight w:val="0"/>
      <w:marTop w:val="0"/>
      <w:marBottom w:val="0"/>
      <w:divBdr>
        <w:top w:val="none" w:sz="0" w:space="0" w:color="auto"/>
        <w:left w:val="none" w:sz="0" w:space="0" w:color="auto"/>
        <w:bottom w:val="none" w:sz="0" w:space="0" w:color="auto"/>
        <w:right w:val="none" w:sz="0" w:space="0" w:color="auto"/>
      </w:divBdr>
    </w:div>
    <w:div w:id="985351569">
      <w:bodyDiv w:val="1"/>
      <w:marLeft w:val="0"/>
      <w:marRight w:val="0"/>
      <w:marTop w:val="0"/>
      <w:marBottom w:val="0"/>
      <w:divBdr>
        <w:top w:val="none" w:sz="0" w:space="0" w:color="auto"/>
        <w:left w:val="none" w:sz="0" w:space="0" w:color="auto"/>
        <w:bottom w:val="none" w:sz="0" w:space="0" w:color="auto"/>
        <w:right w:val="none" w:sz="0" w:space="0" w:color="auto"/>
      </w:divBdr>
    </w:div>
    <w:div w:id="1005787396">
      <w:bodyDiv w:val="1"/>
      <w:marLeft w:val="0"/>
      <w:marRight w:val="0"/>
      <w:marTop w:val="0"/>
      <w:marBottom w:val="0"/>
      <w:divBdr>
        <w:top w:val="none" w:sz="0" w:space="0" w:color="auto"/>
        <w:left w:val="none" w:sz="0" w:space="0" w:color="auto"/>
        <w:bottom w:val="none" w:sz="0" w:space="0" w:color="auto"/>
        <w:right w:val="none" w:sz="0" w:space="0" w:color="auto"/>
      </w:divBdr>
    </w:div>
    <w:div w:id="1047535052">
      <w:bodyDiv w:val="1"/>
      <w:marLeft w:val="0"/>
      <w:marRight w:val="0"/>
      <w:marTop w:val="0"/>
      <w:marBottom w:val="0"/>
      <w:divBdr>
        <w:top w:val="none" w:sz="0" w:space="0" w:color="auto"/>
        <w:left w:val="none" w:sz="0" w:space="0" w:color="auto"/>
        <w:bottom w:val="none" w:sz="0" w:space="0" w:color="auto"/>
        <w:right w:val="none" w:sz="0" w:space="0" w:color="auto"/>
      </w:divBdr>
    </w:div>
    <w:div w:id="1052920373">
      <w:bodyDiv w:val="1"/>
      <w:marLeft w:val="0"/>
      <w:marRight w:val="0"/>
      <w:marTop w:val="0"/>
      <w:marBottom w:val="0"/>
      <w:divBdr>
        <w:top w:val="none" w:sz="0" w:space="0" w:color="auto"/>
        <w:left w:val="none" w:sz="0" w:space="0" w:color="auto"/>
        <w:bottom w:val="none" w:sz="0" w:space="0" w:color="auto"/>
        <w:right w:val="none" w:sz="0" w:space="0" w:color="auto"/>
      </w:divBdr>
    </w:div>
    <w:div w:id="1057318544">
      <w:bodyDiv w:val="1"/>
      <w:marLeft w:val="0"/>
      <w:marRight w:val="0"/>
      <w:marTop w:val="0"/>
      <w:marBottom w:val="0"/>
      <w:divBdr>
        <w:top w:val="none" w:sz="0" w:space="0" w:color="auto"/>
        <w:left w:val="none" w:sz="0" w:space="0" w:color="auto"/>
        <w:bottom w:val="none" w:sz="0" w:space="0" w:color="auto"/>
        <w:right w:val="none" w:sz="0" w:space="0" w:color="auto"/>
      </w:divBdr>
    </w:div>
    <w:div w:id="1059472286">
      <w:bodyDiv w:val="1"/>
      <w:marLeft w:val="0"/>
      <w:marRight w:val="0"/>
      <w:marTop w:val="0"/>
      <w:marBottom w:val="0"/>
      <w:divBdr>
        <w:top w:val="none" w:sz="0" w:space="0" w:color="auto"/>
        <w:left w:val="none" w:sz="0" w:space="0" w:color="auto"/>
        <w:bottom w:val="none" w:sz="0" w:space="0" w:color="auto"/>
        <w:right w:val="none" w:sz="0" w:space="0" w:color="auto"/>
      </w:divBdr>
    </w:div>
    <w:div w:id="1101531246">
      <w:bodyDiv w:val="1"/>
      <w:marLeft w:val="0"/>
      <w:marRight w:val="0"/>
      <w:marTop w:val="0"/>
      <w:marBottom w:val="0"/>
      <w:divBdr>
        <w:top w:val="none" w:sz="0" w:space="0" w:color="auto"/>
        <w:left w:val="none" w:sz="0" w:space="0" w:color="auto"/>
        <w:bottom w:val="none" w:sz="0" w:space="0" w:color="auto"/>
        <w:right w:val="none" w:sz="0" w:space="0" w:color="auto"/>
      </w:divBdr>
    </w:div>
    <w:div w:id="1114400053">
      <w:bodyDiv w:val="1"/>
      <w:marLeft w:val="0"/>
      <w:marRight w:val="0"/>
      <w:marTop w:val="0"/>
      <w:marBottom w:val="0"/>
      <w:divBdr>
        <w:top w:val="none" w:sz="0" w:space="0" w:color="auto"/>
        <w:left w:val="none" w:sz="0" w:space="0" w:color="auto"/>
        <w:bottom w:val="none" w:sz="0" w:space="0" w:color="auto"/>
        <w:right w:val="none" w:sz="0" w:space="0" w:color="auto"/>
      </w:divBdr>
    </w:div>
    <w:div w:id="1147164842">
      <w:bodyDiv w:val="1"/>
      <w:marLeft w:val="0"/>
      <w:marRight w:val="0"/>
      <w:marTop w:val="0"/>
      <w:marBottom w:val="0"/>
      <w:divBdr>
        <w:top w:val="none" w:sz="0" w:space="0" w:color="auto"/>
        <w:left w:val="none" w:sz="0" w:space="0" w:color="auto"/>
        <w:bottom w:val="none" w:sz="0" w:space="0" w:color="auto"/>
        <w:right w:val="none" w:sz="0" w:space="0" w:color="auto"/>
      </w:divBdr>
    </w:div>
    <w:div w:id="1148716345">
      <w:bodyDiv w:val="1"/>
      <w:marLeft w:val="0"/>
      <w:marRight w:val="0"/>
      <w:marTop w:val="0"/>
      <w:marBottom w:val="0"/>
      <w:divBdr>
        <w:top w:val="none" w:sz="0" w:space="0" w:color="auto"/>
        <w:left w:val="none" w:sz="0" w:space="0" w:color="auto"/>
        <w:bottom w:val="none" w:sz="0" w:space="0" w:color="auto"/>
        <w:right w:val="none" w:sz="0" w:space="0" w:color="auto"/>
      </w:divBdr>
      <w:divsChild>
        <w:div w:id="1953510245">
          <w:marLeft w:val="0"/>
          <w:marRight w:val="0"/>
          <w:marTop w:val="0"/>
          <w:marBottom w:val="0"/>
          <w:divBdr>
            <w:top w:val="none" w:sz="0" w:space="0" w:color="auto"/>
            <w:left w:val="none" w:sz="0" w:space="0" w:color="auto"/>
            <w:bottom w:val="none" w:sz="0" w:space="0" w:color="auto"/>
            <w:right w:val="none" w:sz="0" w:space="0" w:color="auto"/>
          </w:divBdr>
          <w:divsChild>
            <w:div w:id="1995525682">
              <w:marLeft w:val="0"/>
              <w:marRight w:val="0"/>
              <w:marTop w:val="0"/>
              <w:marBottom w:val="0"/>
              <w:divBdr>
                <w:top w:val="none" w:sz="0" w:space="0" w:color="auto"/>
                <w:left w:val="none" w:sz="0" w:space="0" w:color="auto"/>
                <w:bottom w:val="none" w:sz="0" w:space="0" w:color="auto"/>
                <w:right w:val="none" w:sz="0" w:space="0" w:color="auto"/>
              </w:divBdr>
              <w:divsChild>
                <w:div w:id="1911497330">
                  <w:marLeft w:val="0"/>
                  <w:marRight w:val="0"/>
                  <w:marTop w:val="0"/>
                  <w:marBottom w:val="0"/>
                  <w:divBdr>
                    <w:top w:val="none" w:sz="0" w:space="0" w:color="auto"/>
                    <w:left w:val="none" w:sz="0" w:space="0" w:color="auto"/>
                    <w:bottom w:val="none" w:sz="0" w:space="0" w:color="auto"/>
                    <w:right w:val="none" w:sz="0" w:space="0" w:color="auto"/>
                  </w:divBdr>
                  <w:divsChild>
                    <w:div w:id="1254321940">
                      <w:marLeft w:val="0"/>
                      <w:marRight w:val="0"/>
                      <w:marTop w:val="0"/>
                      <w:marBottom w:val="0"/>
                      <w:divBdr>
                        <w:top w:val="none" w:sz="0" w:space="0" w:color="auto"/>
                        <w:left w:val="none" w:sz="0" w:space="0" w:color="auto"/>
                        <w:bottom w:val="none" w:sz="0" w:space="0" w:color="auto"/>
                        <w:right w:val="none" w:sz="0" w:space="0" w:color="auto"/>
                      </w:divBdr>
                      <w:divsChild>
                        <w:div w:id="174616482">
                          <w:marLeft w:val="0"/>
                          <w:marRight w:val="0"/>
                          <w:marTop w:val="0"/>
                          <w:marBottom w:val="0"/>
                          <w:divBdr>
                            <w:top w:val="none" w:sz="0" w:space="0" w:color="auto"/>
                            <w:left w:val="none" w:sz="0" w:space="0" w:color="auto"/>
                            <w:bottom w:val="none" w:sz="0" w:space="0" w:color="auto"/>
                            <w:right w:val="none" w:sz="0" w:space="0" w:color="auto"/>
                          </w:divBdr>
                          <w:divsChild>
                            <w:div w:id="181753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9834430">
      <w:bodyDiv w:val="1"/>
      <w:marLeft w:val="0"/>
      <w:marRight w:val="0"/>
      <w:marTop w:val="0"/>
      <w:marBottom w:val="0"/>
      <w:divBdr>
        <w:top w:val="none" w:sz="0" w:space="0" w:color="auto"/>
        <w:left w:val="none" w:sz="0" w:space="0" w:color="auto"/>
        <w:bottom w:val="none" w:sz="0" w:space="0" w:color="auto"/>
        <w:right w:val="none" w:sz="0" w:space="0" w:color="auto"/>
      </w:divBdr>
    </w:div>
    <w:div w:id="1234125183">
      <w:bodyDiv w:val="1"/>
      <w:marLeft w:val="0"/>
      <w:marRight w:val="0"/>
      <w:marTop w:val="0"/>
      <w:marBottom w:val="0"/>
      <w:divBdr>
        <w:top w:val="none" w:sz="0" w:space="0" w:color="auto"/>
        <w:left w:val="none" w:sz="0" w:space="0" w:color="auto"/>
        <w:bottom w:val="none" w:sz="0" w:space="0" w:color="auto"/>
        <w:right w:val="none" w:sz="0" w:space="0" w:color="auto"/>
      </w:divBdr>
    </w:div>
    <w:div w:id="1241062055">
      <w:bodyDiv w:val="1"/>
      <w:marLeft w:val="0"/>
      <w:marRight w:val="0"/>
      <w:marTop w:val="0"/>
      <w:marBottom w:val="0"/>
      <w:divBdr>
        <w:top w:val="none" w:sz="0" w:space="0" w:color="auto"/>
        <w:left w:val="none" w:sz="0" w:space="0" w:color="auto"/>
        <w:bottom w:val="none" w:sz="0" w:space="0" w:color="auto"/>
        <w:right w:val="none" w:sz="0" w:space="0" w:color="auto"/>
      </w:divBdr>
    </w:div>
    <w:div w:id="1264530341">
      <w:bodyDiv w:val="1"/>
      <w:marLeft w:val="0"/>
      <w:marRight w:val="0"/>
      <w:marTop w:val="0"/>
      <w:marBottom w:val="0"/>
      <w:divBdr>
        <w:top w:val="none" w:sz="0" w:space="0" w:color="auto"/>
        <w:left w:val="none" w:sz="0" w:space="0" w:color="auto"/>
        <w:bottom w:val="none" w:sz="0" w:space="0" w:color="auto"/>
        <w:right w:val="none" w:sz="0" w:space="0" w:color="auto"/>
      </w:divBdr>
    </w:div>
    <w:div w:id="1280994422">
      <w:bodyDiv w:val="1"/>
      <w:marLeft w:val="0"/>
      <w:marRight w:val="0"/>
      <w:marTop w:val="0"/>
      <w:marBottom w:val="0"/>
      <w:divBdr>
        <w:top w:val="none" w:sz="0" w:space="0" w:color="auto"/>
        <w:left w:val="none" w:sz="0" w:space="0" w:color="auto"/>
        <w:bottom w:val="none" w:sz="0" w:space="0" w:color="auto"/>
        <w:right w:val="none" w:sz="0" w:space="0" w:color="auto"/>
      </w:divBdr>
    </w:div>
    <w:div w:id="1284919437">
      <w:bodyDiv w:val="1"/>
      <w:marLeft w:val="0"/>
      <w:marRight w:val="0"/>
      <w:marTop w:val="0"/>
      <w:marBottom w:val="0"/>
      <w:divBdr>
        <w:top w:val="none" w:sz="0" w:space="0" w:color="auto"/>
        <w:left w:val="none" w:sz="0" w:space="0" w:color="auto"/>
        <w:bottom w:val="none" w:sz="0" w:space="0" w:color="auto"/>
        <w:right w:val="none" w:sz="0" w:space="0" w:color="auto"/>
      </w:divBdr>
    </w:div>
    <w:div w:id="1320421519">
      <w:bodyDiv w:val="1"/>
      <w:marLeft w:val="0"/>
      <w:marRight w:val="0"/>
      <w:marTop w:val="0"/>
      <w:marBottom w:val="0"/>
      <w:divBdr>
        <w:top w:val="none" w:sz="0" w:space="0" w:color="auto"/>
        <w:left w:val="none" w:sz="0" w:space="0" w:color="auto"/>
        <w:bottom w:val="none" w:sz="0" w:space="0" w:color="auto"/>
        <w:right w:val="none" w:sz="0" w:space="0" w:color="auto"/>
      </w:divBdr>
    </w:div>
    <w:div w:id="1353996193">
      <w:bodyDiv w:val="1"/>
      <w:marLeft w:val="0"/>
      <w:marRight w:val="0"/>
      <w:marTop w:val="0"/>
      <w:marBottom w:val="0"/>
      <w:divBdr>
        <w:top w:val="none" w:sz="0" w:space="0" w:color="auto"/>
        <w:left w:val="none" w:sz="0" w:space="0" w:color="auto"/>
        <w:bottom w:val="none" w:sz="0" w:space="0" w:color="auto"/>
        <w:right w:val="none" w:sz="0" w:space="0" w:color="auto"/>
      </w:divBdr>
    </w:div>
    <w:div w:id="1359618330">
      <w:bodyDiv w:val="1"/>
      <w:marLeft w:val="0"/>
      <w:marRight w:val="0"/>
      <w:marTop w:val="0"/>
      <w:marBottom w:val="0"/>
      <w:divBdr>
        <w:top w:val="none" w:sz="0" w:space="0" w:color="auto"/>
        <w:left w:val="none" w:sz="0" w:space="0" w:color="auto"/>
        <w:bottom w:val="none" w:sz="0" w:space="0" w:color="auto"/>
        <w:right w:val="none" w:sz="0" w:space="0" w:color="auto"/>
      </w:divBdr>
    </w:div>
    <w:div w:id="1389037805">
      <w:bodyDiv w:val="1"/>
      <w:marLeft w:val="0"/>
      <w:marRight w:val="0"/>
      <w:marTop w:val="0"/>
      <w:marBottom w:val="0"/>
      <w:divBdr>
        <w:top w:val="none" w:sz="0" w:space="0" w:color="auto"/>
        <w:left w:val="none" w:sz="0" w:space="0" w:color="auto"/>
        <w:bottom w:val="none" w:sz="0" w:space="0" w:color="auto"/>
        <w:right w:val="none" w:sz="0" w:space="0" w:color="auto"/>
      </w:divBdr>
    </w:div>
    <w:div w:id="1405881164">
      <w:bodyDiv w:val="1"/>
      <w:marLeft w:val="0"/>
      <w:marRight w:val="0"/>
      <w:marTop w:val="0"/>
      <w:marBottom w:val="0"/>
      <w:divBdr>
        <w:top w:val="none" w:sz="0" w:space="0" w:color="auto"/>
        <w:left w:val="none" w:sz="0" w:space="0" w:color="auto"/>
        <w:bottom w:val="none" w:sz="0" w:space="0" w:color="auto"/>
        <w:right w:val="none" w:sz="0" w:space="0" w:color="auto"/>
      </w:divBdr>
    </w:div>
    <w:div w:id="1410689943">
      <w:bodyDiv w:val="1"/>
      <w:marLeft w:val="0"/>
      <w:marRight w:val="0"/>
      <w:marTop w:val="0"/>
      <w:marBottom w:val="0"/>
      <w:divBdr>
        <w:top w:val="none" w:sz="0" w:space="0" w:color="auto"/>
        <w:left w:val="none" w:sz="0" w:space="0" w:color="auto"/>
        <w:bottom w:val="none" w:sz="0" w:space="0" w:color="auto"/>
        <w:right w:val="none" w:sz="0" w:space="0" w:color="auto"/>
      </w:divBdr>
    </w:div>
    <w:div w:id="1413241217">
      <w:bodyDiv w:val="1"/>
      <w:marLeft w:val="0"/>
      <w:marRight w:val="0"/>
      <w:marTop w:val="0"/>
      <w:marBottom w:val="0"/>
      <w:divBdr>
        <w:top w:val="none" w:sz="0" w:space="0" w:color="auto"/>
        <w:left w:val="none" w:sz="0" w:space="0" w:color="auto"/>
        <w:bottom w:val="none" w:sz="0" w:space="0" w:color="auto"/>
        <w:right w:val="none" w:sz="0" w:space="0" w:color="auto"/>
      </w:divBdr>
    </w:div>
    <w:div w:id="1428112202">
      <w:bodyDiv w:val="1"/>
      <w:marLeft w:val="0"/>
      <w:marRight w:val="0"/>
      <w:marTop w:val="0"/>
      <w:marBottom w:val="0"/>
      <w:divBdr>
        <w:top w:val="none" w:sz="0" w:space="0" w:color="auto"/>
        <w:left w:val="none" w:sz="0" w:space="0" w:color="auto"/>
        <w:bottom w:val="none" w:sz="0" w:space="0" w:color="auto"/>
        <w:right w:val="none" w:sz="0" w:space="0" w:color="auto"/>
      </w:divBdr>
    </w:div>
    <w:div w:id="1483042742">
      <w:bodyDiv w:val="1"/>
      <w:marLeft w:val="0"/>
      <w:marRight w:val="0"/>
      <w:marTop w:val="0"/>
      <w:marBottom w:val="0"/>
      <w:divBdr>
        <w:top w:val="none" w:sz="0" w:space="0" w:color="auto"/>
        <w:left w:val="none" w:sz="0" w:space="0" w:color="auto"/>
        <w:bottom w:val="none" w:sz="0" w:space="0" w:color="auto"/>
        <w:right w:val="none" w:sz="0" w:space="0" w:color="auto"/>
      </w:divBdr>
    </w:div>
    <w:div w:id="1518232041">
      <w:bodyDiv w:val="1"/>
      <w:marLeft w:val="0"/>
      <w:marRight w:val="0"/>
      <w:marTop w:val="0"/>
      <w:marBottom w:val="0"/>
      <w:divBdr>
        <w:top w:val="none" w:sz="0" w:space="0" w:color="auto"/>
        <w:left w:val="none" w:sz="0" w:space="0" w:color="auto"/>
        <w:bottom w:val="none" w:sz="0" w:space="0" w:color="auto"/>
        <w:right w:val="none" w:sz="0" w:space="0" w:color="auto"/>
      </w:divBdr>
    </w:div>
    <w:div w:id="1579902397">
      <w:bodyDiv w:val="1"/>
      <w:marLeft w:val="0"/>
      <w:marRight w:val="0"/>
      <w:marTop w:val="0"/>
      <w:marBottom w:val="0"/>
      <w:divBdr>
        <w:top w:val="none" w:sz="0" w:space="0" w:color="auto"/>
        <w:left w:val="none" w:sz="0" w:space="0" w:color="auto"/>
        <w:bottom w:val="none" w:sz="0" w:space="0" w:color="auto"/>
        <w:right w:val="none" w:sz="0" w:space="0" w:color="auto"/>
      </w:divBdr>
    </w:div>
    <w:div w:id="1582254742">
      <w:bodyDiv w:val="1"/>
      <w:marLeft w:val="0"/>
      <w:marRight w:val="0"/>
      <w:marTop w:val="0"/>
      <w:marBottom w:val="0"/>
      <w:divBdr>
        <w:top w:val="none" w:sz="0" w:space="0" w:color="auto"/>
        <w:left w:val="none" w:sz="0" w:space="0" w:color="auto"/>
        <w:bottom w:val="none" w:sz="0" w:space="0" w:color="auto"/>
        <w:right w:val="none" w:sz="0" w:space="0" w:color="auto"/>
      </w:divBdr>
      <w:divsChild>
        <w:div w:id="1948734496">
          <w:marLeft w:val="0"/>
          <w:marRight w:val="0"/>
          <w:marTop w:val="0"/>
          <w:marBottom w:val="0"/>
          <w:divBdr>
            <w:top w:val="none" w:sz="0" w:space="0" w:color="auto"/>
            <w:left w:val="none" w:sz="0" w:space="0" w:color="auto"/>
            <w:bottom w:val="none" w:sz="0" w:space="0" w:color="auto"/>
            <w:right w:val="none" w:sz="0" w:space="0" w:color="auto"/>
          </w:divBdr>
          <w:divsChild>
            <w:div w:id="1048721205">
              <w:marLeft w:val="0"/>
              <w:marRight w:val="0"/>
              <w:marTop w:val="0"/>
              <w:marBottom w:val="0"/>
              <w:divBdr>
                <w:top w:val="none" w:sz="0" w:space="0" w:color="auto"/>
                <w:left w:val="none" w:sz="0" w:space="0" w:color="auto"/>
                <w:bottom w:val="none" w:sz="0" w:space="0" w:color="auto"/>
                <w:right w:val="none" w:sz="0" w:space="0" w:color="auto"/>
              </w:divBdr>
              <w:divsChild>
                <w:div w:id="2041860146">
                  <w:marLeft w:val="0"/>
                  <w:marRight w:val="0"/>
                  <w:marTop w:val="0"/>
                  <w:marBottom w:val="0"/>
                  <w:divBdr>
                    <w:top w:val="none" w:sz="0" w:space="0" w:color="auto"/>
                    <w:left w:val="none" w:sz="0" w:space="0" w:color="auto"/>
                    <w:bottom w:val="none" w:sz="0" w:space="0" w:color="auto"/>
                    <w:right w:val="none" w:sz="0" w:space="0" w:color="auto"/>
                  </w:divBdr>
                  <w:divsChild>
                    <w:div w:id="149449555">
                      <w:marLeft w:val="0"/>
                      <w:marRight w:val="0"/>
                      <w:marTop w:val="0"/>
                      <w:marBottom w:val="0"/>
                      <w:divBdr>
                        <w:top w:val="none" w:sz="0" w:space="0" w:color="auto"/>
                        <w:left w:val="none" w:sz="0" w:space="0" w:color="auto"/>
                        <w:bottom w:val="none" w:sz="0" w:space="0" w:color="auto"/>
                        <w:right w:val="none" w:sz="0" w:space="0" w:color="auto"/>
                      </w:divBdr>
                      <w:divsChild>
                        <w:div w:id="805709226">
                          <w:marLeft w:val="0"/>
                          <w:marRight w:val="0"/>
                          <w:marTop w:val="0"/>
                          <w:marBottom w:val="0"/>
                          <w:divBdr>
                            <w:top w:val="none" w:sz="0" w:space="0" w:color="auto"/>
                            <w:left w:val="none" w:sz="0" w:space="0" w:color="auto"/>
                            <w:bottom w:val="none" w:sz="0" w:space="0" w:color="auto"/>
                            <w:right w:val="none" w:sz="0" w:space="0" w:color="auto"/>
                          </w:divBdr>
                          <w:divsChild>
                            <w:div w:id="171195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559696">
      <w:bodyDiv w:val="1"/>
      <w:marLeft w:val="0"/>
      <w:marRight w:val="0"/>
      <w:marTop w:val="0"/>
      <w:marBottom w:val="0"/>
      <w:divBdr>
        <w:top w:val="none" w:sz="0" w:space="0" w:color="auto"/>
        <w:left w:val="none" w:sz="0" w:space="0" w:color="auto"/>
        <w:bottom w:val="none" w:sz="0" w:space="0" w:color="auto"/>
        <w:right w:val="none" w:sz="0" w:space="0" w:color="auto"/>
      </w:divBdr>
    </w:div>
    <w:div w:id="1655523529">
      <w:bodyDiv w:val="1"/>
      <w:marLeft w:val="0"/>
      <w:marRight w:val="0"/>
      <w:marTop w:val="0"/>
      <w:marBottom w:val="0"/>
      <w:divBdr>
        <w:top w:val="none" w:sz="0" w:space="0" w:color="auto"/>
        <w:left w:val="none" w:sz="0" w:space="0" w:color="auto"/>
        <w:bottom w:val="none" w:sz="0" w:space="0" w:color="auto"/>
        <w:right w:val="none" w:sz="0" w:space="0" w:color="auto"/>
      </w:divBdr>
    </w:div>
    <w:div w:id="1658337644">
      <w:bodyDiv w:val="1"/>
      <w:marLeft w:val="0"/>
      <w:marRight w:val="0"/>
      <w:marTop w:val="0"/>
      <w:marBottom w:val="0"/>
      <w:divBdr>
        <w:top w:val="none" w:sz="0" w:space="0" w:color="auto"/>
        <w:left w:val="none" w:sz="0" w:space="0" w:color="auto"/>
        <w:bottom w:val="none" w:sz="0" w:space="0" w:color="auto"/>
        <w:right w:val="none" w:sz="0" w:space="0" w:color="auto"/>
      </w:divBdr>
    </w:div>
    <w:div w:id="1661343960">
      <w:bodyDiv w:val="1"/>
      <w:marLeft w:val="0"/>
      <w:marRight w:val="0"/>
      <w:marTop w:val="0"/>
      <w:marBottom w:val="0"/>
      <w:divBdr>
        <w:top w:val="none" w:sz="0" w:space="0" w:color="auto"/>
        <w:left w:val="none" w:sz="0" w:space="0" w:color="auto"/>
        <w:bottom w:val="none" w:sz="0" w:space="0" w:color="auto"/>
        <w:right w:val="none" w:sz="0" w:space="0" w:color="auto"/>
      </w:divBdr>
    </w:div>
    <w:div w:id="1664813742">
      <w:bodyDiv w:val="1"/>
      <w:marLeft w:val="0"/>
      <w:marRight w:val="0"/>
      <w:marTop w:val="0"/>
      <w:marBottom w:val="0"/>
      <w:divBdr>
        <w:top w:val="none" w:sz="0" w:space="0" w:color="auto"/>
        <w:left w:val="none" w:sz="0" w:space="0" w:color="auto"/>
        <w:bottom w:val="none" w:sz="0" w:space="0" w:color="auto"/>
        <w:right w:val="none" w:sz="0" w:space="0" w:color="auto"/>
      </w:divBdr>
    </w:div>
    <w:div w:id="1668098412">
      <w:bodyDiv w:val="1"/>
      <w:marLeft w:val="0"/>
      <w:marRight w:val="0"/>
      <w:marTop w:val="0"/>
      <w:marBottom w:val="0"/>
      <w:divBdr>
        <w:top w:val="none" w:sz="0" w:space="0" w:color="auto"/>
        <w:left w:val="none" w:sz="0" w:space="0" w:color="auto"/>
        <w:bottom w:val="none" w:sz="0" w:space="0" w:color="auto"/>
        <w:right w:val="none" w:sz="0" w:space="0" w:color="auto"/>
      </w:divBdr>
      <w:divsChild>
        <w:div w:id="761029321">
          <w:marLeft w:val="0"/>
          <w:marRight w:val="0"/>
          <w:marTop w:val="0"/>
          <w:marBottom w:val="0"/>
          <w:divBdr>
            <w:top w:val="none" w:sz="0" w:space="0" w:color="auto"/>
            <w:left w:val="none" w:sz="0" w:space="0" w:color="auto"/>
            <w:bottom w:val="none" w:sz="0" w:space="0" w:color="auto"/>
            <w:right w:val="none" w:sz="0" w:space="0" w:color="auto"/>
          </w:divBdr>
          <w:divsChild>
            <w:div w:id="127482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996196">
      <w:bodyDiv w:val="1"/>
      <w:marLeft w:val="0"/>
      <w:marRight w:val="0"/>
      <w:marTop w:val="0"/>
      <w:marBottom w:val="0"/>
      <w:divBdr>
        <w:top w:val="none" w:sz="0" w:space="0" w:color="auto"/>
        <w:left w:val="none" w:sz="0" w:space="0" w:color="auto"/>
        <w:bottom w:val="none" w:sz="0" w:space="0" w:color="auto"/>
        <w:right w:val="none" w:sz="0" w:space="0" w:color="auto"/>
      </w:divBdr>
    </w:div>
    <w:div w:id="1740209715">
      <w:bodyDiv w:val="1"/>
      <w:marLeft w:val="0"/>
      <w:marRight w:val="0"/>
      <w:marTop w:val="0"/>
      <w:marBottom w:val="0"/>
      <w:divBdr>
        <w:top w:val="none" w:sz="0" w:space="0" w:color="auto"/>
        <w:left w:val="none" w:sz="0" w:space="0" w:color="auto"/>
        <w:bottom w:val="none" w:sz="0" w:space="0" w:color="auto"/>
        <w:right w:val="none" w:sz="0" w:space="0" w:color="auto"/>
      </w:divBdr>
    </w:div>
    <w:div w:id="1752578690">
      <w:bodyDiv w:val="1"/>
      <w:marLeft w:val="0"/>
      <w:marRight w:val="0"/>
      <w:marTop w:val="0"/>
      <w:marBottom w:val="0"/>
      <w:divBdr>
        <w:top w:val="none" w:sz="0" w:space="0" w:color="auto"/>
        <w:left w:val="none" w:sz="0" w:space="0" w:color="auto"/>
        <w:bottom w:val="none" w:sz="0" w:space="0" w:color="auto"/>
        <w:right w:val="none" w:sz="0" w:space="0" w:color="auto"/>
      </w:divBdr>
    </w:div>
    <w:div w:id="1781990144">
      <w:bodyDiv w:val="1"/>
      <w:marLeft w:val="0"/>
      <w:marRight w:val="0"/>
      <w:marTop w:val="0"/>
      <w:marBottom w:val="0"/>
      <w:divBdr>
        <w:top w:val="none" w:sz="0" w:space="0" w:color="auto"/>
        <w:left w:val="none" w:sz="0" w:space="0" w:color="auto"/>
        <w:bottom w:val="none" w:sz="0" w:space="0" w:color="auto"/>
        <w:right w:val="none" w:sz="0" w:space="0" w:color="auto"/>
      </w:divBdr>
    </w:div>
    <w:div w:id="1783643345">
      <w:bodyDiv w:val="1"/>
      <w:marLeft w:val="0"/>
      <w:marRight w:val="0"/>
      <w:marTop w:val="0"/>
      <w:marBottom w:val="0"/>
      <w:divBdr>
        <w:top w:val="none" w:sz="0" w:space="0" w:color="auto"/>
        <w:left w:val="none" w:sz="0" w:space="0" w:color="auto"/>
        <w:bottom w:val="none" w:sz="0" w:space="0" w:color="auto"/>
        <w:right w:val="none" w:sz="0" w:space="0" w:color="auto"/>
      </w:divBdr>
    </w:div>
    <w:div w:id="1802262906">
      <w:bodyDiv w:val="1"/>
      <w:marLeft w:val="0"/>
      <w:marRight w:val="0"/>
      <w:marTop w:val="0"/>
      <w:marBottom w:val="0"/>
      <w:divBdr>
        <w:top w:val="none" w:sz="0" w:space="0" w:color="auto"/>
        <w:left w:val="none" w:sz="0" w:space="0" w:color="auto"/>
        <w:bottom w:val="none" w:sz="0" w:space="0" w:color="auto"/>
        <w:right w:val="none" w:sz="0" w:space="0" w:color="auto"/>
      </w:divBdr>
    </w:div>
    <w:div w:id="1804301464">
      <w:bodyDiv w:val="1"/>
      <w:marLeft w:val="0"/>
      <w:marRight w:val="0"/>
      <w:marTop w:val="0"/>
      <w:marBottom w:val="0"/>
      <w:divBdr>
        <w:top w:val="none" w:sz="0" w:space="0" w:color="auto"/>
        <w:left w:val="none" w:sz="0" w:space="0" w:color="auto"/>
        <w:bottom w:val="none" w:sz="0" w:space="0" w:color="auto"/>
        <w:right w:val="none" w:sz="0" w:space="0" w:color="auto"/>
      </w:divBdr>
    </w:div>
    <w:div w:id="1814905167">
      <w:bodyDiv w:val="1"/>
      <w:marLeft w:val="0"/>
      <w:marRight w:val="0"/>
      <w:marTop w:val="0"/>
      <w:marBottom w:val="0"/>
      <w:divBdr>
        <w:top w:val="none" w:sz="0" w:space="0" w:color="auto"/>
        <w:left w:val="none" w:sz="0" w:space="0" w:color="auto"/>
        <w:bottom w:val="none" w:sz="0" w:space="0" w:color="auto"/>
        <w:right w:val="none" w:sz="0" w:space="0" w:color="auto"/>
      </w:divBdr>
    </w:div>
    <w:div w:id="1825662797">
      <w:bodyDiv w:val="1"/>
      <w:marLeft w:val="0"/>
      <w:marRight w:val="0"/>
      <w:marTop w:val="0"/>
      <w:marBottom w:val="0"/>
      <w:divBdr>
        <w:top w:val="none" w:sz="0" w:space="0" w:color="auto"/>
        <w:left w:val="none" w:sz="0" w:space="0" w:color="auto"/>
        <w:bottom w:val="none" w:sz="0" w:space="0" w:color="auto"/>
        <w:right w:val="none" w:sz="0" w:space="0" w:color="auto"/>
      </w:divBdr>
    </w:div>
    <w:div w:id="1831215065">
      <w:bodyDiv w:val="1"/>
      <w:marLeft w:val="0"/>
      <w:marRight w:val="0"/>
      <w:marTop w:val="0"/>
      <w:marBottom w:val="0"/>
      <w:divBdr>
        <w:top w:val="none" w:sz="0" w:space="0" w:color="auto"/>
        <w:left w:val="none" w:sz="0" w:space="0" w:color="auto"/>
        <w:bottom w:val="none" w:sz="0" w:space="0" w:color="auto"/>
        <w:right w:val="none" w:sz="0" w:space="0" w:color="auto"/>
      </w:divBdr>
    </w:div>
    <w:div w:id="1848792039">
      <w:bodyDiv w:val="1"/>
      <w:marLeft w:val="0"/>
      <w:marRight w:val="0"/>
      <w:marTop w:val="0"/>
      <w:marBottom w:val="0"/>
      <w:divBdr>
        <w:top w:val="none" w:sz="0" w:space="0" w:color="auto"/>
        <w:left w:val="none" w:sz="0" w:space="0" w:color="auto"/>
        <w:bottom w:val="none" w:sz="0" w:space="0" w:color="auto"/>
        <w:right w:val="none" w:sz="0" w:space="0" w:color="auto"/>
      </w:divBdr>
    </w:div>
    <w:div w:id="1857765660">
      <w:bodyDiv w:val="1"/>
      <w:marLeft w:val="0"/>
      <w:marRight w:val="0"/>
      <w:marTop w:val="0"/>
      <w:marBottom w:val="0"/>
      <w:divBdr>
        <w:top w:val="none" w:sz="0" w:space="0" w:color="auto"/>
        <w:left w:val="none" w:sz="0" w:space="0" w:color="auto"/>
        <w:bottom w:val="none" w:sz="0" w:space="0" w:color="auto"/>
        <w:right w:val="none" w:sz="0" w:space="0" w:color="auto"/>
      </w:divBdr>
    </w:div>
    <w:div w:id="1886023534">
      <w:bodyDiv w:val="1"/>
      <w:marLeft w:val="0"/>
      <w:marRight w:val="0"/>
      <w:marTop w:val="0"/>
      <w:marBottom w:val="0"/>
      <w:divBdr>
        <w:top w:val="none" w:sz="0" w:space="0" w:color="auto"/>
        <w:left w:val="none" w:sz="0" w:space="0" w:color="auto"/>
        <w:bottom w:val="none" w:sz="0" w:space="0" w:color="auto"/>
        <w:right w:val="none" w:sz="0" w:space="0" w:color="auto"/>
      </w:divBdr>
    </w:div>
    <w:div w:id="1892694777">
      <w:bodyDiv w:val="1"/>
      <w:marLeft w:val="0"/>
      <w:marRight w:val="0"/>
      <w:marTop w:val="0"/>
      <w:marBottom w:val="0"/>
      <w:divBdr>
        <w:top w:val="none" w:sz="0" w:space="0" w:color="auto"/>
        <w:left w:val="none" w:sz="0" w:space="0" w:color="auto"/>
        <w:bottom w:val="none" w:sz="0" w:space="0" w:color="auto"/>
        <w:right w:val="none" w:sz="0" w:space="0" w:color="auto"/>
      </w:divBdr>
    </w:div>
    <w:div w:id="1910261407">
      <w:bodyDiv w:val="1"/>
      <w:marLeft w:val="0"/>
      <w:marRight w:val="0"/>
      <w:marTop w:val="0"/>
      <w:marBottom w:val="0"/>
      <w:divBdr>
        <w:top w:val="none" w:sz="0" w:space="0" w:color="auto"/>
        <w:left w:val="none" w:sz="0" w:space="0" w:color="auto"/>
        <w:bottom w:val="none" w:sz="0" w:space="0" w:color="auto"/>
        <w:right w:val="none" w:sz="0" w:space="0" w:color="auto"/>
      </w:divBdr>
    </w:div>
    <w:div w:id="1953708982">
      <w:bodyDiv w:val="1"/>
      <w:marLeft w:val="0"/>
      <w:marRight w:val="0"/>
      <w:marTop w:val="0"/>
      <w:marBottom w:val="0"/>
      <w:divBdr>
        <w:top w:val="none" w:sz="0" w:space="0" w:color="auto"/>
        <w:left w:val="none" w:sz="0" w:space="0" w:color="auto"/>
        <w:bottom w:val="none" w:sz="0" w:space="0" w:color="auto"/>
        <w:right w:val="none" w:sz="0" w:space="0" w:color="auto"/>
      </w:divBdr>
    </w:div>
    <w:div w:id="1955090548">
      <w:bodyDiv w:val="1"/>
      <w:marLeft w:val="0"/>
      <w:marRight w:val="0"/>
      <w:marTop w:val="0"/>
      <w:marBottom w:val="0"/>
      <w:divBdr>
        <w:top w:val="none" w:sz="0" w:space="0" w:color="auto"/>
        <w:left w:val="none" w:sz="0" w:space="0" w:color="auto"/>
        <w:bottom w:val="none" w:sz="0" w:space="0" w:color="auto"/>
        <w:right w:val="none" w:sz="0" w:space="0" w:color="auto"/>
      </w:divBdr>
    </w:div>
    <w:div w:id="1971980409">
      <w:bodyDiv w:val="1"/>
      <w:marLeft w:val="0"/>
      <w:marRight w:val="0"/>
      <w:marTop w:val="0"/>
      <w:marBottom w:val="0"/>
      <w:divBdr>
        <w:top w:val="none" w:sz="0" w:space="0" w:color="auto"/>
        <w:left w:val="none" w:sz="0" w:space="0" w:color="auto"/>
        <w:bottom w:val="none" w:sz="0" w:space="0" w:color="auto"/>
        <w:right w:val="none" w:sz="0" w:space="0" w:color="auto"/>
      </w:divBdr>
    </w:div>
    <w:div w:id="1973486072">
      <w:bodyDiv w:val="1"/>
      <w:marLeft w:val="0"/>
      <w:marRight w:val="0"/>
      <w:marTop w:val="0"/>
      <w:marBottom w:val="0"/>
      <w:divBdr>
        <w:top w:val="none" w:sz="0" w:space="0" w:color="auto"/>
        <w:left w:val="none" w:sz="0" w:space="0" w:color="auto"/>
        <w:bottom w:val="none" w:sz="0" w:space="0" w:color="auto"/>
        <w:right w:val="none" w:sz="0" w:space="0" w:color="auto"/>
      </w:divBdr>
    </w:div>
    <w:div w:id="1987512471">
      <w:bodyDiv w:val="1"/>
      <w:marLeft w:val="0"/>
      <w:marRight w:val="0"/>
      <w:marTop w:val="0"/>
      <w:marBottom w:val="0"/>
      <w:divBdr>
        <w:top w:val="none" w:sz="0" w:space="0" w:color="auto"/>
        <w:left w:val="none" w:sz="0" w:space="0" w:color="auto"/>
        <w:bottom w:val="none" w:sz="0" w:space="0" w:color="auto"/>
        <w:right w:val="none" w:sz="0" w:space="0" w:color="auto"/>
      </w:divBdr>
    </w:div>
    <w:div w:id="2003510039">
      <w:bodyDiv w:val="1"/>
      <w:marLeft w:val="0"/>
      <w:marRight w:val="0"/>
      <w:marTop w:val="0"/>
      <w:marBottom w:val="0"/>
      <w:divBdr>
        <w:top w:val="none" w:sz="0" w:space="0" w:color="auto"/>
        <w:left w:val="none" w:sz="0" w:space="0" w:color="auto"/>
        <w:bottom w:val="none" w:sz="0" w:space="0" w:color="auto"/>
        <w:right w:val="none" w:sz="0" w:space="0" w:color="auto"/>
      </w:divBdr>
    </w:div>
    <w:div w:id="2014409827">
      <w:bodyDiv w:val="1"/>
      <w:marLeft w:val="0"/>
      <w:marRight w:val="0"/>
      <w:marTop w:val="0"/>
      <w:marBottom w:val="0"/>
      <w:divBdr>
        <w:top w:val="none" w:sz="0" w:space="0" w:color="auto"/>
        <w:left w:val="none" w:sz="0" w:space="0" w:color="auto"/>
        <w:bottom w:val="none" w:sz="0" w:space="0" w:color="auto"/>
        <w:right w:val="none" w:sz="0" w:space="0" w:color="auto"/>
      </w:divBdr>
    </w:div>
    <w:div w:id="2016418426">
      <w:bodyDiv w:val="1"/>
      <w:marLeft w:val="0"/>
      <w:marRight w:val="0"/>
      <w:marTop w:val="0"/>
      <w:marBottom w:val="0"/>
      <w:divBdr>
        <w:top w:val="none" w:sz="0" w:space="0" w:color="auto"/>
        <w:left w:val="none" w:sz="0" w:space="0" w:color="auto"/>
        <w:bottom w:val="none" w:sz="0" w:space="0" w:color="auto"/>
        <w:right w:val="none" w:sz="0" w:space="0" w:color="auto"/>
      </w:divBdr>
    </w:div>
    <w:div w:id="2032953298">
      <w:bodyDiv w:val="1"/>
      <w:marLeft w:val="0"/>
      <w:marRight w:val="0"/>
      <w:marTop w:val="0"/>
      <w:marBottom w:val="0"/>
      <w:divBdr>
        <w:top w:val="none" w:sz="0" w:space="0" w:color="auto"/>
        <w:left w:val="none" w:sz="0" w:space="0" w:color="auto"/>
        <w:bottom w:val="none" w:sz="0" w:space="0" w:color="auto"/>
        <w:right w:val="none" w:sz="0" w:space="0" w:color="auto"/>
      </w:divBdr>
    </w:div>
    <w:div w:id="2040736105">
      <w:bodyDiv w:val="1"/>
      <w:marLeft w:val="0"/>
      <w:marRight w:val="0"/>
      <w:marTop w:val="0"/>
      <w:marBottom w:val="0"/>
      <w:divBdr>
        <w:top w:val="none" w:sz="0" w:space="0" w:color="auto"/>
        <w:left w:val="none" w:sz="0" w:space="0" w:color="auto"/>
        <w:bottom w:val="none" w:sz="0" w:space="0" w:color="auto"/>
        <w:right w:val="none" w:sz="0" w:space="0" w:color="auto"/>
      </w:divBdr>
    </w:div>
    <w:div w:id="2061004890">
      <w:bodyDiv w:val="1"/>
      <w:marLeft w:val="0"/>
      <w:marRight w:val="0"/>
      <w:marTop w:val="0"/>
      <w:marBottom w:val="0"/>
      <w:divBdr>
        <w:top w:val="none" w:sz="0" w:space="0" w:color="auto"/>
        <w:left w:val="none" w:sz="0" w:space="0" w:color="auto"/>
        <w:bottom w:val="none" w:sz="0" w:space="0" w:color="auto"/>
        <w:right w:val="none" w:sz="0" w:space="0" w:color="auto"/>
      </w:divBdr>
    </w:div>
    <w:div w:id="2071153862">
      <w:bodyDiv w:val="1"/>
      <w:marLeft w:val="0"/>
      <w:marRight w:val="0"/>
      <w:marTop w:val="0"/>
      <w:marBottom w:val="0"/>
      <w:divBdr>
        <w:top w:val="none" w:sz="0" w:space="0" w:color="auto"/>
        <w:left w:val="none" w:sz="0" w:space="0" w:color="auto"/>
        <w:bottom w:val="none" w:sz="0" w:space="0" w:color="auto"/>
        <w:right w:val="none" w:sz="0" w:space="0" w:color="auto"/>
      </w:divBdr>
    </w:div>
    <w:div w:id="2093697667">
      <w:bodyDiv w:val="1"/>
      <w:marLeft w:val="0"/>
      <w:marRight w:val="0"/>
      <w:marTop w:val="0"/>
      <w:marBottom w:val="0"/>
      <w:divBdr>
        <w:top w:val="none" w:sz="0" w:space="0" w:color="auto"/>
        <w:left w:val="none" w:sz="0" w:space="0" w:color="auto"/>
        <w:bottom w:val="none" w:sz="0" w:space="0" w:color="auto"/>
        <w:right w:val="none" w:sz="0" w:space="0" w:color="auto"/>
      </w:divBdr>
    </w:div>
    <w:div w:id="2107536464">
      <w:bodyDiv w:val="1"/>
      <w:marLeft w:val="0"/>
      <w:marRight w:val="0"/>
      <w:marTop w:val="0"/>
      <w:marBottom w:val="0"/>
      <w:divBdr>
        <w:top w:val="none" w:sz="0" w:space="0" w:color="auto"/>
        <w:left w:val="none" w:sz="0" w:space="0" w:color="auto"/>
        <w:bottom w:val="none" w:sz="0" w:space="0" w:color="auto"/>
        <w:right w:val="none" w:sz="0" w:space="0" w:color="auto"/>
      </w:divBdr>
    </w:div>
    <w:div w:id="2122652222">
      <w:bodyDiv w:val="1"/>
      <w:marLeft w:val="0"/>
      <w:marRight w:val="0"/>
      <w:marTop w:val="0"/>
      <w:marBottom w:val="0"/>
      <w:divBdr>
        <w:top w:val="none" w:sz="0" w:space="0" w:color="auto"/>
        <w:left w:val="none" w:sz="0" w:space="0" w:color="auto"/>
        <w:bottom w:val="none" w:sz="0" w:space="0" w:color="auto"/>
        <w:right w:val="none" w:sz="0" w:space="0" w:color="auto"/>
      </w:divBdr>
    </w:div>
    <w:div w:id="2132936771">
      <w:bodyDiv w:val="1"/>
      <w:marLeft w:val="0"/>
      <w:marRight w:val="0"/>
      <w:marTop w:val="0"/>
      <w:marBottom w:val="0"/>
      <w:divBdr>
        <w:top w:val="none" w:sz="0" w:space="0" w:color="auto"/>
        <w:left w:val="none" w:sz="0" w:space="0" w:color="auto"/>
        <w:bottom w:val="none" w:sz="0" w:space="0" w:color="auto"/>
        <w:right w:val="none" w:sz="0" w:space="0" w:color="auto"/>
      </w:divBdr>
    </w:div>
    <w:div w:id="2143109792">
      <w:bodyDiv w:val="1"/>
      <w:marLeft w:val="0"/>
      <w:marRight w:val="0"/>
      <w:marTop w:val="0"/>
      <w:marBottom w:val="0"/>
      <w:divBdr>
        <w:top w:val="none" w:sz="0" w:space="0" w:color="auto"/>
        <w:left w:val="none" w:sz="0" w:space="0" w:color="auto"/>
        <w:bottom w:val="none" w:sz="0" w:space="0" w:color="auto"/>
        <w:right w:val="none" w:sz="0" w:space="0" w:color="auto"/>
      </w:divBdr>
    </w:div>
    <w:div w:id="214468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arxists.org/reference/subject/philosophy/works/fr/bourdieu-forms-capital.htm" TargetMode="External"/><Relationship Id="rId21" Type="http://schemas.openxmlformats.org/officeDocument/2006/relationships/hyperlink" Target="https://www.ageuk.org.uk/latest-press/articles/2023/age-uk-analysis-reveals-that-almost-6-million-people-5800000-aged-65-are-either-unable-to-use-the-internet-safely-and-successfully-or-arent-online-at-all/" TargetMode="External"/><Relationship Id="rId42" Type="http://schemas.openxmlformats.org/officeDocument/2006/relationships/hyperlink" Target="https://doi.org/10.1001/jama.2024.3456" TargetMode="External"/><Relationship Id="rId47" Type="http://schemas.openxmlformats.org/officeDocument/2006/relationships/hyperlink" Target="https://www.health.org.uk/press-office/press-releases/estimated-21-billion-required-over-next-5-years-to-digitise-nhs-and-adult-social-care-across-uk?utm_source=chatgpt.com" TargetMode="External"/><Relationship Id="rId63" Type="http://schemas.openxmlformats.org/officeDocument/2006/relationships/hyperlink" Target="https://www.england.nhs.uk/long-read/inclusive-digital-healthcare-a-framework-for-nhs-action-on-digital-inclusion/" TargetMode="External"/><Relationship Id="rId68" Type="http://schemas.openxmlformats.org/officeDocument/2006/relationships/hyperlink" Target="https://doi.org/10.1016/j.jrurstud.2016.12.002" TargetMode="External"/><Relationship Id="rId84" Type="http://schemas.openxmlformats.org/officeDocument/2006/relationships/hyperlink" Target="https://doi.org/10.3389/fpsyg.2017.01687" TargetMode="External"/><Relationship Id="rId89" Type="http://schemas.openxmlformats.org/officeDocument/2006/relationships/hyperlink" Target="https://www.who.int/news-room/fact-sheets/detail/mental-health-strengthening-our-response" TargetMode="External"/><Relationship Id="rId16" Type="http://schemas.openxmlformats.org/officeDocument/2006/relationships/diagramLayout" Target="diagrams/layout1.xml"/><Relationship Id="rId11" Type="http://schemas.openxmlformats.org/officeDocument/2006/relationships/footer" Target="footer1.xml"/><Relationship Id="rId32" Type="http://schemas.openxmlformats.org/officeDocument/2006/relationships/hyperlink" Target="https://doi.org/10.1080/21582041.2023.2197877" TargetMode="External"/><Relationship Id="rId37" Type="http://schemas.openxmlformats.org/officeDocument/2006/relationships/hyperlink" Target="https://fra.europa.eu/en/publication/2023/older-people-digital-rights?utm_source=chatgpt.com" TargetMode="External"/><Relationship Id="rId53" Type="http://schemas.openxmlformats.org/officeDocument/2006/relationships/hyperlink" Target="https://www.frontiersin.org/articles/10.3389/fdgth.2023.1168413/full" TargetMode="External"/><Relationship Id="rId58" Type="http://schemas.openxmlformats.org/officeDocument/2006/relationships/hyperlink" Target="https://link.springer.com/content/pdf/10.1186/s12877-020-1426-2.pdf?utm_source=chatgpt.com" TargetMode="External"/><Relationship Id="rId74" Type="http://schemas.openxmlformats.org/officeDocument/2006/relationships/hyperlink" Target="https://doi.org/10.1186/1471-2288-8-45" TargetMode="External"/><Relationship Id="rId79" Type="http://schemas.openxmlformats.org/officeDocument/2006/relationships/hyperlink" Target="https://doi.org/10.24310/innoeduca.2023.v9i1.16433" TargetMode="External"/><Relationship Id="rId5" Type="http://schemas.openxmlformats.org/officeDocument/2006/relationships/webSettings" Target="webSettings.xml"/><Relationship Id="rId90" Type="http://schemas.openxmlformats.org/officeDocument/2006/relationships/hyperlink" Target="https://doi.org/10.1016/j.ssaho.2023.100511" TargetMode="External"/><Relationship Id="rId95" Type="http://schemas.openxmlformats.org/officeDocument/2006/relationships/fontTable" Target="fontTable.xml"/><Relationship Id="rId22" Type="http://schemas.openxmlformats.org/officeDocument/2006/relationships/hyperlink" Target="https://www.ageuk.org.uk/latest-press/articles/2023/age-uk-analysis-reveals-that-almost-6-million-people-5800000-aged-65-are-either-unable-to-use-the-internet-safely-and-successfully-or-arent-online-at-all/?utm_source=chatgpt.com" TargetMode="External"/><Relationship Id="rId27" Type="http://schemas.openxmlformats.org/officeDocument/2006/relationships/hyperlink" Target="https://doi.org/10.1177/14680173231222612" TargetMode="External"/><Relationship Id="rId43" Type="http://schemas.openxmlformats.org/officeDocument/2006/relationships/hyperlink" Target="https://doi.org/10.1093/shm/hkn064" TargetMode="External"/><Relationship Id="rId48" Type="http://schemas.openxmlformats.org/officeDocument/2006/relationships/hyperlink" Target="https://doi.org/10.1002/wps.21224" TargetMode="External"/><Relationship Id="rId64" Type="http://schemas.openxmlformats.org/officeDocument/2006/relationships/hyperlink" Target="https://www.england.nhs.uk/about/nhs-history/" TargetMode="External"/><Relationship Id="rId69" Type="http://schemas.openxmlformats.org/officeDocument/2006/relationships/hyperlink" Target="https://doi.org/10.1136/bmj.n71" TargetMode="External"/><Relationship Id="rId8" Type="http://schemas.openxmlformats.org/officeDocument/2006/relationships/image" Target="media/image1.png"/><Relationship Id="rId51" Type="http://schemas.openxmlformats.org/officeDocument/2006/relationships/hyperlink" Target="https://doi.org/10.1002/wps.21224" TargetMode="External"/><Relationship Id="rId72" Type="http://schemas.openxmlformats.org/officeDocument/2006/relationships/hyperlink" Target="https://doi.org/10.1016/j.chbr.2022.100179" TargetMode="External"/><Relationship Id="rId80" Type="http://schemas.openxmlformats.org/officeDocument/2006/relationships/hyperlink" Target="https://doi.org/10.1080/13607863.2010.501057" TargetMode="External"/><Relationship Id="rId85" Type="http://schemas.openxmlformats.org/officeDocument/2006/relationships/hyperlink" Target="https://www.ncbi.nlm.nih.gov/books/NBK537897/" TargetMode="External"/><Relationship Id="rId93" Type="http://schemas.openxmlformats.org/officeDocument/2006/relationships/image" Target="media/image8.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diagramQuickStyle" Target="diagrams/quickStyle1.xml"/><Relationship Id="rId25" Type="http://schemas.openxmlformats.org/officeDocument/2006/relationships/hyperlink" Target="https://doi.org/10.2196/58035" TargetMode="External"/><Relationship Id="rId33" Type="http://schemas.openxmlformats.org/officeDocument/2006/relationships/hyperlink" Target="https://www.gov.uk/government/publications/uks-digital-strategy" TargetMode="External"/><Relationship Id="rId38" Type="http://schemas.openxmlformats.org/officeDocument/2006/relationships/hyperlink" Target="https://www.ft.com/content/81a9fcfe-dae9-4145-948f-4638670a598e?utm_source=chatgpt.com" TargetMode="External"/><Relationship Id="rId46" Type="http://schemas.openxmlformats.org/officeDocument/2006/relationships/hyperlink" Target="https://www.health.org.uk/features-and-opinion/blogs/the-plan-for-digital-health-and-social-care-what-will-be-needed-to?utm_source=chatgpt.com" TargetMode="External"/><Relationship Id="rId59" Type="http://schemas.openxmlformats.org/officeDocument/2006/relationships/hyperlink" Target="https://doi.org/10.1186/s13012-017-0688-3" TargetMode="External"/><Relationship Id="rId67" Type="http://schemas.openxmlformats.org/officeDocument/2006/relationships/hyperlink" Target="https://doi.org/10.1155/2012/382972" TargetMode="External"/><Relationship Id="rId20" Type="http://schemas.openxmlformats.org/officeDocument/2006/relationships/hyperlink" Target="https://www.age-platform.eu/age-uk-campaigns-against-loneliness-in-old-age/" TargetMode="External"/><Relationship Id="rId41" Type="http://schemas.openxmlformats.org/officeDocument/2006/relationships/hyperlink" Target="https://doi.org/10.1108/jpbafm-09-2024-0186" TargetMode="External"/><Relationship Id="rId54" Type="http://schemas.openxmlformats.org/officeDocument/2006/relationships/hyperlink" Target="https://doi.org/10.23750/abm.v91i3.10079" TargetMode="External"/><Relationship Id="rId62" Type="http://schemas.openxmlformats.org/officeDocument/2006/relationships/hyperlink" Target="https://www.gov.uk/government/publications/a-plan-for-digital-health-and-social-care/a-plan-for-digital-health-and-social-care" TargetMode="External"/><Relationship Id="rId70" Type="http://schemas.openxmlformats.org/officeDocument/2006/relationships/hyperlink" Target="https://doi.org/10.2196/44711" TargetMode="External"/><Relationship Id="rId75" Type="http://schemas.openxmlformats.org/officeDocument/2006/relationships/hyperlink" Target="https://doi.org/10.1093/intqhc/mzm042" TargetMode="External"/><Relationship Id="rId83" Type="http://schemas.openxmlformats.org/officeDocument/2006/relationships/hyperlink" Target="https://doi.org/10.1016/j.poetic.2006.05.004" TargetMode="External"/><Relationship Id="rId88" Type="http://schemas.openxmlformats.org/officeDocument/2006/relationships/hyperlink" Target="https://doi.org/10.1080/0144929x.2024.2368087" TargetMode="External"/><Relationship Id="rId91" Type="http://schemas.openxmlformats.org/officeDocument/2006/relationships/hyperlink" Target="https://informatics.bmj.com/content/30/1/e100809?utm_source=chatgpt.com"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1.xml"/><Relationship Id="rId23" Type="http://schemas.openxmlformats.org/officeDocument/2006/relationships/hyperlink" Target="https://www.ageuk.org.uk/siteassets/documents/reports-and-publications/reports-and-briefings/health--wellbeing/age-uk-briefing-state-of-health-and-care-july-2023-abridged-version.pdf?utm_source=chatgpt.com" TargetMode="External"/><Relationship Id="rId28" Type="http://schemas.openxmlformats.org/officeDocument/2006/relationships/hyperlink" Target="https://www.cam.ac.uk/stories/digitaldivide" TargetMode="External"/><Relationship Id="rId36" Type="http://schemas.openxmlformats.org/officeDocument/2006/relationships/hyperlink" Target="https://digitalinclusionkit.org/wp-content/uploads/2022/12/100-Digital-Leeds-model-for-a-community-based-approach-to-digital-inclusion.pdf?utm_source=chatgpt.com" TargetMode="External"/><Relationship Id="rId49" Type="http://schemas.openxmlformats.org/officeDocument/2006/relationships/hyperlink" Target="https://doi.org/10.1093/geront/1.1.8" TargetMode="External"/><Relationship Id="rId57" Type="http://schemas.openxmlformats.org/officeDocument/2006/relationships/hyperlink" Target="https://www.librariesconnected.org.uk/sites/default/files/2024-10/Libraries%20for%20Living%2C%20and%20for%20Living%20Better.pdf?utm_source=chatgpt.com" TargetMode="External"/><Relationship Id="rId10" Type="http://schemas.openxmlformats.org/officeDocument/2006/relationships/oleObject" Target="embeddings/oleObject1.bin"/><Relationship Id="rId31" Type="http://schemas.openxmlformats.org/officeDocument/2006/relationships/hyperlink" Target="https://doi.org/10.1017/s0144686x00004025" TargetMode="External"/><Relationship Id="rId44" Type="http://schemas.openxmlformats.org/officeDocument/2006/relationships/hyperlink" Target="https://www.ncbi.nlm.nih.gov/books/NBK316274/" TargetMode="External"/><Relationship Id="rId52" Type="http://schemas.openxmlformats.org/officeDocument/2006/relationships/hyperlink" Target="https://doi.org/10.51952/9781847423627.ch002" TargetMode="External"/><Relationship Id="rId60" Type="http://schemas.openxmlformats.org/officeDocument/2006/relationships/hyperlink" Target="https://doi.org/10.1097/XEB.0000000000000062" TargetMode="External"/><Relationship Id="rId65" Type="http://schemas.openxmlformats.org/officeDocument/2006/relationships/hyperlink" Target="https://nap.nationalacademies.org/catalog/25663" TargetMode="External"/><Relationship Id="rId73" Type="http://schemas.openxmlformats.org/officeDocument/2006/relationships/hyperlink" Target="https://doi.org/10.1002/1098-240X(200008)23:4%3c334::AID-NUR9%3e3.0.CO;2-G" TargetMode="External"/><Relationship Id="rId78" Type="http://schemas.openxmlformats.org/officeDocument/2006/relationships/hyperlink" Target="https://www.jmir.org/2011/4/e93" TargetMode="External"/><Relationship Id="rId81" Type="http://schemas.openxmlformats.org/officeDocument/2006/relationships/hyperlink" Target="https://doi.org/10.1177/0163443710393865" TargetMode="External"/><Relationship Id="rId86" Type="http://schemas.openxmlformats.org/officeDocument/2006/relationships/hyperlink" Target="https://www.tandfonline.com/doi/full/10.1080/0144929X.2024.2368087" TargetMode="External"/><Relationship Id="rId94"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4.png"/><Relationship Id="rId18" Type="http://schemas.openxmlformats.org/officeDocument/2006/relationships/diagramColors" Target="diagrams/colors1.xml"/><Relationship Id="rId39" Type="http://schemas.openxmlformats.org/officeDocument/2006/relationships/hyperlink" Target="https://www.frontiersin.org/articles/10.3389/fsoc.2023.1268613/full" TargetMode="External"/><Relationship Id="rId34" Type="http://schemas.openxmlformats.org/officeDocument/2006/relationships/hyperlink" Target="https://assets.publishing.service.gov.uk/media/66e0430ffd14944ed96c5b6a/Annual_Libraries_Report_2023-2024_-_accessible_.pdf?utm_source=chatgpt.com" TargetMode="External"/><Relationship Id="rId50" Type="http://schemas.openxmlformats.org/officeDocument/2006/relationships/hyperlink" Target="https://digitalinclusionleeds.com/launching-the-100-digital-leeds-model-for-a-community-based-approach-to-digital-inclusion" TargetMode="External"/><Relationship Id="rId55" Type="http://schemas.openxmlformats.org/officeDocument/2006/relationships/hyperlink" Target="https://doi.org/10.2196/25887" TargetMode="External"/><Relationship Id="rId76" Type="http://schemas.openxmlformats.org/officeDocument/2006/relationships/hyperlink" Target="https://www.bmj.com/content/389/bmj.r1317.full?utm_source=chatgpt.com" TargetMode="External"/><Relationship Id="rId7" Type="http://schemas.openxmlformats.org/officeDocument/2006/relationships/endnotes" Target="endnotes.xml"/><Relationship Id="rId71" Type="http://schemas.openxmlformats.org/officeDocument/2006/relationships/hyperlink" Target="https://doi.org/10.14293/s2199-1006.1.sor-.pp2hohn.v1" TargetMode="External"/><Relationship Id="rId92" Type="http://schemas.openxmlformats.org/officeDocument/2006/relationships/image" Target="media/image7.png"/><Relationship Id="rId2" Type="http://schemas.openxmlformats.org/officeDocument/2006/relationships/numbering" Target="numbering.xml"/><Relationship Id="rId29" Type="http://schemas.openxmlformats.org/officeDocument/2006/relationships/hyperlink" Target="https://www.openaccessgovernment.org/rural-vs-urban-broadband-connectivity/66215/" TargetMode="External"/><Relationship Id="rId24" Type="http://schemas.openxmlformats.org/officeDocument/2006/relationships/hyperlink" Target="https://qualresmethods.files.wordpress.com/2016/05/braun_2006_using-thematic-analysis-in-psychology.pdf" TargetMode="External"/><Relationship Id="rId40" Type="http://schemas.openxmlformats.org/officeDocument/2006/relationships/hyperlink" Target="https://fra.europa.eu/en/news/2023/ensuring-access-public-services-older-people-digital-societies" TargetMode="External"/><Relationship Id="rId45" Type="http://schemas.openxmlformats.org/officeDocument/2006/relationships/hyperlink" Target="https://www.jmir.org/2017/11/e367?utm_source=chatgpt.com" TargetMode="External"/><Relationship Id="rId66" Type="http://schemas.openxmlformats.org/officeDocument/2006/relationships/hyperlink" Target="https://www.england.nhs.uk/long-read/inclusive-digital-healthcare-a-framework-for-nhs-action-on-digital-inclusion/?utm_source=chatgpt.com" TargetMode="External"/><Relationship Id="rId87" Type="http://schemas.openxmlformats.org/officeDocument/2006/relationships/hyperlink" Target="https://doi.org/10.1108/wwop-02-2024-0010" TargetMode="External"/><Relationship Id="rId61" Type="http://schemas.openxmlformats.org/officeDocument/2006/relationships/hyperlink" Target="https://www.ncbi.nlm.nih.gov/books/NBK557969/" TargetMode="External"/><Relationship Id="rId82" Type="http://schemas.openxmlformats.org/officeDocument/2006/relationships/hyperlink" Target="https://emergency.unhcr.org/protection/persons-risk/older-persons" TargetMode="External"/><Relationship Id="rId19" Type="http://schemas.microsoft.com/office/2007/relationships/diagramDrawing" Target="diagrams/drawing1.xml"/><Relationship Id="rId14" Type="http://schemas.openxmlformats.org/officeDocument/2006/relationships/image" Target="media/image5.png"/><Relationship Id="rId30" Type="http://schemas.openxmlformats.org/officeDocument/2006/relationships/hyperlink" Target="https://researchbriefings.files.parliament.uk/documents/CDP-2024-0041/CDP-2024-0041.pdf" TargetMode="External"/><Relationship Id="rId35" Type="http://schemas.openxmlformats.org/officeDocument/2006/relationships/hyperlink" Target="https://www.gov.uk/government/publications/a-plan-for-digital-health-and-social-care?utm_source=chatgpt.com" TargetMode="External"/><Relationship Id="rId56" Type="http://schemas.openxmlformats.org/officeDocument/2006/relationships/hyperlink" Target="https://www.jmir.org/2021/11/e25887?utm_source=chatgpt.com" TargetMode="External"/><Relationship Id="rId77" Type="http://schemas.openxmlformats.org/officeDocument/2006/relationships/hyperlink" Target="https://europepmc.org/article/MED/21069600?utm_source=chatgpt.com" TargetMode="External"/></Relationships>
</file>

<file path=word/diagrams/_rels/data1.xml.rels><?xml version="1.0" encoding="UTF-8" standalone="yes"?>
<Relationships xmlns="http://schemas.openxmlformats.org/package/2006/relationships"><Relationship Id="rId1" Type="http://schemas.openxmlformats.org/officeDocument/2006/relationships/image" Target="../media/image6.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6F16C4-7B53-485F-B4B3-883147703D5C}" type="doc">
      <dgm:prSet loTypeId="urn:microsoft.com/office/officeart/2005/8/layout/bList2" loCatId="list" qsTypeId="urn:microsoft.com/office/officeart/2005/8/quickstyle/simple1" qsCatId="simple" csTypeId="urn:microsoft.com/office/officeart/2005/8/colors/colorful1" csCatId="colorful" phldr="1"/>
      <dgm:spPr/>
      <dgm:t>
        <a:bodyPr/>
        <a:lstStyle/>
        <a:p>
          <a:endParaRPr lang="en-US"/>
        </a:p>
      </dgm:t>
    </dgm:pt>
    <dgm:pt modelId="{E8F907F9-7A2A-4F72-99D6-8C84A2966768}">
      <dgm:prSet/>
      <dgm:spPr/>
      <dgm:t>
        <a:bodyPr/>
        <a:lstStyle/>
        <a:p>
          <a:pPr rtl="0"/>
          <a:r>
            <a:rPr lang="en-US"/>
            <a:t>01</a:t>
          </a:r>
        </a:p>
      </dgm:t>
    </dgm:pt>
    <dgm:pt modelId="{DC286EB8-E4A3-4658-B882-FF9D4EFEE827}" type="parTrans" cxnId="{F541077A-005D-46AF-ABED-00ACED17A1FF}">
      <dgm:prSet/>
      <dgm:spPr/>
      <dgm:t>
        <a:bodyPr/>
        <a:lstStyle/>
        <a:p>
          <a:endParaRPr lang="en-US"/>
        </a:p>
      </dgm:t>
    </dgm:pt>
    <dgm:pt modelId="{435B7007-F5A7-44E0-A91A-9DB837D7284E}" type="sibTrans" cxnId="{F541077A-005D-46AF-ABED-00ACED17A1FF}">
      <dgm:prSet/>
      <dgm:spPr/>
      <dgm:t>
        <a:bodyPr/>
        <a:lstStyle/>
        <a:p>
          <a:endParaRPr lang="en-US"/>
        </a:p>
      </dgm:t>
    </dgm:pt>
    <dgm:pt modelId="{71F630E4-875E-48F2-828C-7F8C424FFCC8}">
      <dgm:prSet/>
      <dgm:spPr/>
      <dgm:t>
        <a:bodyPr/>
        <a:lstStyle/>
        <a:p>
          <a:pPr rtl="0"/>
          <a:r>
            <a:rPr lang="en-US"/>
            <a:t>Use only publicly available, published data; no new ethics approval required (Creswell &amp; Poth, 2018).</a:t>
          </a:r>
        </a:p>
      </dgm:t>
    </dgm:pt>
    <dgm:pt modelId="{BE75240E-71FF-4B2F-90DD-CDE10E691CC6}" type="parTrans" cxnId="{19B23162-C424-49EF-947D-9AE47974756A}">
      <dgm:prSet/>
      <dgm:spPr/>
      <dgm:t>
        <a:bodyPr/>
        <a:lstStyle/>
        <a:p>
          <a:endParaRPr lang="en-US"/>
        </a:p>
      </dgm:t>
    </dgm:pt>
    <dgm:pt modelId="{90D05D2B-7D6F-4DB6-8C17-50735646A625}" type="sibTrans" cxnId="{19B23162-C424-49EF-947D-9AE47974756A}">
      <dgm:prSet/>
      <dgm:spPr/>
      <dgm:t>
        <a:bodyPr/>
        <a:lstStyle/>
        <a:p>
          <a:endParaRPr lang="en-US"/>
        </a:p>
      </dgm:t>
    </dgm:pt>
    <dgm:pt modelId="{B6A92B39-B948-4263-BBFB-354AD45DE5C7}">
      <dgm:prSet/>
      <dgm:spPr/>
      <dgm:t>
        <a:bodyPr/>
        <a:lstStyle/>
        <a:p>
          <a:pPr rtl="0"/>
          <a:r>
            <a:rPr lang="en-US"/>
            <a:t>02</a:t>
          </a:r>
        </a:p>
      </dgm:t>
    </dgm:pt>
    <dgm:pt modelId="{A36B982F-C75A-41DE-8710-543B9AC7FC19}" type="parTrans" cxnId="{D5319759-0CD2-4C5C-8C2B-1A2750AF839A}">
      <dgm:prSet/>
      <dgm:spPr/>
      <dgm:t>
        <a:bodyPr/>
        <a:lstStyle/>
        <a:p>
          <a:endParaRPr lang="en-US"/>
        </a:p>
      </dgm:t>
    </dgm:pt>
    <dgm:pt modelId="{7963A09A-73E1-4533-90D0-4CE55A797CE0}" type="sibTrans" cxnId="{D5319759-0CD2-4C5C-8C2B-1A2750AF839A}">
      <dgm:prSet/>
      <dgm:spPr/>
      <dgm:t>
        <a:bodyPr/>
        <a:lstStyle/>
        <a:p>
          <a:endParaRPr lang="en-US"/>
        </a:p>
      </dgm:t>
    </dgm:pt>
    <dgm:pt modelId="{E516EFFB-A2F1-4CA0-A4EB-EFE1973AE1FA}">
      <dgm:prSet/>
      <dgm:spPr/>
      <dgm:t>
        <a:bodyPr/>
        <a:lstStyle/>
        <a:p>
          <a:pPr rtl="0"/>
          <a:r>
            <a:rPr lang="en-US"/>
            <a:t>Honour original participant consent and protections from the primary studies (Creswell &amp; Poth, 2018).</a:t>
          </a:r>
        </a:p>
      </dgm:t>
    </dgm:pt>
    <dgm:pt modelId="{CA8AF0BA-8637-49D2-BAE8-7FE4FCB463AA}" type="parTrans" cxnId="{7F5DFE50-9F7D-47D7-AD19-9A1FFE0C9DC0}">
      <dgm:prSet/>
      <dgm:spPr/>
      <dgm:t>
        <a:bodyPr/>
        <a:lstStyle/>
        <a:p>
          <a:endParaRPr lang="en-US"/>
        </a:p>
      </dgm:t>
    </dgm:pt>
    <dgm:pt modelId="{532AC4A2-B3A2-4BDA-A66F-21E7C22A0888}" type="sibTrans" cxnId="{7F5DFE50-9F7D-47D7-AD19-9A1FFE0C9DC0}">
      <dgm:prSet/>
      <dgm:spPr/>
      <dgm:t>
        <a:bodyPr/>
        <a:lstStyle/>
        <a:p>
          <a:endParaRPr lang="en-US"/>
        </a:p>
      </dgm:t>
    </dgm:pt>
    <dgm:pt modelId="{00BBB511-F2D8-4992-8281-916F43D814ED}">
      <dgm:prSet/>
      <dgm:spPr/>
      <dgm:t>
        <a:bodyPr/>
        <a:lstStyle/>
        <a:p>
          <a:pPr rtl="0"/>
          <a:r>
            <a:rPr lang="en-US"/>
            <a:t>03</a:t>
          </a:r>
        </a:p>
      </dgm:t>
    </dgm:pt>
    <dgm:pt modelId="{A2635AE8-4873-4C9E-A2B9-0A1B720BE80F}" type="parTrans" cxnId="{81DD1323-61C3-4C02-A046-3A3BE82285BC}">
      <dgm:prSet/>
      <dgm:spPr/>
      <dgm:t>
        <a:bodyPr/>
        <a:lstStyle/>
        <a:p>
          <a:endParaRPr lang="en-US"/>
        </a:p>
      </dgm:t>
    </dgm:pt>
    <dgm:pt modelId="{5EBC8FCC-AFD9-4D1B-B295-CF9DED3784DB}" type="sibTrans" cxnId="{81DD1323-61C3-4C02-A046-3A3BE82285BC}">
      <dgm:prSet/>
      <dgm:spPr/>
      <dgm:t>
        <a:bodyPr/>
        <a:lstStyle/>
        <a:p>
          <a:endParaRPr lang="en-US"/>
        </a:p>
      </dgm:t>
    </dgm:pt>
    <dgm:pt modelId="{ECCC08A0-79EE-44DF-A585-171864EEFDB9}">
      <dgm:prSet/>
      <dgm:spPr/>
      <dgm:t>
        <a:bodyPr/>
        <a:lstStyle/>
        <a:p>
          <a:pPr rtl="0"/>
          <a:r>
            <a:rPr lang="en-US"/>
            <a:t>Anonymise and paraphrase quotations to avoid over-identification; limit direct quotes (Creswell &amp; Poth, 2018).</a:t>
          </a:r>
        </a:p>
      </dgm:t>
    </dgm:pt>
    <dgm:pt modelId="{9186884C-EB12-4FFF-9E1A-16BB2A8B6894}" type="parTrans" cxnId="{72B1CB77-4D99-447C-B039-B9E1038D9575}">
      <dgm:prSet/>
      <dgm:spPr/>
      <dgm:t>
        <a:bodyPr/>
        <a:lstStyle/>
        <a:p>
          <a:endParaRPr lang="en-US"/>
        </a:p>
      </dgm:t>
    </dgm:pt>
    <dgm:pt modelId="{2C015062-30C0-45CE-83CB-1FDD3638545E}" type="sibTrans" cxnId="{72B1CB77-4D99-447C-B039-B9E1038D9575}">
      <dgm:prSet/>
      <dgm:spPr/>
      <dgm:t>
        <a:bodyPr/>
        <a:lstStyle/>
        <a:p>
          <a:endParaRPr lang="en-US"/>
        </a:p>
      </dgm:t>
    </dgm:pt>
    <dgm:pt modelId="{24ABBE20-3644-4E49-9CBD-D4288D62DA62}">
      <dgm:prSet/>
      <dgm:spPr/>
      <dgm:t>
        <a:bodyPr/>
        <a:lstStyle/>
        <a:p>
          <a:pPr rtl="0"/>
          <a:r>
            <a:rPr lang="en-US"/>
            <a:t>04</a:t>
          </a:r>
        </a:p>
      </dgm:t>
    </dgm:pt>
    <dgm:pt modelId="{7F29689A-7CA7-4E72-BF22-36C10D87B581}" type="parTrans" cxnId="{562D7B26-FA79-4F6A-90C0-D30E6428108C}">
      <dgm:prSet/>
      <dgm:spPr/>
      <dgm:t>
        <a:bodyPr/>
        <a:lstStyle/>
        <a:p>
          <a:endParaRPr lang="en-US"/>
        </a:p>
      </dgm:t>
    </dgm:pt>
    <dgm:pt modelId="{88EEDFCA-D54C-493B-A7ED-1433D6F956ED}" type="sibTrans" cxnId="{562D7B26-FA79-4F6A-90C0-D30E6428108C}">
      <dgm:prSet/>
      <dgm:spPr/>
      <dgm:t>
        <a:bodyPr/>
        <a:lstStyle/>
        <a:p>
          <a:endParaRPr lang="en-US"/>
        </a:p>
      </dgm:t>
    </dgm:pt>
    <dgm:pt modelId="{B620764F-3CC7-416E-B4F7-608893300A66}">
      <dgm:prSet/>
      <dgm:spPr/>
      <dgm:t>
        <a:bodyPr/>
        <a:lstStyle/>
        <a:p>
          <a:pPr rtl="0"/>
          <a:r>
            <a:rPr lang="en-US"/>
            <a:t>Maintain a transparent audit trail (search logs, screening decisions, codebook, memos) to ensure dependability (Creswell &amp; Poth, 2018).</a:t>
          </a:r>
        </a:p>
      </dgm:t>
    </dgm:pt>
    <dgm:pt modelId="{AAD7E366-424D-4434-9059-C9068D098816}" type="parTrans" cxnId="{D5698A99-2DF6-445F-96AA-6489AAD2CD56}">
      <dgm:prSet/>
      <dgm:spPr/>
      <dgm:t>
        <a:bodyPr/>
        <a:lstStyle/>
        <a:p>
          <a:endParaRPr lang="en-US"/>
        </a:p>
      </dgm:t>
    </dgm:pt>
    <dgm:pt modelId="{26C86B96-5603-4C08-A184-E9E839DA2C24}" type="sibTrans" cxnId="{D5698A99-2DF6-445F-96AA-6489AAD2CD56}">
      <dgm:prSet/>
      <dgm:spPr/>
      <dgm:t>
        <a:bodyPr/>
        <a:lstStyle/>
        <a:p>
          <a:endParaRPr lang="en-US"/>
        </a:p>
      </dgm:t>
    </dgm:pt>
    <dgm:pt modelId="{F26FCDF9-CA4D-4BA2-AF96-9DE8B30DB56B}">
      <dgm:prSet/>
      <dgm:spPr/>
      <dgm:t>
        <a:bodyPr/>
        <a:lstStyle/>
        <a:p>
          <a:pPr rtl="0"/>
          <a:r>
            <a:rPr lang="en-US"/>
            <a:t>05</a:t>
          </a:r>
        </a:p>
      </dgm:t>
    </dgm:pt>
    <dgm:pt modelId="{5C71F7C5-3692-4182-B0CF-559AACBBC47A}" type="parTrans" cxnId="{8329116E-0762-470C-A381-DD3D2945BDB7}">
      <dgm:prSet/>
      <dgm:spPr/>
      <dgm:t>
        <a:bodyPr/>
        <a:lstStyle/>
        <a:p>
          <a:endParaRPr lang="en-US"/>
        </a:p>
      </dgm:t>
    </dgm:pt>
    <dgm:pt modelId="{F382278F-C892-4699-AE1A-966052AC0098}" type="sibTrans" cxnId="{8329116E-0762-470C-A381-DD3D2945BDB7}">
      <dgm:prSet/>
      <dgm:spPr/>
      <dgm:t>
        <a:bodyPr/>
        <a:lstStyle/>
        <a:p>
          <a:endParaRPr lang="en-US"/>
        </a:p>
      </dgm:t>
    </dgm:pt>
    <dgm:pt modelId="{4694B40B-1F4E-419F-BFA6-1E58595099F1}">
      <dgm:prSet/>
      <dgm:spPr/>
      <dgm:t>
        <a:bodyPr/>
        <a:lstStyle/>
        <a:p>
          <a:pPr rtl="0"/>
          <a:r>
            <a:rPr lang="en-US"/>
            <a:t>Practice reflexivity: record positionality and potential biases that may shape interpretation (Creswell &amp; Poth, 2018).</a:t>
          </a:r>
        </a:p>
      </dgm:t>
    </dgm:pt>
    <dgm:pt modelId="{85532E62-4BB7-43EC-934E-14B9ACCBED95}" type="parTrans" cxnId="{3C8C633F-D312-46CB-94FA-7736A59D2982}">
      <dgm:prSet/>
      <dgm:spPr/>
      <dgm:t>
        <a:bodyPr/>
        <a:lstStyle/>
        <a:p>
          <a:endParaRPr lang="en-US"/>
        </a:p>
      </dgm:t>
    </dgm:pt>
    <dgm:pt modelId="{9D2C4263-995F-489E-BF4A-4D22F09B21A9}" type="sibTrans" cxnId="{3C8C633F-D312-46CB-94FA-7736A59D2982}">
      <dgm:prSet/>
      <dgm:spPr/>
      <dgm:t>
        <a:bodyPr/>
        <a:lstStyle/>
        <a:p>
          <a:endParaRPr lang="en-US"/>
        </a:p>
      </dgm:t>
    </dgm:pt>
    <dgm:pt modelId="{76B48A89-54FF-4756-B87F-897E3ABFBE81}">
      <dgm:prSet/>
      <dgm:spPr>
        <a:solidFill>
          <a:srgbClr val="00B050"/>
        </a:solidFill>
      </dgm:spPr>
      <dgm:t>
        <a:bodyPr/>
        <a:lstStyle/>
        <a:p>
          <a:pPr rtl="0"/>
          <a:r>
            <a:rPr lang="en-US"/>
            <a:t>06</a:t>
          </a:r>
        </a:p>
      </dgm:t>
    </dgm:pt>
    <dgm:pt modelId="{263E4CA0-9E76-4A02-B2AB-D063330E2692}" type="parTrans" cxnId="{8C738BCC-250D-4A0B-96F7-5D1B6CCD6D36}">
      <dgm:prSet/>
      <dgm:spPr/>
      <dgm:t>
        <a:bodyPr/>
        <a:lstStyle/>
        <a:p>
          <a:endParaRPr lang="en-US"/>
        </a:p>
      </dgm:t>
    </dgm:pt>
    <dgm:pt modelId="{BE7AC052-81EF-4A16-9B70-90A6369C4CFD}" type="sibTrans" cxnId="{8C738BCC-250D-4A0B-96F7-5D1B6CCD6D36}">
      <dgm:prSet/>
      <dgm:spPr/>
      <dgm:t>
        <a:bodyPr/>
        <a:lstStyle/>
        <a:p>
          <a:endParaRPr lang="en-US"/>
        </a:p>
      </dgm:t>
    </dgm:pt>
    <dgm:pt modelId="{2F267A37-FFCD-48C8-895B-AD99CBCE27E7}">
      <dgm:prSet/>
      <dgm:spPr/>
      <dgm:t>
        <a:bodyPr/>
        <a:lstStyle/>
        <a:p>
          <a:pPr rtl="0"/>
          <a:r>
            <a:rPr lang="en-US"/>
            <a:t>Credit all sources accurately; avoid plagiarism and misattribution (Creswell &amp; Poth, 2018).</a:t>
          </a:r>
        </a:p>
      </dgm:t>
    </dgm:pt>
    <dgm:pt modelId="{24F03E57-6CA7-416E-87BD-BB024D1F26FD}" type="parTrans" cxnId="{D6F55B8E-6E1F-4A5A-90B9-35AD0EAC3CE0}">
      <dgm:prSet/>
      <dgm:spPr/>
      <dgm:t>
        <a:bodyPr/>
        <a:lstStyle/>
        <a:p>
          <a:endParaRPr lang="en-US"/>
        </a:p>
      </dgm:t>
    </dgm:pt>
    <dgm:pt modelId="{3D6AEE1A-0583-43DB-BF51-C22FAC20AF60}" type="sibTrans" cxnId="{D6F55B8E-6E1F-4A5A-90B9-35AD0EAC3CE0}">
      <dgm:prSet/>
      <dgm:spPr/>
      <dgm:t>
        <a:bodyPr/>
        <a:lstStyle/>
        <a:p>
          <a:endParaRPr lang="en-US"/>
        </a:p>
      </dgm:t>
    </dgm:pt>
    <dgm:pt modelId="{C88BB18E-D834-4416-80FB-9D755CD25606}">
      <dgm:prSet/>
      <dgm:spPr>
        <a:solidFill>
          <a:srgbClr val="002060"/>
        </a:solidFill>
      </dgm:spPr>
      <dgm:t>
        <a:bodyPr/>
        <a:lstStyle/>
        <a:p>
          <a:pPr rtl="0"/>
          <a:r>
            <a:rPr lang="en-US"/>
            <a:t>07</a:t>
          </a:r>
        </a:p>
      </dgm:t>
    </dgm:pt>
    <dgm:pt modelId="{1A885F51-187D-43C0-B429-4589C2ED86E4}" type="parTrans" cxnId="{3DA5C9A9-C2EF-4A30-BE13-DC1320FB542D}">
      <dgm:prSet/>
      <dgm:spPr/>
      <dgm:t>
        <a:bodyPr/>
        <a:lstStyle/>
        <a:p>
          <a:endParaRPr lang="en-US"/>
        </a:p>
      </dgm:t>
    </dgm:pt>
    <dgm:pt modelId="{1662707D-75EA-4DE0-AC75-14F344F471D0}" type="sibTrans" cxnId="{3DA5C9A9-C2EF-4A30-BE13-DC1320FB542D}">
      <dgm:prSet/>
      <dgm:spPr/>
      <dgm:t>
        <a:bodyPr/>
        <a:lstStyle/>
        <a:p>
          <a:endParaRPr lang="en-US"/>
        </a:p>
      </dgm:t>
    </dgm:pt>
    <dgm:pt modelId="{8EA3C7D1-1806-4744-B303-651470314CC8}">
      <dgm:prSet/>
      <dgm:spPr/>
      <dgm:t>
        <a:bodyPr/>
        <a:lstStyle/>
        <a:p>
          <a:pPr rtl="0"/>
          <a:r>
            <a:rPr lang="en-US"/>
            <a:t>Handle sensitive topics respectfully; avoid stigmatising language about older adults or digital exclusion (Creswell &amp; Poth, 2018).</a:t>
          </a:r>
        </a:p>
      </dgm:t>
    </dgm:pt>
    <dgm:pt modelId="{08405AF8-C25A-4F20-A4CE-E2D8993BF8A2}" type="parTrans" cxnId="{70A14E80-203B-40FA-B894-01ECC833B089}">
      <dgm:prSet/>
      <dgm:spPr/>
      <dgm:t>
        <a:bodyPr/>
        <a:lstStyle/>
        <a:p>
          <a:endParaRPr lang="en-US"/>
        </a:p>
      </dgm:t>
    </dgm:pt>
    <dgm:pt modelId="{4341F34C-632F-4786-8B04-C29CE2AB36AD}" type="sibTrans" cxnId="{70A14E80-203B-40FA-B894-01ECC833B089}">
      <dgm:prSet/>
      <dgm:spPr/>
      <dgm:t>
        <a:bodyPr/>
        <a:lstStyle/>
        <a:p>
          <a:endParaRPr lang="en-US"/>
        </a:p>
      </dgm:t>
    </dgm:pt>
    <dgm:pt modelId="{F042ACAC-1B91-4BB7-8CE8-AB5C90DBD9BC}" type="pres">
      <dgm:prSet presAssocID="{0E6F16C4-7B53-485F-B4B3-883147703D5C}" presName="diagram" presStyleCnt="0">
        <dgm:presLayoutVars>
          <dgm:dir/>
          <dgm:animLvl val="lvl"/>
          <dgm:resizeHandles val="exact"/>
        </dgm:presLayoutVars>
      </dgm:prSet>
      <dgm:spPr/>
    </dgm:pt>
    <dgm:pt modelId="{AD710302-76B2-4D22-8298-0D17EA9814D7}" type="pres">
      <dgm:prSet presAssocID="{E8F907F9-7A2A-4F72-99D6-8C84A2966768}" presName="compNode" presStyleCnt="0"/>
      <dgm:spPr/>
    </dgm:pt>
    <dgm:pt modelId="{D38015B5-F4D0-44A1-A1CB-B1E79EBE3A56}" type="pres">
      <dgm:prSet presAssocID="{E8F907F9-7A2A-4F72-99D6-8C84A2966768}" presName="childRect" presStyleLbl="bgAcc1" presStyleIdx="0" presStyleCnt="7">
        <dgm:presLayoutVars>
          <dgm:bulletEnabled val="1"/>
        </dgm:presLayoutVars>
      </dgm:prSet>
      <dgm:spPr/>
    </dgm:pt>
    <dgm:pt modelId="{00AF42A4-C458-46C2-921D-F2C770FBBB4B}" type="pres">
      <dgm:prSet presAssocID="{E8F907F9-7A2A-4F72-99D6-8C84A2966768}" presName="parentText" presStyleLbl="node1" presStyleIdx="0" presStyleCnt="0">
        <dgm:presLayoutVars>
          <dgm:chMax val="0"/>
          <dgm:bulletEnabled val="1"/>
        </dgm:presLayoutVars>
      </dgm:prSet>
      <dgm:spPr/>
    </dgm:pt>
    <dgm:pt modelId="{AC855AD4-9168-4073-BF82-F5818C6F2943}" type="pres">
      <dgm:prSet presAssocID="{E8F907F9-7A2A-4F72-99D6-8C84A2966768}" presName="parentRect" presStyleLbl="alignNode1" presStyleIdx="0" presStyleCnt="7"/>
      <dgm:spPr/>
    </dgm:pt>
    <dgm:pt modelId="{6738A1A8-6C94-4A4C-8F19-37E11556693D}" type="pres">
      <dgm:prSet presAssocID="{E8F907F9-7A2A-4F72-99D6-8C84A2966768}" presName="adorn" presStyleLbl="fgAccFollowNode1" presStyleIdx="0" presStyleCnt="7"/>
      <dgm:spPr>
        <a:blipFill rotWithShape="1">
          <a:blip xmlns:r="http://schemas.openxmlformats.org/officeDocument/2006/relationships" r:embed="rId1"/>
          <a:stretch>
            <a:fillRect/>
          </a:stretch>
        </a:blipFill>
      </dgm:spPr>
    </dgm:pt>
    <dgm:pt modelId="{A3839633-A6CF-4B54-B50C-49A436F600CF}" type="pres">
      <dgm:prSet presAssocID="{435B7007-F5A7-44E0-A91A-9DB837D7284E}" presName="sibTrans" presStyleLbl="sibTrans2D1" presStyleIdx="0" presStyleCnt="0"/>
      <dgm:spPr/>
    </dgm:pt>
    <dgm:pt modelId="{8E7C49C2-0149-4381-BBEB-9ACE96749DDE}" type="pres">
      <dgm:prSet presAssocID="{B6A92B39-B948-4263-BBFB-354AD45DE5C7}" presName="compNode" presStyleCnt="0"/>
      <dgm:spPr/>
    </dgm:pt>
    <dgm:pt modelId="{2E264383-D1F1-4A5F-8D77-BA0B815C840B}" type="pres">
      <dgm:prSet presAssocID="{B6A92B39-B948-4263-BBFB-354AD45DE5C7}" presName="childRect" presStyleLbl="bgAcc1" presStyleIdx="1" presStyleCnt="7">
        <dgm:presLayoutVars>
          <dgm:bulletEnabled val="1"/>
        </dgm:presLayoutVars>
      </dgm:prSet>
      <dgm:spPr/>
    </dgm:pt>
    <dgm:pt modelId="{66830D3E-33EE-4DB3-8685-375C205D1070}" type="pres">
      <dgm:prSet presAssocID="{B6A92B39-B948-4263-BBFB-354AD45DE5C7}" presName="parentText" presStyleLbl="node1" presStyleIdx="0" presStyleCnt="0">
        <dgm:presLayoutVars>
          <dgm:chMax val="0"/>
          <dgm:bulletEnabled val="1"/>
        </dgm:presLayoutVars>
      </dgm:prSet>
      <dgm:spPr/>
    </dgm:pt>
    <dgm:pt modelId="{70516256-5285-4468-9616-6E04DDF17DA3}" type="pres">
      <dgm:prSet presAssocID="{B6A92B39-B948-4263-BBFB-354AD45DE5C7}" presName="parentRect" presStyleLbl="alignNode1" presStyleIdx="1" presStyleCnt="7"/>
      <dgm:spPr/>
    </dgm:pt>
    <dgm:pt modelId="{F6FBE46E-8A2C-4DE4-AF29-AD3474531629}" type="pres">
      <dgm:prSet presAssocID="{B6A92B39-B948-4263-BBFB-354AD45DE5C7}" presName="adorn" presStyleLbl="fgAccFollowNode1" presStyleIdx="1" presStyleCnt="7"/>
      <dgm:spPr>
        <a:blipFill rotWithShape="1">
          <a:blip xmlns:r="http://schemas.openxmlformats.org/officeDocument/2006/relationships" r:embed="rId1"/>
          <a:stretch>
            <a:fillRect/>
          </a:stretch>
        </a:blipFill>
      </dgm:spPr>
    </dgm:pt>
    <dgm:pt modelId="{B75B9407-7188-4407-A293-DBC488A00CE1}" type="pres">
      <dgm:prSet presAssocID="{7963A09A-73E1-4533-90D0-4CE55A797CE0}" presName="sibTrans" presStyleLbl="sibTrans2D1" presStyleIdx="0" presStyleCnt="0"/>
      <dgm:spPr/>
    </dgm:pt>
    <dgm:pt modelId="{8812F859-FC24-45E6-A871-86CD83F6006D}" type="pres">
      <dgm:prSet presAssocID="{00BBB511-F2D8-4992-8281-916F43D814ED}" presName="compNode" presStyleCnt="0"/>
      <dgm:spPr/>
    </dgm:pt>
    <dgm:pt modelId="{AC85F26B-AF4B-4C79-B400-3164317271E2}" type="pres">
      <dgm:prSet presAssocID="{00BBB511-F2D8-4992-8281-916F43D814ED}" presName="childRect" presStyleLbl="bgAcc1" presStyleIdx="2" presStyleCnt="7">
        <dgm:presLayoutVars>
          <dgm:bulletEnabled val="1"/>
        </dgm:presLayoutVars>
      </dgm:prSet>
      <dgm:spPr/>
    </dgm:pt>
    <dgm:pt modelId="{16530049-D87E-406C-B370-E6B9F6209CC8}" type="pres">
      <dgm:prSet presAssocID="{00BBB511-F2D8-4992-8281-916F43D814ED}" presName="parentText" presStyleLbl="node1" presStyleIdx="0" presStyleCnt="0">
        <dgm:presLayoutVars>
          <dgm:chMax val="0"/>
          <dgm:bulletEnabled val="1"/>
        </dgm:presLayoutVars>
      </dgm:prSet>
      <dgm:spPr/>
    </dgm:pt>
    <dgm:pt modelId="{EC7110CA-2D45-4CF2-899C-5E25CFABCC90}" type="pres">
      <dgm:prSet presAssocID="{00BBB511-F2D8-4992-8281-916F43D814ED}" presName="parentRect" presStyleLbl="alignNode1" presStyleIdx="2" presStyleCnt="7"/>
      <dgm:spPr/>
    </dgm:pt>
    <dgm:pt modelId="{CAFFC27E-2AE8-4E53-B862-8E3976CCDC6E}" type="pres">
      <dgm:prSet presAssocID="{00BBB511-F2D8-4992-8281-916F43D814ED}" presName="adorn" presStyleLbl="fgAccFollowNode1" presStyleIdx="2" presStyleCnt="7"/>
      <dgm:spPr>
        <a:blipFill rotWithShape="1">
          <a:blip xmlns:r="http://schemas.openxmlformats.org/officeDocument/2006/relationships" r:embed="rId1"/>
          <a:stretch>
            <a:fillRect/>
          </a:stretch>
        </a:blipFill>
      </dgm:spPr>
    </dgm:pt>
    <dgm:pt modelId="{163BF74C-4827-41BE-9C1F-B2FD33210E99}" type="pres">
      <dgm:prSet presAssocID="{5EBC8FCC-AFD9-4D1B-B295-CF9DED3784DB}" presName="sibTrans" presStyleLbl="sibTrans2D1" presStyleIdx="0" presStyleCnt="0"/>
      <dgm:spPr/>
    </dgm:pt>
    <dgm:pt modelId="{502D52E5-5E68-44EC-AACF-792F0A0AE88C}" type="pres">
      <dgm:prSet presAssocID="{24ABBE20-3644-4E49-9CBD-D4288D62DA62}" presName="compNode" presStyleCnt="0"/>
      <dgm:spPr/>
    </dgm:pt>
    <dgm:pt modelId="{7B576C9A-75CE-45B5-BF9F-1A910DC4CF7E}" type="pres">
      <dgm:prSet presAssocID="{24ABBE20-3644-4E49-9CBD-D4288D62DA62}" presName="childRect" presStyleLbl="bgAcc1" presStyleIdx="3" presStyleCnt="7">
        <dgm:presLayoutVars>
          <dgm:bulletEnabled val="1"/>
        </dgm:presLayoutVars>
      </dgm:prSet>
      <dgm:spPr/>
    </dgm:pt>
    <dgm:pt modelId="{F8FCE600-829D-444C-B6C0-2669509B9061}" type="pres">
      <dgm:prSet presAssocID="{24ABBE20-3644-4E49-9CBD-D4288D62DA62}" presName="parentText" presStyleLbl="node1" presStyleIdx="0" presStyleCnt="0">
        <dgm:presLayoutVars>
          <dgm:chMax val="0"/>
          <dgm:bulletEnabled val="1"/>
        </dgm:presLayoutVars>
      </dgm:prSet>
      <dgm:spPr/>
    </dgm:pt>
    <dgm:pt modelId="{ED81E231-9A5E-4005-BFCF-92B94571F4E1}" type="pres">
      <dgm:prSet presAssocID="{24ABBE20-3644-4E49-9CBD-D4288D62DA62}" presName="parentRect" presStyleLbl="alignNode1" presStyleIdx="3" presStyleCnt="7"/>
      <dgm:spPr/>
    </dgm:pt>
    <dgm:pt modelId="{F3E3263F-BDF8-449D-B3FC-4D8F4F3EE78B}" type="pres">
      <dgm:prSet presAssocID="{24ABBE20-3644-4E49-9CBD-D4288D62DA62}" presName="adorn" presStyleLbl="fgAccFollowNode1" presStyleIdx="3" presStyleCnt="7"/>
      <dgm:spPr>
        <a:blipFill rotWithShape="1">
          <a:blip xmlns:r="http://schemas.openxmlformats.org/officeDocument/2006/relationships" r:embed="rId1"/>
          <a:stretch>
            <a:fillRect/>
          </a:stretch>
        </a:blipFill>
      </dgm:spPr>
    </dgm:pt>
    <dgm:pt modelId="{C0E2D9AD-6488-4C80-AFFD-CB72BF4B1778}" type="pres">
      <dgm:prSet presAssocID="{88EEDFCA-D54C-493B-A7ED-1433D6F956ED}" presName="sibTrans" presStyleLbl="sibTrans2D1" presStyleIdx="0" presStyleCnt="0"/>
      <dgm:spPr/>
    </dgm:pt>
    <dgm:pt modelId="{9C761679-1DC5-4D6E-8717-28380941248E}" type="pres">
      <dgm:prSet presAssocID="{F26FCDF9-CA4D-4BA2-AF96-9DE8B30DB56B}" presName="compNode" presStyleCnt="0"/>
      <dgm:spPr/>
    </dgm:pt>
    <dgm:pt modelId="{3C81CB08-F478-41B4-8086-00A1528BC8AC}" type="pres">
      <dgm:prSet presAssocID="{F26FCDF9-CA4D-4BA2-AF96-9DE8B30DB56B}" presName="childRect" presStyleLbl="bgAcc1" presStyleIdx="4" presStyleCnt="7">
        <dgm:presLayoutVars>
          <dgm:bulletEnabled val="1"/>
        </dgm:presLayoutVars>
      </dgm:prSet>
      <dgm:spPr/>
    </dgm:pt>
    <dgm:pt modelId="{1747C2FA-2BD2-4722-BFFE-1CE1409F2455}" type="pres">
      <dgm:prSet presAssocID="{F26FCDF9-CA4D-4BA2-AF96-9DE8B30DB56B}" presName="parentText" presStyleLbl="node1" presStyleIdx="0" presStyleCnt="0">
        <dgm:presLayoutVars>
          <dgm:chMax val="0"/>
          <dgm:bulletEnabled val="1"/>
        </dgm:presLayoutVars>
      </dgm:prSet>
      <dgm:spPr/>
    </dgm:pt>
    <dgm:pt modelId="{1DD3C64A-ABCA-4DBB-8EF1-849904D3C365}" type="pres">
      <dgm:prSet presAssocID="{F26FCDF9-CA4D-4BA2-AF96-9DE8B30DB56B}" presName="parentRect" presStyleLbl="alignNode1" presStyleIdx="4" presStyleCnt="7"/>
      <dgm:spPr/>
    </dgm:pt>
    <dgm:pt modelId="{9C0B8311-82D9-4FB6-911E-5CC9D8E761DC}" type="pres">
      <dgm:prSet presAssocID="{F26FCDF9-CA4D-4BA2-AF96-9DE8B30DB56B}" presName="adorn" presStyleLbl="fgAccFollowNode1" presStyleIdx="4" presStyleCnt="7"/>
      <dgm:spPr>
        <a:blipFill rotWithShape="1">
          <a:blip xmlns:r="http://schemas.openxmlformats.org/officeDocument/2006/relationships" r:embed="rId1"/>
          <a:stretch>
            <a:fillRect/>
          </a:stretch>
        </a:blipFill>
      </dgm:spPr>
    </dgm:pt>
    <dgm:pt modelId="{83528368-570F-4B79-AB2A-4B7EFB74A1C6}" type="pres">
      <dgm:prSet presAssocID="{F382278F-C892-4699-AE1A-966052AC0098}" presName="sibTrans" presStyleLbl="sibTrans2D1" presStyleIdx="0" presStyleCnt="0"/>
      <dgm:spPr/>
    </dgm:pt>
    <dgm:pt modelId="{E0F7025E-C4D8-4184-9B83-6E9CD1D023ED}" type="pres">
      <dgm:prSet presAssocID="{76B48A89-54FF-4756-B87F-897E3ABFBE81}" presName="compNode" presStyleCnt="0"/>
      <dgm:spPr/>
    </dgm:pt>
    <dgm:pt modelId="{B9AAC8DF-724C-417D-ADF7-CC31E1A8FC13}" type="pres">
      <dgm:prSet presAssocID="{76B48A89-54FF-4756-B87F-897E3ABFBE81}" presName="childRect" presStyleLbl="bgAcc1" presStyleIdx="5" presStyleCnt="7">
        <dgm:presLayoutVars>
          <dgm:bulletEnabled val="1"/>
        </dgm:presLayoutVars>
      </dgm:prSet>
      <dgm:spPr/>
    </dgm:pt>
    <dgm:pt modelId="{753B052E-C6E4-4FE1-9F13-117385109015}" type="pres">
      <dgm:prSet presAssocID="{76B48A89-54FF-4756-B87F-897E3ABFBE81}" presName="parentText" presStyleLbl="node1" presStyleIdx="0" presStyleCnt="0">
        <dgm:presLayoutVars>
          <dgm:chMax val="0"/>
          <dgm:bulletEnabled val="1"/>
        </dgm:presLayoutVars>
      </dgm:prSet>
      <dgm:spPr/>
    </dgm:pt>
    <dgm:pt modelId="{E551CC12-FD1E-4ADB-A739-37396C4B55AD}" type="pres">
      <dgm:prSet presAssocID="{76B48A89-54FF-4756-B87F-897E3ABFBE81}" presName="parentRect" presStyleLbl="alignNode1" presStyleIdx="5" presStyleCnt="7"/>
      <dgm:spPr/>
    </dgm:pt>
    <dgm:pt modelId="{5DEAA72C-D182-47AE-AAE8-CD1E1C3DCAD2}" type="pres">
      <dgm:prSet presAssocID="{76B48A89-54FF-4756-B87F-897E3ABFBE81}" presName="adorn" presStyleLbl="fgAccFollowNode1" presStyleIdx="5" presStyleCnt="7"/>
      <dgm:spPr>
        <a:blipFill rotWithShape="1">
          <a:blip xmlns:r="http://schemas.openxmlformats.org/officeDocument/2006/relationships" r:embed="rId1"/>
          <a:stretch>
            <a:fillRect/>
          </a:stretch>
        </a:blipFill>
      </dgm:spPr>
    </dgm:pt>
    <dgm:pt modelId="{B7D71D48-694D-40C5-B9AC-4F2E03488AEB}" type="pres">
      <dgm:prSet presAssocID="{BE7AC052-81EF-4A16-9B70-90A6369C4CFD}" presName="sibTrans" presStyleLbl="sibTrans2D1" presStyleIdx="0" presStyleCnt="0"/>
      <dgm:spPr/>
    </dgm:pt>
    <dgm:pt modelId="{5F9172CB-5D1D-4297-ADF1-3C0413FA45E8}" type="pres">
      <dgm:prSet presAssocID="{C88BB18E-D834-4416-80FB-9D755CD25606}" presName="compNode" presStyleCnt="0"/>
      <dgm:spPr/>
    </dgm:pt>
    <dgm:pt modelId="{3D10F2E2-6804-4269-82F2-5CB2BAAB384E}" type="pres">
      <dgm:prSet presAssocID="{C88BB18E-D834-4416-80FB-9D755CD25606}" presName="childRect" presStyleLbl="bgAcc1" presStyleIdx="6" presStyleCnt="7">
        <dgm:presLayoutVars>
          <dgm:bulletEnabled val="1"/>
        </dgm:presLayoutVars>
      </dgm:prSet>
      <dgm:spPr/>
    </dgm:pt>
    <dgm:pt modelId="{C0008483-9B02-419D-B94C-686C3FDFFB2B}" type="pres">
      <dgm:prSet presAssocID="{C88BB18E-D834-4416-80FB-9D755CD25606}" presName="parentText" presStyleLbl="node1" presStyleIdx="0" presStyleCnt="0">
        <dgm:presLayoutVars>
          <dgm:chMax val="0"/>
          <dgm:bulletEnabled val="1"/>
        </dgm:presLayoutVars>
      </dgm:prSet>
      <dgm:spPr/>
    </dgm:pt>
    <dgm:pt modelId="{5C4739BD-466E-4197-AF0A-7B11985A5F66}" type="pres">
      <dgm:prSet presAssocID="{C88BB18E-D834-4416-80FB-9D755CD25606}" presName="parentRect" presStyleLbl="alignNode1" presStyleIdx="6" presStyleCnt="7"/>
      <dgm:spPr/>
    </dgm:pt>
    <dgm:pt modelId="{A481D67F-F5EC-4C19-8FDE-E2EDDCC8C664}" type="pres">
      <dgm:prSet presAssocID="{C88BB18E-D834-4416-80FB-9D755CD25606}" presName="adorn" presStyleLbl="fgAccFollowNode1" presStyleIdx="6" presStyleCnt="7"/>
      <dgm:spPr>
        <a:blipFill rotWithShape="1">
          <a:blip xmlns:r="http://schemas.openxmlformats.org/officeDocument/2006/relationships" r:embed="rId1"/>
          <a:stretch>
            <a:fillRect/>
          </a:stretch>
        </a:blipFill>
      </dgm:spPr>
    </dgm:pt>
  </dgm:ptLst>
  <dgm:cxnLst>
    <dgm:cxn modelId="{60009809-234D-4E76-953C-3CF3031FB3E8}" type="presOf" srcId="{7963A09A-73E1-4533-90D0-4CE55A797CE0}" destId="{B75B9407-7188-4407-A293-DBC488A00CE1}" srcOrd="0" destOrd="0" presId="urn:microsoft.com/office/officeart/2005/8/layout/bList2"/>
    <dgm:cxn modelId="{1C3E4C1A-B3D2-406E-B946-4880D5C84714}" type="presOf" srcId="{00BBB511-F2D8-4992-8281-916F43D814ED}" destId="{EC7110CA-2D45-4CF2-899C-5E25CFABCC90}" srcOrd="1" destOrd="0" presId="urn:microsoft.com/office/officeart/2005/8/layout/bList2"/>
    <dgm:cxn modelId="{BACB3420-C654-46F5-9853-DC2758730113}" type="presOf" srcId="{BE7AC052-81EF-4A16-9B70-90A6369C4CFD}" destId="{B7D71D48-694D-40C5-B9AC-4F2E03488AEB}" srcOrd="0" destOrd="0" presId="urn:microsoft.com/office/officeart/2005/8/layout/bList2"/>
    <dgm:cxn modelId="{81DD1323-61C3-4C02-A046-3A3BE82285BC}" srcId="{0E6F16C4-7B53-485F-B4B3-883147703D5C}" destId="{00BBB511-F2D8-4992-8281-916F43D814ED}" srcOrd="2" destOrd="0" parTransId="{A2635AE8-4873-4C9E-A2B9-0A1B720BE80F}" sibTransId="{5EBC8FCC-AFD9-4D1B-B295-CF9DED3784DB}"/>
    <dgm:cxn modelId="{562D7B26-FA79-4F6A-90C0-D30E6428108C}" srcId="{0E6F16C4-7B53-485F-B4B3-883147703D5C}" destId="{24ABBE20-3644-4E49-9CBD-D4288D62DA62}" srcOrd="3" destOrd="0" parTransId="{7F29689A-7CA7-4E72-BF22-36C10D87B581}" sibTransId="{88EEDFCA-D54C-493B-A7ED-1433D6F956ED}"/>
    <dgm:cxn modelId="{4963072A-62EC-4295-8B8F-1DB31B00A3B4}" type="presOf" srcId="{435B7007-F5A7-44E0-A91A-9DB837D7284E}" destId="{A3839633-A6CF-4B54-B50C-49A436F600CF}" srcOrd="0" destOrd="0" presId="urn:microsoft.com/office/officeart/2005/8/layout/bList2"/>
    <dgm:cxn modelId="{A2771E30-7754-4D99-8905-875F4CC1F055}" type="presOf" srcId="{76B48A89-54FF-4756-B87F-897E3ABFBE81}" destId="{753B052E-C6E4-4FE1-9F13-117385109015}" srcOrd="0" destOrd="0" presId="urn:microsoft.com/office/officeart/2005/8/layout/bList2"/>
    <dgm:cxn modelId="{A92F7037-9DC9-4F5F-B11A-176E85550BE6}" type="presOf" srcId="{F26FCDF9-CA4D-4BA2-AF96-9DE8B30DB56B}" destId="{1DD3C64A-ABCA-4DBB-8EF1-849904D3C365}" srcOrd="1" destOrd="0" presId="urn:microsoft.com/office/officeart/2005/8/layout/bList2"/>
    <dgm:cxn modelId="{1F6A0B38-2D95-41F3-9009-B4A1365DF7F4}" type="presOf" srcId="{88EEDFCA-D54C-493B-A7ED-1433D6F956ED}" destId="{C0E2D9AD-6488-4C80-AFFD-CB72BF4B1778}" srcOrd="0" destOrd="0" presId="urn:microsoft.com/office/officeart/2005/8/layout/bList2"/>
    <dgm:cxn modelId="{A1618B3E-790E-4B21-9100-EAA4D4A004A1}" type="presOf" srcId="{24ABBE20-3644-4E49-9CBD-D4288D62DA62}" destId="{F8FCE600-829D-444C-B6C0-2669509B9061}" srcOrd="0" destOrd="0" presId="urn:microsoft.com/office/officeart/2005/8/layout/bList2"/>
    <dgm:cxn modelId="{772D323F-F53A-49CE-9D48-428C6EDC1ADE}" type="presOf" srcId="{ECCC08A0-79EE-44DF-A585-171864EEFDB9}" destId="{AC85F26B-AF4B-4C79-B400-3164317271E2}" srcOrd="0" destOrd="0" presId="urn:microsoft.com/office/officeart/2005/8/layout/bList2"/>
    <dgm:cxn modelId="{3C8C633F-D312-46CB-94FA-7736A59D2982}" srcId="{F26FCDF9-CA4D-4BA2-AF96-9DE8B30DB56B}" destId="{4694B40B-1F4E-419F-BFA6-1E58595099F1}" srcOrd="0" destOrd="0" parTransId="{85532E62-4BB7-43EC-934E-14B9ACCBED95}" sibTransId="{9D2C4263-995F-489E-BF4A-4D22F09B21A9}"/>
    <dgm:cxn modelId="{19B23162-C424-49EF-947D-9AE47974756A}" srcId="{E8F907F9-7A2A-4F72-99D6-8C84A2966768}" destId="{71F630E4-875E-48F2-828C-7F8C424FFCC8}" srcOrd="0" destOrd="0" parTransId="{BE75240E-71FF-4B2F-90DD-CDE10E691CC6}" sibTransId="{90D05D2B-7D6F-4DB6-8C17-50735646A625}"/>
    <dgm:cxn modelId="{C157B349-C283-4D4F-8D4E-4E0B25C1AD39}" type="presOf" srcId="{2F267A37-FFCD-48C8-895B-AD99CBCE27E7}" destId="{B9AAC8DF-724C-417D-ADF7-CC31E1A8FC13}" srcOrd="0" destOrd="0" presId="urn:microsoft.com/office/officeart/2005/8/layout/bList2"/>
    <dgm:cxn modelId="{E4AA076C-53CD-4A13-81EA-5E72BD986A1B}" type="presOf" srcId="{C88BB18E-D834-4416-80FB-9D755CD25606}" destId="{5C4739BD-466E-4197-AF0A-7B11985A5F66}" srcOrd="1" destOrd="0" presId="urn:microsoft.com/office/officeart/2005/8/layout/bList2"/>
    <dgm:cxn modelId="{8329116E-0762-470C-A381-DD3D2945BDB7}" srcId="{0E6F16C4-7B53-485F-B4B3-883147703D5C}" destId="{F26FCDF9-CA4D-4BA2-AF96-9DE8B30DB56B}" srcOrd="4" destOrd="0" parTransId="{5C71F7C5-3692-4182-B0CF-559AACBBC47A}" sibTransId="{F382278F-C892-4699-AE1A-966052AC0098}"/>
    <dgm:cxn modelId="{7F5DFE50-9F7D-47D7-AD19-9A1FFE0C9DC0}" srcId="{B6A92B39-B948-4263-BBFB-354AD45DE5C7}" destId="{E516EFFB-A2F1-4CA0-A4EB-EFE1973AE1FA}" srcOrd="0" destOrd="0" parTransId="{CA8AF0BA-8637-49D2-BAE8-7FE4FCB463AA}" sibTransId="{532AC4A2-B3A2-4BDA-A66F-21E7C22A0888}"/>
    <dgm:cxn modelId="{15782053-B357-4FD6-A452-270795EBEAC6}" type="presOf" srcId="{F26FCDF9-CA4D-4BA2-AF96-9DE8B30DB56B}" destId="{1747C2FA-2BD2-4722-BFFE-1CE1409F2455}" srcOrd="0" destOrd="0" presId="urn:microsoft.com/office/officeart/2005/8/layout/bList2"/>
    <dgm:cxn modelId="{9A578674-3755-4BE4-99B0-C7C9D4CDA118}" type="presOf" srcId="{C88BB18E-D834-4416-80FB-9D755CD25606}" destId="{C0008483-9B02-419D-B94C-686C3FDFFB2B}" srcOrd="0" destOrd="0" presId="urn:microsoft.com/office/officeart/2005/8/layout/bList2"/>
    <dgm:cxn modelId="{60C1CB55-0969-4CAF-B96F-CE1F8DDA3D0E}" type="presOf" srcId="{5EBC8FCC-AFD9-4D1B-B295-CF9DED3784DB}" destId="{163BF74C-4827-41BE-9C1F-B2FD33210E99}" srcOrd="0" destOrd="0" presId="urn:microsoft.com/office/officeart/2005/8/layout/bList2"/>
    <dgm:cxn modelId="{72B1CB77-4D99-447C-B039-B9E1038D9575}" srcId="{00BBB511-F2D8-4992-8281-916F43D814ED}" destId="{ECCC08A0-79EE-44DF-A585-171864EEFDB9}" srcOrd="0" destOrd="0" parTransId="{9186884C-EB12-4FFF-9E1A-16BB2A8B6894}" sibTransId="{2C015062-30C0-45CE-83CB-1FDD3638545E}"/>
    <dgm:cxn modelId="{36944258-E499-4182-AB7F-7C00B8885409}" type="presOf" srcId="{F382278F-C892-4699-AE1A-966052AC0098}" destId="{83528368-570F-4B79-AB2A-4B7EFB74A1C6}" srcOrd="0" destOrd="0" presId="urn:microsoft.com/office/officeart/2005/8/layout/bList2"/>
    <dgm:cxn modelId="{D5319759-0CD2-4C5C-8C2B-1A2750AF839A}" srcId="{0E6F16C4-7B53-485F-B4B3-883147703D5C}" destId="{B6A92B39-B948-4263-BBFB-354AD45DE5C7}" srcOrd="1" destOrd="0" parTransId="{A36B982F-C75A-41DE-8710-543B9AC7FC19}" sibTransId="{7963A09A-73E1-4533-90D0-4CE55A797CE0}"/>
    <dgm:cxn modelId="{F541077A-005D-46AF-ABED-00ACED17A1FF}" srcId="{0E6F16C4-7B53-485F-B4B3-883147703D5C}" destId="{E8F907F9-7A2A-4F72-99D6-8C84A2966768}" srcOrd="0" destOrd="0" parTransId="{DC286EB8-E4A3-4658-B882-FF9D4EFEE827}" sibTransId="{435B7007-F5A7-44E0-A91A-9DB837D7284E}"/>
    <dgm:cxn modelId="{8D16797B-BBF2-4207-8F0D-49C4736002C9}" type="presOf" srcId="{B6A92B39-B948-4263-BBFB-354AD45DE5C7}" destId="{70516256-5285-4468-9616-6E04DDF17DA3}" srcOrd="1" destOrd="0" presId="urn:microsoft.com/office/officeart/2005/8/layout/bList2"/>
    <dgm:cxn modelId="{5C29DF7D-AC3A-4E22-9EF2-97956772EA9F}" type="presOf" srcId="{71F630E4-875E-48F2-828C-7F8C424FFCC8}" destId="{D38015B5-F4D0-44A1-A1CB-B1E79EBE3A56}" srcOrd="0" destOrd="0" presId="urn:microsoft.com/office/officeart/2005/8/layout/bList2"/>
    <dgm:cxn modelId="{D3CB077E-7A8A-4D86-8BBA-3783F3E10C4F}" type="presOf" srcId="{76B48A89-54FF-4756-B87F-897E3ABFBE81}" destId="{E551CC12-FD1E-4ADB-A739-37396C4B55AD}" srcOrd="1" destOrd="0" presId="urn:microsoft.com/office/officeart/2005/8/layout/bList2"/>
    <dgm:cxn modelId="{70A14E80-203B-40FA-B894-01ECC833B089}" srcId="{C88BB18E-D834-4416-80FB-9D755CD25606}" destId="{8EA3C7D1-1806-4744-B303-651470314CC8}" srcOrd="0" destOrd="0" parTransId="{08405AF8-C25A-4F20-A4CE-E2D8993BF8A2}" sibTransId="{4341F34C-632F-4786-8B04-C29CE2AB36AD}"/>
    <dgm:cxn modelId="{D6F55B8E-6E1F-4A5A-90B9-35AD0EAC3CE0}" srcId="{76B48A89-54FF-4756-B87F-897E3ABFBE81}" destId="{2F267A37-FFCD-48C8-895B-AD99CBCE27E7}" srcOrd="0" destOrd="0" parTransId="{24F03E57-6CA7-416E-87BD-BB024D1F26FD}" sibTransId="{3D6AEE1A-0583-43DB-BF51-C22FAC20AF60}"/>
    <dgm:cxn modelId="{D5698A99-2DF6-445F-96AA-6489AAD2CD56}" srcId="{24ABBE20-3644-4E49-9CBD-D4288D62DA62}" destId="{B620764F-3CC7-416E-B4F7-608893300A66}" srcOrd="0" destOrd="0" parTransId="{AAD7E366-424D-4434-9059-C9068D098816}" sibTransId="{26C86B96-5603-4C08-A184-E9E839DA2C24}"/>
    <dgm:cxn modelId="{3DA5C9A9-C2EF-4A30-BE13-DC1320FB542D}" srcId="{0E6F16C4-7B53-485F-B4B3-883147703D5C}" destId="{C88BB18E-D834-4416-80FB-9D755CD25606}" srcOrd="6" destOrd="0" parTransId="{1A885F51-187D-43C0-B429-4589C2ED86E4}" sibTransId="{1662707D-75EA-4DE0-AC75-14F344F471D0}"/>
    <dgm:cxn modelId="{F7531DAA-7DB0-4C16-8E05-A094ABD69BC7}" type="presOf" srcId="{24ABBE20-3644-4E49-9CBD-D4288D62DA62}" destId="{ED81E231-9A5E-4005-BFCF-92B94571F4E1}" srcOrd="1" destOrd="0" presId="urn:microsoft.com/office/officeart/2005/8/layout/bList2"/>
    <dgm:cxn modelId="{43FCAFAE-39F4-472D-9419-C92EFCE96F1B}" type="presOf" srcId="{B620764F-3CC7-416E-B4F7-608893300A66}" destId="{7B576C9A-75CE-45B5-BF9F-1A910DC4CF7E}" srcOrd="0" destOrd="0" presId="urn:microsoft.com/office/officeart/2005/8/layout/bList2"/>
    <dgm:cxn modelId="{93ED39B7-E28B-453E-A788-5E3916EE1855}" type="presOf" srcId="{8EA3C7D1-1806-4744-B303-651470314CC8}" destId="{3D10F2E2-6804-4269-82F2-5CB2BAAB384E}" srcOrd="0" destOrd="0" presId="urn:microsoft.com/office/officeart/2005/8/layout/bList2"/>
    <dgm:cxn modelId="{5BB0D2C2-06EC-4BE3-9FF1-F84D41A0F200}" type="presOf" srcId="{E8F907F9-7A2A-4F72-99D6-8C84A2966768}" destId="{00AF42A4-C458-46C2-921D-F2C770FBBB4B}" srcOrd="0" destOrd="0" presId="urn:microsoft.com/office/officeart/2005/8/layout/bList2"/>
    <dgm:cxn modelId="{8C738BCC-250D-4A0B-96F7-5D1B6CCD6D36}" srcId="{0E6F16C4-7B53-485F-B4B3-883147703D5C}" destId="{76B48A89-54FF-4756-B87F-897E3ABFBE81}" srcOrd="5" destOrd="0" parTransId="{263E4CA0-9E76-4A02-B2AB-D063330E2692}" sibTransId="{BE7AC052-81EF-4A16-9B70-90A6369C4CFD}"/>
    <dgm:cxn modelId="{B9F2E7CD-A514-4707-90FC-6C4544B9BCFF}" type="presOf" srcId="{00BBB511-F2D8-4992-8281-916F43D814ED}" destId="{16530049-D87E-406C-B370-E6B9F6209CC8}" srcOrd="0" destOrd="0" presId="urn:microsoft.com/office/officeart/2005/8/layout/bList2"/>
    <dgm:cxn modelId="{B4591FD6-27BC-4794-9BA4-FF1B3CC37BF1}" type="presOf" srcId="{E516EFFB-A2F1-4CA0-A4EB-EFE1973AE1FA}" destId="{2E264383-D1F1-4A5F-8D77-BA0B815C840B}" srcOrd="0" destOrd="0" presId="urn:microsoft.com/office/officeart/2005/8/layout/bList2"/>
    <dgm:cxn modelId="{90431EDB-7EE6-4D7A-823F-89E7FDFF168F}" type="presOf" srcId="{B6A92B39-B948-4263-BBFB-354AD45DE5C7}" destId="{66830D3E-33EE-4DB3-8685-375C205D1070}" srcOrd="0" destOrd="0" presId="urn:microsoft.com/office/officeart/2005/8/layout/bList2"/>
    <dgm:cxn modelId="{DB5E06E8-5C76-4CF8-BF81-A18B1AC219DA}" type="presOf" srcId="{0E6F16C4-7B53-485F-B4B3-883147703D5C}" destId="{F042ACAC-1B91-4BB7-8CE8-AB5C90DBD9BC}" srcOrd="0" destOrd="0" presId="urn:microsoft.com/office/officeart/2005/8/layout/bList2"/>
    <dgm:cxn modelId="{57A6A2EE-4DC1-4DA7-93C7-5BC4ADDC7A62}" type="presOf" srcId="{E8F907F9-7A2A-4F72-99D6-8C84A2966768}" destId="{AC855AD4-9168-4073-BF82-F5818C6F2943}" srcOrd="1" destOrd="0" presId="urn:microsoft.com/office/officeart/2005/8/layout/bList2"/>
    <dgm:cxn modelId="{445FAFF9-1A27-405A-8ABB-51686A4B8294}" type="presOf" srcId="{4694B40B-1F4E-419F-BFA6-1E58595099F1}" destId="{3C81CB08-F478-41B4-8086-00A1528BC8AC}" srcOrd="0" destOrd="0" presId="urn:microsoft.com/office/officeart/2005/8/layout/bList2"/>
    <dgm:cxn modelId="{6A2496C0-CF6A-42FA-B3B9-86BC11F311EE}" type="presParOf" srcId="{F042ACAC-1B91-4BB7-8CE8-AB5C90DBD9BC}" destId="{AD710302-76B2-4D22-8298-0D17EA9814D7}" srcOrd="0" destOrd="0" presId="urn:microsoft.com/office/officeart/2005/8/layout/bList2"/>
    <dgm:cxn modelId="{3990BEF0-B501-49DC-88D6-3FD8A0385A29}" type="presParOf" srcId="{AD710302-76B2-4D22-8298-0D17EA9814D7}" destId="{D38015B5-F4D0-44A1-A1CB-B1E79EBE3A56}" srcOrd="0" destOrd="0" presId="urn:microsoft.com/office/officeart/2005/8/layout/bList2"/>
    <dgm:cxn modelId="{40ACE820-88DE-42BF-9A09-27DC00D3D21D}" type="presParOf" srcId="{AD710302-76B2-4D22-8298-0D17EA9814D7}" destId="{00AF42A4-C458-46C2-921D-F2C770FBBB4B}" srcOrd="1" destOrd="0" presId="urn:microsoft.com/office/officeart/2005/8/layout/bList2"/>
    <dgm:cxn modelId="{3B4BD0C1-B9DF-4AD3-A42F-960183980619}" type="presParOf" srcId="{AD710302-76B2-4D22-8298-0D17EA9814D7}" destId="{AC855AD4-9168-4073-BF82-F5818C6F2943}" srcOrd="2" destOrd="0" presId="urn:microsoft.com/office/officeart/2005/8/layout/bList2"/>
    <dgm:cxn modelId="{C8505671-5715-4D4D-8FC5-CCE072EF1649}" type="presParOf" srcId="{AD710302-76B2-4D22-8298-0D17EA9814D7}" destId="{6738A1A8-6C94-4A4C-8F19-37E11556693D}" srcOrd="3" destOrd="0" presId="urn:microsoft.com/office/officeart/2005/8/layout/bList2"/>
    <dgm:cxn modelId="{5994157E-DB5F-4A13-86EB-2536AEC03E54}" type="presParOf" srcId="{F042ACAC-1B91-4BB7-8CE8-AB5C90DBD9BC}" destId="{A3839633-A6CF-4B54-B50C-49A436F600CF}" srcOrd="1" destOrd="0" presId="urn:microsoft.com/office/officeart/2005/8/layout/bList2"/>
    <dgm:cxn modelId="{A8C08DF1-196A-46BE-A8D4-A61775195301}" type="presParOf" srcId="{F042ACAC-1B91-4BB7-8CE8-AB5C90DBD9BC}" destId="{8E7C49C2-0149-4381-BBEB-9ACE96749DDE}" srcOrd="2" destOrd="0" presId="urn:microsoft.com/office/officeart/2005/8/layout/bList2"/>
    <dgm:cxn modelId="{2D043A44-7573-4F48-A4D2-FAC175474310}" type="presParOf" srcId="{8E7C49C2-0149-4381-BBEB-9ACE96749DDE}" destId="{2E264383-D1F1-4A5F-8D77-BA0B815C840B}" srcOrd="0" destOrd="0" presId="urn:microsoft.com/office/officeart/2005/8/layout/bList2"/>
    <dgm:cxn modelId="{473C5E1D-2EB8-46CF-A393-ABAE3BA0BE6D}" type="presParOf" srcId="{8E7C49C2-0149-4381-BBEB-9ACE96749DDE}" destId="{66830D3E-33EE-4DB3-8685-375C205D1070}" srcOrd="1" destOrd="0" presId="urn:microsoft.com/office/officeart/2005/8/layout/bList2"/>
    <dgm:cxn modelId="{DBDAD73B-8867-42BF-A607-64F5FAAEB88D}" type="presParOf" srcId="{8E7C49C2-0149-4381-BBEB-9ACE96749DDE}" destId="{70516256-5285-4468-9616-6E04DDF17DA3}" srcOrd="2" destOrd="0" presId="urn:microsoft.com/office/officeart/2005/8/layout/bList2"/>
    <dgm:cxn modelId="{DA621747-E981-4C48-A722-AE9D2CCE8581}" type="presParOf" srcId="{8E7C49C2-0149-4381-BBEB-9ACE96749DDE}" destId="{F6FBE46E-8A2C-4DE4-AF29-AD3474531629}" srcOrd="3" destOrd="0" presId="urn:microsoft.com/office/officeart/2005/8/layout/bList2"/>
    <dgm:cxn modelId="{824BA508-3599-4C45-9013-3ED959F35206}" type="presParOf" srcId="{F042ACAC-1B91-4BB7-8CE8-AB5C90DBD9BC}" destId="{B75B9407-7188-4407-A293-DBC488A00CE1}" srcOrd="3" destOrd="0" presId="urn:microsoft.com/office/officeart/2005/8/layout/bList2"/>
    <dgm:cxn modelId="{C5D195EB-58BC-4894-BA66-ED99FCAA77AC}" type="presParOf" srcId="{F042ACAC-1B91-4BB7-8CE8-AB5C90DBD9BC}" destId="{8812F859-FC24-45E6-A871-86CD83F6006D}" srcOrd="4" destOrd="0" presId="urn:microsoft.com/office/officeart/2005/8/layout/bList2"/>
    <dgm:cxn modelId="{22175341-29A4-47EF-BBEC-D12DCC772EAC}" type="presParOf" srcId="{8812F859-FC24-45E6-A871-86CD83F6006D}" destId="{AC85F26B-AF4B-4C79-B400-3164317271E2}" srcOrd="0" destOrd="0" presId="urn:microsoft.com/office/officeart/2005/8/layout/bList2"/>
    <dgm:cxn modelId="{F7C67E83-8E1B-4BF9-93B5-B10ED77905D8}" type="presParOf" srcId="{8812F859-FC24-45E6-A871-86CD83F6006D}" destId="{16530049-D87E-406C-B370-E6B9F6209CC8}" srcOrd="1" destOrd="0" presId="urn:microsoft.com/office/officeart/2005/8/layout/bList2"/>
    <dgm:cxn modelId="{BF87389E-1E19-48FC-BE75-F4A3836A3D43}" type="presParOf" srcId="{8812F859-FC24-45E6-A871-86CD83F6006D}" destId="{EC7110CA-2D45-4CF2-899C-5E25CFABCC90}" srcOrd="2" destOrd="0" presId="urn:microsoft.com/office/officeart/2005/8/layout/bList2"/>
    <dgm:cxn modelId="{69185C26-524F-4D48-8549-0AF7AF2FE5A3}" type="presParOf" srcId="{8812F859-FC24-45E6-A871-86CD83F6006D}" destId="{CAFFC27E-2AE8-4E53-B862-8E3976CCDC6E}" srcOrd="3" destOrd="0" presId="urn:microsoft.com/office/officeart/2005/8/layout/bList2"/>
    <dgm:cxn modelId="{AA73BB40-E526-404B-909A-41856438D784}" type="presParOf" srcId="{F042ACAC-1B91-4BB7-8CE8-AB5C90DBD9BC}" destId="{163BF74C-4827-41BE-9C1F-B2FD33210E99}" srcOrd="5" destOrd="0" presId="urn:microsoft.com/office/officeart/2005/8/layout/bList2"/>
    <dgm:cxn modelId="{8168169B-0117-4A4A-BCD2-D90E701DE229}" type="presParOf" srcId="{F042ACAC-1B91-4BB7-8CE8-AB5C90DBD9BC}" destId="{502D52E5-5E68-44EC-AACF-792F0A0AE88C}" srcOrd="6" destOrd="0" presId="urn:microsoft.com/office/officeart/2005/8/layout/bList2"/>
    <dgm:cxn modelId="{25FF84BC-30A2-4B82-BBA2-0898BCFC663D}" type="presParOf" srcId="{502D52E5-5E68-44EC-AACF-792F0A0AE88C}" destId="{7B576C9A-75CE-45B5-BF9F-1A910DC4CF7E}" srcOrd="0" destOrd="0" presId="urn:microsoft.com/office/officeart/2005/8/layout/bList2"/>
    <dgm:cxn modelId="{CFDFD0F4-7013-4819-A7B5-2FC23A5C77E1}" type="presParOf" srcId="{502D52E5-5E68-44EC-AACF-792F0A0AE88C}" destId="{F8FCE600-829D-444C-B6C0-2669509B9061}" srcOrd="1" destOrd="0" presId="urn:microsoft.com/office/officeart/2005/8/layout/bList2"/>
    <dgm:cxn modelId="{A3AA5F5F-1866-4183-AE8C-5EEC48ACD4A9}" type="presParOf" srcId="{502D52E5-5E68-44EC-AACF-792F0A0AE88C}" destId="{ED81E231-9A5E-4005-BFCF-92B94571F4E1}" srcOrd="2" destOrd="0" presId="urn:microsoft.com/office/officeart/2005/8/layout/bList2"/>
    <dgm:cxn modelId="{AB2383F0-1FEB-42D1-A667-995ACB16084D}" type="presParOf" srcId="{502D52E5-5E68-44EC-AACF-792F0A0AE88C}" destId="{F3E3263F-BDF8-449D-B3FC-4D8F4F3EE78B}" srcOrd="3" destOrd="0" presId="urn:microsoft.com/office/officeart/2005/8/layout/bList2"/>
    <dgm:cxn modelId="{F2A34DFC-DF62-4A5A-8579-83BBD692670F}" type="presParOf" srcId="{F042ACAC-1B91-4BB7-8CE8-AB5C90DBD9BC}" destId="{C0E2D9AD-6488-4C80-AFFD-CB72BF4B1778}" srcOrd="7" destOrd="0" presId="urn:microsoft.com/office/officeart/2005/8/layout/bList2"/>
    <dgm:cxn modelId="{6945395A-5C62-4AB9-9A0C-BBFB3CE1C7C2}" type="presParOf" srcId="{F042ACAC-1B91-4BB7-8CE8-AB5C90DBD9BC}" destId="{9C761679-1DC5-4D6E-8717-28380941248E}" srcOrd="8" destOrd="0" presId="urn:microsoft.com/office/officeart/2005/8/layout/bList2"/>
    <dgm:cxn modelId="{7389F0F3-CC7A-4CCD-9D40-CCC3EA23109A}" type="presParOf" srcId="{9C761679-1DC5-4D6E-8717-28380941248E}" destId="{3C81CB08-F478-41B4-8086-00A1528BC8AC}" srcOrd="0" destOrd="0" presId="urn:microsoft.com/office/officeart/2005/8/layout/bList2"/>
    <dgm:cxn modelId="{C95B69F8-5B93-41FE-B12B-AD53BD1705DA}" type="presParOf" srcId="{9C761679-1DC5-4D6E-8717-28380941248E}" destId="{1747C2FA-2BD2-4722-BFFE-1CE1409F2455}" srcOrd="1" destOrd="0" presId="urn:microsoft.com/office/officeart/2005/8/layout/bList2"/>
    <dgm:cxn modelId="{54859CE7-6614-492A-B264-82B79F82C4B7}" type="presParOf" srcId="{9C761679-1DC5-4D6E-8717-28380941248E}" destId="{1DD3C64A-ABCA-4DBB-8EF1-849904D3C365}" srcOrd="2" destOrd="0" presId="urn:microsoft.com/office/officeart/2005/8/layout/bList2"/>
    <dgm:cxn modelId="{6FDD203F-4220-432F-BDDE-C643E2BF4763}" type="presParOf" srcId="{9C761679-1DC5-4D6E-8717-28380941248E}" destId="{9C0B8311-82D9-4FB6-911E-5CC9D8E761DC}" srcOrd="3" destOrd="0" presId="urn:microsoft.com/office/officeart/2005/8/layout/bList2"/>
    <dgm:cxn modelId="{3711B250-5241-439A-9B8A-EC105436C595}" type="presParOf" srcId="{F042ACAC-1B91-4BB7-8CE8-AB5C90DBD9BC}" destId="{83528368-570F-4B79-AB2A-4B7EFB74A1C6}" srcOrd="9" destOrd="0" presId="urn:microsoft.com/office/officeart/2005/8/layout/bList2"/>
    <dgm:cxn modelId="{45EA6C12-C9B2-43E0-80B0-DE671EC02076}" type="presParOf" srcId="{F042ACAC-1B91-4BB7-8CE8-AB5C90DBD9BC}" destId="{E0F7025E-C4D8-4184-9B83-6E9CD1D023ED}" srcOrd="10" destOrd="0" presId="urn:microsoft.com/office/officeart/2005/8/layout/bList2"/>
    <dgm:cxn modelId="{3B9D3A7A-3FB7-4C22-B101-B34BDFBEDDBA}" type="presParOf" srcId="{E0F7025E-C4D8-4184-9B83-6E9CD1D023ED}" destId="{B9AAC8DF-724C-417D-ADF7-CC31E1A8FC13}" srcOrd="0" destOrd="0" presId="urn:microsoft.com/office/officeart/2005/8/layout/bList2"/>
    <dgm:cxn modelId="{0A138A15-01D2-48F1-B536-F74AD7CCA3D7}" type="presParOf" srcId="{E0F7025E-C4D8-4184-9B83-6E9CD1D023ED}" destId="{753B052E-C6E4-4FE1-9F13-117385109015}" srcOrd="1" destOrd="0" presId="urn:microsoft.com/office/officeart/2005/8/layout/bList2"/>
    <dgm:cxn modelId="{53BC9389-0E91-40AA-8E67-0E9C3BCADB82}" type="presParOf" srcId="{E0F7025E-C4D8-4184-9B83-6E9CD1D023ED}" destId="{E551CC12-FD1E-4ADB-A739-37396C4B55AD}" srcOrd="2" destOrd="0" presId="urn:microsoft.com/office/officeart/2005/8/layout/bList2"/>
    <dgm:cxn modelId="{AAF7295E-3DB3-4FE6-95B1-E6B403146B1C}" type="presParOf" srcId="{E0F7025E-C4D8-4184-9B83-6E9CD1D023ED}" destId="{5DEAA72C-D182-47AE-AAE8-CD1E1C3DCAD2}" srcOrd="3" destOrd="0" presId="urn:microsoft.com/office/officeart/2005/8/layout/bList2"/>
    <dgm:cxn modelId="{6C9332C6-3F32-4350-ACB7-7DB477C51AAD}" type="presParOf" srcId="{F042ACAC-1B91-4BB7-8CE8-AB5C90DBD9BC}" destId="{B7D71D48-694D-40C5-B9AC-4F2E03488AEB}" srcOrd="11" destOrd="0" presId="urn:microsoft.com/office/officeart/2005/8/layout/bList2"/>
    <dgm:cxn modelId="{0F9439E1-D85E-4FCA-BDCE-DCFF112C32B2}" type="presParOf" srcId="{F042ACAC-1B91-4BB7-8CE8-AB5C90DBD9BC}" destId="{5F9172CB-5D1D-4297-ADF1-3C0413FA45E8}" srcOrd="12" destOrd="0" presId="urn:microsoft.com/office/officeart/2005/8/layout/bList2"/>
    <dgm:cxn modelId="{8FF9E30A-66DD-456C-937E-7DE51CCE77B5}" type="presParOf" srcId="{5F9172CB-5D1D-4297-ADF1-3C0413FA45E8}" destId="{3D10F2E2-6804-4269-82F2-5CB2BAAB384E}" srcOrd="0" destOrd="0" presId="urn:microsoft.com/office/officeart/2005/8/layout/bList2"/>
    <dgm:cxn modelId="{89E94316-0033-4C73-BDD2-709DF4AF3CDB}" type="presParOf" srcId="{5F9172CB-5D1D-4297-ADF1-3C0413FA45E8}" destId="{C0008483-9B02-419D-B94C-686C3FDFFB2B}" srcOrd="1" destOrd="0" presId="urn:microsoft.com/office/officeart/2005/8/layout/bList2"/>
    <dgm:cxn modelId="{797094E2-B176-41E1-A9C3-02FC5FDEC0EE}" type="presParOf" srcId="{5F9172CB-5D1D-4297-ADF1-3C0413FA45E8}" destId="{5C4739BD-466E-4197-AF0A-7B11985A5F66}" srcOrd="2" destOrd="0" presId="urn:microsoft.com/office/officeart/2005/8/layout/bList2"/>
    <dgm:cxn modelId="{7A0B8D06-31EA-43E0-89AA-1F674DF682E5}" type="presParOf" srcId="{5F9172CB-5D1D-4297-ADF1-3C0413FA45E8}" destId="{A481D67F-F5EC-4C19-8FDE-E2EDDCC8C664}" srcOrd="3" destOrd="0" presId="urn:microsoft.com/office/officeart/2005/8/layout/bList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8015B5-F4D0-44A1-A1CB-B1E79EBE3A56}">
      <dsp:nvSpPr>
        <dsp:cNvPr id="0" name=""/>
        <dsp:cNvSpPr/>
      </dsp:nvSpPr>
      <dsp:spPr>
        <a:xfrm>
          <a:off x="633674" y="3089"/>
          <a:ext cx="1367614" cy="1020895"/>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34290" rIns="11430" bIns="11430" numCol="1" spcCol="1270" anchor="t" anchorCtr="0">
          <a:noAutofit/>
        </a:bodyPr>
        <a:lstStyle/>
        <a:p>
          <a:pPr marL="57150" lvl="1" indent="-57150" algn="l" defTabSz="400050" rtl="0">
            <a:lnSpc>
              <a:spcPct val="90000"/>
            </a:lnSpc>
            <a:spcBef>
              <a:spcPct val="0"/>
            </a:spcBef>
            <a:spcAft>
              <a:spcPct val="15000"/>
            </a:spcAft>
            <a:buChar char="•"/>
          </a:pPr>
          <a:r>
            <a:rPr lang="en-US" sz="900" kern="1200"/>
            <a:t>Use only publicly available, published data; no new ethics approval required (Creswell &amp; Poth, 2018).</a:t>
          </a:r>
        </a:p>
      </dsp:txBody>
      <dsp:txXfrm>
        <a:off x="657595" y="27010"/>
        <a:ext cx="1319772" cy="996974"/>
      </dsp:txXfrm>
    </dsp:sp>
    <dsp:sp modelId="{AC855AD4-9168-4073-BF82-F5818C6F2943}">
      <dsp:nvSpPr>
        <dsp:cNvPr id="0" name=""/>
        <dsp:cNvSpPr/>
      </dsp:nvSpPr>
      <dsp:spPr>
        <a:xfrm>
          <a:off x="633674" y="1023984"/>
          <a:ext cx="1367614" cy="438984"/>
        </a:xfrm>
        <a:prstGeom prst="rect">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110" tIns="0" rIns="39370" bIns="0" numCol="1" spcCol="1270" anchor="ctr" anchorCtr="0">
          <a:noAutofit/>
        </a:bodyPr>
        <a:lstStyle/>
        <a:p>
          <a:pPr marL="0" lvl="0" indent="0" algn="l" defTabSz="1377950" rtl="0">
            <a:lnSpc>
              <a:spcPct val="90000"/>
            </a:lnSpc>
            <a:spcBef>
              <a:spcPct val="0"/>
            </a:spcBef>
            <a:spcAft>
              <a:spcPct val="35000"/>
            </a:spcAft>
            <a:buNone/>
          </a:pPr>
          <a:r>
            <a:rPr lang="en-US" sz="3100" kern="1200"/>
            <a:t>01</a:t>
          </a:r>
        </a:p>
      </dsp:txBody>
      <dsp:txXfrm>
        <a:off x="633674" y="1023984"/>
        <a:ext cx="963108" cy="438984"/>
      </dsp:txXfrm>
    </dsp:sp>
    <dsp:sp modelId="{6738A1A8-6C94-4A4C-8F19-37E11556693D}">
      <dsp:nvSpPr>
        <dsp:cNvPr id="0" name=""/>
        <dsp:cNvSpPr/>
      </dsp:nvSpPr>
      <dsp:spPr>
        <a:xfrm>
          <a:off x="1635470" y="1093713"/>
          <a:ext cx="478664" cy="478664"/>
        </a:xfrm>
        <a:prstGeom prst="ellipse">
          <a:avLst/>
        </a:prstGeom>
        <a:blipFill rotWithShape="1">
          <a:blip xmlns:r="http://schemas.openxmlformats.org/officeDocument/2006/relationships" r:embed="rId1"/>
          <a:stretch>
            <a:fillRect/>
          </a:stretch>
        </a:blip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E264383-D1F1-4A5F-8D77-BA0B815C840B}">
      <dsp:nvSpPr>
        <dsp:cNvPr id="0" name=""/>
        <dsp:cNvSpPr/>
      </dsp:nvSpPr>
      <dsp:spPr>
        <a:xfrm>
          <a:off x="2232721" y="3089"/>
          <a:ext cx="1367614" cy="1020895"/>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34290" rIns="11430" bIns="11430" numCol="1" spcCol="1270" anchor="t" anchorCtr="0">
          <a:noAutofit/>
        </a:bodyPr>
        <a:lstStyle/>
        <a:p>
          <a:pPr marL="57150" lvl="1" indent="-57150" algn="l" defTabSz="400050" rtl="0">
            <a:lnSpc>
              <a:spcPct val="90000"/>
            </a:lnSpc>
            <a:spcBef>
              <a:spcPct val="0"/>
            </a:spcBef>
            <a:spcAft>
              <a:spcPct val="15000"/>
            </a:spcAft>
            <a:buChar char="•"/>
          </a:pPr>
          <a:r>
            <a:rPr lang="en-US" sz="900" kern="1200"/>
            <a:t>Honour original participant consent and protections from the primary studies (Creswell &amp; Poth, 2018).</a:t>
          </a:r>
        </a:p>
      </dsp:txBody>
      <dsp:txXfrm>
        <a:off x="2256642" y="27010"/>
        <a:ext cx="1319772" cy="996974"/>
      </dsp:txXfrm>
    </dsp:sp>
    <dsp:sp modelId="{70516256-5285-4468-9616-6E04DDF17DA3}">
      <dsp:nvSpPr>
        <dsp:cNvPr id="0" name=""/>
        <dsp:cNvSpPr/>
      </dsp:nvSpPr>
      <dsp:spPr>
        <a:xfrm>
          <a:off x="2232721" y="1023984"/>
          <a:ext cx="1367614" cy="438984"/>
        </a:xfrm>
        <a:prstGeom prst="rect">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110" tIns="0" rIns="39370" bIns="0" numCol="1" spcCol="1270" anchor="ctr" anchorCtr="0">
          <a:noAutofit/>
        </a:bodyPr>
        <a:lstStyle/>
        <a:p>
          <a:pPr marL="0" lvl="0" indent="0" algn="l" defTabSz="1377950" rtl="0">
            <a:lnSpc>
              <a:spcPct val="90000"/>
            </a:lnSpc>
            <a:spcBef>
              <a:spcPct val="0"/>
            </a:spcBef>
            <a:spcAft>
              <a:spcPct val="35000"/>
            </a:spcAft>
            <a:buNone/>
          </a:pPr>
          <a:r>
            <a:rPr lang="en-US" sz="3100" kern="1200"/>
            <a:t>02</a:t>
          </a:r>
        </a:p>
      </dsp:txBody>
      <dsp:txXfrm>
        <a:off x="2232721" y="1023984"/>
        <a:ext cx="963108" cy="438984"/>
      </dsp:txXfrm>
    </dsp:sp>
    <dsp:sp modelId="{F6FBE46E-8A2C-4DE4-AF29-AD3474531629}">
      <dsp:nvSpPr>
        <dsp:cNvPr id="0" name=""/>
        <dsp:cNvSpPr/>
      </dsp:nvSpPr>
      <dsp:spPr>
        <a:xfrm>
          <a:off x="3234518" y="1093713"/>
          <a:ext cx="478664" cy="478664"/>
        </a:xfrm>
        <a:prstGeom prst="ellipse">
          <a:avLst/>
        </a:prstGeom>
        <a:blipFill rotWithShape="1">
          <a:blip xmlns:r="http://schemas.openxmlformats.org/officeDocument/2006/relationships" r:embed="rId1"/>
          <a:stretch>
            <a:fillRect/>
          </a:stretch>
        </a:blip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C85F26B-AF4B-4C79-B400-3164317271E2}">
      <dsp:nvSpPr>
        <dsp:cNvPr id="0" name=""/>
        <dsp:cNvSpPr/>
      </dsp:nvSpPr>
      <dsp:spPr>
        <a:xfrm>
          <a:off x="3831769" y="3089"/>
          <a:ext cx="1367614" cy="1020895"/>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34290" rIns="11430" bIns="11430" numCol="1" spcCol="1270" anchor="t" anchorCtr="0">
          <a:noAutofit/>
        </a:bodyPr>
        <a:lstStyle/>
        <a:p>
          <a:pPr marL="57150" lvl="1" indent="-57150" algn="l" defTabSz="400050" rtl="0">
            <a:lnSpc>
              <a:spcPct val="90000"/>
            </a:lnSpc>
            <a:spcBef>
              <a:spcPct val="0"/>
            </a:spcBef>
            <a:spcAft>
              <a:spcPct val="15000"/>
            </a:spcAft>
            <a:buChar char="•"/>
          </a:pPr>
          <a:r>
            <a:rPr lang="en-US" sz="900" kern="1200"/>
            <a:t>Anonymise and paraphrase quotations to avoid over-identification; limit direct quotes (Creswell &amp; Poth, 2018).</a:t>
          </a:r>
        </a:p>
      </dsp:txBody>
      <dsp:txXfrm>
        <a:off x="3855690" y="27010"/>
        <a:ext cx="1319772" cy="996974"/>
      </dsp:txXfrm>
    </dsp:sp>
    <dsp:sp modelId="{EC7110CA-2D45-4CF2-899C-5E25CFABCC90}">
      <dsp:nvSpPr>
        <dsp:cNvPr id="0" name=""/>
        <dsp:cNvSpPr/>
      </dsp:nvSpPr>
      <dsp:spPr>
        <a:xfrm>
          <a:off x="3831769" y="1023984"/>
          <a:ext cx="1367614" cy="438984"/>
        </a:xfrm>
        <a:prstGeom prst="rect">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110" tIns="0" rIns="39370" bIns="0" numCol="1" spcCol="1270" anchor="ctr" anchorCtr="0">
          <a:noAutofit/>
        </a:bodyPr>
        <a:lstStyle/>
        <a:p>
          <a:pPr marL="0" lvl="0" indent="0" algn="l" defTabSz="1377950" rtl="0">
            <a:lnSpc>
              <a:spcPct val="90000"/>
            </a:lnSpc>
            <a:spcBef>
              <a:spcPct val="0"/>
            </a:spcBef>
            <a:spcAft>
              <a:spcPct val="35000"/>
            </a:spcAft>
            <a:buNone/>
          </a:pPr>
          <a:r>
            <a:rPr lang="en-US" sz="3100" kern="1200"/>
            <a:t>03</a:t>
          </a:r>
        </a:p>
      </dsp:txBody>
      <dsp:txXfrm>
        <a:off x="3831769" y="1023984"/>
        <a:ext cx="963108" cy="438984"/>
      </dsp:txXfrm>
    </dsp:sp>
    <dsp:sp modelId="{CAFFC27E-2AE8-4E53-B862-8E3976CCDC6E}">
      <dsp:nvSpPr>
        <dsp:cNvPr id="0" name=""/>
        <dsp:cNvSpPr/>
      </dsp:nvSpPr>
      <dsp:spPr>
        <a:xfrm>
          <a:off x="4833565" y="1093713"/>
          <a:ext cx="478664" cy="478664"/>
        </a:xfrm>
        <a:prstGeom prst="ellipse">
          <a:avLst/>
        </a:prstGeom>
        <a:blipFill rotWithShape="1">
          <a:blip xmlns:r="http://schemas.openxmlformats.org/officeDocument/2006/relationships" r:embed="rId1"/>
          <a:stretch>
            <a:fillRect/>
          </a:stretch>
        </a:blip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B576C9A-75CE-45B5-BF9F-1A910DC4CF7E}">
      <dsp:nvSpPr>
        <dsp:cNvPr id="0" name=""/>
        <dsp:cNvSpPr/>
      </dsp:nvSpPr>
      <dsp:spPr>
        <a:xfrm>
          <a:off x="5430816" y="3089"/>
          <a:ext cx="1367614" cy="1020895"/>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34290" rIns="11430" bIns="11430" numCol="1" spcCol="1270" anchor="t" anchorCtr="0">
          <a:noAutofit/>
        </a:bodyPr>
        <a:lstStyle/>
        <a:p>
          <a:pPr marL="57150" lvl="1" indent="-57150" algn="l" defTabSz="400050" rtl="0">
            <a:lnSpc>
              <a:spcPct val="90000"/>
            </a:lnSpc>
            <a:spcBef>
              <a:spcPct val="0"/>
            </a:spcBef>
            <a:spcAft>
              <a:spcPct val="15000"/>
            </a:spcAft>
            <a:buChar char="•"/>
          </a:pPr>
          <a:r>
            <a:rPr lang="en-US" sz="900" kern="1200"/>
            <a:t>Maintain a transparent audit trail (search logs, screening decisions, codebook, memos) to ensure dependability (Creswell &amp; Poth, 2018).</a:t>
          </a:r>
        </a:p>
      </dsp:txBody>
      <dsp:txXfrm>
        <a:off x="5454737" y="27010"/>
        <a:ext cx="1319772" cy="996974"/>
      </dsp:txXfrm>
    </dsp:sp>
    <dsp:sp modelId="{ED81E231-9A5E-4005-BFCF-92B94571F4E1}">
      <dsp:nvSpPr>
        <dsp:cNvPr id="0" name=""/>
        <dsp:cNvSpPr/>
      </dsp:nvSpPr>
      <dsp:spPr>
        <a:xfrm>
          <a:off x="5430816" y="1023984"/>
          <a:ext cx="1367614" cy="438984"/>
        </a:xfrm>
        <a:prstGeom prst="rect">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110" tIns="0" rIns="39370" bIns="0" numCol="1" spcCol="1270" anchor="ctr" anchorCtr="0">
          <a:noAutofit/>
        </a:bodyPr>
        <a:lstStyle/>
        <a:p>
          <a:pPr marL="0" lvl="0" indent="0" algn="l" defTabSz="1377950" rtl="0">
            <a:lnSpc>
              <a:spcPct val="90000"/>
            </a:lnSpc>
            <a:spcBef>
              <a:spcPct val="0"/>
            </a:spcBef>
            <a:spcAft>
              <a:spcPct val="35000"/>
            </a:spcAft>
            <a:buNone/>
          </a:pPr>
          <a:r>
            <a:rPr lang="en-US" sz="3100" kern="1200"/>
            <a:t>04</a:t>
          </a:r>
        </a:p>
      </dsp:txBody>
      <dsp:txXfrm>
        <a:off x="5430816" y="1023984"/>
        <a:ext cx="963108" cy="438984"/>
      </dsp:txXfrm>
    </dsp:sp>
    <dsp:sp modelId="{F3E3263F-BDF8-449D-B3FC-4D8F4F3EE78B}">
      <dsp:nvSpPr>
        <dsp:cNvPr id="0" name=""/>
        <dsp:cNvSpPr/>
      </dsp:nvSpPr>
      <dsp:spPr>
        <a:xfrm>
          <a:off x="6432613" y="1093713"/>
          <a:ext cx="478664" cy="478664"/>
        </a:xfrm>
        <a:prstGeom prst="ellipse">
          <a:avLst/>
        </a:prstGeom>
        <a:blipFill rotWithShape="1">
          <a:blip xmlns:r="http://schemas.openxmlformats.org/officeDocument/2006/relationships" r:embed="rId1"/>
          <a:stretch>
            <a:fillRect/>
          </a:stretch>
        </a:blip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C81CB08-F478-41B4-8086-00A1528BC8AC}">
      <dsp:nvSpPr>
        <dsp:cNvPr id="0" name=""/>
        <dsp:cNvSpPr/>
      </dsp:nvSpPr>
      <dsp:spPr>
        <a:xfrm>
          <a:off x="7029864" y="3089"/>
          <a:ext cx="1367614" cy="1020895"/>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34290" rIns="11430" bIns="11430" numCol="1" spcCol="1270" anchor="t" anchorCtr="0">
          <a:noAutofit/>
        </a:bodyPr>
        <a:lstStyle/>
        <a:p>
          <a:pPr marL="57150" lvl="1" indent="-57150" algn="l" defTabSz="400050" rtl="0">
            <a:lnSpc>
              <a:spcPct val="90000"/>
            </a:lnSpc>
            <a:spcBef>
              <a:spcPct val="0"/>
            </a:spcBef>
            <a:spcAft>
              <a:spcPct val="15000"/>
            </a:spcAft>
            <a:buChar char="•"/>
          </a:pPr>
          <a:r>
            <a:rPr lang="en-US" sz="900" kern="1200"/>
            <a:t>Practice reflexivity: record positionality and potential biases that may shape interpretation (Creswell &amp; Poth, 2018).</a:t>
          </a:r>
        </a:p>
      </dsp:txBody>
      <dsp:txXfrm>
        <a:off x="7053785" y="27010"/>
        <a:ext cx="1319772" cy="996974"/>
      </dsp:txXfrm>
    </dsp:sp>
    <dsp:sp modelId="{1DD3C64A-ABCA-4DBB-8EF1-849904D3C365}">
      <dsp:nvSpPr>
        <dsp:cNvPr id="0" name=""/>
        <dsp:cNvSpPr/>
      </dsp:nvSpPr>
      <dsp:spPr>
        <a:xfrm>
          <a:off x="7029864" y="1023984"/>
          <a:ext cx="1367614" cy="438984"/>
        </a:xfrm>
        <a:prstGeom prst="rect">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110" tIns="0" rIns="39370" bIns="0" numCol="1" spcCol="1270" anchor="ctr" anchorCtr="0">
          <a:noAutofit/>
        </a:bodyPr>
        <a:lstStyle/>
        <a:p>
          <a:pPr marL="0" lvl="0" indent="0" algn="l" defTabSz="1377950" rtl="0">
            <a:lnSpc>
              <a:spcPct val="90000"/>
            </a:lnSpc>
            <a:spcBef>
              <a:spcPct val="0"/>
            </a:spcBef>
            <a:spcAft>
              <a:spcPct val="35000"/>
            </a:spcAft>
            <a:buNone/>
          </a:pPr>
          <a:r>
            <a:rPr lang="en-US" sz="3100" kern="1200"/>
            <a:t>05</a:t>
          </a:r>
        </a:p>
      </dsp:txBody>
      <dsp:txXfrm>
        <a:off x="7029864" y="1023984"/>
        <a:ext cx="963108" cy="438984"/>
      </dsp:txXfrm>
    </dsp:sp>
    <dsp:sp modelId="{9C0B8311-82D9-4FB6-911E-5CC9D8E761DC}">
      <dsp:nvSpPr>
        <dsp:cNvPr id="0" name=""/>
        <dsp:cNvSpPr/>
      </dsp:nvSpPr>
      <dsp:spPr>
        <a:xfrm>
          <a:off x="8031660" y="1093713"/>
          <a:ext cx="478664" cy="478664"/>
        </a:xfrm>
        <a:prstGeom prst="ellipse">
          <a:avLst/>
        </a:prstGeom>
        <a:blipFill rotWithShape="1">
          <a:blip xmlns:r="http://schemas.openxmlformats.org/officeDocument/2006/relationships" r:embed="rId1"/>
          <a:stretch>
            <a:fillRect/>
          </a:stretch>
        </a:blipFill>
        <a:ln w="12700" cap="flat" cmpd="sng" algn="ctr">
          <a:solidFill>
            <a:schemeClr val="accent6">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9AAC8DF-724C-417D-ADF7-CC31E1A8FC13}">
      <dsp:nvSpPr>
        <dsp:cNvPr id="0" name=""/>
        <dsp:cNvSpPr/>
      </dsp:nvSpPr>
      <dsp:spPr>
        <a:xfrm>
          <a:off x="3032245" y="1809450"/>
          <a:ext cx="1367614" cy="1020895"/>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34290" rIns="11430" bIns="11430" numCol="1" spcCol="1270" anchor="t" anchorCtr="0">
          <a:noAutofit/>
        </a:bodyPr>
        <a:lstStyle/>
        <a:p>
          <a:pPr marL="57150" lvl="1" indent="-57150" algn="l" defTabSz="400050" rtl="0">
            <a:lnSpc>
              <a:spcPct val="90000"/>
            </a:lnSpc>
            <a:spcBef>
              <a:spcPct val="0"/>
            </a:spcBef>
            <a:spcAft>
              <a:spcPct val="15000"/>
            </a:spcAft>
            <a:buChar char="•"/>
          </a:pPr>
          <a:r>
            <a:rPr lang="en-US" sz="900" kern="1200"/>
            <a:t>Credit all sources accurately; avoid plagiarism and misattribution (Creswell &amp; Poth, 2018).</a:t>
          </a:r>
        </a:p>
      </dsp:txBody>
      <dsp:txXfrm>
        <a:off x="3056166" y="1833371"/>
        <a:ext cx="1319772" cy="996974"/>
      </dsp:txXfrm>
    </dsp:sp>
    <dsp:sp modelId="{E551CC12-FD1E-4ADB-A739-37396C4B55AD}">
      <dsp:nvSpPr>
        <dsp:cNvPr id="0" name=""/>
        <dsp:cNvSpPr/>
      </dsp:nvSpPr>
      <dsp:spPr>
        <a:xfrm>
          <a:off x="3032245" y="2830346"/>
          <a:ext cx="1367614" cy="438984"/>
        </a:xfrm>
        <a:prstGeom prst="rect">
          <a:avLst/>
        </a:prstGeom>
        <a:solidFill>
          <a:srgbClr val="00B050"/>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110" tIns="0" rIns="39370" bIns="0" numCol="1" spcCol="1270" anchor="ctr" anchorCtr="0">
          <a:noAutofit/>
        </a:bodyPr>
        <a:lstStyle/>
        <a:p>
          <a:pPr marL="0" lvl="0" indent="0" algn="l" defTabSz="1377950" rtl="0">
            <a:lnSpc>
              <a:spcPct val="90000"/>
            </a:lnSpc>
            <a:spcBef>
              <a:spcPct val="0"/>
            </a:spcBef>
            <a:spcAft>
              <a:spcPct val="35000"/>
            </a:spcAft>
            <a:buNone/>
          </a:pPr>
          <a:r>
            <a:rPr lang="en-US" sz="3100" kern="1200"/>
            <a:t>06</a:t>
          </a:r>
        </a:p>
      </dsp:txBody>
      <dsp:txXfrm>
        <a:off x="3032245" y="2830346"/>
        <a:ext cx="963108" cy="438984"/>
      </dsp:txXfrm>
    </dsp:sp>
    <dsp:sp modelId="{5DEAA72C-D182-47AE-AAE8-CD1E1C3DCAD2}">
      <dsp:nvSpPr>
        <dsp:cNvPr id="0" name=""/>
        <dsp:cNvSpPr/>
      </dsp:nvSpPr>
      <dsp:spPr>
        <a:xfrm>
          <a:off x="4034041" y="2900074"/>
          <a:ext cx="478664" cy="478664"/>
        </a:xfrm>
        <a:prstGeom prst="ellipse">
          <a:avLst/>
        </a:prstGeom>
        <a:blipFill rotWithShape="1">
          <a:blip xmlns:r="http://schemas.openxmlformats.org/officeDocument/2006/relationships" r:embed="rId1"/>
          <a:stretch>
            <a:fillRect/>
          </a:stretch>
        </a:blip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D10F2E2-6804-4269-82F2-5CB2BAAB384E}">
      <dsp:nvSpPr>
        <dsp:cNvPr id="0" name=""/>
        <dsp:cNvSpPr/>
      </dsp:nvSpPr>
      <dsp:spPr>
        <a:xfrm>
          <a:off x="4631293" y="1809450"/>
          <a:ext cx="1367614" cy="1020895"/>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34290" rIns="11430" bIns="11430" numCol="1" spcCol="1270" anchor="t" anchorCtr="0">
          <a:noAutofit/>
        </a:bodyPr>
        <a:lstStyle/>
        <a:p>
          <a:pPr marL="57150" lvl="1" indent="-57150" algn="l" defTabSz="400050" rtl="0">
            <a:lnSpc>
              <a:spcPct val="90000"/>
            </a:lnSpc>
            <a:spcBef>
              <a:spcPct val="0"/>
            </a:spcBef>
            <a:spcAft>
              <a:spcPct val="15000"/>
            </a:spcAft>
            <a:buChar char="•"/>
          </a:pPr>
          <a:r>
            <a:rPr lang="en-US" sz="900" kern="1200"/>
            <a:t>Handle sensitive topics respectfully; avoid stigmatising language about older adults or digital exclusion (Creswell &amp; Poth, 2018).</a:t>
          </a:r>
        </a:p>
      </dsp:txBody>
      <dsp:txXfrm>
        <a:off x="4655214" y="1833371"/>
        <a:ext cx="1319772" cy="996974"/>
      </dsp:txXfrm>
    </dsp:sp>
    <dsp:sp modelId="{5C4739BD-466E-4197-AF0A-7B11985A5F66}">
      <dsp:nvSpPr>
        <dsp:cNvPr id="0" name=""/>
        <dsp:cNvSpPr/>
      </dsp:nvSpPr>
      <dsp:spPr>
        <a:xfrm>
          <a:off x="4631293" y="2830346"/>
          <a:ext cx="1367614" cy="438984"/>
        </a:xfrm>
        <a:prstGeom prst="rect">
          <a:avLst/>
        </a:prstGeom>
        <a:solidFill>
          <a:srgbClr val="002060"/>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110" tIns="0" rIns="39370" bIns="0" numCol="1" spcCol="1270" anchor="ctr" anchorCtr="0">
          <a:noAutofit/>
        </a:bodyPr>
        <a:lstStyle/>
        <a:p>
          <a:pPr marL="0" lvl="0" indent="0" algn="l" defTabSz="1377950" rtl="0">
            <a:lnSpc>
              <a:spcPct val="90000"/>
            </a:lnSpc>
            <a:spcBef>
              <a:spcPct val="0"/>
            </a:spcBef>
            <a:spcAft>
              <a:spcPct val="35000"/>
            </a:spcAft>
            <a:buNone/>
          </a:pPr>
          <a:r>
            <a:rPr lang="en-US" sz="3100" kern="1200"/>
            <a:t>07</a:t>
          </a:r>
        </a:p>
      </dsp:txBody>
      <dsp:txXfrm>
        <a:off x="4631293" y="2830346"/>
        <a:ext cx="963108" cy="438984"/>
      </dsp:txXfrm>
    </dsp:sp>
    <dsp:sp modelId="{A481D67F-F5EC-4C19-8FDE-E2EDDCC8C664}">
      <dsp:nvSpPr>
        <dsp:cNvPr id="0" name=""/>
        <dsp:cNvSpPr/>
      </dsp:nvSpPr>
      <dsp:spPr>
        <a:xfrm>
          <a:off x="5633089" y="2900074"/>
          <a:ext cx="478664" cy="478664"/>
        </a:xfrm>
        <a:prstGeom prst="ellipse">
          <a:avLst/>
        </a:prstGeom>
        <a:blipFill rotWithShape="1">
          <a:blip xmlns:r="http://schemas.openxmlformats.org/officeDocument/2006/relationships" r:embed="rId1"/>
          <a:stretch>
            <a:fillRect/>
          </a:stretch>
        </a:blip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bList2">
  <dgm:title val=""/>
  <dgm:desc val=""/>
  <dgm:catLst>
    <dgm:cat type="list" pri="7000"/>
    <dgm:cat type="convert" pri="16000"/>
    <dgm:cat type="picture" pri="28000"/>
    <dgm:cat type="pictureconvert" pri="28000"/>
  </dgm:catLst>
  <dgm:sampData useDef="1">
    <dgm:dataModel>
      <dgm:pt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dir/>
      <dgm:animLvl val="lvl"/>
      <dgm:resizeHandles val="exact"/>
    </dgm:varLst>
    <dgm:choose name="Name0">
      <dgm:if name="Name1" axis="self"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08"/>
      <dgm:constr type="sp" refType="w" refFor="ch" refForName="compNode" op="equ" fact="0.16"/>
      <dgm:constr type="primFontSz" for="des" forName="parentText" op="equ" val="65"/>
      <dgm:constr type="primFontSz" for="des" forName="childRect" op="equ" val="65"/>
    </dgm:constrLst>
    <dgm:ruleLst/>
    <dgm:forEach name="nodesForEach" axis="ch" ptType="node">
      <dgm:layoutNode name="compNode">
        <dgm:alg type="composite">
          <dgm:param type="ar" val="0.943"/>
        </dgm:alg>
        <dgm:shape xmlns:r="http://schemas.openxmlformats.org/officeDocument/2006/relationships" r:blip="">
          <dgm:adjLst/>
        </dgm:shape>
        <dgm:presOf/>
        <dgm:choose name="Name3">
          <dgm:if name="Name4" axis="self" func="var" arg="dir" op="equ" val="norm">
            <dgm:constrLst>
              <dgm:constr type="w" val="1"/>
              <dgm:constr type="h" refType="w" fact="1.06"/>
              <dgm:constr type="h" for="ch" forName="childRect" refType="h" fact="0.65"/>
              <dgm:constr type="w" for="ch" forName="childRect" refType="w" fact="0.923"/>
              <dgm:constr type="l" for="ch" forName="childRect"/>
              <dgm:constr type="t" for="ch" forName="childRect"/>
              <dgm:constr type="w" for="ch" forName="parentText" refType="w" fact="0.65"/>
              <dgm:constr type="h" for="ch" forName="parentText" refType="h" refFor="ch" refForName="childRect" fact="0.43"/>
              <dgm:constr type="l" for="ch" forName="parentText"/>
              <dgm:constr type="t" for="ch" forName="parentText" refType="h" refFor="ch" refForName="childRect"/>
              <dgm:constr type="w" for="ch" forName="parentRect" refType="w" fact="0.923"/>
              <dgm:constr type="h" for="ch" forName="parentRect" refType="h" refFor="ch" refForName="parentText"/>
              <dgm:constr type="l" for="ch" forName="parentRect"/>
              <dgm:constr type="t" for="ch" forName="parentRect" refType="t" refFor="ch" refForName="parentText"/>
              <dgm:constr type="w" for="ch" forName="adorn" refType="w" refFor="ch" refForName="parentRect" fact="0.35"/>
              <dgm:constr type="h" for="ch" forName="adorn" refType="w" refFor="ch" refForName="parentRect" fact="0.35"/>
              <dgm:constr type="b" for="ch" forName="adorn" refType="h"/>
              <dgm:constr type="r" for="ch" forName="adorn" refType="w"/>
            </dgm:constrLst>
          </dgm:if>
          <dgm:else name="Name5">
            <dgm:constrLst>
              <dgm:constr type="w" val="1"/>
              <dgm:constr type="h" refType="w" fact="1.06"/>
              <dgm:constr type="h" for="ch" forName="childRect" refType="h" fact="0.65"/>
              <dgm:constr type="w" for="ch" forName="childRect" refType="w" fact="0.923"/>
              <dgm:constr type="r" for="ch" forName="childRect" refType="w"/>
              <dgm:constr type="t" for="ch" forName="childRect"/>
              <dgm:constr type="w" for="ch" forName="parentText" refType="w" fact="0.65"/>
              <dgm:constr type="h" for="ch" forName="parentText" refType="h" refFor="ch" refForName="childRect" fact="0.43"/>
              <dgm:constr type="r" for="ch" forName="parentText" refType="w"/>
              <dgm:constr type="t" for="ch" forName="parentText" refType="h" refFor="ch" refForName="childRect"/>
              <dgm:constr type="w" for="ch" forName="parentRect" refType="w" fact="0.923"/>
              <dgm:constr type="h" for="ch" forName="parentRect" refType="h" refFor="ch" refForName="parentText"/>
              <dgm:constr type="r" for="ch" forName="parentRect" refType="w"/>
              <dgm:constr type="t" for="ch" forName="parentRect" refType="t" refFor="ch" refForName="parentText"/>
              <dgm:constr type="w" for="ch" forName="adorn" refType="w" refFor="ch" refForName="parentRect" fact="0.35"/>
              <dgm:constr type="h" for="ch" forName="adorn" refType="w" refFor="ch" refForName="parentRect" fact="0.35"/>
              <dgm:constr type="b" for="ch" forName="adorn" refType="h"/>
              <dgm:constr type="l" for="ch" forName="adorn"/>
            </dgm:constrLst>
          </dgm:else>
        </dgm:choose>
        <dgm:ruleLst/>
        <dgm:layoutNode name="childRect" styleLbl="bgAcc1">
          <dgm:varLst>
            <dgm:bulletEnabled val="1"/>
          </dgm:varLst>
          <dgm:alg type="tx">
            <dgm:param type="stBulletLvl" val="1"/>
          </dgm:alg>
          <dgm:shape xmlns:r="http://schemas.openxmlformats.org/officeDocument/2006/relationships" type="round2SameRect" r:blip="">
            <dgm:adjLst>
              <dgm:adj idx="1" val="0.08"/>
            </dgm:adjLst>
          </dgm:shape>
          <dgm:presOf axis="des" ptType="node"/>
          <dgm:constrLst>
            <dgm:constr type="secFontSz" refType="primFontSz"/>
            <dgm:constr type="tMarg" refType="primFontSz" fact="0.3"/>
            <dgm:constr type="bMarg" refType="primFontSz" fact="0.1"/>
            <dgm:constr type="lMarg" refType="primFontSz" fact="0.1"/>
            <dgm:constr type="rMarg" refType="primFontSz" fact="0.1"/>
          </dgm:constrLst>
          <dgm:ruleLst>
            <dgm:rule type="primFontSz" val="5" fact="NaN" max="NaN"/>
          </dgm:ruleLst>
        </dgm:layoutNode>
        <dgm:layoutNode name="parentText">
          <dgm:varLst>
            <dgm:chMax val="0"/>
            <dgm:bulletEnabled val="1"/>
          </dgm:varLst>
          <dgm:choose name="Name6">
            <dgm:if name="Name7" func="var" arg="dir" op="equ" val="norm">
              <dgm:alg type="tx">
                <dgm:param type="parTxLTRAlign" val="l"/>
                <dgm:param type="parTxRTLAlign" val="l"/>
              </dgm:alg>
            </dgm:if>
            <dgm:else name="Name8">
              <dgm:alg type="tx">
                <dgm:param type="parTxLTRAlign" val="r"/>
                <dgm:param type="parTxRTLAlign" val="r"/>
              </dgm:alg>
            </dgm:else>
          </dgm:choose>
          <dgm:shape xmlns:r="http://schemas.openxmlformats.org/officeDocument/2006/relationships" type="rect" r:blip="" zOrderOff="1" hideGeom="1">
            <dgm:adjLst/>
          </dgm:shape>
          <dgm:presOf axis="self" ptType="node"/>
          <dgm:constrLst>
            <dgm:constr type="tMarg"/>
            <dgm:constr type="bMarg"/>
            <dgm:constr type="lMarg" refType="primFontSz" fact="0.3"/>
            <dgm:constr type="rMarg" refType="primFontSz" fact="0.1"/>
          </dgm:constrLst>
          <dgm:ruleLst>
            <dgm:rule type="primFontSz" val="5" fact="NaN" max="NaN"/>
          </dgm:ruleLst>
        </dgm:layoutNode>
        <dgm:layoutNode name="parentRect" styleLbl="alignNode1">
          <dgm:alg type="sp"/>
          <dgm:shape xmlns:r="http://schemas.openxmlformats.org/officeDocument/2006/relationships" type="rect" r:blip="">
            <dgm:adjLst/>
          </dgm:shape>
          <dgm:presOf axis="self" ptType="node"/>
          <dgm:constrLst/>
          <dgm:ruleLst/>
        </dgm:layoutNode>
        <dgm:layoutNode name="adorn" styleLbl="fgAccFollowNod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constr type="w" val="1"/>
            <dgm:constr type="h" refType="w"/>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FFFC7-06C5-43CC-AA51-0970C7635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65</Pages>
  <Words>14750</Words>
  <Characters>96158</Characters>
  <Application>Microsoft Office Word</Application>
  <DocSecurity>0</DocSecurity>
  <Lines>2053</Lines>
  <Paragraphs>569</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110400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2026633@student.uwtsd.ac.uk</dc:creator>
  <cp:keywords/>
  <dc:description/>
  <cp:lastModifiedBy>Shabana Sharif (2026633)</cp:lastModifiedBy>
  <cp:revision>2</cp:revision>
  <dcterms:created xsi:type="dcterms:W3CDTF">2025-11-28T10:19:00Z</dcterms:created>
  <dcterms:modified xsi:type="dcterms:W3CDTF">2025-11-28T10:19:00Z</dcterms:modified>
</cp:coreProperties>
</file>