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D4C80F">
      <w:pPr>
        <w:pStyle w:val="2"/>
        <w:bidi w:val="0"/>
        <w:jc w:val="center"/>
        <w:rPr>
          <w:rFonts w:hint="default" w:ascii="Times New Roman" w:hAnsi="Times New Roman" w:cs="Times New Roman"/>
          <w:b/>
          <w:bCs/>
          <w:color w:val="auto"/>
          <w:sz w:val="44"/>
          <w:szCs w:val="44"/>
          <w:highlight w:val="none"/>
        </w:rPr>
      </w:pPr>
      <w:r>
        <w:rPr>
          <w:rFonts w:hint="default" w:ascii="Times New Roman" w:hAnsi="Times New Roman" w:cs="Times New Roman"/>
          <w:b/>
          <w:bCs/>
          <w:color w:val="auto"/>
          <w:sz w:val="44"/>
          <w:szCs w:val="44"/>
          <w:highlight w:val="none"/>
        </w:rPr>
        <w:t>A Critical Review of Lightbown &amp; Spada</w:t>
      </w:r>
      <w:r>
        <w:rPr>
          <w:rFonts w:hint="default" w:ascii="Times New Roman" w:hAnsi="Times New Roman" w:cs="Times New Roman"/>
          <w:b/>
          <w:bCs/>
          <w:color w:val="auto"/>
          <w:sz w:val="44"/>
          <w:szCs w:val="44"/>
          <w:highlight w:val="none"/>
          <w:lang w:val="en-US" w:eastAsia="zh-CN"/>
        </w:rPr>
        <w:t xml:space="preserve"> </w:t>
      </w:r>
      <w:r>
        <w:rPr>
          <w:rFonts w:hint="default" w:ascii="Times New Roman" w:hAnsi="Times New Roman" w:cs="Times New Roman"/>
          <w:b/>
          <w:bCs/>
          <w:color w:val="auto"/>
          <w:sz w:val="44"/>
          <w:szCs w:val="44"/>
          <w:highlight w:val="none"/>
        </w:rPr>
        <w:t xml:space="preserve">on </w:t>
      </w:r>
      <w:r>
        <w:rPr>
          <w:rFonts w:hint="default" w:ascii="Times New Roman" w:hAnsi="Times New Roman" w:cs="Times New Roman"/>
          <w:b/>
          <w:bCs/>
          <w:i/>
          <w:iCs/>
          <w:color w:val="auto"/>
          <w:sz w:val="44"/>
          <w:szCs w:val="44"/>
          <w:highlight w:val="none"/>
        </w:rPr>
        <w:t>Factors Affecting Second Language Learning</w:t>
      </w:r>
    </w:p>
    <w:p w14:paraId="5952B4B5">
      <w:pPr>
        <w:pStyle w:val="2"/>
        <w:numPr>
          <w:ilvl w:val="0"/>
          <w:numId w:val="1"/>
        </w:numPr>
        <w:bidi w:val="0"/>
        <w:ind w:left="425" w:leftChars="0" w:hanging="425" w:firstLineChars="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Introduction</w:t>
      </w:r>
    </w:p>
    <w:p w14:paraId="7962E5AB">
      <w:pPr>
        <w:pStyle w:val="7"/>
        <w:keepNext w:val="0"/>
        <w:keepLines w:val="0"/>
        <w:widowControl/>
        <w:suppressLineNumbers w:val="0"/>
        <w:ind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Second Language Acquisition (SLA) is a highly complex process, with learners exhibiting significant individual differences even when exposed to the same learning environment. Understanding the key factors influencing SLA is crucial for Teaching English to Speakers of Other Languages (TESOL), as it can inform instructional design and enhance the efficiency of language acquisition.</w:t>
      </w:r>
    </w:p>
    <w:p w14:paraId="1AF90F59">
      <w:pPr>
        <w:pStyle w:val="7"/>
        <w:keepNext w:val="0"/>
        <w:keepLines w:val="0"/>
        <w:widowControl/>
        <w:suppressLineNumbers w:val="0"/>
        <w:ind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This </w:t>
      </w:r>
      <w:r>
        <w:rPr>
          <w:rFonts w:hint="default" w:ascii="Times New Roman" w:hAnsi="Times New Roman" w:cs="Times New Roman"/>
          <w:b w:val="0"/>
          <w:bCs w:val="0"/>
          <w:color w:val="auto"/>
          <w:highlight w:val="none"/>
          <w:lang w:val="en-US" w:eastAsia="zh-CN"/>
        </w:rPr>
        <w:t xml:space="preserve">essay </w:t>
      </w:r>
      <w:r>
        <w:rPr>
          <w:rFonts w:hint="default" w:ascii="Times New Roman" w:hAnsi="Times New Roman" w:cs="Times New Roman"/>
          <w:b w:val="0"/>
          <w:bCs w:val="0"/>
          <w:color w:val="auto"/>
          <w:highlight w:val="none"/>
        </w:rPr>
        <w:t xml:space="preserve">draws upon the </w:t>
      </w:r>
      <w:r>
        <w:rPr>
          <w:rFonts w:hint="default" w:ascii="Times New Roman" w:hAnsi="Times New Roman" w:cs="Times New Roman"/>
          <w:b w:val="0"/>
          <w:bCs w:val="0"/>
          <w:color w:val="auto"/>
          <w:highlight w:val="none"/>
          <w:lang w:val="en-US" w:eastAsia="zh-CN"/>
        </w:rPr>
        <w:t xml:space="preserve">article </w:t>
      </w:r>
      <w:r>
        <w:rPr>
          <w:rFonts w:hint="eastAsia" w:ascii="Times New Roman" w:hAnsi="Times New Roman" w:cs="Times New Roman"/>
          <w:b w:val="0"/>
          <w:bCs w:val="0"/>
          <w:color w:val="auto"/>
          <w:highlight w:val="none"/>
          <w:lang w:val="en-US" w:eastAsia="zh-CN"/>
        </w:rPr>
        <w:t xml:space="preserve">by </w:t>
      </w:r>
      <w:r>
        <w:rPr>
          <w:rFonts w:hint="default" w:ascii="Times New Roman" w:hAnsi="Times New Roman" w:cs="Times New Roman"/>
          <w:b w:val="0"/>
          <w:bCs w:val="0"/>
          <w:color w:val="auto"/>
          <w:highlight w:val="none"/>
        </w:rPr>
        <w:t>Lightbown &amp; Spada</w:t>
      </w:r>
      <w:r>
        <w:rPr>
          <w:rFonts w:hint="default" w:ascii="Times New Roman" w:hAnsi="Times New Roman" w:cs="Times New Roman"/>
          <w:b w:val="0"/>
          <w:bCs w:val="0"/>
          <w:color w:val="auto"/>
          <w:highlight w:val="none"/>
          <w:lang w:val="en-US" w:eastAsia="zh-CN"/>
        </w:rPr>
        <w:t xml:space="preserve"> (2000)</w:t>
      </w:r>
      <w:r>
        <w:rPr>
          <w:rFonts w:hint="default" w:ascii="Times New Roman" w:hAnsi="Times New Roman" w:cs="Times New Roman"/>
          <w:b w:val="0"/>
          <w:bCs w:val="0"/>
          <w:color w:val="auto"/>
          <w:highlight w:val="none"/>
        </w:rPr>
        <w:t>, identifying several major factors that influence second language learning, including intelligence</w:t>
      </w:r>
      <w:r>
        <w:rPr>
          <w:rFonts w:hint="default" w:ascii="Times New Roman" w:hAnsi="Times New Roman" w:cs="Times New Roman"/>
          <w:b w:val="0"/>
          <w:bCs w:val="0"/>
          <w:color w:val="auto"/>
          <w:highlight w:val="none"/>
          <w:lang w:val="en-US" w:eastAsia="zh-CN"/>
        </w:rPr>
        <w:t xml:space="preserve">, </w:t>
      </w:r>
      <w:r>
        <w:rPr>
          <w:rFonts w:hint="default" w:ascii="Times New Roman" w:hAnsi="Times New Roman" w:cs="Times New Roman"/>
          <w:b w:val="0"/>
          <w:bCs w:val="0"/>
          <w:color w:val="auto"/>
          <w:highlight w:val="none"/>
        </w:rPr>
        <w:t>aptitude</w:t>
      </w:r>
      <w:r>
        <w:rPr>
          <w:rFonts w:hint="default" w:ascii="Times New Roman" w:hAnsi="Times New Roman" w:cs="Times New Roman"/>
          <w:b w:val="0"/>
          <w:bCs w:val="0"/>
          <w:color w:val="auto"/>
          <w:highlight w:val="none"/>
          <w:lang w:val="en-US" w:eastAsia="zh-CN"/>
        </w:rPr>
        <w:t xml:space="preserve">, </w:t>
      </w:r>
      <w:r>
        <w:rPr>
          <w:rFonts w:hint="default" w:ascii="Times New Roman" w:hAnsi="Times New Roman" w:cs="Times New Roman"/>
          <w:b w:val="0"/>
          <w:bCs w:val="0"/>
          <w:color w:val="auto"/>
          <w:highlight w:val="none"/>
        </w:rPr>
        <w:t>personality</w:t>
      </w:r>
      <w:r>
        <w:rPr>
          <w:rFonts w:hint="default" w:ascii="Times New Roman" w:hAnsi="Times New Roman" w:cs="Times New Roman"/>
          <w:b w:val="0"/>
          <w:bCs w:val="0"/>
          <w:color w:val="auto"/>
          <w:highlight w:val="none"/>
          <w:lang w:val="en-US" w:eastAsia="zh-CN"/>
        </w:rPr>
        <w:t xml:space="preserve">, </w:t>
      </w:r>
      <w:r>
        <w:rPr>
          <w:rFonts w:hint="default" w:ascii="Times New Roman" w:hAnsi="Times New Roman" w:cs="Times New Roman"/>
          <w:b w:val="0"/>
          <w:bCs w:val="0"/>
          <w:color w:val="auto"/>
          <w:highlight w:val="none"/>
        </w:rPr>
        <w:t>motivation</w:t>
      </w:r>
      <w:r>
        <w:rPr>
          <w:rFonts w:hint="default" w:ascii="Times New Roman" w:hAnsi="Times New Roman" w:cs="Times New Roman"/>
          <w:b w:val="0"/>
          <w:bCs w:val="0"/>
          <w:color w:val="auto"/>
          <w:highlight w:val="none"/>
          <w:lang w:val="en-US" w:eastAsia="zh-CN"/>
        </w:rPr>
        <w:t xml:space="preserve"> and attitudes</w:t>
      </w:r>
      <w:r>
        <w:rPr>
          <w:rFonts w:hint="default" w:ascii="Times New Roman" w:hAnsi="Times New Roman" w:cs="Times New Roman"/>
          <w:b w:val="0"/>
          <w:bCs w:val="0"/>
          <w:color w:val="auto"/>
          <w:highlight w:val="none"/>
        </w:rPr>
        <w:t xml:space="preserve">, </w:t>
      </w:r>
      <w:r>
        <w:rPr>
          <w:rFonts w:hint="default" w:ascii="Times New Roman" w:hAnsi="Times New Roman" w:cs="Times New Roman"/>
          <w:b w:val="0"/>
          <w:bCs w:val="0"/>
          <w:color w:val="auto"/>
          <w:highlight w:val="none"/>
          <w:lang w:val="en-US" w:eastAsia="zh-CN"/>
        </w:rPr>
        <w:t>learner preferences</w:t>
      </w:r>
      <w:r>
        <w:rPr>
          <w:rFonts w:hint="default" w:ascii="Times New Roman" w:hAnsi="Times New Roman" w:cs="Times New Roman"/>
          <w:b w:val="0"/>
          <w:bCs w:val="0"/>
          <w:color w:val="auto"/>
          <w:highlight w:val="none"/>
        </w:rPr>
        <w:t xml:space="preserve">, </w:t>
      </w:r>
      <w:r>
        <w:rPr>
          <w:rFonts w:hint="default" w:ascii="Times New Roman" w:hAnsi="Times New Roman" w:cs="Times New Roman"/>
          <w:b w:val="0"/>
          <w:bCs w:val="0"/>
          <w:color w:val="auto"/>
          <w:highlight w:val="none"/>
          <w:lang w:val="en-US" w:eastAsia="zh-CN"/>
        </w:rPr>
        <w:t xml:space="preserve">learner beliefs </w:t>
      </w:r>
      <w:r>
        <w:rPr>
          <w:rFonts w:hint="default" w:ascii="Times New Roman" w:hAnsi="Times New Roman" w:cs="Times New Roman"/>
          <w:b w:val="0"/>
          <w:bCs w:val="0"/>
          <w:color w:val="auto"/>
          <w:highlight w:val="none"/>
        </w:rPr>
        <w:t xml:space="preserve">and age. While providing a brief overview of all these factors, this </w:t>
      </w:r>
      <w:r>
        <w:rPr>
          <w:rFonts w:hint="default" w:ascii="Times New Roman" w:hAnsi="Times New Roman" w:cs="Times New Roman"/>
          <w:b w:val="0"/>
          <w:bCs w:val="0"/>
          <w:color w:val="auto"/>
          <w:highlight w:val="none"/>
          <w:lang w:val="en-US" w:eastAsia="zh-CN"/>
        </w:rPr>
        <w:t xml:space="preserve">essay </w:t>
      </w:r>
      <w:r>
        <w:rPr>
          <w:rFonts w:hint="default" w:ascii="Times New Roman" w:hAnsi="Times New Roman" w:cs="Times New Roman"/>
          <w:b w:val="0"/>
          <w:bCs w:val="0"/>
          <w:color w:val="auto"/>
          <w:highlight w:val="none"/>
        </w:rPr>
        <w:t xml:space="preserve">will focus primarily on aptitude, </w:t>
      </w:r>
      <w:r>
        <w:rPr>
          <w:rFonts w:hint="default" w:ascii="Times New Roman" w:hAnsi="Times New Roman" w:cs="Times New Roman"/>
          <w:b w:val="0"/>
          <w:bCs w:val="0"/>
          <w:color w:val="auto"/>
          <w:highlight w:val="none"/>
          <w:lang w:val="en-US" w:eastAsia="zh-CN"/>
        </w:rPr>
        <w:t xml:space="preserve">discussing </w:t>
      </w:r>
      <w:r>
        <w:rPr>
          <w:rFonts w:hint="default" w:ascii="Times New Roman" w:hAnsi="Times New Roman" w:cs="Times New Roman"/>
          <w:b w:val="0"/>
          <w:bCs w:val="0"/>
          <w:color w:val="auto"/>
          <w:highlight w:val="none"/>
        </w:rPr>
        <w:t>its predictive power in SLA success</w:t>
      </w:r>
      <w:r>
        <w:rPr>
          <w:rFonts w:hint="default" w:ascii="Times New Roman" w:hAnsi="Times New Roman" w:cs="Times New Roman"/>
          <w:b w:val="0"/>
          <w:bCs w:val="0"/>
          <w:color w:val="auto"/>
          <w:highlight w:val="none"/>
          <w:lang w:val="en-US" w:eastAsia="zh-CN"/>
        </w:rPr>
        <w:t xml:space="preserve"> and </w:t>
      </w:r>
      <w:r>
        <w:rPr>
          <w:rFonts w:hint="default" w:ascii="Times New Roman" w:hAnsi="Times New Roman" w:cs="Times New Roman"/>
          <w:b w:val="0"/>
          <w:bCs w:val="0"/>
          <w:color w:val="auto"/>
          <w:highlight w:val="none"/>
        </w:rPr>
        <w:t xml:space="preserve">TESOL pedagogy. </w:t>
      </w:r>
      <w:r>
        <w:rPr>
          <w:rFonts w:hint="default" w:ascii="Times New Roman" w:hAnsi="Times New Roman" w:eastAsia="宋体" w:cs="Times New Roman"/>
          <w:b w:val="0"/>
          <w:bCs w:val="0"/>
          <w:color w:val="auto"/>
          <w:sz w:val="24"/>
          <w:szCs w:val="24"/>
          <w:highlight w:val="none"/>
        </w:rPr>
        <w:t xml:space="preserve">Finally, the paper will conclude with a summary of insights and pedagogical implications for </w:t>
      </w:r>
      <w:r>
        <w:rPr>
          <w:rFonts w:hint="default" w:ascii="Times New Roman" w:hAnsi="Times New Roman" w:eastAsia="宋体" w:cs="Times New Roman"/>
          <w:b w:val="0"/>
          <w:bCs w:val="0"/>
          <w:color w:val="auto"/>
          <w:sz w:val="24"/>
          <w:szCs w:val="24"/>
          <w:highlight w:val="none"/>
          <w:lang w:val="en-US" w:eastAsia="zh-CN"/>
        </w:rPr>
        <w:t xml:space="preserve">second </w:t>
      </w:r>
      <w:r>
        <w:rPr>
          <w:rFonts w:hint="default" w:ascii="Times New Roman" w:hAnsi="Times New Roman" w:eastAsia="宋体" w:cs="Times New Roman"/>
          <w:b w:val="0"/>
          <w:bCs w:val="0"/>
          <w:color w:val="auto"/>
          <w:sz w:val="24"/>
          <w:szCs w:val="24"/>
          <w:highlight w:val="none"/>
        </w:rPr>
        <w:t>language teaching.</w:t>
      </w:r>
    </w:p>
    <w:p w14:paraId="7B68C46A">
      <w:pPr>
        <w:pStyle w:val="2"/>
        <w:numPr>
          <w:ilvl w:val="0"/>
          <w:numId w:val="1"/>
        </w:numPr>
        <w:bidi w:val="0"/>
        <w:ind w:left="425" w:leftChars="0" w:hanging="425" w:firstLineChars="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Overview of the Article</w:t>
      </w:r>
    </w:p>
    <w:p w14:paraId="4098EB4D">
      <w:pPr>
        <w:pStyle w:val="7"/>
        <w:keepNext w:val="0"/>
        <w:keepLines w:val="0"/>
        <w:widowControl/>
        <w:suppressLineNumbers w:val="0"/>
        <w:spacing w:line="240" w:lineRule="auto"/>
        <w:ind w:firstLine="480" w:firstLineChars="200"/>
        <w:jc w:val="left"/>
        <w:rPr>
          <w:rFonts w:hint="default" w:ascii="Times New Roman" w:hAnsi="Times New Roman" w:cs="Times New Roman" w:eastAsiaTheme="minorEastAsia"/>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rPr>
        <w:t xml:space="preserve">This </w:t>
      </w:r>
      <w:r>
        <w:rPr>
          <w:rFonts w:hint="default" w:ascii="Times New Roman" w:hAnsi="Times New Roman" w:cs="Times New Roman"/>
          <w:b w:val="0"/>
          <w:bCs w:val="0"/>
          <w:color w:val="auto"/>
          <w:sz w:val="24"/>
          <w:szCs w:val="24"/>
          <w:highlight w:val="none"/>
          <w:lang w:val="en-US" w:eastAsia="zh-CN"/>
        </w:rPr>
        <w:t xml:space="preserve">article </w:t>
      </w:r>
      <w:r>
        <w:rPr>
          <w:rFonts w:hint="default" w:ascii="Times New Roman" w:hAnsi="Times New Roman" w:cs="Times New Roman"/>
          <w:b w:val="0"/>
          <w:bCs w:val="0"/>
          <w:color w:val="auto"/>
          <w:sz w:val="24"/>
          <w:szCs w:val="24"/>
          <w:highlight w:val="none"/>
        </w:rPr>
        <w:t xml:space="preserve">aims to examine individual differences in second language acquisition, specifically why learners exhibit varying levels of success even when exposed to the same learning environment. The central research question explored in this study is: </w:t>
      </w:r>
      <w:r>
        <w:rPr>
          <w:rFonts w:hint="default" w:ascii="Times New Roman" w:hAnsi="Times New Roman" w:cs="Times New Roman"/>
          <w:b w:val="0"/>
          <w:bCs w:val="0"/>
          <w:color w:val="auto"/>
          <w:sz w:val="24"/>
          <w:szCs w:val="24"/>
          <w:highlight w:val="none"/>
          <w:lang w:val="en-US" w:eastAsia="zh-CN"/>
        </w:rPr>
        <w:t>How do these</w:t>
      </w:r>
      <w:r>
        <w:rPr>
          <w:rFonts w:hint="default" w:ascii="Times New Roman" w:hAnsi="Times New Roman" w:cs="Times New Roman"/>
          <w:b w:val="0"/>
          <w:bCs w:val="0"/>
          <w:color w:val="auto"/>
          <w:sz w:val="24"/>
          <w:szCs w:val="24"/>
          <w:highlight w:val="none"/>
        </w:rPr>
        <w:t xml:space="preserve"> factors influence second language learning?</w:t>
      </w:r>
      <w:r>
        <w:rPr>
          <w:rFonts w:hint="default" w:ascii="Times New Roman" w:hAnsi="Times New Roman" w:cs="Times New Roman"/>
          <w:b w:val="0"/>
          <w:bCs w:val="0"/>
          <w:color w:val="auto"/>
          <w:sz w:val="24"/>
          <w:szCs w:val="24"/>
          <w:highlight w:val="none"/>
          <w:lang w:val="en-US" w:eastAsia="zh-CN"/>
        </w:rPr>
        <w:t xml:space="preserve"> The following will be introduced in turn.</w:t>
      </w:r>
    </w:p>
    <w:p w14:paraId="07A30792">
      <w:pPr>
        <w:pStyle w:val="3"/>
        <w:numPr>
          <w:ilvl w:val="1"/>
          <w:numId w:val="1"/>
        </w:numPr>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Intelligence</w:t>
      </w:r>
    </w:p>
    <w:p w14:paraId="4A9BFE26">
      <w:pPr>
        <w:pStyle w:val="7"/>
        <w:keepNext w:val="0"/>
        <w:keepLines w:val="0"/>
        <w:widowControl/>
        <w:suppressLineNumbers w:val="0"/>
        <w:spacing w:line="240" w:lineRule="auto"/>
        <w:ind w:firstLine="480" w:firstLineChars="200"/>
        <w:jc w:val="left"/>
        <w:rPr>
          <w:rFonts w:hint="default" w:ascii="Times New Roman" w:hAnsi="Times New Roman" w:eastAsia="宋体" w:cs="Times New Roman"/>
          <w:b w:val="0"/>
          <w:bCs w:val="0"/>
          <w:strike/>
          <w:dstrike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The article</w:t>
      </w:r>
      <w:r>
        <w:rPr>
          <w:rFonts w:hint="default" w:ascii="Times New Roman" w:hAnsi="Times New Roman" w:cs="Times New Roman"/>
          <w:b w:val="0"/>
          <w:bCs w:val="0"/>
          <w:color w:val="auto"/>
          <w:sz w:val="24"/>
          <w:szCs w:val="24"/>
          <w:highlight w:val="none"/>
        </w:rPr>
        <w:t xml:space="preserve"> examines the relationship between intelligence and specific aspects of second language acquisition (SLA), particularly in the domains of language analysis and rule learning. However, this relationship is neither universal nor consistently strong across all areas of SLA. Notably, intelligence should not be assessed solely through IQ tests, </w:t>
      </w:r>
      <w:r>
        <w:rPr>
          <w:rFonts w:hint="default" w:ascii="Times New Roman" w:hAnsi="Times New Roman" w:cs="Times New Roman"/>
          <w:b w:val="0"/>
          <w:bCs w:val="0"/>
          <w:color w:val="auto"/>
          <w:sz w:val="24"/>
          <w:szCs w:val="24"/>
          <w:highlight w:val="none"/>
          <w:lang w:val="en-US" w:eastAsia="zh-CN"/>
        </w:rPr>
        <w:t xml:space="preserve">thus, </w:t>
      </w:r>
      <w:r>
        <w:rPr>
          <w:rFonts w:hint="default" w:ascii="Times New Roman" w:hAnsi="Times New Roman" w:cs="Times New Roman"/>
          <w:b w:val="0"/>
          <w:bCs w:val="0"/>
          <w:color w:val="auto"/>
          <w:sz w:val="24"/>
          <w:szCs w:val="24"/>
          <w:highlight w:val="none"/>
        </w:rPr>
        <w:t>the question of how to effectively measure its impact on second language learning remains an area for further research.</w:t>
      </w:r>
    </w:p>
    <w:p w14:paraId="0DA15143">
      <w:pPr>
        <w:pStyle w:val="3"/>
        <w:numPr>
          <w:ilvl w:val="1"/>
          <w:numId w:val="1"/>
        </w:numPr>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Aptitude</w:t>
      </w:r>
    </w:p>
    <w:p w14:paraId="044C335A">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This </w:t>
      </w:r>
      <w:r>
        <w:rPr>
          <w:rFonts w:hint="default" w:ascii="Times New Roman" w:hAnsi="Times New Roman" w:cs="Times New Roman"/>
          <w:b w:val="0"/>
          <w:bCs w:val="0"/>
          <w:color w:val="auto"/>
          <w:sz w:val="24"/>
          <w:szCs w:val="24"/>
          <w:highlight w:val="none"/>
          <w:lang w:val="en-US" w:eastAsia="zh-CN"/>
        </w:rPr>
        <w:t xml:space="preserve">article </w:t>
      </w:r>
      <w:r>
        <w:rPr>
          <w:rFonts w:hint="default" w:ascii="Times New Roman" w:hAnsi="Times New Roman" w:cs="Times New Roman"/>
          <w:b w:val="0"/>
          <w:bCs w:val="0"/>
          <w:color w:val="auto"/>
          <w:sz w:val="24"/>
          <w:szCs w:val="24"/>
          <w:highlight w:val="none"/>
        </w:rPr>
        <w:t xml:space="preserve">explores the concept of language learning aptitude and highlights that certain individuals exhibit exceptional linguistic abilities. For instance, </w:t>
      </w:r>
      <w:r>
        <w:rPr>
          <w:rFonts w:hint="default" w:ascii="Times New Roman" w:hAnsi="Times New Roman" w:cs="Times New Roman"/>
          <w:b w:val="0"/>
          <w:bCs w:val="0"/>
          <w:color w:val="auto"/>
          <w:sz w:val="24"/>
          <w:szCs w:val="24"/>
          <w:highlight w:val="none"/>
          <w:lang w:val="en-US" w:eastAsia="zh-CN"/>
        </w:rPr>
        <w:t xml:space="preserve">in </w:t>
      </w:r>
      <w:r>
        <w:rPr>
          <w:rFonts w:hint="default" w:ascii="Times New Roman" w:hAnsi="Times New Roman" w:cs="Times New Roman"/>
          <w:b w:val="0"/>
          <w:bCs w:val="0"/>
          <w:color w:val="auto"/>
          <w:sz w:val="24"/>
          <w:szCs w:val="24"/>
          <w:highlight w:val="none"/>
          <w:lang w:val="en-US"/>
        </w:rPr>
        <w:t>Lorraine Obler</w:t>
      </w:r>
      <w:r>
        <w:rPr>
          <w:rFonts w:hint="default" w:ascii="Times New Roman" w:hAnsi="Times New Roman" w:cs="Times New Roman"/>
          <w:b w:val="0"/>
          <w:bCs w:val="0"/>
          <w:color w:val="auto"/>
          <w:sz w:val="24"/>
          <w:szCs w:val="24"/>
          <w:highlight w:val="none"/>
          <w:lang w:val="en-US" w:eastAsia="zh-CN"/>
        </w:rPr>
        <w:t>’</w:t>
      </w:r>
      <w:r>
        <w:rPr>
          <w:rFonts w:hint="default" w:ascii="Times New Roman" w:hAnsi="Times New Roman" w:cs="Times New Roman"/>
          <w:b w:val="0"/>
          <w:bCs w:val="0"/>
          <w:color w:val="auto"/>
          <w:sz w:val="24"/>
          <w:szCs w:val="24"/>
          <w:highlight w:val="none"/>
          <w:lang w:val="en-US" w:eastAsia="zh-CN"/>
        </w:rPr>
        <w:t>s</w:t>
      </w:r>
      <w:r>
        <w:rPr>
          <w:rFonts w:hint="default" w:ascii="Times New Roman" w:hAnsi="Times New Roman" w:cs="Times New Roman"/>
          <w:b w:val="0"/>
          <w:bCs w:val="0"/>
          <w:color w:val="auto"/>
          <w:sz w:val="24"/>
          <w:szCs w:val="24"/>
          <w:highlight w:val="none"/>
          <w:lang w:val="en-US"/>
        </w:rPr>
        <w:t xml:space="preserve"> (1989)</w:t>
      </w:r>
      <w:r>
        <w:rPr>
          <w:rFonts w:hint="default" w:ascii="Times New Roman" w:hAnsi="Times New Roman" w:cs="Times New Roman"/>
          <w:b w:val="0"/>
          <w:bCs w:val="0"/>
          <w:color w:val="auto"/>
          <w:sz w:val="24"/>
          <w:szCs w:val="24"/>
          <w:highlight w:val="none"/>
          <w:lang w:val="en-US" w:eastAsia="zh-CN"/>
        </w:rPr>
        <w:t xml:space="preserve"> research, </w:t>
      </w:r>
      <w:r>
        <w:rPr>
          <w:rFonts w:hint="default" w:ascii="Times New Roman" w:hAnsi="Times New Roman" w:cs="Times New Roman"/>
          <w:b w:val="0"/>
          <w:bCs w:val="0"/>
          <w:color w:val="auto"/>
          <w:sz w:val="24"/>
          <w:szCs w:val="24"/>
          <w:highlight w:val="none"/>
        </w:rPr>
        <w:t xml:space="preserve">CJ's ability to acquire multiple languages within a short period demonstrates his outstanding aptitude for </w:t>
      </w:r>
      <w:r>
        <w:rPr>
          <w:rFonts w:hint="default" w:ascii="Times New Roman" w:hAnsi="Times New Roman" w:cs="Times New Roman"/>
          <w:b w:val="0"/>
          <w:bCs w:val="0"/>
          <w:color w:val="auto"/>
          <w:sz w:val="24"/>
          <w:szCs w:val="24"/>
          <w:highlight w:val="none"/>
          <w:lang w:val="en-US" w:eastAsia="zh-CN"/>
        </w:rPr>
        <w:t xml:space="preserve">second </w:t>
      </w:r>
      <w:r>
        <w:rPr>
          <w:rFonts w:hint="default" w:ascii="Times New Roman" w:hAnsi="Times New Roman" w:cs="Times New Roman"/>
          <w:b w:val="0"/>
          <w:bCs w:val="0"/>
          <w:color w:val="auto"/>
          <w:sz w:val="24"/>
          <w:szCs w:val="24"/>
          <w:highlight w:val="none"/>
        </w:rPr>
        <w:t xml:space="preserve">language learning. The most widely used assessments of aptitude include the </w:t>
      </w:r>
      <w:r>
        <w:rPr>
          <w:rStyle w:val="10"/>
          <w:rFonts w:hint="default" w:ascii="Times New Roman" w:hAnsi="Times New Roman" w:cs="Times New Roman"/>
          <w:b w:val="0"/>
          <w:bCs w:val="0"/>
          <w:color w:val="auto"/>
          <w:sz w:val="24"/>
          <w:szCs w:val="24"/>
          <w:highlight w:val="none"/>
        </w:rPr>
        <w:t>Modern Language Aptitude Test (MLAT)</w:t>
      </w:r>
      <w:r>
        <w:rPr>
          <w:rFonts w:hint="default" w:ascii="Times New Roman" w:hAnsi="Times New Roman" w:cs="Times New Roman"/>
          <w:b w:val="0"/>
          <w:bCs w:val="0"/>
          <w:color w:val="auto"/>
          <w:sz w:val="24"/>
          <w:szCs w:val="24"/>
          <w:highlight w:val="none"/>
        </w:rPr>
        <w:t xml:space="preserve"> and the </w:t>
      </w:r>
      <w:r>
        <w:rPr>
          <w:rStyle w:val="10"/>
          <w:rFonts w:hint="default" w:ascii="Times New Roman" w:hAnsi="Times New Roman" w:cs="Times New Roman"/>
          <w:b w:val="0"/>
          <w:bCs w:val="0"/>
          <w:color w:val="auto"/>
          <w:sz w:val="24"/>
          <w:szCs w:val="24"/>
          <w:highlight w:val="none"/>
        </w:rPr>
        <w:t>Pimsleur Language Aptitude Battery (PLAB)</w:t>
      </w:r>
      <w:r>
        <w:rPr>
          <w:rFonts w:hint="default" w:ascii="Times New Roman" w:hAnsi="Times New Roman" w:cs="Times New Roman"/>
          <w:b w:val="0"/>
          <w:bCs w:val="0"/>
          <w:color w:val="auto"/>
          <w:sz w:val="24"/>
          <w:szCs w:val="24"/>
          <w:highlight w:val="none"/>
        </w:rPr>
        <w:t>. However, with the increasing adoption of communicative language teaching, the role of aptitude in second language acquisition has been called into question. Furthermore, research suggests that successful language learners do not necessarily excel in all dimensions of aptitude. Therefore, second language instructors should tailor their teaching methods to align with learners’ aptitude profiles in order to enhance learning outcomes.</w:t>
      </w:r>
    </w:p>
    <w:p w14:paraId="3734C14E">
      <w:pPr>
        <w:pStyle w:val="3"/>
        <w:numPr>
          <w:ilvl w:val="1"/>
          <w:numId w:val="1"/>
        </w:numPr>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Personality</w:t>
      </w:r>
    </w:p>
    <w:p w14:paraId="3CE4FD95">
      <w:pPr>
        <w:pStyle w:val="7"/>
        <w:keepNext w:val="0"/>
        <w:keepLines w:val="0"/>
        <w:widowControl/>
        <w:suppressLineNumbers w:val="0"/>
        <w:spacing w:line="240" w:lineRule="auto"/>
        <w:ind w:firstLine="480" w:firstLineChars="200"/>
        <w:jc w:val="left"/>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rPr>
        <w:t>Lightbown &amp; Spada</w:t>
      </w:r>
      <w:r>
        <w:rPr>
          <w:rFonts w:hint="default" w:ascii="Times New Roman" w:hAnsi="Times New Roman" w:cs="Times New Roman"/>
          <w:b w:val="0"/>
          <w:bCs w:val="0"/>
          <w:color w:val="auto"/>
          <w:sz w:val="24"/>
          <w:szCs w:val="24"/>
          <w:highlight w:val="none"/>
          <w:lang w:val="en-US" w:eastAsia="zh-CN"/>
        </w:rPr>
        <w:t xml:space="preserve"> (2000) point out that a</w:t>
      </w:r>
      <w:r>
        <w:rPr>
          <w:rFonts w:hint="default" w:ascii="Times New Roman" w:hAnsi="Times New Roman" w:cs="Times New Roman"/>
          <w:b w:val="0"/>
          <w:bCs w:val="0"/>
          <w:color w:val="auto"/>
          <w:sz w:val="24"/>
          <w:szCs w:val="24"/>
          <w:highlight w:val="none"/>
        </w:rPr>
        <w:t>lthough extensive research has been conducted in this area, findings remain inconsistent. For instance, extroversion is often assumed to facilitate language learning; however, some studies have failed to provide conclusive evidence supporting this assumption. Furthermore, inhibition may hinder second language acquisition, particularly in pronunciation performance. Certain experiments, such as those investigating the effects of alcohol on language production, have yielded intriguing yet limited evidence</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lang w:val="en-US"/>
        </w:rPr>
        <w:t>(Guiora et al. 1972)</w:t>
      </w:r>
      <w:r>
        <w:rPr>
          <w:rFonts w:hint="default" w:ascii="Times New Roman" w:hAnsi="Times New Roman" w:cs="Times New Roman"/>
          <w:b w:val="0"/>
          <w:bCs w:val="0"/>
          <w:color w:val="auto"/>
          <w:sz w:val="24"/>
          <w:szCs w:val="24"/>
          <w:highlight w:val="none"/>
        </w:rPr>
        <w:t>. Other personality traits, including self-esteem, empathy, and talkativeness, have also been explored, but no clear correlation with second language acquisition has been established. The discrepancies in research findings may stem from variations in the types of language abilities being measured.</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Despite these inconsistencies, many scholars maintain that personality traits play a significant role in second language acquisition.</w:t>
      </w:r>
    </w:p>
    <w:p w14:paraId="175AC056">
      <w:pPr>
        <w:pStyle w:val="3"/>
        <w:numPr>
          <w:ilvl w:val="1"/>
          <w:numId w:val="1"/>
        </w:numPr>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Motivation</w:t>
      </w:r>
      <w:r>
        <w:rPr>
          <w:rFonts w:hint="default" w:ascii="Times New Roman" w:hAnsi="Times New Roman" w:cs="Times New Roman"/>
          <w:b/>
          <w:bCs/>
          <w:color w:val="auto"/>
          <w:highlight w:val="none"/>
          <w:lang w:val="en-US" w:eastAsia="zh-CN"/>
        </w:rPr>
        <w:t xml:space="preserve"> and Attitudes</w:t>
      </w:r>
    </w:p>
    <w:p w14:paraId="381EF2D0">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Lightbown </w:t>
      </w:r>
      <w:r>
        <w:rPr>
          <w:rFonts w:hint="eastAsia" w:ascii="Times New Roman" w:hAnsi="Times New Roman" w:cs="Times New Roman"/>
          <w:b w:val="0"/>
          <w:bCs w:val="0"/>
          <w:color w:val="auto"/>
          <w:sz w:val="24"/>
          <w:szCs w:val="24"/>
          <w:highlight w:val="none"/>
          <w:lang w:val="en-US" w:eastAsia="zh-CN"/>
        </w:rPr>
        <w:t>&amp;</w:t>
      </w:r>
      <w:r>
        <w:rPr>
          <w:rFonts w:hint="default" w:ascii="Times New Roman" w:hAnsi="Times New Roman" w:cs="Times New Roman"/>
          <w:b w:val="0"/>
          <w:bCs w:val="0"/>
          <w:color w:val="auto"/>
          <w:sz w:val="24"/>
          <w:szCs w:val="24"/>
          <w:highlight w:val="none"/>
        </w:rPr>
        <w:t xml:space="preserve"> Spada (2000) suggest that positive attitudes and motivation are closely linked to success in second language learning, yet the exact relationship between motivation and learning remains unclear. Motivation is considered to be related to learners' communicative needs and their attitudes towards the target language community. </w:t>
      </w:r>
      <w:r>
        <w:rPr>
          <w:rFonts w:hint="default" w:ascii="Times New Roman" w:hAnsi="Times New Roman" w:cs="Times New Roman"/>
          <w:b w:val="0"/>
          <w:bCs w:val="0"/>
          <w:color w:val="auto"/>
          <w:sz w:val="24"/>
          <w:szCs w:val="24"/>
          <w:highlight w:val="none"/>
        </w:rPr>
        <w:t>Robert Gardner and Wallace Lambert (1972)</w:t>
      </w:r>
      <w:r>
        <w:rPr>
          <w:rFonts w:hint="default" w:ascii="Times New Roman" w:hAnsi="Times New Roman" w:cs="Times New Roman"/>
          <w:b w:val="0"/>
          <w:bCs w:val="0"/>
          <w:color w:val="auto"/>
          <w:sz w:val="24"/>
          <w:szCs w:val="24"/>
          <w:highlight w:val="none"/>
        </w:rPr>
        <w:t xml:space="preserve"> introduced the concepts of integrative motivation and instrumental motivation, with the former focusing on personal growth and cultural enrichment, while the latter is oriented towards more practical goals. Social dynamics and power relations within language groups also influence motivation, particularly when minority groups learn the language of a majority group, as their motivation and attitudes may differ significantly from those of majority group members.</w:t>
      </w:r>
    </w:p>
    <w:p w14:paraId="7F48CCB0">
      <w:pPr>
        <w:pStyle w:val="7"/>
        <w:keepNext w:val="0"/>
        <w:keepLines w:val="0"/>
        <w:widowControl/>
        <w:suppressLineNumbers w:val="0"/>
        <w:spacing w:line="240" w:lineRule="auto"/>
        <w:ind w:firstLine="480" w:firstLineChars="200"/>
        <w:jc w:val="left"/>
        <w:rPr>
          <w:rFonts w:hint="default" w:ascii="Times New Roman" w:hAnsi="Times New Roman" w:eastAsia="宋体"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In the classroom context, the influence of motivation is crucial. Teachers typically consider students who actively participate, show interest in the subject, and put in effort as being motivated. Teachers can enhance students' motivation by creating content that is interesting and relevant, setting challenging yet achievable learning goals, and fostering a supportive and non-threatening classroom environment. Although research on the interaction between pedagogy and motivation is relatively scarce, studies have indicated that certain teaching methods—such as stimulating students' interest at the beginning of lessons, varying activities and tasks, and employing cooperative rather than competitive goals—can significantly increase student motivation.</w:t>
      </w:r>
      <w:r>
        <w:rPr>
          <w:rFonts w:hint="default" w:ascii="Times New Roman" w:hAnsi="Times New Roman" w:cs="Times New Roman"/>
          <w:b w:val="0"/>
          <w:bCs w:val="0"/>
          <w:color w:val="auto"/>
          <w:sz w:val="24"/>
          <w:szCs w:val="24"/>
          <w:highlight w:val="none"/>
          <w:lang w:val="en-US" w:eastAsia="zh-CN"/>
        </w:rPr>
        <w:t xml:space="preserve"> </w:t>
      </w:r>
      <w:r>
        <w:rPr>
          <w:rFonts w:hint="eastAsia" w:ascii="Times New Roman" w:hAnsi="Times New Roman" w:cs="Times New Roman"/>
          <w:b w:val="0"/>
          <w:bCs w:val="0"/>
          <w:color w:val="auto"/>
          <w:sz w:val="24"/>
          <w:szCs w:val="24"/>
          <w:highlight w:val="none"/>
          <w:lang w:val="en-US" w:eastAsia="zh-CN"/>
        </w:rPr>
        <w:t>However,</w:t>
      </w:r>
      <w:r>
        <w:rPr>
          <w:rFonts w:hint="default" w:ascii="Times New Roman" w:hAnsi="Times New Roman" w:cs="Times New Roman"/>
          <w:b w:val="0"/>
          <w:bCs w:val="0"/>
          <w:color w:val="auto"/>
          <w:sz w:val="24"/>
          <w:szCs w:val="24"/>
          <w:highlight w:val="none"/>
          <w:lang w:val="en-US" w:eastAsia="zh-CN"/>
        </w:rPr>
        <w:t xml:space="preserve"> it all depends on the circumstances.</w:t>
      </w:r>
    </w:p>
    <w:p w14:paraId="06550954">
      <w:pPr>
        <w:pStyle w:val="3"/>
        <w:numPr>
          <w:ilvl w:val="1"/>
          <w:numId w:val="1"/>
        </w:numPr>
        <w:bidi w:val="0"/>
        <w:rPr>
          <w:rFonts w:hint="default" w:ascii="Times New Roman" w:hAnsi="Times New Roman" w:cs="Times New Roman"/>
          <w:b/>
          <w:bCs/>
          <w:color w:val="auto"/>
          <w:highlight w:val="none"/>
          <w:lang w:val="en-US"/>
        </w:rPr>
      </w:pPr>
      <w:r>
        <w:rPr>
          <w:rFonts w:hint="default" w:ascii="Times New Roman" w:hAnsi="Times New Roman" w:cs="Times New Roman"/>
          <w:b/>
          <w:bCs/>
          <w:color w:val="auto"/>
          <w:highlight w:val="none"/>
          <w:lang w:val="en-US"/>
        </w:rPr>
        <w:t xml:space="preserve">Learner </w:t>
      </w:r>
      <w:r>
        <w:rPr>
          <w:rFonts w:hint="default" w:ascii="Times New Roman" w:hAnsi="Times New Roman" w:cs="Times New Roman"/>
          <w:b/>
          <w:bCs/>
          <w:color w:val="auto"/>
          <w:highlight w:val="none"/>
          <w:lang w:val="en-US" w:eastAsia="zh-CN"/>
        </w:rPr>
        <w:t>P</w:t>
      </w:r>
      <w:r>
        <w:rPr>
          <w:rFonts w:hint="default" w:ascii="Times New Roman" w:hAnsi="Times New Roman" w:cs="Times New Roman"/>
          <w:b/>
          <w:bCs/>
          <w:color w:val="auto"/>
          <w:highlight w:val="none"/>
          <w:lang w:val="en-US"/>
        </w:rPr>
        <w:t>references</w:t>
      </w:r>
    </w:p>
    <w:p w14:paraId="55938D61">
      <w:pPr>
        <w:pStyle w:val="7"/>
        <w:keepNext w:val="0"/>
        <w:keepLines w:val="0"/>
        <w:widowControl/>
        <w:suppressLineNumbers w:val="0"/>
        <w:spacing w:line="240" w:lineRule="auto"/>
        <w:ind w:firstLine="480" w:firstLineChars="200"/>
        <w:jc w:val="left"/>
        <w:rPr>
          <w:rStyle w:val="10"/>
          <w:rFonts w:hint="default" w:ascii="Times New Roman" w:hAnsi="Times New Roman" w:eastAsia="宋体" w:cs="Times New Roman"/>
          <w:b w:val="0"/>
          <w:bCs w:val="0"/>
          <w:color w:val="auto"/>
          <w:sz w:val="24"/>
          <w:szCs w:val="24"/>
          <w:highlight w:val="none"/>
          <w:lang w:val="en-US"/>
        </w:rPr>
      </w:pPr>
      <w:r>
        <w:rPr>
          <w:rFonts w:hint="default" w:ascii="Times New Roman" w:hAnsi="Times New Roman" w:cs="Times New Roman"/>
          <w:b w:val="0"/>
          <w:bCs w:val="0"/>
          <w:color w:val="auto"/>
          <w:sz w:val="24"/>
          <w:szCs w:val="24"/>
          <w:highlight w:val="none"/>
        </w:rPr>
        <w:t xml:space="preserve">Reid (1995) defines </w:t>
      </w:r>
      <w:r>
        <w:rPr>
          <w:rFonts w:hint="default" w:ascii="Times New Roman" w:hAnsi="Times New Roman" w:cs="Times New Roman"/>
          <w:b w:val="0"/>
          <w:bCs w:val="0"/>
          <w:color w:val="auto"/>
          <w:sz w:val="24"/>
          <w:szCs w:val="24"/>
          <w:highlight w:val="none"/>
          <w:lang w:val="en-US" w:eastAsia="zh-CN"/>
        </w:rPr>
        <w:t>l</w:t>
      </w:r>
      <w:r>
        <w:rPr>
          <w:rFonts w:hint="default" w:ascii="Times New Roman" w:hAnsi="Times New Roman" w:cs="Times New Roman"/>
          <w:b w:val="0"/>
          <w:bCs w:val="0"/>
          <w:color w:val="auto"/>
          <w:sz w:val="24"/>
          <w:szCs w:val="24"/>
          <w:highlight w:val="none"/>
          <w:lang w:val="en-US"/>
        </w:rPr>
        <w:t>earner preferences</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 xml:space="preserve">as an individual's natural and habitual approach to absorbing, processing, and retaining new information. These styles are commonly classified into </w:t>
      </w:r>
      <w:r>
        <w:rPr>
          <w:rFonts w:hint="default" w:ascii="Times New Roman" w:hAnsi="Times New Roman" w:cs="Times New Roman"/>
          <w:b w:val="0"/>
          <w:bCs w:val="0"/>
          <w:color w:val="auto"/>
          <w:sz w:val="24"/>
          <w:szCs w:val="24"/>
          <w:highlight w:val="none"/>
          <w:lang w:val="en-US" w:eastAsia="zh-CN"/>
        </w:rPr>
        <w:t>‘</w:t>
      </w:r>
      <w:r>
        <w:rPr>
          <w:rFonts w:hint="default" w:ascii="Times New Roman" w:hAnsi="Times New Roman" w:cs="Times New Roman"/>
          <w:b w:val="0"/>
          <w:bCs w:val="0"/>
          <w:color w:val="auto"/>
          <w:sz w:val="24"/>
          <w:szCs w:val="24"/>
          <w:highlight w:val="none"/>
        </w:rPr>
        <w:t>visual</w:t>
      </w:r>
      <w:r>
        <w:rPr>
          <w:rFonts w:hint="default" w:ascii="Times New Roman" w:hAnsi="Times New Roman" w:cs="Times New Roman"/>
          <w:b w:val="0"/>
          <w:bCs w:val="0"/>
          <w:color w:val="auto"/>
          <w:sz w:val="24"/>
          <w:szCs w:val="24"/>
          <w:highlight w:val="none"/>
          <w:lang w:val="en-US" w:eastAsia="zh-CN"/>
        </w:rPr>
        <w:t>’</w:t>
      </w:r>
      <w:r>
        <w:rPr>
          <w:rFonts w:hint="default" w:ascii="Times New Roman" w:hAnsi="Times New Roman" w:cs="Times New Roman"/>
          <w:b w:val="0"/>
          <w:bCs w:val="0"/>
          <w:color w:val="auto"/>
          <w:sz w:val="24"/>
          <w:szCs w:val="24"/>
          <w:highlight w:val="none"/>
        </w:rPr>
        <w:t xml:space="preserve">, </w:t>
      </w:r>
      <w:r>
        <w:rPr>
          <w:rFonts w:hint="default" w:ascii="Times New Roman" w:hAnsi="Times New Roman" w:cs="Times New Roman"/>
          <w:b w:val="0"/>
          <w:bCs w:val="0"/>
          <w:color w:val="auto"/>
          <w:sz w:val="24"/>
          <w:szCs w:val="24"/>
          <w:highlight w:val="none"/>
          <w:lang w:val="en-US"/>
        </w:rPr>
        <w:t xml:space="preserve">'aural' </w:t>
      </w:r>
      <w:r>
        <w:rPr>
          <w:rFonts w:hint="default" w:ascii="Times New Roman" w:hAnsi="Times New Roman" w:cs="Times New Roman"/>
          <w:b w:val="0"/>
          <w:bCs w:val="0"/>
          <w:color w:val="auto"/>
          <w:sz w:val="24"/>
          <w:szCs w:val="24"/>
          <w:highlight w:val="none"/>
        </w:rPr>
        <w:t xml:space="preserve">, and </w:t>
      </w:r>
      <w:r>
        <w:rPr>
          <w:rFonts w:hint="default" w:ascii="Times New Roman" w:hAnsi="Times New Roman" w:cs="Times New Roman"/>
          <w:b w:val="0"/>
          <w:bCs w:val="0"/>
          <w:color w:val="auto"/>
          <w:sz w:val="24"/>
          <w:szCs w:val="24"/>
          <w:highlight w:val="none"/>
          <w:lang w:val="en-US"/>
        </w:rPr>
        <w:t xml:space="preserve">'kinesthetic' </w:t>
      </w:r>
      <w:r>
        <w:rPr>
          <w:rFonts w:hint="default" w:ascii="Times New Roman" w:hAnsi="Times New Roman" w:cs="Times New Roman"/>
          <w:b w:val="0"/>
          <w:bCs w:val="0"/>
          <w:color w:val="auto"/>
          <w:sz w:val="24"/>
          <w:szCs w:val="24"/>
          <w:highlight w:val="none"/>
          <w:lang w:val="en-US" w:eastAsia="zh-CN"/>
        </w:rPr>
        <w:t>learners</w:t>
      </w:r>
      <w:r>
        <w:rPr>
          <w:rFonts w:hint="default" w:ascii="Times New Roman" w:hAnsi="Times New Roman" w:cs="Times New Roman"/>
          <w:b w:val="0"/>
          <w:bCs w:val="0"/>
          <w:color w:val="auto"/>
          <w:sz w:val="24"/>
          <w:szCs w:val="24"/>
          <w:highlight w:val="none"/>
        </w:rPr>
        <w:t>. Additionally, cognitive learning styles can be distinguished between field</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independent and field</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 xml:space="preserve">dependent learners, with the former tending to extract specific details from a broader context, while the latter adopts a more holistic approach to understanding information. Despite the development of various assessment tools in recent years, research on the relationship between </w:t>
      </w:r>
      <w:r>
        <w:rPr>
          <w:rFonts w:hint="default" w:ascii="Times New Roman" w:hAnsi="Times New Roman" w:cs="Times New Roman"/>
          <w:b w:val="0"/>
          <w:bCs w:val="0"/>
          <w:color w:val="auto"/>
          <w:sz w:val="24"/>
          <w:szCs w:val="24"/>
          <w:highlight w:val="none"/>
          <w:lang w:val="en-US" w:eastAsia="zh-CN"/>
        </w:rPr>
        <w:t>l</w:t>
      </w:r>
      <w:r>
        <w:rPr>
          <w:rFonts w:hint="default" w:ascii="Times New Roman" w:hAnsi="Times New Roman" w:cs="Times New Roman"/>
          <w:b w:val="0"/>
          <w:bCs w:val="0"/>
          <w:color w:val="auto"/>
          <w:sz w:val="24"/>
          <w:szCs w:val="24"/>
          <w:highlight w:val="none"/>
          <w:lang w:val="en-US"/>
        </w:rPr>
        <w:t>earner preferences</w:t>
      </w:r>
      <w:r>
        <w:rPr>
          <w:rFonts w:hint="default" w:ascii="Times New Roman" w:hAnsi="Times New Roman" w:cs="Times New Roman"/>
          <w:b w:val="0"/>
          <w:bCs w:val="0"/>
          <w:color w:val="auto"/>
          <w:sz w:val="24"/>
          <w:szCs w:val="24"/>
          <w:highlight w:val="none"/>
        </w:rPr>
        <w:t xml:space="preserve"> and success in second language acquisition remains limited. To date, field independence is the only </w:t>
      </w:r>
      <w:r>
        <w:rPr>
          <w:rFonts w:hint="default" w:ascii="Times New Roman" w:hAnsi="Times New Roman" w:cs="Times New Roman"/>
          <w:b w:val="0"/>
          <w:bCs w:val="0"/>
          <w:color w:val="auto"/>
          <w:sz w:val="24"/>
          <w:szCs w:val="24"/>
          <w:highlight w:val="none"/>
          <w:lang w:val="en-US" w:eastAsia="zh-CN"/>
        </w:rPr>
        <w:t>l</w:t>
      </w:r>
      <w:r>
        <w:rPr>
          <w:rFonts w:hint="default" w:ascii="Times New Roman" w:hAnsi="Times New Roman" w:cs="Times New Roman"/>
          <w:b w:val="0"/>
          <w:bCs w:val="0"/>
          <w:color w:val="auto"/>
          <w:sz w:val="24"/>
          <w:szCs w:val="24"/>
          <w:highlight w:val="none"/>
          <w:lang w:val="en-US"/>
        </w:rPr>
        <w:t>earner preferences</w:t>
      </w:r>
      <w:r>
        <w:rPr>
          <w:rFonts w:hint="default" w:ascii="Times New Roman" w:hAnsi="Times New Roman" w:cs="Times New Roman"/>
          <w:b w:val="0"/>
          <w:bCs w:val="0"/>
          <w:color w:val="auto"/>
          <w:sz w:val="24"/>
          <w:szCs w:val="24"/>
          <w:highlight w:val="none"/>
        </w:rPr>
        <w:t xml:space="preserve"> that has been extensively investigated, with studies indicating its relevance to certain task performances but its limitations in predicting success across different tasks. Consequently, Lightbown </w:t>
      </w:r>
      <w:r>
        <w:rPr>
          <w:rFonts w:hint="eastAsia" w:ascii="Times New Roman" w:hAnsi="Times New Roman" w:cs="Times New Roman"/>
          <w:b w:val="0"/>
          <w:bCs w:val="0"/>
          <w:color w:val="auto"/>
          <w:sz w:val="24"/>
          <w:szCs w:val="24"/>
          <w:highlight w:val="none"/>
          <w:lang w:val="en-US" w:eastAsia="zh-CN"/>
        </w:rPr>
        <w:t>&amp;</w:t>
      </w:r>
      <w:r>
        <w:rPr>
          <w:rFonts w:hint="default" w:ascii="Times New Roman" w:hAnsi="Times New Roman" w:cs="Times New Roman"/>
          <w:b w:val="0"/>
          <w:bCs w:val="0"/>
          <w:color w:val="auto"/>
          <w:sz w:val="24"/>
          <w:szCs w:val="24"/>
          <w:highlight w:val="none"/>
        </w:rPr>
        <w:t xml:space="preserve"> Spada (2000) caution against assuming that a single teaching method can accommodate all learners. Instead, they advocate for encouraging students to employ a variety of learning strategies tailored to their individual preferences to enhance language acquisition outcomes.</w:t>
      </w:r>
    </w:p>
    <w:p w14:paraId="1AA3EB92">
      <w:pPr>
        <w:pStyle w:val="3"/>
        <w:numPr>
          <w:ilvl w:val="1"/>
          <w:numId w:val="1"/>
        </w:numPr>
        <w:bidi w:val="0"/>
        <w:rPr>
          <w:rFonts w:hint="default" w:ascii="Times New Roman" w:hAnsi="Times New Roman" w:cs="Times New Roman"/>
          <w:b/>
          <w:bCs/>
          <w:color w:val="auto"/>
          <w:highlight w:val="none"/>
          <w:lang w:val="en-US"/>
        </w:rPr>
      </w:pPr>
      <w:r>
        <w:rPr>
          <w:rFonts w:hint="default" w:ascii="Times New Roman" w:hAnsi="Times New Roman" w:cs="Times New Roman"/>
          <w:b/>
          <w:bCs/>
          <w:color w:val="auto"/>
          <w:highlight w:val="none"/>
          <w:lang w:val="en-US"/>
        </w:rPr>
        <w:t xml:space="preserve">Learner </w:t>
      </w:r>
      <w:r>
        <w:rPr>
          <w:rFonts w:hint="default" w:ascii="Times New Roman" w:hAnsi="Times New Roman" w:cs="Times New Roman"/>
          <w:b/>
          <w:bCs/>
          <w:color w:val="auto"/>
          <w:highlight w:val="none"/>
          <w:lang w:val="en-US" w:eastAsia="zh-CN"/>
        </w:rPr>
        <w:t>B</w:t>
      </w:r>
      <w:r>
        <w:rPr>
          <w:rFonts w:hint="default" w:ascii="Times New Roman" w:hAnsi="Times New Roman" w:cs="Times New Roman"/>
          <w:b/>
          <w:bCs/>
          <w:color w:val="auto"/>
          <w:highlight w:val="none"/>
          <w:lang w:val="en-US"/>
        </w:rPr>
        <w:t>eliefs</w:t>
      </w:r>
    </w:p>
    <w:p w14:paraId="0CC86A31">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Second language learners, particularly older learners, often hold strong beliefs about instructional methods, which are shaped by their previous learning experiences and can significantly influence their learning outcomes. </w:t>
      </w:r>
      <w:r>
        <w:rPr>
          <w:rFonts w:hint="default" w:ascii="Times New Roman" w:hAnsi="Times New Roman" w:cs="Times New Roman"/>
          <w:b w:val="0"/>
          <w:bCs w:val="0"/>
          <w:color w:val="auto"/>
          <w:sz w:val="24"/>
          <w:szCs w:val="24"/>
          <w:highlight w:val="none"/>
        </w:rPr>
        <w:t>Yorio (1986)</w:t>
      </w:r>
      <w:r>
        <w:rPr>
          <w:rFonts w:hint="default" w:ascii="Times New Roman" w:hAnsi="Times New Roman" w:cs="Times New Roman"/>
          <w:b w:val="0"/>
          <w:bCs w:val="0"/>
          <w:color w:val="auto"/>
          <w:sz w:val="24"/>
          <w:szCs w:val="24"/>
          <w:highlight w:val="none"/>
        </w:rPr>
        <w:t xml:space="preserve"> found that ESL students in a highly communicative programme expressed dissatisfaction with the exclusive focus on communication, citing a lack of emphasis on language form and teacher-led instruction as impediments to their progress. Although the study did not establish a direct link between instructional methods and learning outcomes, it highlighted the impact of learner beliefs on classroom experiences. Therefore, educators should take learners’ preferences into account and encourage them to expand their repertoire of learning strategies to enhance adaptability and overall language acquisition effectiveness.</w:t>
      </w:r>
    </w:p>
    <w:p w14:paraId="7C38C070">
      <w:pPr>
        <w:pStyle w:val="3"/>
        <w:numPr>
          <w:ilvl w:val="1"/>
          <w:numId w:val="1"/>
        </w:numPr>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Age</w:t>
      </w:r>
      <w:r>
        <w:rPr>
          <w:rFonts w:hint="default" w:ascii="Times New Roman" w:hAnsi="Times New Roman" w:cs="Times New Roman"/>
          <w:b/>
          <w:bCs/>
          <w:color w:val="auto"/>
          <w:highlight w:val="none"/>
          <w:lang w:val="en-US" w:eastAsia="zh-CN"/>
        </w:rPr>
        <w:t xml:space="preserve"> of Acquisition</w:t>
      </w:r>
    </w:p>
    <w:p w14:paraId="04440D2B">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The age of language learners exerts a profound influence on their ability to acquire a second language. Lightbown </w:t>
      </w:r>
      <w:r>
        <w:rPr>
          <w:rFonts w:hint="eastAsia" w:ascii="Times New Roman" w:hAnsi="Times New Roman" w:cs="Times New Roman"/>
          <w:b w:val="0"/>
          <w:bCs w:val="0"/>
          <w:color w:val="auto"/>
          <w:sz w:val="24"/>
          <w:szCs w:val="24"/>
          <w:highlight w:val="none"/>
          <w:lang w:val="en-US" w:eastAsia="zh-CN"/>
        </w:rPr>
        <w:t>&amp;</w:t>
      </w:r>
      <w:bookmarkStart w:id="0" w:name="_GoBack"/>
      <w:bookmarkEnd w:id="0"/>
      <w:r>
        <w:rPr>
          <w:rFonts w:hint="default" w:ascii="Times New Roman" w:hAnsi="Times New Roman" w:cs="Times New Roman"/>
          <w:b w:val="0"/>
          <w:bCs w:val="0"/>
          <w:color w:val="auto"/>
          <w:sz w:val="24"/>
          <w:szCs w:val="24"/>
          <w:highlight w:val="none"/>
        </w:rPr>
        <w:t xml:space="preserve"> Spada (2000)</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indicate that immigrant children typically achieve near-native proficiency in a new language, whereas adult immigrants often struggle to reach the same level. The Critical Period Hypothesis (CPH) posits that the brain exhibits greater plasticity for language acquisition before puberty. After this period, language learning becomes more reliant on general cognitive abilities, leading to reduced effectiveness.</w:t>
      </w:r>
    </w:p>
    <w:p w14:paraId="709E64BA">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This article </w:t>
      </w:r>
      <w:r>
        <w:rPr>
          <w:rFonts w:hint="default" w:ascii="Times New Roman" w:hAnsi="Times New Roman" w:cs="Times New Roman"/>
          <w:b w:val="0"/>
          <w:bCs w:val="0"/>
          <w:color w:val="auto"/>
          <w:sz w:val="24"/>
          <w:szCs w:val="24"/>
          <w:highlight w:val="none"/>
          <w:lang w:val="en-US" w:eastAsia="zh-CN"/>
        </w:rPr>
        <w:t>discussed</w:t>
      </w:r>
      <w:r>
        <w:rPr>
          <w:rFonts w:hint="default" w:ascii="Times New Roman" w:hAnsi="Times New Roman" w:cs="Times New Roman"/>
          <w:b w:val="0"/>
          <w:bCs w:val="0"/>
          <w:color w:val="auto"/>
          <w:sz w:val="24"/>
          <w:szCs w:val="24"/>
          <w:highlight w:val="none"/>
        </w:rPr>
        <w:t xml:space="preserve"> CPH by drawing on three key studies. Firstly, Patkowski (1980) found that immigrants who began learning English before the age of 15 almost universally attained near-native proficiency, whereas those who started learning after 15 exhibited highly variable performance. Additionally, Johnson and Newport (1989) demonstrated that early learners outperformed late learners in grammatical judgement tasks, further supporting the CPH. However, Snow and Hoefnagel-Höhle (1978) offered a different perspective, showing that adolescents progressed the fastest during the initial stages of language learning and maintained the highest proficiency after one year, with adults also outperforming children in the early phases. These findings suggest that while younger children may eventually surpass other groups in the long term, adolescents might be the most efficient language learners in the short term.</w:t>
      </w:r>
    </w:p>
    <w:p w14:paraId="195BA0F8">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Overall, the author argues that the impact of age on language acquisition is multifaceted, influenced by a combination of biological, cognitive, and environmental factors. Therefore, when learning a second language, it is crucial to establish clear learning objectives and develop targeted learning strategies or instructional designs to optimise language acquisition outcomes.</w:t>
      </w:r>
    </w:p>
    <w:p w14:paraId="48613EE3">
      <w:pPr>
        <w:pStyle w:val="2"/>
        <w:numPr>
          <w:ilvl w:val="0"/>
          <w:numId w:val="1"/>
        </w:numPr>
        <w:bidi w:val="0"/>
        <w:ind w:left="425" w:leftChars="0" w:hanging="425" w:firstLineChars="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In-depth </w:t>
      </w:r>
      <w:r>
        <w:rPr>
          <w:rFonts w:hint="default" w:ascii="Times New Roman" w:hAnsi="Times New Roman" w:cs="Times New Roman"/>
          <w:b/>
          <w:bCs/>
          <w:color w:val="auto"/>
          <w:highlight w:val="none"/>
          <w:lang w:val="en-US" w:eastAsia="zh-CN"/>
        </w:rPr>
        <w:t xml:space="preserve">Discussion </w:t>
      </w:r>
      <w:r>
        <w:rPr>
          <w:rFonts w:hint="default" w:ascii="Times New Roman" w:hAnsi="Times New Roman" w:cs="Times New Roman"/>
          <w:b/>
          <w:bCs/>
          <w:color w:val="auto"/>
          <w:highlight w:val="none"/>
        </w:rPr>
        <w:t>of Aptitude</w:t>
      </w:r>
    </w:p>
    <w:p w14:paraId="1C846512">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In</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SLA research, aptitude refers to an individual's potential or ability demonstrated when learning a second language. It is a multidimensional concept that involves various cognitive and psychological factors. The definition and classification of language aptitude differ across scholars, and the following are some of the major perspectives:</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lang w:val="en-US" w:eastAsia="zh-CN"/>
        </w:rPr>
        <w:t>I</w:t>
      </w:r>
      <w:r>
        <w:rPr>
          <w:rFonts w:hint="default" w:ascii="Times New Roman" w:hAnsi="Times New Roman" w:cs="Times New Roman"/>
          <w:b w:val="0"/>
          <w:bCs w:val="0"/>
          <w:color w:val="auto"/>
          <w:sz w:val="24"/>
          <w:szCs w:val="24"/>
          <w:highlight w:val="none"/>
        </w:rPr>
        <w:t xml:space="preserve">n </w:t>
      </w:r>
      <w:r>
        <w:rPr>
          <w:rStyle w:val="10"/>
          <w:rFonts w:hint="default" w:ascii="Times New Roman" w:hAnsi="Times New Roman" w:cs="Times New Roman"/>
          <w:b w:val="0"/>
          <w:bCs w:val="0"/>
          <w:color w:val="auto"/>
          <w:sz w:val="24"/>
          <w:szCs w:val="24"/>
          <w:highlight w:val="none"/>
        </w:rPr>
        <w:t>Carroll</w:t>
      </w:r>
      <w:r>
        <w:rPr>
          <w:rStyle w:val="10"/>
          <w:rFonts w:hint="default" w:ascii="Times New Roman" w:hAnsi="Times New Roman" w:cs="Times New Roman"/>
          <w:b w:val="0"/>
          <w:bCs w:val="0"/>
          <w:color w:val="auto"/>
          <w:sz w:val="24"/>
          <w:szCs w:val="24"/>
          <w:highlight w:val="none"/>
          <w:lang w:val="en-US" w:eastAsia="zh-CN"/>
        </w:rPr>
        <w:t>’</w:t>
      </w:r>
      <w:r>
        <w:rPr>
          <w:rStyle w:val="10"/>
          <w:rFonts w:hint="default" w:ascii="Times New Roman" w:hAnsi="Times New Roman" w:cs="Times New Roman"/>
          <w:b w:val="0"/>
          <w:bCs w:val="0"/>
          <w:color w:val="auto"/>
          <w:sz w:val="24"/>
          <w:szCs w:val="24"/>
          <w:highlight w:val="none"/>
          <w:lang w:val="en-US" w:eastAsia="zh-CN"/>
        </w:rPr>
        <w:t>s</w:t>
      </w:r>
      <w:r>
        <w:rPr>
          <w:rStyle w:val="10"/>
          <w:rFonts w:hint="default" w:ascii="Times New Roman" w:hAnsi="Times New Roman" w:cs="Times New Roman"/>
          <w:b w:val="0"/>
          <w:bCs w:val="0"/>
          <w:color w:val="auto"/>
          <w:sz w:val="24"/>
          <w:szCs w:val="24"/>
          <w:highlight w:val="none"/>
        </w:rPr>
        <w:t xml:space="preserve"> (1962)</w:t>
      </w:r>
      <w:r>
        <w:rPr>
          <w:rStyle w:val="10"/>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 xml:space="preserve">work </w:t>
      </w:r>
      <w:r>
        <w:rPr>
          <w:rFonts w:hint="default" w:ascii="Times New Roman" w:hAnsi="Times New Roman" w:cs="Times New Roman"/>
          <w:b w:val="0"/>
          <w:bCs w:val="0"/>
          <w:color w:val="auto"/>
          <w:sz w:val="24"/>
          <w:szCs w:val="24"/>
          <w:highlight w:val="none"/>
          <w:lang w:val="en-US" w:eastAsia="zh-CN"/>
        </w:rPr>
        <w:t>he</w:t>
      </w:r>
      <w:r>
        <w:rPr>
          <w:rFonts w:hint="default" w:ascii="Times New Roman" w:hAnsi="Times New Roman" w:cs="Times New Roman"/>
          <w:b w:val="0"/>
          <w:bCs w:val="0"/>
          <w:color w:val="auto"/>
          <w:sz w:val="24"/>
          <w:szCs w:val="24"/>
          <w:highlight w:val="none"/>
        </w:rPr>
        <w:t xml:space="preserve"> defined language aptitude as the specific ability to learn a second language, including factors such as auditory discrimination, memory, and the ability to handle grammatical rules. This theory underscores the cognitive components crucial for successful language learning.</w:t>
      </w:r>
      <w:r>
        <w:rPr>
          <w:rFonts w:hint="default" w:ascii="Times New Roman" w:hAnsi="Times New Roman" w:cs="Times New Roman"/>
          <w:b w:val="0"/>
          <w:bCs w:val="0"/>
          <w:color w:val="auto"/>
          <w:sz w:val="24"/>
          <w:szCs w:val="24"/>
          <w:highlight w:val="none"/>
          <w:lang w:val="en-US" w:eastAsia="zh-CN"/>
        </w:rPr>
        <w:t xml:space="preserve"> </w:t>
      </w:r>
      <w:r>
        <w:rPr>
          <w:rStyle w:val="10"/>
          <w:rFonts w:hint="default" w:ascii="Times New Roman" w:hAnsi="Times New Roman" w:cs="Times New Roman"/>
          <w:b w:val="0"/>
          <w:bCs w:val="0"/>
          <w:color w:val="auto"/>
          <w:sz w:val="24"/>
          <w:szCs w:val="24"/>
          <w:highlight w:val="none"/>
        </w:rPr>
        <w:t>Skehan (1989)</w:t>
      </w:r>
      <w:r>
        <w:rPr>
          <w:rFonts w:hint="default" w:ascii="Times New Roman" w:hAnsi="Times New Roman" w:cs="Times New Roman"/>
          <w:b w:val="0"/>
          <w:bCs w:val="0"/>
          <w:color w:val="auto"/>
          <w:sz w:val="24"/>
          <w:szCs w:val="24"/>
          <w:highlight w:val="none"/>
        </w:rPr>
        <w:t xml:space="preserve"> further categorized language aptitude into cognitive and personality-based factors. He discussed how different learners, based on their cognitive abilities and attitudes, demonstrate different degrees of success in second language acquisition.</w:t>
      </w:r>
    </w:p>
    <w:p w14:paraId="46A1C4E2">
      <w:pPr>
        <w:pStyle w:val="7"/>
        <w:keepNext w:val="0"/>
        <w:keepLines w:val="0"/>
        <w:widowControl/>
        <w:suppressLineNumbers w:val="0"/>
        <w:spacing w:before="0" w:beforeAutospacing="1" w:after="0" w:afterAutospacing="1" w:line="240" w:lineRule="auto"/>
        <w:ind w:left="0" w:right="0" w:firstLine="480" w:firstLineChars="200"/>
        <w:jc w:val="lef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lang w:val="en-US" w:eastAsia="zh-CN"/>
        </w:rPr>
        <w:t xml:space="preserve">In </w:t>
      </w:r>
      <w:r>
        <w:rPr>
          <w:rStyle w:val="10"/>
          <w:rFonts w:hint="default" w:ascii="Times New Roman" w:hAnsi="Times New Roman" w:cs="Times New Roman"/>
          <w:b w:val="0"/>
          <w:bCs w:val="0"/>
          <w:color w:val="auto"/>
          <w:sz w:val="24"/>
          <w:szCs w:val="24"/>
          <w:highlight w:val="none"/>
        </w:rPr>
        <w:t>Lightbown &amp; Spada</w:t>
      </w:r>
      <w:r>
        <w:rPr>
          <w:rStyle w:val="10"/>
          <w:rFonts w:hint="default" w:ascii="Times New Roman" w:hAnsi="Times New Roman" w:cs="Times New Roman"/>
          <w:b w:val="0"/>
          <w:bCs w:val="0"/>
          <w:color w:val="auto"/>
          <w:sz w:val="24"/>
          <w:szCs w:val="24"/>
          <w:highlight w:val="none"/>
          <w:lang w:val="en-US" w:eastAsia="zh-CN"/>
        </w:rPr>
        <w:t>’</w:t>
      </w:r>
      <w:r>
        <w:rPr>
          <w:rStyle w:val="10"/>
          <w:rFonts w:hint="default" w:ascii="Times New Roman" w:hAnsi="Times New Roman" w:cs="Times New Roman"/>
          <w:b w:val="0"/>
          <w:bCs w:val="0"/>
          <w:color w:val="auto"/>
          <w:sz w:val="24"/>
          <w:szCs w:val="24"/>
          <w:highlight w:val="none"/>
          <w:lang w:val="en-US" w:eastAsia="zh-CN"/>
        </w:rPr>
        <w:t>s</w:t>
      </w:r>
      <w:r>
        <w:rPr>
          <w:rStyle w:val="10"/>
          <w:rFonts w:hint="default" w:ascii="Times New Roman" w:hAnsi="Times New Roman" w:cs="Times New Roman"/>
          <w:b w:val="0"/>
          <w:bCs w:val="0"/>
          <w:color w:val="auto"/>
          <w:sz w:val="24"/>
          <w:szCs w:val="24"/>
          <w:highlight w:val="none"/>
        </w:rPr>
        <w:t xml:space="preserve"> (2000)</w:t>
      </w:r>
      <w:r>
        <w:rPr>
          <w:rStyle w:val="10"/>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rPr>
        <w:t xml:space="preserve">article, through the evaluation of MLAT and PLAB, suggests that language aptitude plays a predictive role in the success of second language acquisition, especially in traditional teaching environments such as grammar-translation methods. In other words, learners with high language aptitude are more likely to master grammatical and vocabulary rules. </w:t>
      </w:r>
      <w:r>
        <w:rPr>
          <w:rFonts w:hint="default" w:ascii="Times New Roman" w:hAnsi="Times New Roman" w:eastAsia="宋体" w:cs="Times New Roman"/>
          <w:b w:val="0"/>
          <w:bCs w:val="0"/>
          <w:color w:val="auto"/>
          <w:sz w:val="24"/>
          <w:szCs w:val="24"/>
          <w:highlight w:val="none"/>
          <w:lang w:val="en-US" w:eastAsia="zh-CN"/>
        </w:rPr>
        <w:t>Similarly</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rPr>
        <w:t>Obler (1989)</w:t>
      </w:r>
      <w:r>
        <w:rPr>
          <w:rFonts w:hint="default" w:ascii="Times New Roman" w:hAnsi="Times New Roman" w:eastAsia="宋体" w:cs="Times New Roman"/>
          <w:b w:val="0"/>
          <w:bCs w:val="0"/>
          <w:color w:val="auto"/>
          <w:sz w:val="24"/>
          <w:szCs w:val="24"/>
          <w:highlight w:val="none"/>
        </w:rPr>
        <w:t xml:space="preserve"> indicates that some language learners are inherently endowed with exceptionally high aptitude, enabling them to acquire multiple languages in a short period of time.</w:t>
      </w:r>
    </w:p>
    <w:p w14:paraId="3AAA901A">
      <w:pPr>
        <w:pStyle w:val="7"/>
        <w:keepNext w:val="0"/>
        <w:keepLines w:val="0"/>
        <w:widowControl/>
        <w:suppressLineNumbers w:val="0"/>
        <w:spacing w:before="0" w:beforeAutospacing="1" w:after="0" w:afterAutospacing="1" w:line="240" w:lineRule="auto"/>
        <w:ind w:left="0" w:right="0"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I strongly agree with this perspective, as in most universities in China, students are placed into different </w:t>
      </w:r>
      <w:r>
        <w:rPr>
          <w:rFonts w:hint="default" w:ascii="Times New Roman" w:hAnsi="Times New Roman" w:cs="Times New Roman"/>
          <w:b w:val="0"/>
          <w:bCs w:val="0"/>
          <w:color w:val="auto"/>
          <w:sz w:val="24"/>
          <w:szCs w:val="24"/>
          <w:highlight w:val="none"/>
          <w:lang w:val="en-US" w:eastAsia="zh-CN"/>
        </w:rPr>
        <w:t xml:space="preserve">tiers of </w:t>
      </w:r>
      <w:r>
        <w:rPr>
          <w:rFonts w:hint="default" w:ascii="Times New Roman" w:hAnsi="Times New Roman" w:cs="Times New Roman"/>
          <w:b w:val="0"/>
          <w:bCs w:val="0"/>
          <w:color w:val="auto"/>
          <w:sz w:val="24"/>
          <w:szCs w:val="24"/>
          <w:highlight w:val="none"/>
        </w:rPr>
        <w:t>classes based on their English scores from the college entrance examination (Gaokao), typically divided into classes A, B, and C (Class A being the highest scorers and Class C the lowest). This class placement system is essentially an allocation based on students' language aptitude and learning abilities. In Class A, the teaching pace is faster, and the content is more challenging, often introducing more novel and complex language knowledge, such as intricate grammatical rules, diverse language applications, and interdisciplinary knowledge. These students typically grasp and apply these new concepts quickly, which results in a relatively fast-paced teaching schedule.</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 xml:space="preserve">In contrast, in Class C, the pace is noticeably slower. Teachers focus on reinforcing and reviewing the basic content of the textbook through more repetition and practice, ensuring that students solidify their understanding of fundamental language structures and vocabulary. The teaching methods are more gradual and focused on foundational reinforcement to prevent students from feeling confused or frustrated due to overly complex material. </w:t>
      </w:r>
    </w:p>
    <w:p w14:paraId="6D24E7B9">
      <w:pPr>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This class-based teaching approach not only alleviates the second language learning pressure for low aptitude students, enabling them to progress at their own pace without spending excessive time and effort on language learning, but also prevents them from experiencing anxiety and a loss of confidence due to being unable to keep up with the learning progress. At the same time, high aptitude students are able to learn at a higher intensity, quickly mastering and applying complex language rules and knowledge. This allows them to make efficient use of class time and engage with more challenging content, which further stimulates their interest and motivation for learning. Therefore, this teaching method can most effectively meet the diverse language learning needs of students and optimize their learning outcomes.</w:t>
      </w:r>
    </w:p>
    <w:p w14:paraId="36788811">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However, a limitation of research on language aptitude is that most studies have primarily focused on traditional classroom learning environments, overlooking whether the role of aptitude remains significant in natural acquisition settings, such as immersion learning. This is particularly relevant in the context of Communicative Language Teaching (CLT), which is widely used today. The impact of aptitude in this context remains an area of further investigation. </w:t>
      </w:r>
      <w:r>
        <w:rPr>
          <w:rFonts w:hint="default" w:ascii="Times New Roman" w:hAnsi="Times New Roman" w:cs="Times New Roman"/>
          <w:b w:val="0"/>
          <w:bCs w:val="0"/>
          <w:color w:val="auto"/>
          <w:sz w:val="24"/>
          <w:szCs w:val="24"/>
          <w:highlight w:val="none"/>
          <w:lang w:val="en-US" w:eastAsia="zh-CN"/>
        </w:rPr>
        <w:t xml:space="preserve">As </w:t>
      </w:r>
      <w:r>
        <w:rPr>
          <w:rFonts w:hint="default" w:ascii="Times New Roman" w:hAnsi="Times New Roman" w:cs="Times New Roman"/>
          <w:b w:val="0"/>
          <w:bCs w:val="0"/>
          <w:color w:val="auto"/>
          <w:sz w:val="24"/>
          <w:szCs w:val="24"/>
          <w:highlight w:val="none"/>
        </w:rPr>
        <w:t xml:space="preserve">Krashen's (1981) Input Hypothesis suggests that the key to language acquisition lies in comprehensible input, rather than individual aptitude. He argues that even learners with low aptitude can successfully acquire a second language if they are exposed to sufficient comprehensible input. As such, Krashen posits that the role of aptitude is limited. VanPatten (1996) further emphasizes that in CLT, learning strategies and motivation are more crucial than aptitude. He asserts that CLT focuses on language learning through interaction and practice, and these factors have a more direct impact on learners' language acquisition outcomes. Overall, these theories offer different perspectives on the role of aptitude in second language acquisition, suggesting that </w:t>
      </w:r>
      <w:r>
        <w:rPr>
          <w:rFonts w:hint="default" w:ascii="Times New Roman" w:hAnsi="Times New Roman" w:cs="Times New Roman"/>
          <w:b w:val="0"/>
          <w:bCs w:val="0"/>
          <w:color w:val="auto"/>
          <w:sz w:val="24"/>
          <w:szCs w:val="24"/>
          <w:highlight w:val="none"/>
          <w:lang w:val="en-US" w:eastAsia="zh-CN"/>
        </w:rPr>
        <w:t xml:space="preserve">second language learners </w:t>
      </w:r>
      <w:r>
        <w:rPr>
          <w:rFonts w:hint="default" w:ascii="Times New Roman" w:hAnsi="Times New Roman" w:cs="Times New Roman"/>
          <w:b w:val="0"/>
          <w:bCs w:val="0"/>
          <w:color w:val="auto"/>
          <w:sz w:val="24"/>
          <w:szCs w:val="24"/>
          <w:highlight w:val="none"/>
        </w:rPr>
        <w:t>should consider a range of factors when examining language learning, rather than relying solely on aptitude.</w:t>
      </w:r>
    </w:p>
    <w:p w14:paraId="72753873">
      <w:pPr>
        <w:pStyle w:val="2"/>
        <w:numPr>
          <w:ilvl w:val="0"/>
          <w:numId w:val="1"/>
        </w:numPr>
        <w:bidi w:val="0"/>
        <w:ind w:left="425" w:leftChars="0" w:hanging="425" w:firstLineChars="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Conclusion</w:t>
      </w:r>
    </w:p>
    <w:p w14:paraId="612274A5">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This </w:t>
      </w:r>
      <w:r>
        <w:rPr>
          <w:rFonts w:hint="default" w:ascii="Times New Roman" w:hAnsi="Times New Roman" w:cs="Times New Roman"/>
          <w:b w:val="0"/>
          <w:bCs w:val="0"/>
          <w:color w:val="auto"/>
          <w:sz w:val="24"/>
          <w:szCs w:val="24"/>
          <w:highlight w:val="none"/>
          <w:lang w:val="en-US" w:eastAsia="zh-CN"/>
        </w:rPr>
        <w:t xml:space="preserve">article </w:t>
      </w:r>
      <w:r>
        <w:rPr>
          <w:rFonts w:hint="default" w:ascii="Times New Roman" w:hAnsi="Times New Roman" w:cs="Times New Roman"/>
          <w:b w:val="0"/>
          <w:bCs w:val="0"/>
          <w:color w:val="auto"/>
          <w:sz w:val="24"/>
          <w:szCs w:val="24"/>
          <w:highlight w:val="none"/>
        </w:rPr>
        <w:t xml:space="preserve">provides a comprehensive analysis of multiple factors influencing second language acquisition (SLA), offering a holistic perspective on how individual differences shape learning outcomes. The discussion holds significant practical value for TESOL (Teaching English to Speakers of Other Languages) instructors, serving as a reference for instructional design. However, certain limitations remain. First, the study does not sufficiently explore the interactions between various factors. For instance, motivation and aptitude may influence each other rather than function as entirely independent variables. Second, the discussion on instructional adaptability is somewhat limited. While Communicative Language Teaching (CLT) has become a </w:t>
      </w:r>
      <w:r>
        <w:rPr>
          <w:rFonts w:hint="default" w:ascii="Times New Roman" w:hAnsi="Times New Roman" w:cs="Times New Roman"/>
          <w:b w:val="0"/>
          <w:bCs w:val="0"/>
          <w:color w:val="auto"/>
          <w:sz w:val="24"/>
          <w:szCs w:val="24"/>
          <w:highlight w:val="none"/>
          <w:lang w:val="en-US" w:eastAsia="zh-CN"/>
        </w:rPr>
        <w:t>wide</w:t>
      </w:r>
      <w:r>
        <w:rPr>
          <w:rFonts w:hint="eastAsia" w:ascii="Times New Roman" w:hAnsi="Times New Roman" w:cs="Times New Roman"/>
          <w:b w:val="0"/>
          <w:bCs w:val="0"/>
          <w:color w:val="auto"/>
          <w:sz w:val="24"/>
          <w:szCs w:val="24"/>
          <w:highlight w:val="none"/>
          <w:lang w:val="en-US" w:eastAsia="zh-CN"/>
        </w:rPr>
        <w:t>ly</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approach in language education, this paper primarily focuses on traditional classroom-based teaching methods, offering limited insight into how pedagogical strategies can be adapted to modern teaching contexts.</w:t>
      </w:r>
      <w:r>
        <w:rPr>
          <w:rFonts w:hint="default" w:ascii="Times New Roman" w:hAnsi="Times New Roman" w:cs="Times New Roman"/>
          <w:b w:val="0"/>
          <w:bCs w:val="0"/>
          <w:color w:val="auto"/>
          <w:sz w:val="24"/>
          <w:szCs w:val="24"/>
          <w:highlight w:val="none"/>
          <w:lang w:val="en-US" w:eastAsia="zh-CN"/>
        </w:rPr>
        <w:t xml:space="preserve"> </w:t>
      </w:r>
      <w:r>
        <w:rPr>
          <w:rFonts w:hint="default" w:ascii="Times New Roman" w:hAnsi="Times New Roman" w:cs="Times New Roman"/>
          <w:b w:val="0"/>
          <w:bCs w:val="0"/>
          <w:color w:val="auto"/>
          <w:sz w:val="24"/>
          <w:szCs w:val="24"/>
          <w:highlight w:val="none"/>
        </w:rPr>
        <w:t xml:space="preserve">Given these considerations, TESOL instruction should emphasize differentiated instruction and personalized learning strategies to accommodate the diverse needs of learners. </w:t>
      </w:r>
    </w:p>
    <w:p w14:paraId="1D25BBB4">
      <w:pPr>
        <w:pStyle w:val="7"/>
        <w:keepNext w:val="0"/>
        <w:keepLines w:val="0"/>
        <w:widowControl/>
        <w:suppressLineNumbers w:val="0"/>
        <w:spacing w:line="240" w:lineRule="auto"/>
        <w:ind w:firstLine="480" w:firstLineChars="200"/>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Additionally, several other issues warrant further exploration, such as the role of cultural factors in SLA, the impact of accent on learners' identity, and the potential negative effects of early second language acquisition on native language development. </w:t>
      </w:r>
      <w:r>
        <w:rPr>
          <w:rFonts w:hint="default" w:ascii="Times New Roman" w:hAnsi="Times New Roman" w:cs="Times New Roman"/>
          <w:b w:val="0"/>
          <w:bCs w:val="0"/>
          <w:color w:val="auto"/>
          <w:sz w:val="24"/>
          <w:szCs w:val="24"/>
          <w:highlight w:val="none"/>
          <w:lang w:val="en-US" w:eastAsia="zh-CN"/>
        </w:rPr>
        <w:t>In summary, e</w:t>
      </w:r>
      <w:r>
        <w:rPr>
          <w:rFonts w:hint="default" w:ascii="Times New Roman" w:hAnsi="Times New Roman" w:cs="Times New Roman"/>
          <w:b w:val="0"/>
          <w:bCs w:val="0"/>
          <w:color w:val="auto"/>
          <w:sz w:val="24"/>
          <w:szCs w:val="24"/>
          <w:highlight w:val="none"/>
        </w:rPr>
        <w:t>ffective second language instruction should begin by establishing clear learning objectives and tailoring course design based on learners’ individual characteristics, preferences, and cognitive strengths and weaknesses. Furthermore, it is essential to address the psychological well-being of students, as different learning factors may influence their mental health. This is not only crucial for optimizing learning efficiency but also has long-term implications for learners' overall development and well-being. Therefore, incorporating insights from educational psychology into language teaching can enhance the effectiveness of instruction, fostering a more engaging and satisfying learning experience for both teachers and students.</w:t>
      </w:r>
    </w:p>
    <w:p w14:paraId="325BF2F6">
      <w:pPr>
        <w:pStyle w:val="2"/>
        <w:numPr>
          <w:numId w:val="0"/>
        </w:numPr>
        <w:bidi w:val="0"/>
        <w:ind w:leftChars="0"/>
        <w:outlineLvl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References</w:t>
      </w:r>
    </w:p>
    <w:p w14:paraId="13C5D20A">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Carroll, J. B. (1962) 'The prediction of success in intensive foreign language training', </w:t>
      </w:r>
      <w:r>
        <w:rPr>
          <w:rStyle w:val="11"/>
          <w:rFonts w:hint="default" w:ascii="Times New Roman" w:hAnsi="Times New Roman" w:cs="Times New Roman"/>
          <w:b w:val="0"/>
          <w:bCs w:val="0"/>
          <w:color w:val="auto"/>
          <w:highlight w:val="none"/>
        </w:rPr>
        <w:t>The Modern Language Journal</w:t>
      </w:r>
      <w:r>
        <w:rPr>
          <w:rFonts w:hint="default" w:ascii="Times New Roman" w:hAnsi="Times New Roman" w:cs="Times New Roman"/>
          <w:b w:val="0"/>
          <w:bCs w:val="0"/>
          <w:color w:val="auto"/>
          <w:highlight w:val="none"/>
        </w:rPr>
        <w:t>, 46(1), pp. 114-118.</w:t>
      </w:r>
    </w:p>
    <w:p w14:paraId="48E410AD">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Gardner, R. C. and Lambert, W. E. (1972) </w:t>
      </w:r>
      <w:r>
        <w:rPr>
          <w:rStyle w:val="11"/>
          <w:rFonts w:hint="default" w:ascii="Times New Roman" w:hAnsi="Times New Roman" w:cs="Times New Roman"/>
          <w:b w:val="0"/>
          <w:bCs w:val="0"/>
          <w:color w:val="auto"/>
          <w:highlight w:val="none"/>
        </w:rPr>
        <w:t>Attitudes and Motivation in Second-Language Learning</w:t>
      </w:r>
      <w:r>
        <w:rPr>
          <w:rFonts w:hint="default" w:ascii="Times New Roman" w:hAnsi="Times New Roman" w:cs="Times New Roman"/>
          <w:b w:val="0"/>
          <w:bCs w:val="0"/>
          <w:color w:val="auto"/>
          <w:highlight w:val="none"/>
        </w:rPr>
        <w:t>. Rowley, Mass.: Newbury House.</w:t>
      </w:r>
    </w:p>
    <w:p w14:paraId="7460F068">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Guiora, A., Beit-Hallahami, B., Brannon, R., Dull, C. and Scovel, T. (1972) 'The effects of experimentally induced changes in ego states on pronunciation ability in a second language: An exploratory study', </w:t>
      </w:r>
      <w:r>
        <w:rPr>
          <w:rStyle w:val="11"/>
          <w:rFonts w:hint="default" w:ascii="Times New Roman" w:hAnsi="Times New Roman" w:cs="Times New Roman"/>
          <w:b w:val="0"/>
          <w:bCs w:val="0"/>
          <w:color w:val="auto"/>
          <w:highlight w:val="none"/>
        </w:rPr>
        <w:t>Comprehensive Psychiatry</w:t>
      </w:r>
      <w:r>
        <w:rPr>
          <w:rFonts w:hint="default" w:ascii="Times New Roman" w:hAnsi="Times New Roman" w:cs="Times New Roman"/>
          <w:b w:val="0"/>
          <w:bCs w:val="0"/>
          <w:color w:val="auto"/>
          <w:highlight w:val="none"/>
        </w:rPr>
        <w:t>, 13(5), pp. 421-428.</w:t>
      </w:r>
    </w:p>
    <w:p w14:paraId="18EAAA2A">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Johnson, J. and Newport, E. (1989) 'Critical period effects in second language learning: The influence of maturational state on the acquisition of English as a second language', </w:t>
      </w:r>
      <w:r>
        <w:rPr>
          <w:rStyle w:val="11"/>
          <w:rFonts w:hint="default" w:ascii="Times New Roman" w:hAnsi="Times New Roman" w:cs="Times New Roman"/>
          <w:b w:val="0"/>
          <w:bCs w:val="0"/>
          <w:color w:val="auto"/>
          <w:highlight w:val="none"/>
        </w:rPr>
        <w:t>Cognitive Psychology</w:t>
      </w:r>
      <w:r>
        <w:rPr>
          <w:rFonts w:hint="default" w:ascii="Times New Roman" w:hAnsi="Times New Roman" w:cs="Times New Roman"/>
          <w:b w:val="0"/>
          <w:bCs w:val="0"/>
          <w:color w:val="auto"/>
          <w:highlight w:val="none"/>
        </w:rPr>
        <w:t>, 21, pp. 60-99.</w:t>
      </w:r>
    </w:p>
    <w:p w14:paraId="7CDB17B7">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Krashen, S. D. (1981) 'Bilingual education and second language acquisition theory', in </w:t>
      </w:r>
      <w:r>
        <w:rPr>
          <w:rStyle w:val="11"/>
          <w:rFonts w:hint="default" w:ascii="Times New Roman" w:hAnsi="Times New Roman" w:cs="Times New Roman"/>
          <w:b w:val="0"/>
          <w:bCs w:val="0"/>
          <w:color w:val="auto"/>
          <w:highlight w:val="none"/>
        </w:rPr>
        <w:t>Schooling and language minority students: A theoretical framework</w:t>
      </w:r>
      <w:r>
        <w:rPr>
          <w:rFonts w:hint="default" w:ascii="Times New Roman" w:hAnsi="Times New Roman" w:cs="Times New Roman"/>
          <w:b w:val="0"/>
          <w:bCs w:val="0"/>
          <w:color w:val="auto"/>
          <w:highlight w:val="none"/>
        </w:rPr>
        <w:t>, California State Department of Education, pp. 51-79.</w:t>
      </w:r>
    </w:p>
    <w:p w14:paraId="6DD9A5AF">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Lightbown, P. M. and Spada, N. (2000) 'Factors affecting second language learning', in Candlin, C. N. and Mercer, N. (eds.) </w:t>
      </w:r>
      <w:r>
        <w:rPr>
          <w:rStyle w:val="11"/>
          <w:rFonts w:hint="default" w:ascii="Times New Roman" w:hAnsi="Times New Roman" w:cs="Times New Roman"/>
          <w:b w:val="0"/>
          <w:bCs w:val="0"/>
          <w:color w:val="auto"/>
          <w:highlight w:val="none"/>
        </w:rPr>
        <w:t>English Language Teaching in its Social Context</w:t>
      </w:r>
      <w:r>
        <w:rPr>
          <w:rFonts w:hint="default" w:ascii="Times New Roman" w:hAnsi="Times New Roman" w:cs="Times New Roman"/>
          <w:b w:val="0"/>
          <w:bCs w:val="0"/>
          <w:color w:val="auto"/>
          <w:highlight w:val="none"/>
        </w:rPr>
        <w:t>. London: Routledge.</w:t>
      </w:r>
    </w:p>
    <w:p w14:paraId="1B535F1F">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Obler, L. (1989) 'Exceptional second language learners', in Gass, S., Madden, C., Preston, D. and Selinker, L. (eds.) </w:t>
      </w:r>
      <w:r>
        <w:rPr>
          <w:rStyle w:val="11"/>
          <w:rFonts w:hint="default" w:ascii="Times New Roman" w:hAnsi="Times New Roman" w:cs="Times New Roman"/>
          <w:b w:val="0"/>
          <w:bCs w:val="0"/>
          <w:color w:val="auto"/>
          <w:highlight w:val="none"/>
        </w:rPr>
        <w:t>Variation in Second Language Acquisition, Vol. II: Psycholinguistic Issues</w:t>
      </w:r>
      <w:r>
        <w:rPr>
          <w:rFonts w:hint="default" w:ascii="Times New Roman" w:hAnsi="Times New Roman" w:cs="Times New Roman"/>
          <w:b w:val="0"/>
          <w:bCs w:val="0"/>
          <w:color w:val="auto"/>
          <w:highlight w:val="none"/>
        </w:rPr>
        <w:t>. Clevedon/Philadelphia: Multilingual Matters, pp. 141-149.</w:t>
      </w:r>
    </w:p>
    <w:p w14:paraId="030B6819">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Obler, L. (1989) 'The crosslinguistic study of language learning', in J. A. W., L. S. E., E. A. W., Z. N., H. K. and V. R. (eds.) </w:t>
      </w:r>
      <w:r>
        <w:rPr>
          <w:rStyle w:val="11"/>
          <w:rFonts w:hint="default" w:ascii="Times New Roman" w:hAnsi="Times New Roman" w:cs="Times New Roman"/>
          <w:b w:val="0"/>
          <w:bCs w:val="0"/>
          <w:color w:val="auto"/>
          <w:highlight w:val="none"/>
        </w:rPr>
        <w:t>Language Learning and Bilingualism</w:t>
      </w:r>
      <w:r>
        <w:rPr>
          <w:rFonts w:hint="default" w:ascii="Times New Roman" w:hAnsi="Times New Roman" w:cs="Times New Roman"/>
          <w:b w:val="0"/>
          <w:bCs w:val="0"/>
          <w:color w:val="auto"/>
          <w:highlight w:val="none"/>
        </w:rPr>
        <w:t>. Cambridge: Cambridge University Press, pp. 263-278.</w:t>
      </w:r>
    </w:p>
    <w:p w14:paraId="57E6114E">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Patkowski, M. (1980) 'The sensitive period for the acquisition of syntax in a second language', </w:t>
      </w:r>
      <w:r>
        <w:rPr>
          <w:rStyle w:val="11"/>
          <w:rFonts w:hint="default" w:ascii="Times New Roman" w:hAnsi="Times New Roman" w:cs="Times New Roman"/>
          <w:b w:val="0"/>
          <w:bCs w:val="0"/>
          <w:color w:val="auto"/>
          <w:highlight w:val="none"/>
        </w:rPr>
        <w:t>Language Learning</w:t>
      </w:r>
      <w:r>
        <w:rPr>
          <w:rFonts w:hint="default" w:ascii="Times New Roman" w:hAnsi="Times New Roman" w:cs="Times New Roman"/>
          <w:b w:val="0"/>
          <w:bCs w:val="0"/>
          <w:color w:val="auto"/>
          <w:highlight w:val="none"/>
        </w:rPr>
        <w:t>, 30(2), pp. 449-472.</w:t>
      </w:r>
    </w:p>
    <w:p w14:paraId="23452BB9">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Reid, J. (ed.) (1995) </w:t>
      </w:r>
      <w:r>
        <w:rPr>
          <w:rStyle w:val="11"/>
          <w:rFonts w:hint="default" w:ascii="Times New Roman" w:hAnsi="Times New Roman" w:cs="Times New Roman"/>
          <w:b w:val="0"/>
          <w:bCs w:val="0"/>
          <w:color w:val="auto"/>
          <w:highlight w:val="none"/>
        </w:rPr>
        <w:t>Learning Styles in the ESL/EFL Classroom</w:t>
      </w:r>
      <w:r>
        <w:rPr>
          <w:rFonts w:hint="default" w:ascii="Times New Roman" w:hAnsi="Times New Roman" w:cs="Times New Roman"/>
          <w:b w:val="0"/>
          <w:bCs w:val="0"/>
          <w:color w:val="auto"/>
          <w:highlight w:val="none"/>
        </w:rPr>
        <w:t>. New York: Heinle &amp; Heinle.</w:t>
      </w:r>
    </w:p>
    <w:p w14:paraId="2B005337">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Skehan, P. (1989) 'Individual differences in second language learning', </w:t>
      </w:r>
      <w:r>
        <w:rPr>
          <w:rStyle w:val="11"/>
          <w:rFonts w:hint="default" w:ascii="Times New Roman" w:hAnsi="Times New Roman" w:cs="Times New Roman"/>
          <w:b w:val="0"/>
          <w:bCs w:val="0"/>
          <w:color w:val="auto"/>
          <w:highlight w:val="none"/>
        </w:rPr>
        <w:t>Studies in Second Language Acquisition</w:t>
      </w:r>
      <w:r>
        <w:rPr>
          <w:rFonts w:hint="default" w:ascii="Times New Roman" w:hAnsi="Times New Roman" w:cs="Times New Roman"/>
          <w:b w:val="0"/>
          <w:bCs w:val="0"/>
          <w:color w:val="auto"/>
          <w:highlight w:val="none"/>
        </w:rPr>
        <w:t>, 11(2), pp. 275-298.</w:t>
      </w:r>
    </w:p>
    <w:p w14:paraId="3293DCEF">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VanPatten, B. (1996) </w:t>
      </w:r>
      <w:r>
        <w:rPr>
          <w:rStyle w:val="11"/>
          <w:rFonts w:hint="default" w:ascii="Times New Roman" w:hAnsi="Times New Roman" w:cs="Times New Roman"/>
          <w:b w:val="0"/>
          <w:bCs w:val="0"/>
          <w:color w:val="auto"/>
          <w:highlight w:val="none"/>
        </w:rPr>
        <w:t>Input Processing and Grammar Instruction in Second Language Acquisition</w:t>
      </w:r>
      <w:r>
        <w:rPr>
          <w:rFonts w:hint="default" w:ascii="Times New Roman" w:hAnsi="Times New Roman" w:cs="Times New Roman"/>
          <w:b w:val="0"/>
          <w:bCs w:val="0"/>
          <w:color w:val="auto"/>
          <w:highlight w:val="none"/>
        </w:rPr>
        <w:t>. Dordrecht: Kluwer Academic Publishers.</w:t>
      </w:r>
    </w:p>
    <w:p w14:paraId="7EC06043">
      <w:pPr>
        <w:pStyle w:val="7"/>
        <w:keepNext w:val="0"/>
        <w:keepLines w:val="0"/>
        <w:widowControl/>
        <w:suppressLineNumbers w:val="0"/>
        <w:spacing w:before="0" w:beforeAutospacing="1" w:after="0" w:afterAutospacing="1"/>
        <w:ind w:left="0" w:right="0" w:firstLine="480" w:firstLineChars="20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highlight w:val="none"/>
        </w:rPr>
        <w:t xml:space="preserve">Yorio, C. (1986) 'Consumerism in second language learning and teaching', </w:t>
      </w:r>
      <w:r>
        <w:rPr>
          <w:rStyle w:val="11"/>
          <w:rFonts w:hint="default" w:ascii="Times New Roman" w:hAnsi="Times New Roman" w:cs="Times New Roman"/>
          <w:b w:val="0"/>
          <w:bCs w:val="0"/>
          <w:color w:val="auto"/>
          <w:highlight w:val="none"/>
        </w:rPr>
        <w:t>Canadian Modern Language Review</w:t>
      </w:r>
      <w:r>
        <w:rPr>
          <w:rFonts w:hint="default" w:ascii="Times New Roman" w:hAnsi="Times New Roman" w:cs="Times New Roman"/>
          <w:b w:val="0"/>
          <w:bCs w:val="0"/>
          <w:color w:val="auto"/>
          <w:highlight w:val="none"/>
        </w:rPr>
        <w:t>, 42(3), pp. 668-687.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Calibri Light">
    <w:panose1 w:val="020F0302020204030204"/>
    <w:charset w:val="00"/>
    <w:family w:val="auto"/>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C3A4B6"/>
    <w:multiLevelType w:val="multilevel"/>
    <w:tmpl w:val="35C3A4B6"/>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B60334"/>
    <w:rsid w:val="007A461A"/>
    <w:rsid w:val="025F082C"/>
    <w:rsid w:val="02AE1145"/>
    <w:rsid w:val="03E1775F"/>
    <w:rsid w:val="06834EA5"/>
    <w:rsid w:val="094E7C8D"/>
    <w:rsid w:val="0B7B7D63"/>
    <w:rsid w:val="0BEC19F4"/>
    <w:rsid w:val="0C7968A4"/>
    <w:rsid w:val="0CEE31B2"/>
    <w:rsid w:val="0D6613E9"/>
    <w:rsid w:val="0DC962DA"/>
    <w:rsid w:val="0DF77E44"/>
    <w:rsid w:val="0E8A2099"/>
    <w:rsid w:val="0F9F3270"/>
    <w:rsid w:val="10985E89"/>
    <w:rsid w:val="123509CF"/>
    <w:rsid w:val="13A84DC3"/>
    <w:rsid w:val="15F93D80"/>
    <w:rsid w:val="17FA22A3"/>
    <w:rsid w:val="1A8A3DEE"/>
    <w:rsid w:val="1B031AF6"/>
    <w:rsid w:val="1B587556"/>
    <w:rsid w:val="1C386ED5"/>
    <w:rsid w:val="1DE02A23"/>
    <w:rsid w:val="1E567219"/>
    <w:rsid w:val="20AC2D10"/>
    <w:rsid w:val="20F326ED"/>
    <w:rsid w:val="21D320C6"/>
    <w:rsid w:val="23393D76"/>
    <w:rsid w:val="23EA7BEC"/>
    <w:rsid w:val="24160E44"/>
    <w:rsid w:val="245513DF"/>
    <w:rsid w:val="248A15BB"/>
    <w:rsid w:val="25162E4E"/>
    <w:rsid w:val="25AC1571"/>
    <w:rsid w:val="26F1274B"/>
    <w:rsid w:val="29883E2B"/>
    <w:rsid w:val="2ABA15A2"/>
    <w:rsid w:val="2BCE7D74"/>
    <w:rsid w:val="2D3F1317"/>
    <w:rsid w:val="2F205AED"/>
    <w:rsid w:val="32B117DC"/>
    <w:rsid w:val="356C7919"/>
    <w:rsid w:val="37492C0F"/>
    <w:rsid w:val="37626034"/>
    <w:rsid w:val="38802FEB"/>
    <w:rsid w:val="389205E6"/>
    <w:rsid w:val="3ACE7439"/>
    <w:rsid w:val="3CF02399"/>
    <w:rsid w:val="3DE149A8"/>
    <w:rsid w:val="3DFA28F6"/>
    <w:rsid w:val="40BC6D22"/>
    <w:rsid w:val="42501C0B"/>
    <w:rsid w:val="429513FF"/>
    <w:rsid w:val="429733C9"/>
    <w:rsid w:val="46361288"/>
    <w:rsid w:val="464E1FF0"/>
    <w:rsid w:val="466F3C41"/>
    <w:rsid w:val="46971BE9"/>
    <w:rsid w:val="471F663E"/>
    <w:rsid w:val="4817505D"/>
    <w:rsid w:val="497C2CDC"/>
    <w:rsid w:val="4A18309E"/>
    <w:rsid w:val="4A1A3E18"/>
    <w:rsid w:val="4AB12B4E"/>
    <w:rsid w:val="4B0906E5"/>
    <w:rsid w:val="4B3842B4"/>
    <w:rsid w:val="4B972C1A"/>
    <w:rsid w:val="4BB51B23"/>
    <w:rsid w:val="4D13189E"/>
    <w:rsid w:val="511D7C31"/>
    <w:rsid w:val="51231F3E"/>
    <w:rsid w:val="51934A87"/>
    <w:rsid w:val="51C71BE5"/>
    <w:rsid w:val="53426A39"/>
    <w:rsid w:val="539F5A81"/>
    <w:rsid w:val="55117E64"/>
    <w:rsid w:val="58233789"/>
    <w:rsid w:val="5960040B"/>
    <w:rsid w:val="5A5A71B8"/>
    <w:rsid w:val="5ADB326C"/>
    <w:rsid w:val="5B7F45A2"/>
    <w:rsid w:val="5C05719D"/>
    <w:rsid w:val="5C846D00"/>
    <w:rsid w:val="5CE312A0"/>
    <w:rsid w:val="5CE426EA"/>
    <w:rsid w:val="5E3F358C"/>
    <w:rsid w:val="5E4044BD"/>
    <w:rsid w:val="5EBC37C6"/>
    <w:rsid w:val="5F0F7374"/>
    <w:rsid w:val="618609FB"/>
    <w:rsid w:val="61882403"/>
    <w:rsid w:val="645A5E3E"/>
    <w:rsid w:val="64FB6B2D"/>
    <w:rsid w:val="65B60334"/>
    <w:rsid w:val="67155949"/>
    <w:rsid w:val="682A734C"/>
    <w:rsid w:val="68E343C2"/>
    <w:rsid w:val="6C2B1798"/>
    <w:rsid w:val="6DB63E2B"/>
    <w:rsid w:val="6EAF5FD2"/>
    <w:rsid w:val="738125AB"/>
    <w:rsid w:val="73FA64D3"/>
    <w:rsid w:val="779C40BA"/>
    <w:rsid w:val="77C204CF"/>
    <w:rsid w:val="796C6AFF"/>
    <w:rsid w:val="7ED62A4E"/>
    <w:rsid w:val="7EDD50C4"/>
    <w:rsid w:val="7F5B48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7"/>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unhideWhenUsed/>
    <w:qFormat/>
    <w:uiPriority w:val="99"/>
    <w:pPr>
      <w:jc w:val="left"/>
    </w:pPr>
  </w:style>
  <w:style w:type="paragraph" w:styleId="6">
    <w:name w:val="footer"/>
    <w:basedOn w:val="1"/>
    <w:unhideWhenUsed/>
    <w:qFormat/>
    <w:uiPriority w:val="99"/>
    <w:pPr>
      <w:tabs>
        <w:tab w:val="center" w:pos="4513"/>
        <w:tab w:val="right" w:pos="9026"/>
      </w:tabs>
      <w:spacing w:after="0" w:line="240" w:lineRule="auto"/>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Emphasis"/>
    <w:basedOn w:val="9"/>
    <w:qFormat/>
    <w:uiPriority w:val="0"/>
    <w:rPr>
      <w:i/>
    </w:rPr>
  </w:style>
  <w:style w:type="character" w:styleId="12">
    <w:name w:val="Hyperlink"/>
    <w:basedOn w:val="9"/>
    <w:unhideWhenUsed/>
    <w:qFormat/>
    <w:uiPriority w:val="99"/>
    <w:rPr>
      <w:color w:val="0000FF"/>
      <w:u w:val="single"/>
    </w:rPr>
  </w:style>
  <w:style w:type="paragraph" w:customStyle="1" w:styleId="13">
    <w:name w:val="OmniPage #1"/>
    <w:basedOn w:val="1"/>
    <w:qFormat/>
    <w:uiPriority w:val="0"/>
  </w:style>
  <w:style w:type="paragraph" w:customStyle="1" w:styleId="14">
    <w:name w:val="OmniPage #6"/>
    <w:basedOn w:val="1"/>
    <w:qFormat/>
    <w:uiPriority w:val="0"/>
  </w:style>
  <w:style w:type="paragraph" w:customStyle="1" w:styleId="15">
    <w:name w:val="OmniPage #4"/>
    <w:basedOn w:val="1"/>
    <w:qFormat/>
    <w:uiPriority w:val="0"/>
  </w:style>
  <w:style w:type="paragraph" w:customStyle="1" w:styleId="16">
    <w:name w:val="OmniPage #2"/>
    <w:basedOn w:val="1"/>
    <w:qFormat/>
    <w:uiPriority w:val="0"/>
  </w:style>
  <w:style w:type="character" w:customStyle="1" w:styleId="17">
    <w:name w:val="标题 1 Char"/>
    <w:link w:val="2"/>
    <w:uiPriority w:val="0"/>
    <w:rPr>
      <w:rFonts w:hint="eastAsia" w:ascii="宋体" w:hAnsi="宋体" w:eastAsia="宋体" w:cs="宋体"/>
      <w:b/>
      <w:bCs/>
      <w:kern w:val="44"/>
      <w:sz w:val="48"/>
      <w:szCs w:val="48"/>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4417</Words>
  <Characters>10507</Characters>
  <Lines>0</Lines>
  <Paragraphs>0</Paragraphs>
  <TotalTime>10</TotalTime>
  <ScaleCrop>false</ScaleCrop>
  <LinksUpToDate>false</LinksUpToDate>
  <CharactersWithSpaces>11603</CharactersWithSpaces>
  <Application>WPS Office_12.1.0.20754_F1E327BC-269C-435d-A152-05C5408002CA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2025-03-22T19:12:00Z</dcterms:created>
  <dc:creator>Chérie</dc:creator>
  <cp:lastModifiedBy>Chérie</cp:lastModifiedBy>
  <dcterms:modified xsi:type="dcterms:W3CDTF">2025-03-25T18:46:50Z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2052-12.1.0.20754</vt:lpwstr>
  </property>
  <property fmtid="{D5CDD505-2E9C-101B-9397-08002B2CF9AE}" pid="3" name="ICV">
    <vt:lpwstr>55E6A716FF7546B59EDCF21D663F8020_13</vt:lpwstr>
  </property>
  <property fmtid="{D5CDD505-2E9C-101B-9397-08002B2CF9AE}" pid="4" name="KSOTemplateDocerSaveRecord">
    <vt:lpwstr>eyJoZGlkIjoiMzBiMTJjNjliNDk4NmY0NzE0NjJhNGU0OGFjOWU3ZTciLCJ1c2VySWQiOiIyMDA2NjgzNjEifQ==</vt:lpwstr>
  </property>
</Properties>
</file>