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FB96D" w14:textId="704FDE72" w:rsidR="000B743B" w:rsidRDefault="00083D19" w:rsidP="00E515C1">
      <w:pPr>
        <w:spacing w:line="360" w:lineRule="auto"/>
        <w:jc w:val="center"/>
        <w:rPr>
          <w:rFonts w:asciiTheme="minorBidi" w:hAnsiTheme="minorBidi"/>
          <w:b/>
          <w:bCs/>
          <w:sz w:val="32"/>
          <w:szCs w:val="32"/>
          <w:lang w:val="en-GB"/>
        </w:rPr>
      </w:pPr>
      <w:r>
        <w:rPr>
          <w:rFonts w:asciiTheme="minorBidi" w:hAnsiTheme="minorBidi"/>
          <w:b/>
          <w:bCs/>
          <w:sz w:val="32"/>
          <w:szCs w:val="32"/>
          <w:lang w:val="en-GB"/>
        </w:rPr>
        <w:t>Name: Aatiqa Rehmani</w:t>
      </w:r>
    </w:p>
    <w:p w14:paraId="31F1238F" w14:textId="09952B5C" w:rsidR="00083D19" w:rsidRPr="00E515C1" w:rsidRDefault="00083D19" w:rsidP="00E515C1">
      <w:pPr>
        <w:spacing w:line="360" w:lineRule="auto"/>
        <w:jc w:val="center"/>
        <w:rPr>
          <w:rFonts w:asciiTheme="minorBidi" w:hAnsiTheme="minorBidi"/>
          <w:b/>
          <w:bCs/>
          <w:sz w:val="32"/>
          <w:szCs w:val="32"/>
          <w:lang w:val="en-GB"/>
        </w:rPr>
      </w:pPr>
      <w:r>
        <w:rPr>
          <w:rFonts w:asciiTheme="minorBidi" w:hAnsiTheme="minorBidi"/>
          <w:b/>
          <w:bCs/>
          <w:sz w:val="32"/>
          <w:szCs w:val="32"/>
          <w:lang w:val="en-GB"/>
        </w:rPr>
        <w:t>Student Number: 2522836</w:t>
      </w:r>
    </w:p>
    <w:p w14:paraId="03819292" w14:textId="1CE0A2B7" w:rsidR="00083D19" w:rsidRDefault="00083D19" w:rsidP="00083D19">
      <w:pPr>
        <w:spacing w:line="360" w:lineRule="auto"/>
        <w:jc w:val="center"/>
        <w:rPr>
          <w:rFonts w:asciiTheme="minorBidi" w:hAnsiTheme="minorBidi"/>
          <w:b/>
          <w:bCs/>
          <w:sz w:val="32"/>
          <w:szCs w:val="32"/>
          <w:lang w:val="en-GB"/>
        </w:rPr>
      </w:pPr>
      <w:r>
        <w:rPr>
          <w:rFonts w:asciiTheme="minorBidi" w:hAnsiTheme="minorBidi"/>
          <w:b/>
          <w:bCs/>
          <w:sz w:val="32"/>
          <w:szCs w:val="32"/>
          <w:lang w:val="en-GB"/>
        </w:rPr>
        <w:t xml:space="preserve">Module code And Title: LCHS4008 Introduction to Public Health </w:t>
      </w:r>
      <w:r w:rsidR="008054BE" w:rsidRPr="00E515C1">
        <w:rPr>
          <w:rFonts w:asciiTheme="minorBidi" w:hAnsiTheme="minorBidi"/>
          <w:b/>
          <w:bCs/>
          <w:sz w:val="32"/>
          <w:szCs w:val="32"/>
          <w:lang w:val="en-GB"/>
        </w:rPr>
        <w:t>Component 2</w:t>
      </w:r>
    </w:p>
    <w:p w14:paraId="4F1BA064" w14:textId="3746E923" w:rsidR="00083D19" w:rsidRPr="00E515C1" w:rsidRDefault="00083D19" w:rsidP="00083D19">
      <w:pPr>
        <w:spacing w:line="360" w:lineRule="auto"/>
        <w:jc w:val="center"/>
        <w:rPr>
          <w:rFonts w:asciiTheme="minorBidi" w:hAnsiTheme="minorBidi"/>
          <w:b/>
          <w:bCs/>
          <w:sz w:val="32"/>
          <w:szCs w:val="32"/>
          <w:lang w:val="en-GB"/>
        </w:rPr>
      </w:pPr>
      <w:r>
        <w:rPr>
          <w:rFonts w:asciiTheme="minorBidi" w:hAnsiTheme="minorBidi"/>
          <w:b/>
          <w:bCs/>
          <w:sz w:val="32"/>
          <w:szCs w:val="32"/>
          <w:lang w:val="en-GB"/>
        </w:rPr>
        <w:t>Lecture Name: Debra Odeh</w:t>
      </w:r>
    </w:p>
    <w:p w14:paraId="21368A73" w14:textId="687BBBF4" w:rsidR="008054BE" w:rsidRPr="00E515C1" w:rsidRDefault="008054BE" w:rsidP="00E515C1">
      <w:pPr>
        <w:spacing w:line="360" w:lineRule="auto"/>
        <w:jc w:val="center"/>
        <w:rPr>
          <w:rFonts w:asciiTheme="minorBidi" w:hAnsiTheme="minorBidi"/>
          <w:b/>
          <w:bCs/>
          <w:sz w:val="32"/>
          <w:szCs w:val="32"/>
        </w:rPr>
      </w:pPr>
      <w:r w:rsidRPr="00E515C1">
        <w:rPr>
          <w:rFonts w:asciiTheme="minorBidi" w:hAnsiTheme="minorBidi"/>
          <w:b/>
          <w:bCs/>
          <w:sz w:val="32"/>
          <w:szCs w:val="32"/>
        </w:rPr>
        <w:t>TASK 2 – Written Report</w:t>
      </w:r>
    </w:p>
    <w:p w14:paraId="703DE55A" w14:textId="44142B72" w:rsidR="008054BE" w:rsidRPr="00E515C1" w:rsidRDefault="008054BE" w:rsidP="00E515C1">
      <w:pPr>
        <w:spacing w:line="360" w:lineRule="auto"/>
        <w:jc w:val="center"/>
        <w:rPr>
          <w:rFonts w:asciiTheme="minorBidi" w:hAnsiTheme="minorBidi"/>
          <w:b/>
          <w:bCs/>
          <w:sz w:val="32"/>
          <w:szCs w:val="32"/>
          <w:lang w:val="en-GB"/>
        </w:rPr>
      </w:pPr>
      <w:r w:rsidRPr="00E515C1">
        <w:rPr>
          <w:rFonts w:asciiTheme="minorBidi" w:eastAsia="Times New Roman" w:hAnsiTheme="minorBidi"/>
          <w:b/>
          <w:bCs/>
          <w:kern w:val="0"/>
          <w:sz w:val="32"/>
          <w:szCs w:val="32"/>
          <w:lang w:eastAsia="en-GB"/>
          <w14:ligatures w14:val="none"/>
        </w:rPr>
        <w:t>Type 1 diabetes</w:t>
      </w:r>
    </w:p>
    <w:p w14:paraId="490EAE76" w14:textId="77777777" w:rsidR="00A00EE4" w:rsidRPr="00E515C1" w:rsidRDefault="00A00EE4" w:rsidP="00E515C1">
      <w:pPr>
        <w:spacing w:line="360" w:lineRule="auto"/>
        <w:jc w:val="both"/>
        <w:rPr>
          <w:rFonts w:asciiTheme="minorBidi" w:hAnsiTheme="minorBidi"/>
          <w:sz w:val="22"/>
          <w:szCs w:val="22"/>
          <w:lang w:val="en-GB"/>
        </w:rPr>
      </w:pPr>
    </w:p>
    <w:p w14:paraId="0496BE78" w14:textId="77777777" w:rsidR="00A00EE4" w:rsidRDefault="00A00EE4" w:rsidP="00E515C1">
      <w:pPr>
        <w:spacing w:line="360" w:lineRule="auto"/>
        <w:jc w:val="both"/>
        <w:rPr>
          <w:rFonts w:asciiTheme="minorBidi" w:hAnsiTheme="minorBidi"/>
          <w:sz w:val="22"/>
          <w:szCs w:val="22"/>
          <w:lang w:val="en-GB"/>
        </w:rPr>
      </w:pPr>
    </w:p>
    <w:p w14:paraId="63867AC0" w14:textId="77777777" w:rsidR="00E515C1" w:rsidRDefault="00E515C1" w:rsidP="00E515C1">
      <w:pPr>
        <w:spacing w:line="360" w:lineRule="auto"/>
        <w:jc w:val="both"/>
        <w:rPr>
          <w:rFonts w:asciiTheme="minorBidi" w:hAnsiTheme="minorBidi"/>
          <w:sz w:val="22"/>
          <w:szCs w:val="22"/>
          <w:lang w:val="en-GB"/>
        </w:rPr>
      </w:pPr>
    </w:p>
    <w:p w14:paraId="1BC5C589" w14:textId="77777777" w:rsidR="00E515C1" w:rsidRDefault="00E515C1" w:rsidP="00E515C1">
      <w:pPr>
        <w:spacing w:line="360" w:lineRule="auto"/>
        <w:jc w:val="both"/>
        <w:rPr>
          <w:rFonts w:asciiTheme="minorBidi" w:hAnsiTheme="minorBidi"/>
          <w:sz w:val="22"/>
          <w:szCs w:val="22"/>
          <w:lang w:val="en-GB"/>
        </w:rPr>
      </w:pPr>
    </w:p>
    <w:p w14:paraId="32EAE44E" w14:textId="77777777" w:rsidR="00E515C1" w:rsidRDefault="00E515C1" w:rsidP="00E515C1">
      <w:pPr>
        <w:spacing w:line="360" w:lineRule="auto"/>
        <w:jc w:val="both"/>
        <w:rPr>
          <w:rFonts w:asciiTheme="minorBidi" w:hAnsiTheme="minorBidi"/>
          <w:sz w:val="22"/>
          <w:szCs w:val="22"/>
          <w:lang w:val="en-GB"/>
        </w:rPr>
      </w:pPr>
    </w:p>
    <w:p w14:paraId="194609FF" w14:textId="77777777" w:rsidR="00E515C1" w:rsidRDefault="00E515C1" w:rsidP="00E515C1">
      <w:pPr>
        <w:spacing w:line="360" w:lineRule="auto"/>
        <w:jc w:val="both"/>
        <w:rPr>
          <w:rFonts w:asciiTheme="minorBidi" w:hAnsiTheme="minorBidi"/>
          <w:sz w:val="22"/>
          <w:szCs w:val="22"/>
          <w:lang w:val="en-GB"/>
        </w:rPr>
      </w:pPr>
    </w:p>
    <w:p w14:paraId="4EEE3D35" w14:textId="77777777" w:rsidR="00E515C1" w:rsidRDefault="00E515C1" w:rsidP="00E515C1">
      <w:pPr>
        <w:spacing w:line="360" w:lineRule="auto"/>
        <w:jc w:val="both"/>
        <w:rPr>
          <w:rFonts w:asciiTheme="minorBidi" w:hAnsiTheme="minorBidi"/>
          <w:sz w:val="22"/>
          <w:szCs w:val="22"/>
          <w:lang w:val="en-GB"/>
        </w:rPr>
      </w:pPr>
    </w:p>
    <w:p w14:paraId="66C5CF2A" w14:textId="77777777" w:rsidR="00E515C1" w:rsidRDefault="00E515C1" w:rsidP="00E515C1">
      <w:pPr>
        <w:spacing w:line="360" w:lineRule="auto"/>
        <w:jc w:val="both"/>
        <w:rPr>
          <w:rFonts w:asciiTheme="minorBidi" w:hAnsiTheme="minorBidi"/>
          <w:sz w:val="22"/>
          <w:szCs w:val="22"/>
          <w:lang w:val="en-GB"/>
        </w:rPr>
      </w:pPr>
    </w:p>
    <w:p w14:paraId="7848DED9" w14:textId="77777777" w:rsidR="00E515C1" w:rsidRDefault="00E515C1" w:rsidP="00E515C1">
      <w:pPr>
        <w:spacing w:line="360" w:lineRule="auto"/>
        <w:jc w:val="both"/>
        <w:rPr>
          <w:rFonts w:asciiTheme="minorBidi" w:hAnsiTheme="minorBidi"/>
          <w:sz w:val="22"/>
          <w:szCs w:val="22"/>
          <w:lang w:val="en-GB"/>
        </w:rPr>
      </w:pPr>
    </w:p>
    <w:p w14:paraId="1C7FFDDD" w14:textId="77777777" w:rsidR="00E515C1" w:rsidRDefault="00E515C1" w:rsidP="00E515C1">
      <w:pPr>
        <w:spacing w:line="360" w:lineRule="auto"/>
        <w:jc w:val="both"/>
        <w:rPr>
          <w:rFonts w:asciiTheme="minorBidi" w:hAnsiTheme="minorBidi"/>
          <w:sz w:val="22"/>
          <w:szCs w:val="22"/>
          <w:lang w:val="en-GB"/>
        </w:rPr>
      </w:pPr>
    </w:p>
    <w:p w14:paraId="6985F7B9" w14:textId="77777777" w:rsidR="00E515C1" w:rsidRDefault="00E515C1" w:rsidP="00E515C1">
      <w:pPr>
        <w:spacing w:line="360" w:lineRule="auto"/>
        <w:jc w:val="both"/>
        <w:rPr>
          <w:rFonts w:asciiTheme="minorBidi" w:hAnsiTheme="minorBidi"/>
          <w:sz w:val="22"/>
          <w:szCs w:val="22"/>
          <w:lang w:val="en-GB"/>
        </w:rPr>
      </w:pPr>
    </w:p>
    <w:p w14:paraId="0EFEB0C9" w14:textId="77777777" w:rsidR="00E515C1" w:rsidRDefault="00E515C1" w:rsidP="00E515C1">
      <w:pPr>
        <w:spacing w:line="360" w:lineRule="auto"/>
        <w:jc w:val="both"/>
        <w:rPr>
          <w:rFonts w:asciiTheme="minorBidi" w:hAnsiTheme="minorBidi"/>
          <w:sz w:val="22"/>
          <w:szCs w:val="22"/>
          <w:lang w:val="en-GB"/>
        </w:rPr>
      </w:pPr>
    </w:p>
    <w:p w14:paraId="73800B45" w14:textId="77777777" w:rsidR="00E515C1" w:rsidRDefault="00E515C1" w:rsidP="00E515C1">
      <w:pPr>
        <w:spacing w:line="360" w:lineRule="auto"/>
        <w:jc w:val="both"/>
        <w:rPr>
          <w:rFonts w:asciiTheme="minorBidi" w:hAnsiTheme="minorBidi"/>
          <w:sz w:val="22"/>
          <w:szCs w:val="22"/>
          <w:lang w:val="en-GB"/>
        </w:rPr>
      </w:pPr>
    </w:p>
    <w:p w14:paraId="558DED8A" w14:textId="77777777" w:rsidR="00E515C1" w:rsidRDefault="00E515C1" w:rsidP="00E515C1">
      <w:pPr>
        <w:spacing w:line="360" w:lineRule="auto"/>
        <w:jc w:val="both"/>
        <w:rPr>
          <w:rFonts w:asciiTheme="minorBidi" w:hAnsiTheme="minorBidi"/>
          <w:sz w:val="22"/>
          <w:szCs w:val="22"/>
          <w:lang w:val="en-GB"/>
        </w:rPr>
      </w:pPr>
    </w:p>
    <w:p w14:paraId="366AF24C" w14:textId="77777777" w:rsidR="00E515C1" w:rsidRDefault="00E515C1" w:rsidP="00E515C1">
      <w:pPr>
        <w:spacing w:line="360" w:lineRule="auto"/>
        <w:jc w:val="both"/>
        <w:rPr>
          <w:rFonts w:asciiTheme="minorBidi" w:hAnsiTheme="minorBidi"/>
          <w:sz w:val="22"/>
          <w:szCs w:val="22"/>
          <w:lang w:val="en-GB"/>
        </w:rPr>
      </w:pPr>
    </w:p>
    <w:p w14:paraId="4540BF1E" w14:textId="77777777" w:rsidR="00E515C1" w:rsidRDefault="00E515C1" w:rsidP="00E515C1">
      <w:pPr>
        <w:spacing w:line="360" w:lineRule="auto"/>
        <w:jc w:val="both"/>
        <w:rPr>
          <w:rFonts w:asciiTheme="minorBidi" w:hAnsiTheme="minorBidi"/>
          <w:sz w:val="22"/>
          <w:szCs w:val="22"/>
          <w:lang w:val="en-GB"/>
        </w:rPr>
      </w:pPr>
    </w:p>
    <w:p w14:paraId="31FD2C38" w14:textId="77777777" w:rsidR="00E515C1" w:rsidRDefault="00E515C1" w:rsidP="00E515C1">
      <w:pPr>
        <w:spacing w:line="360" w:lineRule="auto"/>
        <w:jc w:val="both"/>
        <w:rPr>
          <w:rFonts w:asciiTheme="minorBidi" w:hAnsiTheme="minorBidi"/>
          <w:sz w:val="22"/>
          <w:szCs w:val="22"/>
          <w:lang w:val="en-GB"/>
        </w:rPr>
      </w:pPr>
    </w:p>
    <w:p w14:paraId="16B8C972" w14:textId="77777777" w:rsidR="00E515C1" w:rsidRDefault="00E515C1" w:rsidP="00E515C1">
      <w:pPr>
        <w:spacing w:line="360" w:lineRule="auto"/>
        <w:jc w:val="both"/>
        <w:rPr>
          <w:rFonts w:asciiTheme="minorBidi" w:hAnsiTheme="minorBidi"/>
          <w:sz w:val="22"/>
          <w:szCs w:val="22"/>
          <w:lang w:val="en-GB"/>
        </w:rPr>
      </w:pPr>
    </w:p>
    <w:p w14:paraId="1E86EED5" w14:textId="77777777" w:rsidR="00E515C1" w:rsidRDefault="00E515C1" w:rsidP="00E515C1">
      <w:pPr>
        <w:spacing w:line="360" w:lineRule="auto"/>
        <w:jc w:val="both"/>
        <w:rPr>
          <w:rFonts w:asciiTheme="minorBidi" w:hAnsiTheme="minorBidi"/>
          <w:sz w:val="22"/>
          <w:szCs w:val="22"/>
          <w:lang w:val="en-GB"/>
        </w:rPr>
      </w:pPr>
    </w:p>
    <w:p w14:paraId="467D0DAE" w14:textId="77777777" w:rsidR="00E515C1" w:rsidRDefault="00E515C1" w:rsidP="00E515C1">
      <w:pPr>
        <w:spacing w:line="360" w:lineRule="auto"/>
        <w:jc w:val="both"/>
        <w:rPr>
          <w:rFonts w:asciiTheme="minorBidi" w:hAnsiTheme="minorBidi"/>
          <w:sz w:val="22"/>
          <w:szCs w:val="22"/>
          <w:lang w:val="en-GB"/>
        </w:rPr>
      </w:pPr>
    </w:p>
    <w:p w14:paraId="1E3A261C" w14:textId="77777777" w:rsidR="00E515C1" w:rsidRDefault="00E515C1" w:rsidP="00E515C1">
      <w:pPr>
        <w:spacing w:line="360" w:lineRule="auto"/>
        <w:jc w:val="both"/>
        <w:rPr>
          <w:rFonts w:asciiTheme="minorBidi" w:hAnsiTheme="minorBidi"/>
          <w:sz w:val="22"/>
          <w:szCs w:val="22"/>
          <w:lang w:val="en-GB"/>
        </w:rPr>
      </w:pPr>
    </w:p>
    <w:sdt>
      <w:sdtPr>
        <w:rPr>
          <w:rFonts w:asciiTheme="majorBidi" w:eastAsiaTheme="minorHAnsi" w:hAnsiTheme="majorBidi" w:cstheme="minorBidi"/>
          <w:b w:val="0"/>
          <w:bCs w:val="0"/>
          <w:color w:val="auto"/>
          <w:kern w:val="2"/>
          <w:sz w:val="24"/>
          <w:szCs w:val="24"/>
          <w:lang/>
          <w14:ligatures w14:val="standardContextual"/>
        </w:rPr>
        <w:id w:val="-634640630"/>
        <w:docPartObj>
          <w:docPartGallery w:val="Table of Contents"/>
          <w:docPartUnique/>
        </w:docPartObj>
      </w:sdtPr>
      <w:sdtEndPr>
        <w:rPr>
          <w:noProof/>
        </w:rPr>
      </w:sdtEndPr>
      <w:sdtContent>
        <w:p w14:paraId="5CFE7829" w14:textId="027567A9" w:rsidR="00E515C1" w:rsidRDefault="00E515C1">
          <w:pPr>
            <w:pStyle w:val="TOCHeading"/>
          </w:pPr>
          <w:r>
            <w:t>Table of Contents</w:t>
          </w:r>
        </w:p>
        <w:p w14:paraId="06BFACEF" w14:textId="25D25B0E" w:rsidR="00E515C1" w:rsidRDefault="00E515C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552243" w:history="1">
            <w:r w:rsidRPr="005F5645">
              <w:rPr>
                <w:rStyle w:val="Hyperlink"/>
                <w:rFonts w:asciiTheme="minorBidi" w:eastAsia="Times New Roman" w:hAnsiTheme="minorBidi"/>
                <w:noProof/>
                <w:lang w:eastAsia="en-GB"/>
              </w:rPr>
              <w:t>Introduction</w:t>
            </w:r>
            <w:r>
              <w:rPr>
                <w:noProof/>
                <w:webHidden/>
              </w:rPr>
              <w:tab/>
            </w:r>
            <w:r>
              <w:rPr>
                <w:noProof/>
                <w:webHidden/>
              </w:rPr>
              <w:fldChar w:fldCharType="begin"/>
            </w:r>
            <w:r>
              <w:rPr>
                <w:noProof/>
                <w:webHidden/>
              </w:rPr>
              <w:instrText xml:space="preserve"> PAGEREF _Toc235552243 \h </w:instrText>
            </w:r>
            <w:r>
              <w:rPr>
                <w:noProof/>
                <w:webHidden/>
              </w:rPr>
            </w:r>
            <w:r>
              <w:rPr>
                <w:noProof/>
                <w:webHidden/>
              </w:rPr>
              <w:fldChar w:fldCharType="separate"/>
            </w:r>
            <w:r w:rsidR="001B7C90">
              <w:rPr>
                <w:noProof/>
                <w:webHidden/>
              </w:rPr>
              <w:t>3</w:t>
            </w:r>
            <w:r>
              <w:rPr>
                <w:noProof/>
                <w:webHidden/>
              </w:rPr>
              <w:fldChar w:fldCharType="end"/>
            </w:r>
          </w:hyperlink>
        </w:p>
        <w:p w14:paraId="0259FA03" w14:textId="0695EFD1" w:rsidR="00E515C1" w:rsidRDefault="00E515C1">
          <w:pPr>
            <w:pStyle w:val="TOC1"/>
            <w:tabs>
              <w:tab w:val="right" w:leader="dot" w:pos="9016"/>
            </w:tabs>
            <w:rPr>
              <w:noProof/>
            </w:rPr>
          </w:pPr>
          <w:hyperlink w:anchor="_Toc235552244" w:history="1">
            <w:r w:rsidRPr="005F5645">
              <w:rPr>
                <w:rStyle w:val="Hyperlink"/>
                <w:rFonts w:asciiTheme="minorBidi" w:eastAsia="Times New Roman" w:hAnsiTheme="minorBidi"/>
                <w:noProof/>
                <w:lang w:eastAsia="en-GB"/>
              </w:rPr>
              <w:t>Measuring and Monitoring Type 1 Diabetes</w:t>
            </w:r>
            <w:r>
              <w:rPr>
                <w:noProof/>
                <w:webHidden/>
              </w:rPr>
              <w:tab/>
            </w:r>
            <w:r>
              <w:rPr>
                <w:noProof/>
                <w:webHidden/>
              </w:rPr>
              <w:fldChar w:fldCharType="begin"/>
            </w:r>
            <w:r>
              <w:rPr>
                <w:noProof/>
                <w:webHidden/>
              </w:rPr>
              <w:instrText xml:space="preserve"> PAGEREF _Toc235552244 \h </w:instrText>
            </w:r>
            <w:r>
              <w:rPr>
                <w:noProof/>
                <w:webHidden/>
              </w:rPr>
            </w:r>
            <w:r>
              <w:rPr>
                <w:noProof/>
                <w:webHidden/>
              </w:rPr>
              <w:fldChar w:fldCharType="separate"/>
            </w:r>
            <w:r w:rsidR="001B7C90">
              <w:rPr>
                <w:noProof/>
                <w:webHidden/>
              </w:rPr>
              <w:t>4</w:t>
            </w:r>
            <w:r>
              <w:rPr>
                <w:noProof/>
                <w:webHidden/>
              </w:rPr>
              <w:fldChar w:fldCharType="end"/>
            </w:r>
          </w:hyperlink>
        </w:p>
        <w:p w14:paraId="2C0FE385" w14:textId="2F3D8D86" w:rsidR="00E515C1" w:rsidRDefault="00E515C1" w:rsidP="00E515C1">
          <w:pPr>
            <w:pStyle w:val="TOC1"/>
            <w:tabs>
              <w:tab w:val="right" w:leader="dot" w:pos="9016"/>
            </w:tabs>
            <w:rPr>
              <w:noProof/>
            </w:rPr>
          </w:pPr>
          <w:hyperlink w:anchor="_Toc235552245" w:history="1">
            <w:r w:rsidRPr="005F5645">
              <w:rPr>
                <w:rStyle w:val="Hyperlink"/>
                <w:rFonts w:asciiTheme="minorBidi" w:eastAsia="Times New Roman" w:hAnsiTheme="minorBidi"/>
                <w:noProof/>
                <w:lang w:eastAsia="en-GB"/>
              </w:rPr>
              <w:t>Consequences for Individuals, Communities and the NHS</w:t>
            </w:r>
            <w:r>
              <w:rPr>
                <w:noProof/>
                <w:webHidden/>
              </w:rPr>
              <w:tab/>
            </w:r>
            <w:r>
              <w:rPr>
                <w:noProof/>
                <w:webHidden/>
              </w:rPr>
              <w:fldChar w:fldCharType="begin"/>
            </w:r>
            <w:r>
              <w:rPr>
                <w:noProof/>
                <w:webHidden/>
              </w:rPr>
              <w:instrText xml:space="preserve"> PAGEREF _Toc235552245 \h </w:instrText>
            </w:r>
            <w:r>
              <w:rPr>
                <w:noProof/>
                <w:webHidden/>
              </w:rPr>
            </w:r>
            <w:r>
              <w:rPr>
                <w:noProof/>
                <w:webHidden/>
              </w:rPr>
              <w:fldChar w:fldCharType="separate"/>
            </w:r>
            <w:r w:rsidR="001B7C90">
              <w:rPr>
                <w:noProof/>
                <w:webHidden/>
              </w:rPr>
              <w:t>5</w:t>
            </w:r>
            <w:r>
              <w:rPr>
                <w:noProof/>
                <w:webHidden/>
              </w:rPr>
              <w:fldChar w:fldCharType="end"/>
            </w:r>
          </w:hyperlink>
        </w:p>
        <w:p w14:paraId="78982B12" w14:textId="149E6D94" w:rsidR="00E515C1" w:rsidRDefault="00E515C1">
          <w:pPr>
            <w:pStyle w:val="TOC1"/>
            <w:tabs>
              <w:tab w:val="right" w:leader="dot" w:pos="9016"/>
            </w:tabs>
            <w:rPr>
              <w:noProof/>
            </w:rPr>
          </w:pPr>
          <w:hyperlink w:anchor="_Toc235552247" w:history="1">
            <w:r w:rsidRPr="005F5645">
              <w:rPr>
                <w:rStyle w:val="Hyperlink"/>
                <w:rFonts w:asciiTheme="minorBidi" w:eastAsia="Times New Roman" w:hAnsiTheme="minorBidi"/>
                <w:noProof/>
                <w:lang w:eastAsia="en-GB"/>
              </w:rPr>
              <w:t>Control and Management</w:t>
            </w:r>
            <w:r>
              <w:rPr>
                <w:noProof/>
                <w:webHidden/>
              </w:rPr>
              <w:tab/>
            </w:r>
            <w:r>
              <w:rPr>
                <w:noProof/>
                <w:webHidden/>
              </w:rPr>
              <w:fldChar w:fldCharType="begin"/>
            </w:r>
            <w:r>
              <w:rPr>
                <w:noProof/>
                <w:webHidden/>
              </w:rPr>
              <w:instrText xml:space="preserve"> PAGEREF _Toc235552247 \h </w:instrText>
            </w:r>
            <w:r>
              <w:rPr>
                <w:noProof/>
                <w:webHidden/>
              </w:rPr>
            </w:r>
            <w:r>
              <w:rPr>
                <w:noProof/>
                <w:webHidden/>
              </w:rPr>
              <w:fldChar w:fldCharType="separate"/>
            </w:r>
            <w:r w:rsidR="001B7C90">
              <w:rPr>
                <w:noProof/>
                <w:webHidden/>
              </w:rPr>
              <w:t>5</w:t>
            </w:r>
            <w:r>
              <w:rPr>
                <w:noProof/>
                <w:webHidden/>
              </w:rPr>
              <w:fldChar w:fldCharType="end"/>
            </w:r>
          </w:hyperlink>
        </w:p>
        <w:p w14:paraId="00B955DE" w14:textId="1ECDA525" w:rsidR="00E515C1" w:rsidRDefault="00E515C1">
          <w:pPr>
            <w:pStyle w:val="TOC1"/>
            <w:tabs>
              <w:tab w:val="right" w:leader="dot" w:pos="9016"/>
            </w:tabs>
            <w:rPr>
              <w:noProof/>
            </w:rPr>
          </w:pPr>
          <w:hyperlink w:anchor="_Toc235552248" w:history="1">
            <w:r w:rsidRPr="005F5645">
              <w:rPr>
                <w:rStyle w:val="Hyperlink"/>
                <w:rFonts w:asciiTheme="minorBidi" w:eastAsia="Times New Roman" w:hAnsiTheme="minorBidi"/>
                <w:noProof/>
                <w:lang w:eastAsia="en-GB"/>
              </w:rPr>
              <w:t>Health and Social Care Support in the Community</w:t>
            </w:r>
            <w:r>
              <w:rPr>
                <w:noProof/>
                <w:webHidden/>
              </w:rPr>
              <w:tab/>
            </w:r>
            <w:r>
              <w:rPr>
                <w:noProof/>
                <w:webHidden/>
              </w:rPr>
              <w:fldChar w:fldCharType="begin"/>
            </w:r>
            <w:r>
              <w:rPr>
                <w:noProof/>
                <w:webHidden/>
              </w:rPr>
              <w:instrText xml:space="preserve"> PAGEREF _Toc235552248 \h </w:instrText>
            </w:r>
            <w:r>
              <w:rPr>
                <w:noProof/>
                <w:webHidden/>
              </w:rPr>
            </w:r>
            <w:r>
              <w:rPr>
                <w:noProof/>
                <w:webHidden/>
              </w:rPr>
              <w:fldChar w:fldCharType="separate"/>
            </w:r>
            <w:r w:rsidR="001B7C90">
              <w:rPr>
                <w:noProof/>
                <w:webHidden/>
              </w:rPr>
              <w:t>6</w:t>
            </w:r>
            <w:r>
              <w:rPr>
                <w:noProof/>
                <w:webHidden/>
              </w:rPr>
              <w:fldChar w:fldCharType="end"/>
            </w:r>
          </w:hyperlink>
        </w:p>
        <w:p w14:paraId="611FD095" w14:textId="45FDFD01" w:rsidR="00E515C1" w:rsidRDefault="00E515C1">
          <w:pPr>
            <w:pStyle w:val="TOC1"/>
            <w:tabs>
              <w:tab w:val="right" w:leader="dot" w:pos="9016"/>
            </w:tabs>
            <w:rPr>
              <w:noProof/>
            </w:rPr>
          </w:pPr>
          <w:hyperlink w:anchor="_Toc235552249" w:history="1">
            <w:r w:rsidRPr="005F5645">
              <w:rPr>
                <w:rStyle w:val="Hyperlink"/>
                <w:rFonts w:asciiTheme="minorBidi" w:eastAsia="Times New Roman" w:hAnsiTheme="minorBidi"/>
                <w:noProof/>
                <w:lang w:eastAsia="en-GB"/>
              </w:rPr>
              <w:t>Conclusion</w:t>
            </w:r>
            <w:r>
              <w:rPr>
                <w:noProof/>
                <w:webHidden/>
              </w:rPr>
              <w:tab/>
            </w:r>
            <w:r>
              <w:rPr>
                <w:noProof/>
                <w:webHidden/>
              </w:rPr>
              <w:fldChar w:fldCharType="begin"/>
            </w:r>
            <w:r>
              <w:rPr>
                <w:noProof/>
                <w:webHidden/>
              </w:rPr>
              <w:instrText xml:space="preserve"> PAGEREF _Toc235552249 \h </w:instrText>
            </w:r>
            <w:r>
              <w:rPr>
                <w:noProof/>
                <w:webHidden/>
              </w:rPr>
            </w:r>
            <w:r>
              <w:rPr>
                <w:noProof/>
                <w:webHidden/>
              </w:rPr>
              <w:fldChar w:fldCharType="separate"/>
            </w:r>
            <w:r w:rsidR="001B7C90">
              <w:rPr>
                <w:noProof/>
                <w:webHidden/>
              </w:rPr>
              <w:t>7</w:t>
            </w:r>
            <w:r>
              <w:rPr>
                <w:noProof/>
                <w:webHidden/>
              </w:rPr>
              <w:fldChar w:fldCharType="end"/>
            </w:r>
          </w:hyperlink>
        </w:p>
        <w:p w14:paraId="1C91C10B" w14:textId="1932F3DB" w:rsidR="00E515C1" w:rsidRDefault="00E515C1">
          <w:pPr>
            <w:pStyle w:val="TOC1"/>
            <w:tabs>
              <w:tab w:val="right" w:leader="dot" w:pos="9016"/>
            </w:tabs>
            <w:rPr>
              <w:noProof/>
            </w:rPr>
          </w:pPr>
          <w:hyperlink w:anchor="_Toc235552250" w:history="1">
            <w:r w:rsidRPr="005F5645">
              <w:rPr>
                <w:rStyle w:val="Hyperlink"/>
                <w:rFonts w:asciiTheme="minorBidi" w:hAnsiTheme="minorBidi"/>
                <w:noProof/>
                <w:lang w:val="en-GB"/>
              </w:rPr>
              <w:t>References</w:t>
            </w:r>
            <w:r>
              <w:rPr>
                <w:noProof/>
                <w:webHidden/>
              </w:rPr>
              <w:tab/>
            </w:r>
            <w:r>
              <w:rPr>
                <w:noProof/>
                <w:webHidden/>
              </w:rPr>
              <w:fldChar w:fldCharType="begin"/>
            </w:r>
            <w:r>
              <w:rPr>
                <w:noProof/>
                <w:webHidden/>
              </w:rPr>
              <w:instrText xml:space="preserve"> PAGEREF _Toc235552250 \h </w:instrText>
            </w:r>
            <w:r>
              <w:rPr>
                <w:noProof/>
                <w:webHidden/>
              </w:rPr>
            </w:r>
            <w:r>
              <w:rPr>
                <w:noProof/>
                <w:webHidden/>
              </w:rPr>
              <w:fldChar w:fldCharType="separate"/>
            </w:r>
            <w:r w:rsidR="001B7C90">
              <w:rPr>
                <w:noProof/>
                <w:webHidden/>
              </w:rPr>
              <w:t>8</w:t>
            </w:r>
            <w:r>
              <w:rPr>
                <w:noProof/>
                <w:webHidden/>
              </w:rPr>
              <w:fldChar w:fldCharType="end"/>
            </w:r>
          </w:hyperlink>
        </w:p>
        <w:p w14:paraId="29549B4E" w14:textId="2243147B" w:rsidR="00E515C1" w:rsidRDefault="00E515C1">
          <w:r>
            <w:rPr>
              <w:b/>
              <w:bCs/>
              <w:noProof/>
            </w:rPr>
            <w:fldChar w:fldCharType="end"/>
          </w:r>
        </w:p>
      </w:sdtContent>
    </w:sdt>
    <w:p w14:paraId="7A7D651D" w14:textId="77777777" w:rsidR="00E515C1" w:rsidRDefault="00E515C1" w:rsidP="00E515C1">
      <w:pPr>
        <w:spacing w:line="360" w:lineRule="auto"/>
        <w:jc w:val="both"/>
        <w:rPr>
          <w:rFonts w:asciiTheme="minorBidi" w:hAnsiTheme="minorBidi"/>
          <w:sz w:val="22"/>
          <w:szCs w:val="22"/>
          <w:lang w:val="en-GB"/>
        </w:rPr>
      </w:pPr>
    </w:p>
    <w:p w14:paraId="17EA80DA" w14:textId="77777777" w:rsidR="00E515C1" w:rsidRDefault="00E515C1" w:rsidP="00E515C1">
      <w:pPr>
        <w:spacing w:line="360" w:lineRule="auto"/>
        <w:jc w:val="both"/>
        <w:rPr>
          <w:rFonts w:asciiTheme="minorBidi" w:hAnsiTheme="minorBidi"/>
          <w:sz w:val="22"/>
          <w:szCs w:val="22"/>
          <w:lang w:val="en-GB"/>
        </w:rPr>
      </w:pPr>
    </w:p>
    <w:p w14:paraId="1DBB8397" w14:textId="77777777" w:rsidR="00E515C1" w:rsidRDefault="00E515C1" w:rsidP="00E515C1">
      <w:pPr>
        <w:spacing w:line="360" w:lineRule="auto"/>
        <w:jc w:val="both"/>
        <w:rPr>
          <w:rFonts w:asciiTheme="minorBidi" w:hAnsiTheme="minorBidi"/>
          <w:sz w:val="22"/>
          <w:szCs w:val="22"/>
          <w:lang w:val="en-GB"/>
        </w:rPr>
      </w:pPr>
    </w:p>
    <w:p w14:paraId="3D37CC72" w14:textId="77777777" w:rsidR="00E515C1" w:rsidRDefault="00E515C1" w:rsidP="00E515C1">
      <w:pPr>
        <w:spacing w:line="360" w:lineRule="auto"/>
        <w:jc w:val="both"/>
        <w:rPr>
          <w:rFonts w:asciiTheme="minorBidi" w:hAnsiTheme="minorBidi"/>
          <w:sz w:val="22"/>
          <w:szCs w:val="22"/>
          <w:lang w:val="en-GB"/>
        </w:rPr>
      </w:pPr>
    </w:p>
    <w:p w14:paraId="59EA702B" w14:textId="77777777" w:rsidR="00E515C1" w:rsidRDefault="00E515C1" w:rsidP="00E515C1">
      <w:pPr>
        <w:spacing w:line="360" w:lineRule="auto"/>
        <w:jc w:val="both"/>
        <w:rPr>
          <w:rFonts w:asciiTheme="minorBidi" w:hAnsiTheme="minorBidi"/>
          <w:sz w:val="22"/>
          <w:szCs w:val="22"/>
          <w:lang w:val="en-GB"/>
        </w:rPr>
      </w:pPr>
    </w:p>
    <w:p w14:paraId="0CC826C0" w14:textId="77777777" w:rsidR="00E515C1" w:rsidRDefault="00E515C1" w:rsidP="00E515C1">
      <w:pPr>
        <w:spacing w:line="360" w:lineRule="auto"/>
        <w:jc w:val="both"/>
        <w:rPr>
          <w:rFonts w:asciiTheme="minorBidi" w:hAnsiTheme="minorBidi"/>
          <w:sz w:val="22"/>
          <w:szCs w:val="22"/>
          <w:lang w:val="en-GB"/>
        </w:rPr>
      </w:pPr>
    </w:p>
    <w:p w14:paraId="467EA2B1" w14:textId="77777777" w:rsidR="00E515C1" w:rsidRDefault="00E515C1" w:rsidP="00E515C1">
      <w:pPr>
        <w:spacing w:line="360" w:lineRule="auto"/>
        <w:jc w:val="both"/>
        <w:rPr>
          <w:rFonts w:asciiTheme="minorBidi" w:hAnsiTheme="minorBidi"/>
          <w:sz w:val="22"/>
          <w:szCs w:val="22"/>
          <w:lang w:val="en-GB"/>
        </w:rPr>
      </w:pPr>
    </w:p>
    <w:p w14:paraId="07E62EE3" w14:textId="77777777" w:rsidR="00E515C1" w:rsidRDefault="00E515C1" w:rsidP="00E515C1">
      <w:pPr>
        <w:spacing w:line="360" w:lineRule="auto"/>
        <w:jc w:val="both"/>
        <w:rPr>
          <w:rFonts w:asciiTheme="minorBidi" w:hAnsiTheme="minorBidi"/>
          <w:sz w:val="22"/>
          <w:szCs w:val="22"/>
          <w:lang w:val="en-GB"/>
        </w:rPr>
      </w:pPr>
    </w:p>
    <w:p w14:paraId="62E93DD9" w14:textId="77777777" w:rsidR="00E515C1" w:rsidRDefault="00E515C1" w:rsidP="00E515C1">
      <w:pPr>
        <w:spacing w:line="360" w:lineRule="auto"/>
        <w:jc w:val="both"/>
        <w:rPr>
          <w:rFonts w:asciiTheme="minorBidi" w:hAnsiTheme="minorBidi"/>
          <w:sz w:val="22"/>
          <w:szCs w:val="22"/>
          <w:lang w:val="en-GB"/>
        </w:rPr>
      </w:pPr>
    </w:p>
    <w:p w14:paraId="6F35670D" w14:textId="77777777" w:rsidR="00E515C1" w:rsidRDefault="00E515C1" w:rsidP="00E515C1">
      <w:pPr>
        <w:spacing w:line="360" w:lineRule="auto"/>
        <w:jc w:val="both"/>
        <w:rPr>
          <w:rFonts w:asciiTheme="minorBidi" w:hAnsiTheme="minorBidi"/>
          <w:sz w:val="22"/>
          <w:szCs w:val="22"/>
          <w:lang w:val="en-GB"/>
        </w:rPr>
      </w:pPr>
    </w:p>
    <w:p w14:paraId="39F13368" w14:textId="77777777" w:rsidR="00E515C1" w:rsidRDefault="00E515C1" w:rsidP="00E515C1">
      <w:pPr>
        <w:spacing w:line="360" w:lineRule="auto"/>
        <w:jc w:val="both"/>
        <w:rPr>
          <w:rFonts w:asciiTheme="minorBidi" w:hAnsiTheme="minorBidi"/>
          <w:sz w:val="22"/>
          <w:szCs w:val="22"/>
          <w:lang w:val="en-GB"/>
        </w:rPr>
      </w:pPr>
    </w:p>
    <w:p w14:paraId="49519693" w14:textId="77777777" w:rsidR="00E515C1" w:rsidRDefault="00E515C1" w:rsidP="00E515C1">
      <w:pPr>
        <w:spacing w:line="360" w:lineRule="auto"/>
        <w:jc w:val="both"/>
        <w:rPr>
          <w:rFonts w:asciiTheme="minorBidi" w:hAnsiTheme="minorBidi"/>
          <w:sz w:val="22"/>
          <w:szCs w:val="22"/>
          <w:lang w:val="en-GB"/>
        </w:rPr>
      </w:pPr>
    </w:p>
    <w:p w14:paraId="5A4DE6B2" w14:textId="77777777" w:rsidR="00E515C1" w:rsidRDefault="00E515C1" w:rsidP="00E515C1">
      <w:pPr>
        <w:spacing w:line="360" w:lineRule="auto"/>
        <w:jc w:val="both"/>
        <w:rPr>
          <w:rFonts w:asciiTheme="minorBidi" w:hAnsiTheme="minorBidi"/>
          <w:sz w:val="22"/>
          <w:szCs w:val="22"/>
          <w:lang w:val="en-GB"/>
        </w:rPr>
      </w:pPr>
    </w:p>
    <w:p w14:paraId="1E0A0F27" w14:textId="77777777" w:rsidR="00E515C1" w:rsidRDefault="00E515C1" w:rsidP="00E515C1">
      <w:pPr>
        <w:spacing w:line="360" w:lineRule="auto"/>
        <w:jc w:val="both"/>
        <w:rPr>
          <w:rFonts w:asciiTheme="minorBidi" w:hAnsiTheme="minorBidi"/>
          <w:sz w:val="22"/>
          <w:szCs w:val="22"/>
          <w:lang w:val="en-GB"/>
        </w:rPr>
      </w:pPr>
    </w:p>
    <w:p w14:paraId="6A36FB2A" w14:textId="77777777" w:rsidR="00E515C1" w:rsidRPr="00E515C1" w:rsidRDefault="00E515C1" w:rsidP="00E515C1">
      <w:pPr>
        <w:spacing w:line="360" w:lineRule="auto"/>
        <w:jc w:val="both"/>
        <w:rPr>
          <w:rFonts w:asciiTheme="minorBidi" w:hAnsiTheme="minorBidi"/>
          <w:sz w:val="22"/>
          <w:szCs w:val="22"/>
          <w:lang w:val="en-GB"/>
        </w:rPr>
      </w:pPr>
    </w:p>
    <w:p w14:paraId="705ACB43" w14:textId="77777777"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0" w:name="_Toc235552243"/>
      <w:r w:rsidRPr="00E515C1">
        <w:rPr>
          <w:rFonts w:asciiTheme="minorBidi" w:eastAsia="Times New Roman" w:hAnsiTheme="minorBidi" w:cstheme="minorBidi"/>
          <w:sz w:val="22"/>
          <w:szCs w:val="22"/>
          <w:lang w:eastAsia="en-GB"/>
        </w:rPr>
        <w:t>Introduction</w:t>
      </w:r>
      <w:bookmarkEnd w:id="0"/>
    </w:p>
    <w:p w14:paraId="6E1F4131" w14:textId="6AF5E6EE" w:rsidR="00AE31FF" w:rsidRPr="00E515C1" w:rsidRDefault="001B204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Type 1 diabetes mellitus is a life-long autoimmune disorder where the body’s immune system attacks the pancreas’ beta cells which secrete insulin. Since insulin is no longer secreted by these beta cells, glucose builds up in the blood leading to high blood sugar levels (Popoviciu et al., 2023); hence, daily intake of insulin is vital for survival. Common symptoms include frequent urination, excessive thirst, fatigue and weight loss without any known cause. The risk factors are mainly related to genetics and autoimmunity, rather than being obese or leading an unhealthy lifestyle </w:t>
      </w:r>
      <w:r w:rsidR="00AE31FF" w:rsidRPr="00E515C1">
        <w:rPr>
          <w:rFonts w:asciiTheme="minorBidi" w:hAnsiTheme="minorBidi"/>
          <w:sz w:val="22"/>
          <w:szCs w:val="22"/>
        </w:rPr>
        <w:t>(Diabetes UK, 2017)</w:t>
      </w:r>
      <w:r w:rsidR="00A00EE4" w:rsidRPr="00E515C1">
        <w:rPr>
          <w:rFonts w:asciiTheme="minorBidi" w:eastAsia="Times New Roman" w:hAnsiTheme="minorBidi"/>
          <w:kern w:val="0"/>
          <w:sz w:val="22"/>
          <w:szCs w:val="22"/>
          <w:lang w:eastAsia="en-GB"/>
          <w14:ligatures w14:val="none"/>
        </w:rPr>
        <w:t xml:space="preserve">. </w:t>
      </w:r>
    </w:p>
    <w:p w14:paraId="7CB64E51" w14:textId="4B1F66FF" w:rsidR="00A40D72" w:rsidRPr="00E515C1" w:rsidRDefault="00891153"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According to the International Diabetes Federation, it is estimated that 9.2 million people worldwide suffer from it, with 1.8 million of them being below the age of 20 (IDF, 2025). The UK has the fourth highest national total, whereas in England there were 284,010 people diagnosed in 2024–25 </w:t>
      </w:r>
      <w:r w:rsidR="00B95C73" w:rsidRPr="00E515C1">
        <w:rPr>
          <w:rFonts w:asciiTheme="minorBidi" w:hAnsiTheme="minorBidi"/>
          <w:sz w:val="22"/>
          <w:szCs w:val="22"/>
        </w:rPr>
        <w:t>(Diabetes UK, 2025)</w:t>
      </w:r>
      <w:r w:rsidR="00A00EE4" w:rsidRPr="00E515C1">
        <w:rPr>
          <w:rFonts w:asciiTheme="minorBidi" w:eastAsia="Times New Roman" w:hAnsiTheme="minorBidi"/>
          <w:kern w:val="0"/>
          <w:sz w:val="22"/>
          <w:szCs w:val="22"/>
          <w:lang w:eastAsia="en-GB"/>
          <w14:ligatures w14:val="none"/>
        </w:rPr>
        <w:t xml:space="preserve">. </w:t>
      </w:r>
    </w:p>
    <w:p w14:paraId="6634AC2B" w14:textId="7231D49C" w:rsidR="00A00EE4" w:rsidRPr="00E515C1" w:rsidRDefault="00A00EE4"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This report examines measurement, surveillance, consequences, control and community support.</w:t>
      </w:r>
    </w:p>
    <w:p w14:paraId="019D8D31" w14:textId="77777777" w:rsidR="00C2073D" w:rsidRPr="00E515C1" w:rsidRDefault="00C2073D" w:rsidP="00E515C1">
      <w:pPr>
        <w:keepNext/>
        <w:spacing w:before="100" w:beforeAutospacing="1" w:after="100" w:afterAutospacing="1" w:line="360" w:lineRule="auto"/>
        <w:jc w:val="center"/>
        <w:rPr>
          <w:rFonts w:asciiTheme="minorBidi" w:hAnsiTheme="minorBidi"/>
          <w:sz w:val="18"/>
          <w:szCs w:val="18"/>
        </w:rPr>
      </w:pPr>
      <w:r w:rsidRPr="00E515C1">
        <w:rPr>
          <w:rFonts w:asciiTheme="minorBidi" w:eastAsia="Times New Roman" w:hAnsiTheme="minorBidi"/>
          <w:noProof/>
          <w:kern w:val="0"/>
          <w:sz w:val="18"/>
          <w:szCs w:val="18"/>
          <w:lang w:eastAsia="en-GB"/>
          <w14:ligatures w14:val="none"/>
        </w:rPr>
        <w:drawing>
          <wp:inline distT="0" distB="0" distL="0" distR="0" wp14:anchorId="5333FC2D" wp14:editId="75DC55A7">
            <wp:extent cx="4944701" cy="3289711"/>
            <wp:effectExtent l="0" t="0" r="0" b="0"/>
            <wp:docPr id="1684668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68444" name=""/>
                    <pic:cNvPicPr/>
                  </pic:nvPicPr>
                  <pic:blipFill>
                    <a:blip r:embed="rId7"/>
                    <a:stretch>
                      <a:fillRect/>
                    </a:stretch>
                  </pic:blipFill>
                  <pic:spPr>
                    <a:xfrm>
                      <a:off x="0" y="0"/>
                      <a:ext cx="4955813" cy="3297104"/>
                    </a:xfrm>
                    <a:prstGeom prst="rect">
                      <a:avLst/>
                    </a:prstGeom>
                  </pic:spPr>
                </pic:pic>
              </a:graphicData>
            </a:graphic>
          </wp:inline>
        </w:drawing>
      </w:r>
    </w:p>
    <w:p w14:paraId="6CD9F40C" w14:textId="70934B03" w:rsidR="00C2073D" w:rsidRPr="00E515C1" w:rsidRDefault="00C2073D" w:rsidP="00E515C1">
      <w:pPr>
        <w:pStyle w:val="Caption"/>
        <w:spacing w:line="360" w:lineRule="auto"/>
        <w:jc w:val="center"/>
        <w:rPr>
          <w:rFonts w:asciiTheme="minorBidi" w:eastAsia="Times New Roman" w:hAnsiTheme="minorBidi"/>
          <w:kern w:val="0"/>
          <w:lang w:eastAsia="en-GB"/>
          <w14:ligatures w14:val="none"/>
        </w:rPr>
      </w:pPr>
      <w:r w:rsidRPr="00E515C1">
        <w:rPr>
          <w:rFonts w:asciiTheme="minorBidi" w:hAnsiTheme="minorBidi"/>
        </w:rPr>
        <w:t xml:space="preserve">Figure </w:t>
      </w:r>
      <w:r w:rsidRPr="00E515C1">
        <w:rPr>
          <w:rFonts w:asciiTheme="minorBidi" w:hAnsiTheme="minorBidi"/>
        </w:rPr>
        <w:fldChar w:fldCharType="begin"/>
      </w:r>
      <w:r w:rsidRPr="00E515C1">
        <w:rPr>
          <w:rFonts w:asciiTheme="minorBidi" w:hAnsiTheme="minorBidi"/>
        </w:rPr>
        <w:instrText xml:space="preserve"> SEQ Figure \* ARABIC </w:instrText>
      </w:r>
      <w:r w:rsidRPr="00E515C1">
        <w:rPr>
          <w:rFonts w:asciiTheme="minorBidi" w:hAnsiTheme="minorBidi"/>
        </w:rPr>
        <w:fldChar w:fldCharType="separate"/>
      </w:r>
      <w:r w:rsidRPr="00E515C1">
        <w:rPr>
          <w:rFonts w:asciiTheme="minorBidi" w:hAnsiTheme="minorBidi"/>
          <w:noProof/>
        </w:rPr>
        <w:t>1</w:t>
      </w:r>
      <w:r w:rsidRPr="00E515C1">
        <w:rPr>
          <w:rFonts w:asciiTheme="minorBidi" w:hAnsiTheme="minorBidi"/>
        </w:rPr>
        <w:fldChar w:fldCharType="end"/>
      </w:r>
      <w:r w:rsidRPr="00E515C1">
        <w:rPr>
          <w:rFonts w:asciiTheme="minorBidi" w:hAnsiTheme="minorBidi"/>
          <w:lang w:val="en-GB"/>
        </w:rPr>
        <w:t>: Percentage of people with diabetes</w:t>
      </w:r>
      <w:r w:rsidR="007844BE" w:rsidRPr="00E515C1">
        <w:rPr>
          <w:rFonts w:asciiTheme="minorBidi" w:hAnsiTheme="minorBidi"/>
          <w:lang w:val="en-GB"/>
        </w:rPr>
        <w:t xml:space="preserve"> </w:t>
      </w:r>
      <w:r w:rsidR="007844BE" w:rsidRPr="00E515C1">
        <w:rPr>
          <w:rFonts w:asciiTheme="minorBidi" w:hAnsiTheme="minorBidi"/>
        </w:rPr>
        <w:t>(Office for Health Improvement &amp; Disparities, 2025)</w:t>
      </w:r>
    </w:p>
    <w:p w14:paraId="0DBDDDF1" w14:textId="77777777"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1" w:name="_Toc235552244"/>
      <w:r w:rsidRPr="00E515C1">
        <w:rPr>
          <w:rFonts w:asciiTheme="minorBidi" w:eastAsia="Times New Roman" w:hAnsiTheme="minorBidi" w:cstheme="minorBidi"/>
          <w:sz w:val="22"/>
          <w:szCs w:val="22"/>
          <w:lang w:eastAsia="en-GB"/>
        </w:rPr>
        <w:lastRenderedPageBreak/>
        <w:t>Measuring and Monitoring Type 1 Diabetes</w:t>
      </w:r>
      <w:bookmarkEnd w:id="1"/>
    </w:p>
    <w:p w14:paraId="47F824BE" w14:textId="40229F16"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Diagnosis of the illness starts with measurement of the condition. An individual exhibiting symptoms will always have capillary blood glucose tested immediately and the findings confirmed using a laboratory plasma glucose test. Ketones in blood or urine will be measured when suspecting DKA. HbA1c shows the average glucose levels over the last two to three months, while autoantibodies and C-peptide assist in determining an ambiguous type of diabetes. This is important since delays can cause DKA and death </w:t>
      </w:r>
      <w:r w:rsidR="00A40D72" w:rsidRPr="00E515C1">
        <w:rPr>
          <w:rFonts w:asciiTheme="minorBidi" w:hAnsiTheme="minorBidi"/>
          <w:sz w:val="22"/>
          <w:szCs w:val="22"/>
        </w:rPr>
        <w:t>(Kahanovitz, Sluss and Russell, 2017)</w:t>
      </w:r>
      <w:r w:rsidR="00A00EE4" w:rsidRPr="00E515C1">
        <w:rPr>
          <w:rFonts w:asciiTheme="minorBidi" w:eastAsia="Times New Roman" w:hAnsiTheme="minorBidi"/>
          <w:kern w:val="0"/>
          <w:sz w:val="22"/>
          <w:szCs w:val="22"/>
          <w:lang w:eastAsia="en-GB"/>
          <w14:ligatures w14:val="none"/>
        </w:rPr>
        <w:t>.</w:t>
      </w:r>
    </w:p>
    <w:p w14:paraId="15A65DB9" w14:textId="763F693F"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After the test results are out, people may use finger prick measurement or CGM, which provides current blood sugar levels, its trend, duration in target ranges, as well as notifications about hypoglycaemia or hyperglycaemia. Regular measurement of HbA1c reflects the level of overall management (Floerchinger, 2024). Clinicians additionally measure severe hypoglycaemia, DKA, insulin therapy, growth, weight, blood pressure, and general well-being. The annual care includes HbA1c, blood pressure, cholesterol, kidneys, urinary albumin, BMI, smoking, and foot examination by NHS </w:t>
      </w:r>
      <w:r w:rsidR="009D5B4D" w:rsidRPr="00E515C1">
        <w:rPr>
          <w:rFonts w:asciiTheme="minorBidi" w:hAnsiTheme="minorBidi"/>
          <w:sz w:val="22"/>
          <w:szCs w:val="22"/>
        </w:rPr>
        <w:t>(NHS UK, 2022)</w:t>
      </w:r>
      <w:r w:rsidR="00A00EE4" w:rsidRPr="00E515C1">
        <w:rPr>
          <w:rFonts w:asciiTheme="minorBidi" w:eastAsia="Times New Roman" w:hAnsiTheme="minorBidi"/>
          <w:kern w:val="0"/>
          <w:sz w:val="22"/>
          <w:szCs w:val="22"/>
          <w:lang w:eastAsia="en-GB"/>
          <w14:ligatures w14:val="none"/>
        </w:rPr>
        <w:t xml:space="preserve">. </w:t>
      </w:r>
    </w:p>
    <w:p w14:paraId="2A664DBD" w14:textId="722B572B"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Population impact can be expressed using incidence, prevalence, mortality, admission to hospital, complications, costs, and quality adjusted life years and disability adjusted life years. Incidence is the number of new cases whereas prevalence is the total number of cases within the population (Conrad et al., 2023). Calculations per 100,000 people allow comparisons between populations and by age group. Information from hospital admission for DKA, hypoglycaemia, and subsequent complications give insight into morbidity and demands on services. Information provided by patient outcomes and experiences provide additional information regarding burden of care, mental health, and access not provided by medical outcomes alone </w:t>
      </w:r>
      <w:r w:rsidR="009853A6" w:rsidRPr="00E515C1">
        <w:rPr>
          <w:rFonts w:asciiTheme="minorBidi" w:hAnsiTheme="minorBidi"/>
          <w:sz w:val="22"/>
          <w:szCs w:val="22"/>
        </w:rPr>
        <w:t xml:space="preserve">(Fenta Limenih </w:t>
      </w:r>
      <w:r w:rsidR="009853A6" w:rsidRPr="00E515C1">
        <w:rPr>
          <w:rFonts w:asciiTheme="minorBidi" w:hAnsiTheme="minorBidi"/>
          <w:i/>
          <w:iCs/>
          <w:sz w:val="22"/>
          <w:szCs w:val="22"/>
        </w:rPr>
        <w:t>et al.</w:t>
      </w:r>
      <w:r w:rsidR="009853A6" w:rsidRPr="00E515C1">
        <w:rPr>
          <w:rFonts w:asciiTheme="minorBidi" w:hAnsiTheme="minorBidi"/>
          <w:sz w:val="22"/>
          <w:szCs w:val="22"/>
        </w:rPr>
        <w:t>, 2025)</w:t>
      </w:r>
      <w:r w:rsidR="00A00EE4" w:rsidRPr="00E515C1">
        <w:rPr>
          <w:rFonts w:asciiTheme="minorBidi" w:eastAsia="Times New Roman" w:hAnsiTheme="minorBidi"/>
          <w:kern w:val="0"/>
          <w:sz w:val="22"/>
          <w:szCs w:val="22"/>
          <w:lang w:eastAsia="en-GB"/>
          <w14:ligatures w14:val="none"/>
        </w:rPr>
        <w:t>.</w:t>
      </w:r>
    </w:p>
    <w:p w14:paraId="31C102BC" w14:textId="71AE2E7D"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The United Kingdom employs clinical audit instead of infection control and reporting of infectious diseases. In 2024-25, only 43% of patients with Type 1 diabetes in England had all eight care processes, while 30.7% had met their glucose, blood pressure, and cholesterol targets in line with the National Diabetes Audit </w:t>
      </w:r>
      <w:r w:rsidR="0008415F" w:rsidRPr="00E515C1">
        <w:rPr>
          <w:rFonts w:asciiTheme="minorBidi" w:hAnsiTheme="minorBidi"/>
          <w:sz w:val="22"/>
          <w:szCs w:val="22"/>
        </w:rPr>
        <w:t>(NHS Digital, 2026)</w:t>
      </w:r>
      <w:r w:rsidR="00A00EE4" w:rsidRPr="00E515C1">
        <w:rPr>
          <w:rFonts w:asciiTheme="minorBidi" w:eastAsia="Times New Roman" w:hAnsiTheme="minorBidi"/>
          <w:kern w:val="0"/>
          <w:sz w:val="22"/>
          <w:szCs w:val="22"/>
          <w:lang w:eastAsia="en-GB"/>
          <w14:ligatures w14:val="none"/>
        </w:rPr>
        <w:t xml:space="preserve">. </w:t>
      </w:r>
      <w:r w:rsidRPr="00E515C1">
        <w:rPr>
          <w:rFonts w:asciiTheme="minorBidi" w:eastAsia="Times New Roman" w:hAnsiTheme="minorBidi"/>
          <w:kern w:val="0"/>
          <w:sz w:val="22"/>
          <w:szCs w:val="22"/>
          <w:lang w:eastAsia="en-GB"/>
          <w14:ligatures w14:val="none"/>
        </w:rPr>
        <w:t xml:space="preserve">The NPDA identified 35,754 children and young people in England and Wales, a 29.2% increase from ten years before. The incidence in children aged 0 to 15 was 28.3 per 100,000 with 3,392 new cases in England, Wales, and Jersey (National Paediatric Diabetes Audit and Royal College of Paediatrics and Child Health, 2024). These audits, together with GPs’ registers, hospital episodes, and mortality statistics, allow for identifying trends, inequalities, and deficiencies. Local groups are able to benchmark results, detect gaps in screening and improvement. </w:t>
      </w:r>
      <w:r w:rsidRPr="00E515C1">
        <w:rPr>
          <w:rFonts w:asciiTheme="minorBidi" w:eastAsia="Times New Roman" w:hAnsiTheme="minorBidi"/>
          <w:kern w:val="0"/>
          <w:sz w:val="22"/>
          <w:szCs w:val="22"/>
          <w:lang w:eastAsia="en-GB"/>
          <w14:ligatures w14:val="none"/>
        </w:rPr>
        <w:lastRenderedPageBreak/>
        <w:t>Participation and coding are important because lack of data may hide access issues or suboptimal outcomes.</w:t>
      </w:r>
    </w:p>
    <w:p w14:paraId="5492AD2E" w14:textId="77777777"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2" w:name="_Toc235552245"/>
      <w:r w:rsidRPr="00E515C1">
        <w:rPr>
          <w:rFonts w:asciiTheme="minorBidi" w:eastAsia="Times New Roman" w:hAnsiTheme="minorBidi" w:cstheme="minorBidi"/>
          <w:sz w:val="22"/>
          <w:szCs w:val="22"/>
          <w:lang w:eastAsia="en-GB"/>
        </w:rPr>
        <w:t>Consequences for Individuals, Communities and the NHS</w:t>
      </w:r>
      <w:bookmarkEnd w:id="2"/>
    </w:p>
    <w:p w14:paraId="1A0A911C" w14:textId="36FD3526"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Type 1 diabetes influences every single day of a patient’s life. There should be a balance between insulin, food intake, physical activities, illness, stress and sleep. An excess of insulin leads to hypoglycemia, confusion, seizures and coma; an insufficiency of insulin may result in hyperglycemia and fatal DKA. Elevated blood glucose levels lead to such conditions as retinopathy, nephropathy, neuropathy, foot problems, heart diseases and stroke (Kahanovitz, Sluss and Russell, 2017). Patients may face such issues as injections’ pain, disrupted sleep, limitations on driving and working, diabetes distress and fear of complications </w:t>
      </w:r>
      <w:r w:rsidR="0008415F" w:rsidRPr="00E515C1">
        <w:rPr>
          <w:rFonts w:asciiTheme="minorBidi" w:hAnsiTheme="minorBidi"/>
          <w:sz w:val="22"/>
          <w:szCs w:val="22"/>
        </w:rPr>
        <w:t xml:space="preserve">(Fenta Limenih </w:t>
      </w:r>
      <w:r w:rsidR="0008415F" w:rsidRPr="00E515C1">
        <w:rPr>
          <w:rFonts w:asciiTheme="minorBidi" w:hAnsiTheme="minorBidi"/>
          <w:i/>
          <w:iCs/>
          <w:sz w:val="22"/>
          <w:szCs w:val="22"/>
        </w:rPr>
        <w:t>et al.</w:t>
      </w:r>
      <w:r w:rsidR="0008415F" w:rsidRPr="00E515C1">
        <w:rPr>
          <w:rFonts w:asciiTheme="minorBidi" w:hAnsiTheme="minorBidi"/>
          <w:sz w:val="22"/>
          <w:szCs w:val="22"/>
        </w:rPr>
        <w:t>, 2025)</w:t>
      </w:r>
      <w:r w:rsidR="00A00EE4" w:rsidRPr="00E515C1">
        <w:rPr>
          <w:rFonts w:asciiTheme="minorBidi" w:eastAsia="Times New Roman" w:hAnsiTheme="minorBidi"/>
          <w:kern w:val="0"/>
          <w:sz w:val="22"/>
          <w:szCs w:val="22"/>
          <w:lang w:eastAsia="en-GB"/>
          <w14:ligatures w14:val="none"/>
        </w:rPr>
        <w:t>.</w:t>
      </w:r>
    </w:p>
    <w:p w14:paraId="226D9905" w14:textId="77B7297A"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Community-level effects of the illness include its impact on education, work, earning and inclusion. It is necessary for school and workplace staff to be aware of the signs of hypoglycaemia and allow glucose testing, injections, food and treatment in case of an emergency. Without the support, children would skip classes and adults would not work, travel or exercise. Lack of access to experts, education and technology because of socio-economic conditions, race, impairment and geographical location would exacerbate inequality among people. Uncontrolled diabetes lowers productivity because of absences and complications as well as unpaid care from family members </w:t>
      </w:r>
      <w:r w:rsidR="000C3B48" w:rsidRPr="00E515C1">
        <w:rPr>
          <w:rFonts w:asciiTheme="minorBidi" w:hAnsiTheme="minorBidi"/>
          <w:sz w:val="22"/>
          <w:szCs w:val="22"/>
        </w:rPr>
        <w:t>(Iqbal and Heller, 2017; Floerchinger, 2024)</w:t>
      </w:r>
      <w:r w:rsidR="00A00EE4" w:rsidRPr="00E515C1">
        <w:rPr>
          <w:rFonts w:asciiTheme="minorBidi" w:eastAsia="Times New Roman" w:hAnsiTheme="minorBidi"/>
          <w:kern w:val="0"/>
          <w:sz w:val="22"/>
          <w:szCs w:val="22"/>
          <w:lang w:eastAsia="en-GB"/>
          <w14:ligatures w14:val="none"/>
        </w:rPr>
        <w:t>.</w:t>
      </w:r>
    </w:p>
    <w:p w14:paraId="080D1C6D" w14:textId="77777777" w:rsidR="00B340FA" w:rsidRPr="00E515C1" w:rsidRDefault="00B340FA" w:rsidP="00E515C1">
      <w:pPr>
        <w:spacing w:before="100" w:beforeAutospacing="1" w:after="100" w:afterAutospacing="1" w:line="360" w:lineRule="auto"/>
        <w:jc w:val="both"/>
        <w:outlineLvl w:val="1"/>
        <w:rPr>
          <w:rFonts w:asciiTheme="minorBidi" w:eastAsia="Times New Roman" w:hAnsiTheme="minorBidi"/>
          <w:kern w:val="0"/>
          <w:sz w:val="22"/>
          <w:szCs w:val="22"/>
          <w:lang w:eastAsia="en-GB"/>
          <w14:ligatures w14:val="none"/>
        </w:rPr>
      </w:pPr>
      <w:bookmarkStart w:id="3" w:name="_Toc235552246"/>
      <w:r w:rsidRPr="00E515C1">
        <w:rPr>
          <w:rFonts w:asciiTheme="minorBidi" w:eastAsia="Times New Roman" w:hAnsiTheme="minorBidi"/>
          <w:kern w:val="0"/>
          <w:sz w:val="22"/>
          <w:szCs w:val="22"/>
          <w:lang w:eastAsia="en-GB"/>
          <w14:ligatures w14:val="none"/>
        </w:rPr>
        <w:t>As for NHS, Type 1 diabetes results in ongoing need for insulin, pumps, CGM sensors, monitoring, and specialist appointments. The need for ambulance and admission arise in cases of severe hypoglycaemia and DKA, with complications involving ophthalmology, nephrology, podiatry, vascular, and cardiology services (NHS, 2024). NHS England (2025) considers cost associated with detection and treatment of diabetes to be £10.7 billion per year, despite being not specific to Type 1 diabetes. Complications account for significant cost and hence make it necessary to prevent them. However, coordination is vital, since lack of it can lead to repeated tests, contradictory opinions, or missing appointments.</w:t>
      </w:r>
      <w:bookmarkEnd w:id="3"/>
    </w:p>
    <w:p w14:paraId="085C67EB" w14:textId="520795DD"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4" w:name="_Toc235552247"/>
      <w:r w:rsidRPr="00E515C1">
        <w:rPr>
          <w:rFonts w:asciiTheme="minorBidi" w:eastAsia="Times New Roman" w:hAnsiTheme="minorBidi" w:cstheme="minorBidi"/>
          <w:sz w:val="22"/>
          <w:szCs w:val="22"/>
          <w:lang w:eastAsia="en-GB"/>
        </w:rPr>
        <w:t>Control and Management</w:t>
      </w:r>
      <w:bookmarkEnd w:id="4"/>
    </w:p>
    <w:p w14:paraId="5C0B6A13" w14:textId="69F5375A"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As it stands, Type 1 diabetes is not preventable by changes in diet, exercise, or weight loss, nor is there a cure. The objective of management is to prevent complications on diagnosis and make living with the disease possible. Campaigns need to educate about the 4Ts, and primary care must be able to diagnose quickly and refer immediately to specialists, glucose monitoring </w:t>
      </w:r>
      <w:r w:rsidRPr="00E515C1">
        <w:rPr>
          <w:rFonts w:asciiTheme="minorBidi" w:eastAsia="Times New Roman" w:hAnsiTheme="minorBidi"/>
          <w:kern w:val="0"/>
          <w:sz w:val="22"/>
          <w:szCs w:val="22"/>
          <w:lang w:eastAsia="en-GB"/>
          <w14:ligatures w14:val="none"/>
        </w:rPr>
        <w:lastRenderedPageBreak/>
        <w:t xml:space="preserve">and testing for ketones for children to prevent DKA. There needs to be an awareness that the disease can affect people of all ages and sizes. Public health action must help to increase insulin and emergency knowledge since time makes it a crisis </w:t>
      </w:r>
      <w:r w:rsidR="00686268" w:rsidRPr="00E515C1">
        <w:rPr>
          <w:rFonts w:asciiTheme="minorBidi" w:hAnsiTheme="minorBidi"/>
          <w:sz w:val="22"/>
          <w:szCs w:val="22"/>
        </w:rPr>
        <w:t xml:space="preserve">(Conrad </w:t>
      </w:r>
      <w:r w:rsidR="00686268" w:rsidRPr="00E515C1">
        <w:rPr>
          <w:rFonts w:asciiTheme="minorBidi" w:hAnsiTheme="minorBidi"/>
          <w:i/>
          <w:iCs/>
          <w:sz w:val="22"/>
          <w:szCs w:val="22"/>
        </w:rPr>
        <w:t>et al.</w:t>
      </w:r>
      <w:r w:rsidR="00686268" w:rsidRPr="00E515C1">
        <w:rPr>
          <w:rFonts w:asciiTheme="minorBidi" w:hAnsiTheme="minorBidi"/>
          <w:sz w:val="22"/>
          <w:szCs w:val="22"/>
        </w:rPr>
        <w:t xml:space="preserve">, 2023; Fenta Limenih </w:t>
      </w:r>
      <w:r w:rsidR="00686268" w:rsidRPr="00E515C1">
        <w:rPr>
          <w:rFonts w:asciiTheme="minorBidi" w:hAnsiTheme="minorBidi"/>
          <w:i/>
          <w:iCs/>
          <w:sz w:val="22"/>
          <w:szCs w:val="22"/>
        </w:rPr>
        <w:t>et al.</w:t>
      </w:r>
      <w:r w:rsidR="00686268" w:rsidRPr="00E515C1">
        <w:rPr>
          <w:rFonts w:asciiTheme="minorBidi" w:hAnsiTheme="minorBidi"/>
          <w:sz w:val="22"/>
          <w:szCs w:val="22"/>
        </w:rPr>
        <w:t>, 2025)</w:t>
      </w:r>
      <w:r w:rsidR="00A00EE4" w:rsidRPr="00E515C1">
        <w:rPr>
          <w:rFonts w:asciiTheme="minorBidi" w:eastAsia="Times New Roman" w:hAnsiTheme="minorBidi"/>
          <w:kern w:val="0"/>
          <w:sz w:val="22"/>
          <w:szCs w:val="22"/>
          <w:lang w:eastAsia="en-GB"/>
          <w14:ligatures w14:val="none"/>
        </w:rPr>
        <w:t>.</w:t>
      </w:r>
    </w:p>
    <w:p w14:paraId="0F2F282C" w14:textId="77777777" w:rsidR="00B340FA"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The management of insulin involves multiple injection methods and a pump that is based on the intake of carbohydrate and glucose, levels of physical activity and illness. NICE (2023) recommends structured education, which includes carbohydrate counting, hypo-glycemia, and sick-day rules. Education must be updated upon technological advancement, changing requirements, or life stage. CGM allows users to react to trends; combined with the use of a pump, it enables the adjustment of insulin dosage by using the hybrid closed-loop method.</w:t>
      </w:r>
    </w:p>
    <w:p w14:paraId="1146D7BC" w14:textId="30E8C0A5"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Avoiding problems requires carrying quick acting glucose and having glucagon available when needed. When sick, people need to keep taking their insulin, test for glucose and ketones, drink fluids, and get help for continuous ketones, vomiting or DKA symptoms. Checking HbA1c and setting targets takes account of avoiding complications while also minimising hypoglycaemia. The annual review of kidney function, feet, cardiovascular risk and eyes picks up any damage (Popoviciu et al., 2023). Good diet, physical activity, non-smoking, immunisation, and managing risks all contribute to good health without being the cause of the disease. Plans should be culturally appropriate, literate, consider disabilities, occupations, pregnancy and well-being. Commissioners should identify differences in audits, promote recalls, and improve equity with technology. Achieving success should include reduced emergencies, improved well-being and less inequality, not just HbA1c </w:t>
      </w:r>
      <w:r w:rsidR="00DD2715" w:rsidRPr="00E515C1">
        <w:rPr>
          <w:rFonts w:asciiTheme="minorBidi" w:hAnsiTheme="minorBidi"/>
          <w:sz w:val="22"/>
          <w:szCs w:val="22"/>
        </w:rPr>
        <w:t>(Iqbal and Heller, 2017; Floerchinger, 2024)</w:t>
      </w:r>
      <w:r w:rsidR="00A00EE4" w:rsidRPr="00E515C1">
        <w:rPr>
          <w:rFonts w:asciiTheme="minorBidi" w:eastAsia="Times New Roman" w:hAnsiTheme="minorBidi"/>
          <w:kern w:val="0"/>
          <w:sz w:val="22"/>
          <w:szCs w:val="22"/>
          <w:lang w:eastAsia="en-GB"/>
          <w14:ligatures w14:val="none"/>
        </w:rPr>
        <w:t>.</w:t>
      </w:r>
    </w:p>
    <w:p w14:paraId="65CF0795" w14:textId="77777777"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5" w:name="_Toc235552248"/>
      <w:r w:rsidRPr="00E515C1">
        <w:rPr>
          <w:rFonts w:asciiTheme="minorBidi" w:eastAsia="Times New Roman" w:hAnsiTheme="minorBidi" w:cstheme="minorBidi"/>
          <w:sz w:val="22"/>
          <w:szCs w:val="22"/>
          <w:lang w:eastAsia="en-GB"/>
        </w:rPr>
        <w:t>Health and Social Care Support in the Community</w:t>
      </w:r>
      <w:bookmarkEnd w:id="5"/>
    </w:p>
    <w:p w14:paraId="5262D97C" w14:textId="72D2694C"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There is a need for organized lifelong care provision. This multidisciplinary team should comprise a physician and a diabetes specialist nurse, general practitioner, dietitian, and pharmacist, along with psychology, podiatry, ophthalmology, nephrology and maternity services. This should offer insulin therapy and continuous glucose monitoring education, carbohydrate guidance, emergency information, and access to emergency services (Iqbal and Heller, 2017; Floerchinger, 2024). This review should involve evaluation of clinical outcomes, self-confidence, depression, anxiety, abnormal eating habits, and diabetes-related emotional distress. Children should have access to psychiatrists familiar with diabetes. Accessible face-to-face and telemedicine consultations can avoid hindrances due to work commitments, care responsibilities, and transportation issues </w:t>
      </w:r>
      <w:r w:rsidR="00686E7C" w:rsidRPr="00E515C1">
        <w:rPr>
          <w:rFonts w:asciiTheme="minorBidi" w:hAnsiTheme="minorBidi"/>
          <w:sz w:val="22"/>
          <w:szCs w:val="22"/>
        </w:rPr>
        <w:t xml:space="preserve">(Fenta Limenih </w:t>
      </w:r>
      <w:r w:rsidR="00686E7C" w:rsidRPr="00E515C1">
        <w:rPr>
          <w:rFonts w:asciiTheme="minorBidi" w:hAnsiTheme="minorBidi"/>
          <w:i/>
          <w:iCs/>
          <w:sz w:val="22"/>
          <w:szCs w:val="22"/>
        </w:rPr>
        <w:t>et al.</w:t>
      </w:r>
      <w:r w:rsidR="00686E7C" w:rsidRPr="00E515C1">
        <w:rPr>
          <w:rFonts w:asciiTheme="minorBidi" w:hAnsiTheme="minorBidi"/>
          <w:sz w:val="22"/>
          <w:szCs w:val="22"/>
        </w:rPr>
        <w:t>, 2025)</w:t>
      </w:r>
      <w:r w:rsidR="00A00EE4" w:rsidRPr="00E515C1">
        <w:rPr>
          <w:rFonts w:asciiTheme="minorBidi" w:eastAsia="Times New Roman" w:hAnsiTheme="minorBidi"/>
          <w:kern w:val="0"/>
          <w:sz w:val="22"/>
          <w:szCs w:val="22"/>
          <w:lang w:eastAsia="en-GB"/>
          <w14:ligatures w14:val="none"/>
        </w:rPr>
        <w:t>.</w:t>
      </w:r>
    </w:p>
    <w:p w14:paraId="353E5BA4" w14:textId="1E0B1D1E"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lastRenderedPageBreak/>
        <w:t>Pharmacies offer safety regarding provision and usage of equipment. GPs are responsible for vaccinations, cardiovascular prevention and referrals. Early identification is possible through eye testing and foot examination. The school must have an individual healthcare plan, qualified staff, insulin and glucagon kept safely, and privacy for children when taking their medication, injecting, eating and using the toilet. The planned transfer to adult facilities prevents disengagement. Employers and colleges should offer privacy and breaks</w:t>
      </w:r>
      <w:r w:rsidR="00686E7C" w:rsidRPr="00E515C1">
        <w:rPr>
          <w:rFonts w:asciiTheme="minorBidi" w:eastAsia="Times New Roman" w:hAnsiTheme="minorBidi"/>
          <w:kern w:val="0"/>
          <w:sz w:val="22"/>
          <w:szCs w:val="22"/>
          <w:lang w:eastAsia="en-GB"/>
          <w14:ligatures w14:val="none"/>
        </w:rPr>
        <w:t xml:space="preserve"> </w:t>
      </w:r>
      <w:r w:rsidR="00686E7C" w:rsidRPr="00E515C1">
        <w:rPr>
          <w:rFonts w:asciiTheme="minorBidi" w:hAnsiTheme="minorBidi"/>
          <w:sz w:val="22"/>
          <w:szCs w:val="22"/>
        </w:rPr>
        <w:t xml:space="preserve">(Fenta Limenih </w:t>
      </w:r>
      <w:r w:rsidR="00686E7C" w:rsidRPr="00E515C1">
        <w:rPr>
          <w:rFonts w:asciiTheme="minorBidi" w:hAnsiTheme="minorBidi"/>
          <w:i/>
          <w:iCs/>
          <w:sz w:val="22"/>
          <w:szCs w:val="22"/>
        </w:rPr>
        <w:t>et al.</w:t>
      </w:r>
      <w:r w:rsidR="00686E7C" w:rsidRPr="00E515C1">
        <w:rPr>
          <w:rFonts w:asciiTheme="minorBidi" w:hAnsiTheme="minorBidi"/>
          <w:sz w:val="22"/>
          <w:szCs w:val="22"/>
        </w:rPr>
        <w:t>, 2025)</w:t>
      </w:r>
      <w:r w:rsidR="00A00EE4" w:rsidRPr="00E515C1">
        <w:rPr>
          <w:rFonts w:asciiTheme="minorBidi" w:eastAsia="Times New Roman" w:hAnsiTheme="minorBidi"/>
          <w:kern w:val="0"/>
          <w:sz w:val="22"/>
          <w:szCs w:val="22"/>
          <w:lang w:eastAsia="en-GB"/>
          <w14:ligatures w14:val="none"/>
        </w:rPr>
        <w:t>.</w:t>
      </w:r>
    </w:p>
    <w:p w14:paraId="344E6424" w14:textId="6089DA74" w:rsidR="00A00EE4" w:rsidRPr="00E515C1" w:rsidRDefault="00B340FA" w:rsidP="00E515C1">
      <w:pPr>
        <w:spacing w:before="100" w:beforeAutospacing="1" w:after="100" w:afterAutospacing="1" w:line="360" w:lineRule="auto"/>
        <w:jc w:val="both"/>
        <w:rPr>
          <w:rFonts w:asciiTheme="minorBidi" w:eastAsia="Times New Roman" w:hAnsiTheme="minorBidi"/>
          <w:kern w:val="0"/>
          <w:sz w:val="22"/>
          <w:szCs w:val="22"/>
          <w:lang w:eastAsia="en-GB"/>
          <w14:ligatures w14:val="none"/>
        </w:rPr>
      </w:pPr>
      <w:r w:rsidRPr="00E515C1">
        <w:rPr>
          <w:rFonts w:asciiTheme="minorBidi" w:eastAsia="Times New Roman" w:hAnsiTheme="minorBidi"/>
          <w:kern w:val="0"/>
          <w:sz w:val="22"/>
          <w:szCs w:val="22"/>
          <w:lang w:eastAsia="en-GB"/>
          <w14:ligatures w14:val="none"/>
        </w:rPr>
        <w:t xml:space="preserve">Issues such as welfare payments, housing, food poverty, and safeguarding can be dealt with by social workers or welfare advice officers. Issues such as interpreting, information in accessible formats, and non-digital options will avoid exclusions. Peers and Diabetes UK can help alleviate isolation, as well as provide practical information, but not as a substitute for NHS treatment. Family education is important since family members can identify emergencies </w:t>
      </w:r>
      <w:r w:rsidR="00686E7C" w:rsidRPr="00E515C1">
        <w:rPr>
          <w:rFonts w:asciiTheme="minorBidi" w:hAnsiTheme="minorBidi"/>
          <w:sz w:val="22"/>
          <w:szCs w:val="22"/>
        </w:rPr>
        <w:t>(Floerchinger, 2024; Diabetes UK, 2025)</w:t>
      </w:r>
      <w:r w:rsidR="00A00EE4" w:rsidRPr="00E515C1">
        <w:rPr>
          <w:rFonts w:asciiTheme="minorBidi" w:eastAsia="Times New Roman" w:hAnsiTheme="minorBidi"/>
          <w:kern w:val="0"/>
          <w:sz w:val="22"/>
          <w:szCs w:val="22"/>
          <w:lang w:eastAsia="en-GB"/>
          <w14:ligatures w14:val="none"/>
        </w:rPr>
        <w:t>.</w:t>
      </w:r>
    </w:p>
    <w:p w14:paraId="33063750" w14:textId="77777777" w:rsidR="00A00EE4" w:rsidRPr="00E515C1" w:rsidRDefault="00A00EE4" w:rsidP="00E515C1">
      <w:pPr>
        <w:pStyle w:val="Heading1"/>
        <w:spacing w:line="360" w:lineRule="auto"/>
        <w:jc w:val="both"/>
        <w:rPr>
          <w:rFonts w:asciiTheme="minorBidi" w:eastAsia="Times New Roman" w:hAnsiTheme="minorBidi" w:cstheme="minorBidi"/>
          <w:sz w:val="22"/>
          <w:szCs w:val="22"/>
          <w:lang w:eastAsia="en-GB"/>
        </w:rPr>
      </w:pPr>
      <w:bookmarkStart w:id="6" w:name="_Toc235552249"/>
      <w:r w:rsidRPr="00E515C1">
        <w:rPr>
          <w:rFonts w:asciiTheme="minorBidi" w:eastAsia="Times New Roman" w:hAnsiTheme="minorBidi" w:cstheme="minorBidi"/>
          <w:sz w:val="22"/>
          <w:szCs w:val="22"/>
          <w:lang w:eastAsia="en-GB"/>
        </w:rPr>
        <w:t>Conclusion</w:t>
      </w:r>
      <w:bookmarkEnd w:id="6"/>
    </w:p>
    <w:p w14:paraId="594911EE" w14:textId="226FF9A6" w:rsidR="00686E7C" w:rsidRDefault="00B340FA" w:rsidP="00E515C1">
      <w:pPr>
        <w:spacing w:line="360" w:lineRule="auto"/>
        <w:jc w:val="both"/>
        <w:rPr>
          <w:rFonts w:asciiTheme="minorBidi" w:hAnsiTheme="minorBidi"/>
          <w:sz w:val="22"/>
          <w:szCs w:val="22"/>
        </w:rPr>
      </w:pPr>
      <w:r w:rsidRPr="00E515C1">
        <w:rPr>
          <w:rFonts w:asciiTheme="minorBidi" w:hAnsiTheme="minorBidi"/>
          <w:sz w:val="22"/>
          <w:szCs w:val="22"/>
        </w:rPr>
        <w:t>Type 1 Diabetes is an autoimmune lifelong disease, which involves taking insulin and constant management by patients. The increasing numbers of this illness throughout the world and UK imply its influence on individuals, families, communities and NHS, as well as on their physical, mental, social and economic state. National audits allow evaluating results and finding the problems of healthcare. Since at the moment this disease cannot be prevented, early detection, education, glucose testing, technologies and screenings could decrease the number of complications and emergencies.</w:t>
      </w:r>
    </w:p>
    <w:p w14:paraId="78442ED3" w14:textId="77777777" w:rsidR="001B7C90" w:rsidRDefault="001B7C90" w:rsidP="00E515C1">
      <w:pPr>
        <w:spacing w:line="360" w:lineRule="auto"/>
        <w:jc w:val="both"/>
        <w:rPr>
          <w:rFonts w:asciiTheme="minorBidi" w:hAnsiTheme="minorBidi"/>
          <w:sz w:val="22"/>
          <w:szCs w:val="22"/>
        </w:rPr>
      </w:pPr>
    </w:p>
    <w:p w14:paraId="01EE5760" w14:textId="77777777" w:rsidR="001B7C90" w:rsidRDefault="001B7C90" w:rsidP="00E515C1">
      <w:pPr>
        <w:spacing w:line="360" w:lineRule="auto"/>
        <w:jc w:val="both"/>
        <w:rPr>
          <w:rFonts w:asciiTheme="minorBidi" w:hAnsiTheme="minorBidi"/>
          <w:sz w:val="22"/>
          <w:szCs w:val="22"/>
        </w:rPr>
      </w:pPr>
    </w:p>
    <w:p w14:paraId="1AE87943" w14:textId="77777777" w:rsidR="001B7C90" w:rsidRDefault="001B7C90" w:rsidP="00E515C1">
      <w:pPr>
        <w:spacing w:line="360" w:lineRule="auto"/>
        <w:jc w:val="both"/>
        <w:rPr>
          <w:rFonts w:asciiTheme="minorBidi" w:hAnsiTheme="minorBidi"/>
          <w:sz w:val="22"/>
          <w:szCs w:val="22"/>
        </w:rPr>
      </w:pPr>
    </w:p>
    <w:p w14:paraId="60D11D99" w14:textId="77777777" w:rsidR="001B7C90" w:rsidRDefault="001B7C90" w:rsidP="00E515C1">
      <w:pPr>
        <w:spacing w:line="360" w:lineRule="auto"/>
        <w:jc w:val="both"/>
        <w:rPr>
          <w:rFonts w:asciiTheme="minorBidi" w:hAnsiTheme="minorBidi"/>
          <w:sz w:val="22"/>
          <w:szCs w:val="22"/>
        </w:rPr>
      </w:pPr>
    </w:p>
    <w:p w14:paraId="3861709E" w14:textId="77777777" w:rsidR="001B7C90" w:rsidRDefault="001B7C90" w:rsidP="00E515C1">
      <w:pPr>
        <w:spacing w:line="360" w:lineRule="auto"/>
        <w:jc w:val="both"/>
        <w:rPr>
          <w:rFonts w:asciiTheme="minorBidi" w:hAnsiTheme="minorBidi"/>
          <w:sz w:val="22"/>
          <w:szCs w:val="22"/>
        </w:rPr>
      </w:pPr>
    </w:p>
    <w:p w14:paraId="4AFF1F99" w14:textId="77777777" w:rsidR="001B7C90" w:rsidRDefault="001B7C90" w:rsidP="00E515C1">
      <w:pPr>
        <w:spacing w:line="360" w:lineRule="auto"/>
        <w:jc w:val="both"/>
        <w:rPr>
          <w:rFonts w:asciiTheme="minorBidi" w:hAnsiTheme="minorBidi"/>
          <w:sz w:val="22"/>
          <w:szCs w:val="22"/>
        </w:rPr>
      </w:pPr>
    </w:p>
    <w:p w14:paraId="44C8B313" w14:textId="77777777" w:rsidR="001B7C90" w:rsidRDefault="001B7C90" w:rsidP="00E515C1">
      <w:pPr>
        <w:spacing w:line="360" w:lineRule="auto"/>
        <w:jc w:val="both"/>
        <w:rPr>
          <w:rFonts w:asciiTheme="minorBidi" w:hAnsiTheme="minorBidi"/>
          <w:sz w:val="22"/>
          <w:szCs w:val="22"/>
        </w:rPr>
      </w:pPr>
    </w:p>
    <w:p w14:paraId="453D36D1" w14:textId="77777777" w:rsidR="001B7C90" w:rsidRPr="00E515C1" w:rsidRDefault="001B7C90" w:rsidP="00E515C1">
      <w:pPr>
        <w:spacing w:line="360" w:lineRule="auto"/>
        <w:jc w:val="both"/>
        <w:rPr>
          <w:rFonts w:asciiTheme="minorBidi" w:hAnsiTheme="minorBidi"/>
          <w:sz w:val="22"/>
          <w:szCs w:val="22"/>
        </w:rPr>
      </w:pPr>
    </w:p>
    <w:p w14:paraId="6E7757E3" w14:textId="63A44197" w:rsidR="00686E7C" w:rsidRPr="00E515C1" w:rsidRDefault="00686E7C" w:rsidP="00E515C1">
      <w:pPr>
        <w:pStyle w:val="Heading1"/>
        <w:spacing w:line="360" w:lineRule="auto"/>
        <w:jc w:val="both"/>
        <w:rPr>
          <w:rFonts w:asciiTheme="minorBidi" w:hAnsiTheme="minorBidi" w:cstheme="minorBidi"/>
          <w:sz w:val="22"/>
          <w:szCs w:val="22"/>
          <w:lang w:val="en-GB"/>
        </w:rPr>
      </w:pPr>
      <w:bookmarkStart w:id="7" w:name="_Toc235552250"/>
      <w:r w:rsidRPr="00E515C1">
        <w:rPr>
          <w:rFonts w:asciiTheme="minorBidi" w:hAnsiTheme="minorBidi" w:cstheme="minorBidi"/>
          <w:sz w:val="22"/>
          <w:szCs w:val="22"/>
          <w:lang w:val="en-GB"/>
        </w:rPr>
        <w:lastRenderedPageBreak/>
        <w:t>References</w:t>
      </w:r>
      <w:bookmarkEnd w:id="7"/>
      <w:r w:rsidRPr="00E515C1">
        <w:rPr>
          <w:rFonts w:asciiTheme="minorBidi" w:hAnsiTheme="minorBidi" w:cstheme="minorBidi"/>
          <w:sz w:val="22"/>
          <w:szCs w:val="22"/>
          <w:lang w:val="en-GB"/>
        </w:rPr>
        <w:t xml:space="preserve"> </w:t>
      </w:r>
    </w:p>
    <w:p w14:paraId="3107FA21"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Conrad, N. </w:t>
      </w:r>
      <w:r w:rsidRPr="00E515C1">
        <w:rPr>
          <w:rFonts w:asciiTheme="minorBidi" w:hAnsiTheme="minorBidi" w:cstheme="minorBidi"/>
          <w:i/>
          <w:iCs/>
          <w:sz w:val="22"/>
          <w:szCs w:val="22"/>
        </w:rPr>
        <w:t>et al.</w:t>
      </w:r>
      <w:r w:rsidRPr="00E515C1">
        <w:rPr>
          <w:rFonts w:asciiTheme="minorBidi" w:hAnsiTheme="minorBidi" w:cstheme="minorBidi"/>
          <w:sz w:val="22"/>
          <w:szCs w:val="22"/>
        </w:rPr>
        <w:t xml:space="preserve"> (2023) “Incidence, prevalence, and co-occurrence of Autoimmune Disorders over Time and by age, sex, and Socioeconomic status: A population-based Cohort Study of 22 Million Individuals in the UK,” </w:t>
      </w:r>
      <w:r w:rsidRPr="00E515C1">
        <w:rPr>
          <w:rFonts w:asciiTheme="minorBidi" w:hAnsiTheme="minorBidi" w:cstheme="minorBidi"/>
          <w:i/>
          <w:iCs/>
          <w:sz w:val="22"/>
          <w:szCs w:val="22"/>
        </w:rPr>
        <w:t>The Lancet</w:t>
      </w:r>
      <w:r w:rsidRPr="00E515C1">
        <w:rPr>
          <w:rFonts w:asciiTheme="minorBidi" w:hAnsiTheme="minorBidi" w:cstheme="minorBidi"/>
          <w:sz w:val="22"/>
          <w:szCs w:val="22"/>
        </w:rPr>
        <w:t>, 401(10391). Available at: https://doi.org/10.1016/s0140-6736(23)00457-9.</w:t>
      </w:r>
    </w:p>
    <w:p w14:paraId="1A13827B"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Diabetes UK (2017) </w:t>
      </w:r>
      <w:r w:rsidRPr="00E515C1">
        <w:rPr>
          <w:rFonts w:asciiTheme="minorBidi" w:hAnsiTheme="minorBidi" w:cstheme="minorBidi"/>
          <w:i/>
          <w:iCs/>
          <w:sz w:val="22"/>
          <w:szCs w:val="22"/>
        </w:rPr>
        <w:t>What are the signs and symptoms of diabetes?</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Diabetes UK</w:t>
      </w:r>
      <w:r w:rsidRPr="00E515C1">
        <w:rPr>
          <w:rFonts w:asciiTheme="minorBidi" w:hAnsiTheme="minorBidi" w:cstheme="minorBidi"/>
          <w:sz w:val="22"/>
          <w:szCs w:val="22"/>
        </w:rPr>
        <w:t>. Available at: https://www.diabetes.org.uk/about-diabetes/symptoms (Accessed: July 20, 2026).</w:t>
      </w:r>
    </w:p>
    <w:p w14:paraId="79816EE3"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Diabetes UK (2025) </w:t>
      </w:r>
      <w:r w:rsidRPr="00E515C1">
        <w:rPr>
          <w:rFonts w:asciiTheme="minorBidi" w:hAnsiTheme="minorBidi" w:cstheme="minorBidi"/>
          <w:i/>
          <w:iCs/>
          <w:sz w:val="22"/>
          <w:szCs w:val="22"/>
        </w:rPr>
        <w:t>How Many People in the UK Have diabetes?</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Diabetes UK</w:t>
      </w:r>
      <w:r w:rsidRPr="00E515C1">
        <w:rPr>
          <w:rFonts w:asciiTheme="minorBidi" w:hAnsiTheme="minorBidi" w:cstheme="minorBidi"/>
          <w:sz w:val="22"/>
          <w:szCs w:val="22"/>
        </w:rPr>
        <w:t>. Available at: https://www.diabetes.org.uk/about-us/about-the-charity/our-strategy/statistics (Accessed: July 20, 2026).</w:t>
      </w:r>
    </w:p>
    <w:p w14:paraId="7588023B"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Fenta Limenih </w:t>
      </w:r>
      <w:r w:rsidRPr="00E515C1">
        <w:rPr>
          <w:rFonts w:asciiTheme="minorBidi" w:hAnsiTheme="minorBidi" w:cstheme="minorBidi"/>
          <w:i/>
          <w:iCs/>
          <w:sz w:val="22"/>
          <w:szCs w:val="22"/>
        </w:rPr>
        <w:t>et al.</w:t>
      </w:r>
      <w:r w:rsidRPr="00E515C1">
        <w:rPr>
          <w:rFonts w:asciiTheme="minorBidi" w:hAnsiTheme="minorBidi" w:cstheme="minorBidi"/>
          <w:sz w:val="22"/>
          <w:szCs w:val="22"/>
        </w:rPr>
        <w:t xml:space="preserve"> (2025) “Prevalence of treatment outcomes and associated factors of diabetic ketoacidosis among adult diabetic patients admitted to Debre Markos comprehensive specialized hospital, northwest Ethiopia,” </w:t>
      </w:r>
      <w:r w:rsidRPr="00E515C1">
        <w:rPr>
          <w:rFonts w:asciiTheme="minorBidi" w:hAnsiTheme="minorBidi" w:cstheme="minorBidi"/>
          <w:i/>
          <w:iCs/>
          <w:sz w:val="22"/>
          <w:szCs w:val="22"/>
        </w:rPr>
        <w:t>European journal of medical research</w:t>
      </w:r>
      <w:r w:rsidRPr="00E515C1">
        <w:rPr>
          <w:rFonts w:asciiTheme="minorBidi" w:hAnsiTheme="minorBidi" w:cstheme="minorBidi"/>
          <w:sz w:val="22"/>
          <w:szCs w:val="22"/>
        </w:rPr>
        <w:t>, 31(1), pp. 38–38. Available at: https://doi.org/10.1186/s40001-025-03593-1.</w:t>
      </w:r>
    </w:p>
    <w:p w14:paraId="7DCA96BA"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Floerchinger, K. (2024) “Continuous Glucose Monitoring vs Fingerstick Monitoring for Hemoglobin A1c Control in Veterans,” </w:t>
      </w:r>
      <w:r w:rsidRPr="00E515C1">
        <w:rPr>
          <w:rFonts w:asciiTheme="minorBidi" w:hAnsiTheme="minorBidi" w:cstheme="minorBidi"/>
          <w:i/>
          <w:iCs/>
          <w:sz w:val="22"/>
          <w:szCs w:val="22"/>
        </w:rPr>
        <w:t>Federal Practitioner</w:t>
      </w:r>
      <w:r w:rsidRPr="00E515C1">
        <w:rPr>
          <w:rFonts w:asciiTheme="minorBidi" w:hAnsiTheme="minorBidi" w:cstheme="minorBidi"/>
          <w:sz w:val="22"/>
          <w:szCs w:val="22"/>
        </w:rPr>
        <w:t>, 41(Supplemental 5). Available at: https://doi.org/10.12788/fp.0525.</w:t>
      </w:r>
    </w:p>
    <w:p w14:paraId="6005632A"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IDF (2025) </w:t>
      </w:r>
      <w:r w:rsidRPr="00E515C1">
        <w:rPr>
          <w:rFonts w:asciiTheme="minorBidi" w:hAnsiTheme="minorBidi" w:cstheme="minorBidi"/>
          <w:i/>
          <w:iCs/>
          <w:sz w:val="22"/>
          <w:szCs w:val="22"/>
        </w:rPr>
        <w:t>Over 250 million people worldwide unaware they have diabetes, according to new IDF research</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International Diabetes Federation</w:t>
      </w:r>
      <w:r w:rsidRPr="00E515C1">
        <w:rPr>
          <w:rFonts w:asciiTheme="minorBidi" w:hAnsiTheme="minorBidi" w:cstheme="minorBidi"/>
          <w:sz w:val="22"/>
          <w:szCs w:val="22"/>
        </w:rPr>
        <w:t>. Available at: https://idf.org/news-and-resources/news/idf-diabetes-atlas-11th-edition/ (Accessed: July 20, 2026).</w:t>
      </w:r>
    </w:p>
    <w:p w14:paraId="49BA3D5D"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Iqbal, A. and Heller, S.R. (2017) “The role of structured education in the management of hypoglycaemia,” </w:t>
      </w:r>
      <w:r w:rsidRPr="00E515C1">
        <w:rPr>
          <w:rFonts w:asciiTheme="minorBidi" w:hAnsiTheme="minorBidi" w:cstheme="minorBidi"/>
          <w:i/>
          <w:iCs/>
          <w:sz w:val="22"/>
          <w:szCs w:val="22"/>
        </w:rPr>
        <w:t>Diabetologia</w:t>
      </w:r>
      <w:r w:rsidRPr="00E515C1">
        <w:rPr>
          <w:rFonts w:asciiTheme="minorBidi" w:hAnsiTheme="minorBidi" w:cstheme="minorBidi"/>
          <w:sz w:val="22"/>
          <w:szCs w:val="22"/>
        </w:rPr>
        <w:t>, 61(4), pp. 751–760. Available at: https://doi.org/10.1007/s00125-017-4334-z.</w:t>
      </w:r>
    </w:p>
    <w:p w14:paraId="08D10356"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Kahanovitz, L., Sluss, P.M. and Russell, S.J. (2017) “Type 1 Diabetes—A Clinical Perspective,” </w:t>
      </w:r>
      <w:r w:rsidRPr="00E515C1">
        <w:rPr>
          <w:rFonts w:asciiTheme="minorBidi" w:hAnsiTheme="minorBidi" w:cstheme="minorBidi"/>
          <w:i/>
          <w:iCs/>
          <w:sz w:val="22"/>
          <w:szCs w:val="22"/>
        </w:rPr>
        <w:t>Point of Care: The Journal of Near-Patient Testing &amp; Technology</w:t>
      </w:r>
      <w:r w:rsidRPr="00E515C1">
        <w:rPr>
          <w:rFonts w:asciiTheme="minorBidi" w:hAnsiTheme="minorBidi" w:cstheme="minorBidi"/>
          <w:sz w:val="22"/>
          <w:szCs w:val="22"/>
        </w:rPr>
        <w:t>, 16(1), pp. 37–40. Available at: https://doi.org/10.1097/poc.0000000000000125.</w:t>
      </w:r>
    </w:p>
    <w:p w14:paraId="5579B8F5"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National Paediatric Diabetes Audit and Royal College of Paediatrics and Child Health (2024) “National Paediatric Diabetes Audit 2013-14 Report 1: Care Processes and Outcomes,” in. Available at: https://www.rcpch.ac.uk/sites/default/files/2018-03/npda_national_report_2013-14.pdf (Accessed: July 21, 2026).</w:t>
      </w:r>
    </w:p>
    <w:p w14:paraId="39B96A1E"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lastRenderedPageBreak/>
        <w:t xml:space="preserve">NHS (2024) </w:t>
      </w:r>
      <w:r w:rsidRPr="00E515C1">
        <w:rPr>
          <w:rFonts w:asciiTheme="minorBidi" w:hAnsiTheme="minorBidi" w:cstheme="minorBidi"/>
          <w:i/>
          <w:iCs/>
          <w:sz w:val="22"/>
          <w:szCs w:val="22"/>
        </w:rPr>
        <w:t>Treatment for type 1 diabetes</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Nhs.uk</w:t>
      </w:r>
      <w:r w:rsidRPr="00E515C1">
        <w:rPr>
          <w:rFonts w:asciiTheme="minorBidi" w:hAnsiTheme="minorBidi" w:cstheme="minorBidi"/>
          <w:sz w:val="22"/>
          <w:szCs w:val="22"/>
        </w:rPr>
        <w:t>. Available at: https://www.nhs.uk/conditions/type-1-diabetes/treatment/ (Accessed: July 21, 2026).</w:t>
      </w:r>
    </w:p>
    <w:p w14:paraId="1928D5F2"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NHS Digital (2026) </w:t>
      </w:r>
      <w:r w:rsidRPr="00E515C1">
        <w:rPr>
          <w:rFonts w:asciiTheme="minorBidi" w:hAnsiTheme="minorBidi" w:cstheme="minorBidi"/>
          <w:i/>
          <w:iCs/>
          <w:sz w:val="22"/>
          <w:szCs w:val="22"/>
        </w:rPr>
        <w:t>National Diabetes Audit Core Report 1: Care Processes and Treatment Targets 2024-25 Underlying data</w:t>
      </w:r>
      <w:r w:rsidRPr="00E515C1">
        <w:rPr>
          <w:rFonts w:asciiTheme="minorBidi" w:hAnsiTheme="minorBidi" w:cstheme="minorBidi"/>
          <w:sz w:val="22"/>
          <w:szCs w:val="22"/>
        </w:rPr>
        <w:t>. Available at: https://digital.nhs.uk/data-and-information/publications/statistical/national-diabetes-audit/report-1-cp-and-tt-data-release-2024-25/nda-report-1-cp-and-tt-data-release-2024-25 (Accessed: July 21, 2026).</w:t>
      </w:r>
    </w:p>
    <w:p w14:paraId="4EA45E9C"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NHS England (2025) </w:t>
      </w:r>
      <w:r w:rsidRPr="00E515C1">
        <w:rPr>
          <w:rFonts w:asciiTheme="minorBidi" w:hAnsiTheme="minorBidi" w:cstheme="minorBidi"/>
          <w:i/>
          <w:iCs/>
          <w:sz w:val="22"/>
          <w:szCs w:val="22"/>
        </w:rPr>
        <w:t>NHS England » NHS initiative helps thousands more tackle their diabetes risk</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England.nhs.uk</w:t>
      </w:r>
      <w:r w:rsidRPr="00E515C1">
        <w:rPr>
          <w:rFonts w:asciiTheme="minorBidi" w:hAnsiTheme="minorBidi" w:cstheme="minorBidi"/>
          <w:sz w:val="22"/>
          <w:szCs w:val="22"/>
        </w:rPr>
        <w:t>. Available at: https://www.england.nhs.uk/2025/05/nhs-initiative-helps-thousands-more-tackle-their-diabetes-risk/ (Accessed: July 21, 2026).</w:t>
      </w:r>
    </w:p>
    <w:p w14:paraId="12CE5B45"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NHS UK (2022) </w:t>
      </w:r>
      <w:r w:rsidRPr="00E515C1">
        <w:rPr>
          <w:rFonts w:asciiTheme="minorBidi" w:hAnsiTheme="minorBidi" w:cstheme="minorBidi"/>
          <w:i/>
          <w:iCs/>
          <w:sz w:val="22"/>
          <w:szCs w:val="22"/>
        </w:rPr>
        <w:t>National Diabetes Audit, 2020-21, Type 1 Diabetes - Care processes</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NHS Digital</w:t>
      </w:r>
      <w:r w:rsidRPr="00E515C1">
        <w:rPr>
          <w:rFonts w:asciiTheme="minorBidi" w:hAnsiTheme="minorBidi" w:cstheme="minorBidi"/>
          <w:sz w:val="22"/>
          <w:szCs w:val="22"/>
        </w:rPr>
        <w:t>. Available at: https://digital.nhs.uk/data-and-information/publications/statistical/national-diabetes-audit-type-1-diabetes/nda-type-1-2020-21/care-processes (Accessed: July 21, 2026).</w:t>
      </w:r>
    </w:p>
    <w:p w14:paraId="11901C51"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NICE (2023) </w:t>
      </w:r>
      <w:r w:rsidRPr="00E515C1">
        <w:rPr>
          <w:rFonts w:asciiTheme="minorBidi" w:hAnsiTheme="minorBidi" w:cstheme="minorBidi"/>
          <w:i/>
          <w:iCs/>
          <w:sz w:val="22"/>
          <w:szCs w:val="22"/>
        </w:rPr>
        <w:t>Quality statement 2: Structured education programme | Type 2 diabetes in adults | Quality standards | NICE</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Www.nice.org.uk</w:t>
      </w:r>
      <w:r w:rsidRPr="00E515C1">
        <w:rPr>
          <w:rFonts w:asciiTheme="minorBidi" w:hAnsiTheme="minorBidi" w:cstheme="minorBidi"/>
          <w:sz w:val="22"/>
          <w:szCs w:val="22"/>
        </w:rPr>
        <w:t>. Available at: https://www.nice.org.uk/guidance/qs209/chapter/Quality-statement-2-Structured-education-programme (Accessed: July 21, 2026).</w:t>
      </w:r>
    </w:p>
    <w:p w14:paraId="609B1662"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Office for Health Improvement &amp; Disparities (2025) </w:t>
      </w:r>
      <w:r w:rsidRPr="00E515C1">
        <w:rPr>
          <w:rFonts w:asciiTheme="minorBidi" w:hAnsiTheme="minorBidi" w:cstheme="minorBidi"/>
          <w:i/>
          <w:iCs/>
          <w:sz w:val="22"/>
          <w:szCs w:val="22"/>
        </w:rPr>
        <w:t>Diabetes profile: Statistical commentary, March 2025</w:t>
      </w:r>
      <w:r w:rsidRPr="00E515C1">
        <w:rPr>
          <w:rFonts w:asciiTheme="minorBidi" w:hAnsiTheme="minorBidi" w:cstheme="minorBidi"/>
          <w:sz w:val="22"/>
          <w:szCs w:val="22"/>
        </w:rPr>
        <w:t xml:space="preserve">, </w:t>
      </w:r>
      <w:r w:rsidRPr="00E515C1">
        <w:rPr>
          <w:rFonts w:asciiTheme="minorBidi" w:hAnsiTheme="minorBidi" w:cstheme="minorBidi"/>
          <w:i/>
          <w:iCs/>
          <w:sz w:val="22"/>
          <w:szCs w:val="22"/>
        </w:rPr>
        <w:t>GOV.UK</w:t>
      </w:r>
      <w:r w:rsidRPr="00E515C1">
        <w:rPr>
          <w:rFonts w:asciiTheme="minorBidi" w:hAnsiTheme="minorBidi" w:cstheme="minorBidi"/>
          <w:sz w:val="22"/>
          <w:szCs w:val="22"/>
        </w:rPr>
        <w:t>. Available at: https://www.gov.uk/government/statistics/diabetes-profile-update-march-2025/diabetes-profile-statistical-commentary-march-2025 (Accessed: July 20, 2026).</w:t>
      </w:r>
    </w:p>
    <w:p w14:paraId="38B687F7" w14:textId="77777777" w:rsidR="00686E7C" w:rsidRPr="00E515C1" w:rsidRDefault="00686E7C" w:rsidP="00E515C1">
      <w:pPr>
        <w:pStyle w:val="NormalWeb"/>
        <w:spacing w:before="0" w:beforeAutospacing="0" w:after="240" w:afterAutospacing="0" w:line="360" w:lineRule="auto"/>
        <w:jc w:val="both"/>
        <w:rPr>
          <w:rFonts w:asciiTheme="minorBidi" w:hAnsiTheme="minorBidi" w:cstheme="minorBidi"/>
          <w:sz w:val="22"/>
          <w:szCs w:val="22"/>
        </w:rPr>
      </w:pPr>
      <w:r w:rsidRPr="00E515C1">
        <w:rPr>
          <w:rFonts w:asciiTheme="minorBidi" w:hAnsiTheme="minorBidi" w:cstheme="minorBidi"/>
          <w:sz w:val="22"/>
          <w:szCs w:val="22"/>
        </w:rPr>
        <w:t xml:space="preserve">Popoviciu, M.S. </w:t>
      </w:r>
      <w:r w:rsidRPr="00E515C1">
        <w:rPr>
          <w:rFonts w:asciiTheme="minorBidi" w:hAnsiTheme="minorBidi" w:cstheme="minorBidi"/>
          <w:i/>
          <w:iCs/>
          <w:sz w:val="22"/>
          <w:szCs w:val="22"/>
        </w:rPr>
        <w:t>et al.</w:t>
      </w:r>
      <w:r w:rsidRPr="00E515C1">
        <w:rPr>
          <w:rFonts w:asciiTheme="minorBidi" w:hAnsiTheme="minorBidi" w:cstheme="minorBidi"/>
          <w:sz w:val="22"/>
          <w:szCs w:val="22"/>
        </w:rPr>
        <w:t xml:space="preserve"> (2023) “Type 1 Diabetes Mellitus and Autoimmune Diseases: A Critical Review of the Association and the Application of Personalized Medicine,” </w:t>
      </w:r>
      <w:r w:rsidRPr="00E515C1">
        <w:rPr>
          <w:rFonts w:asciiTheme="minorBidi" w:hAnsiTheme="minorBidi" w:cstheme="minorBidi"/>
          <w:i/>
          <w:iCs/>
          <w:sz w:val="22"/>
          <w:szCs w:val="22"/>
        </w:rPr>
        <w:t>Journal of Personalized Medicine</w:t>
      </w:r>
      <w:r w:rsidRPr="00E515C1">
        <w:rPr>
          <w:rFonts w:asciiTheme="minorBidi" w:hAnsiTheme="minorBidi" w:cstheme="minorBidi"/>
          <w:sz w:val="22"/>
          <w:szCs w:val="22"/>
        </w:rPr>
        <w:t>, 13(3), pp. 422–422. Available at: https://doi.org/10.3390/jpm13030422.</w:t>
      </w:r>
    </w:p>
    <w:p w14:paraId="3B03AEDC" w14:textId="77777777" w:rsidR="00686E7C" w:rsidRPr="00E515C1" w:rsidRDefault="00686E7C" w:rsidP="00E515C1">
      <w:pPr>
        <w:spacing w:line="360" w:lineRule="auto"/>
        <w:jc w:val="both"/>
        <w:rPr>
          <w:rFonts w:asciiTheme="minorBidi" w:hAnsiTheme="minorBidi"/>
          <w:sz w:val="22"/>
          <w:szCs w:val="22"/>
          <w:lang w:val="en-GB"/>
        </w:rPr>
      </w:pPr>
    </w:p>
    <w:sectPr w:rsidR="00686E7C" w:rsidRPr="00E515C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50A0B" w14:textId="77777777" w:rsidR="005A4C96" w:rsidRDefault="005A4C96" w:rsidP="00E515C1">
      <w:pPr>
        <w:spacing w:after="0" w:line="240" w:lineRule="auto"/>
      </w:pPr>
      <w:r>
        <w:separator/>
      </w:r>
    </w:p>
  </w:endnote>
  <w:endnote w:type="continuationSeparator" w:id="0">
    <w:p w14:paraId="65D7EADF" w14:textId="77777777" w:rsidR="005A4C96" w:rsidRDefault="005A4C96" w:rsidP="00E51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3825473"/>
      <w:docPartObj>
        <w:docPartGallery w:val="Page Numbers (Bottom of Page)"/>
        <w:docPartUnique/>
      </w:docPartObj>
    </w:sdtPr>
    <w:sdtEndPr>
      <w:rPr>
        <w:rStyle w:val="PageNumber"/>
      </w:rPr>
    </w:sdtEndPr>
    <w:sdtContent>
      <w:p w14:paraId="63893F1C" w14:textId="76097834" w:rsidR="00E515C1" w:rsidRDefault="00E515C1" w:rsidP="00B90A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474164" w14:textId="77777777" w:rsidR="00E515C1" w:rsidRDefault="00E515C1" w:rsidP="00E515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3187280"/>
      <w:docPartObj>
        <w:docPartGallery w:val="Page Numbers (Bottom of Page)"/>
        <w:docPartUnique/>
      </w:docPartObj>
    </w:sdtPr>
    <w:sdtEndPr>
      <w:rPr>
        <w:rStyle w:val="PageNumber"/>
      </w:rPr>
    </w:sdtEndPr>
    <w:sdtContent>
      <w:p w14:paraId="5014E999" w14:textId="59D1886C" w:rsidR="00E515C1" w:rsidRDefault="00E515C1" w:rsidP="00B90A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2DEC9" w14:textId="77777777" w:rsidR="00E515C1" w:rsidRDefault="00E515C1" w:rsidP="00E515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21554" w14:textId="77777777" w:rsidR="005A4C96" w:rsidRDefault="005A4C96" w:rsidP="00E515C1">
      <w:pPr>
        <w:spacing w:after="0" w:line="240" w:lineRule="auto"/>
      </w:pPr>
      <w:r>
        <w:separator/>
      </w:r>
    </w:p>
  </w:footnote>
  <w:footnote w:type="continuationSeparator" w:id="0">
    <w:p w14:paraId="4082391F" w14:textId="77777777" w:rsidR="005A4C96" w:rsidRDefault="005A4C96" w:rsidP="00E515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4B9"/>
    <w:rsid w:val="000363C5"/>
    <w:rsid w:val="00083D19"/>
    <w:rsid w:val="0008415F"/>
    <w:rsid w:val="000B743B"/>
    <w:rsid w:val="000C3B48"/>
    <w:rsid w:val="000D14B9"/>
    <w:rsid w:val="001B204A"/>
    <w:rsid w:val="001B7C90"/>
    <w:rsid w:val="002A5235"/>
    <w:rsid w:val="00340028"/>
    <w:rsid w:val="00437888"/>
    <w:rsid w:val="0044131F"/>
    <w:rsid w:val="0044562F"/>
    <w:rsid w:val="00461624"/>
    <w:rsid w:val="005A4C96"/>
    <w:rsid w:val="00686268"/>
    <w:rsid w:val="00686E7C"/>
    <w:rsid w:val="007844BE"/>
    <w:rsid w:val="00804503"/>
    <w:rsid w:val="008054BE"/>
    <w:rsid w:val="00891153"/>
    <w:rsid w:val="009853A6"/>
    <w:rsid w:val="009B14D7"/>
    <w:rsid w:val="009D5B4D"/>
    <w:rsid w:val="00A00EE4"/>
    <w:rsid w:val="00A40D72"/>
    <w:rsid w:val="00AE31FF"/>
    <w:rsid w:val="00B05A1E"/>
    <w:rsid w:val="00B340FA"/>
    <w:rsid w:val="00B74409"/>
    <w:rsid w:val="00B95C73"/>
    <w:rsid w:val="00BE4882"/>
    <w:rsid w:val="00C2073D"/>
    <w:rsid w:val="00D27263"/>
    <w:rsid w:val="00D95A10"/>
    <w:rsid w:val="00DD2715"/>
    <w:rsid w:val="00E515C1"/>
    <w:rsid w:val="00E947F1"/>
    <w:rsid w:val="00EC49F2"/>
    <w:rsid w:val="00F67D1C"/>
    <w:rsid w:val="00FB6C67"/>
    <w:rsid w:val="00FD5920"/>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958C1"/>
  <w15:chartTrackingRefBased/>
  <w15:docId w15:val="{B657229A-F64D-7741-B7B9-5FD0998FB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235"/>
    <w:rPr>
      <w:rFonts w:asciiTheme="majorBidi" w:hAnsiTheme="majorBidi"/>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0D14B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D14B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D14B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14B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14B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14B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0D14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4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4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4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4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4B9"/>
    <w:rPr>
      <w:rFonts w:eastAsiaTheme="majorEastAsia" w:cstheme="majorBidi"/>
      <w:color w:val="272727" w:themeColor="text1" w:themeTint="D8"/>
    </w:rPr>
  </w:style>
  <w:style w:type="paragraph" w:styleId="Title">
    <w:name w:val="Title"/>
    <w:basedOn w:val="Normal"/>
    <w:next w:val="Normal"/>
    <w:link w:val="TitleChar"/>
    <w:uiPriority w:val="10"/>
    <w:qFormat/>
    <w:rsid w:val="000D14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4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4B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4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4B9"/>
    <w:pPr>
      <w:spacing w:before="160"/>
      <w:jc w:val="center"/>
    </w:pPr>
    <w:rPr>
      <w:i/>
      <w:iCs/>
      <w:color w:val="404040" w:themeColor="text1" w:themeTint="BF"/>
    </w:rPr>
  </w:style>
  <w:style w:type="character" w:customStyle="1" w:styleId="QuoteChar">
    <w:name w:val="Quote Char"/>
    <w:basedOn w:val="DefaultParagraphFont"/>
    <w:link w:val="Quote"/>
    <w:uiPriority w:val="29"/>
    <w:rsid w:val="000D14B9"/>
    <w:rPr>
      <w:rFonts w:asciiTheme="majorBidi" w:hAnsiTheme="majorBidi"/>
      <w:i/>
      <w:iCs/>
      <w:color w:val="404040" w:themeColor="text1" w:themeTint="BF"/>
    </w:rPr>
  </w:style>
  <w:style w:type="paragraph" w:styleId="ListParagraph">
    <w:name w:val="List Paragraph"/>
    <w:basedOn w:val="Normal"/>
    <w:uiPriority w:val="34"/>
    <w:qFormat/>
    <w:rsid w:val="000D14B9"/>
    <w:pPr>
      <w:ind w:left="720"/>
      <w:contextualSpacing/>
    </w:pPr>
  </w:style>
  <w:style w:type="character" w:styleId="IntenseEmphasis">
    <w:name w:val="Intense Emphasis"/>
    <w:basedOn w:val="DefaultParagraphFont"/>
    <w:uiPriority w:val="21"/>
    <w:qFormat/>
    <w:rsid w:val="000D14B9"/>
    <w:rPr>
      <w:i/>
      <w:iCs/>
      <w:color w:val="0F4761" w:themeColor="accent1" w:themeShade="BF"/>
    </w:rPr>
  </w:style>
  <w:style w:type="paragraph" w:styleId="IntenseQuote">
    <w:name w:val="Intense Quote"/>
    <w:basedOn w:val="Normal"/>
    <w:next w:val="Normal"/>
    <w:link w:val="IntenseQuoteChar"/>
    <w:uiPriority w:val="30"/>
    <w:qFormat/>
    <w:rsid w:val="000D14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4B9"/>
    <w:rPr>
      <w:rFonts w:asciiTheme="majorBidi" w:hAnsiTheme="majorBidi"/>
      <w:i/>
      <w:iCs/>
      <w:color w:val="0F4761" w:themeColor="accent1" w:themeShade="BF"/>
    </w:rPr>
  </w:style>
  <w:style w:type="character" w:styleId="IntenseReference">
    <w:name w:val="Intense Reference"/>
    <w:basedOn w:val="DefaultParagraphFont"/>
    <w:uiPriority w:val="32"/>
    <w:qFormat/>
    <w:rsid w:val="000D14B9"/>
    <w:rPr>
      <w:b/>
      <w:bCs/>
      <w:smallCaps/>
      <w:color w:val="0F4761" w:themeColor="accent1" w:themeShade="BF"/>
      <w:spacing w:val="5"/>
    </w:rPr>
  </w:style>
  <w:style w:type="paragraph" w:styleId="NormalWeb">
    <w:name w:val="Normal (Web)"/>
    <w:basedOn w:val="Normal"/>
    <w:uiPriority w:val="99"/>
    <w:semiHidden/>
    <w:unhideWhenUsed/>
    <w:rsid w:val="00A00E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00EE4"/>
    <w:rPr>
      <w:color w:val="0000FF"/>
      <w:u w:val="single"/>
    </w:rPr>
  </w:style>
  <w:style w:type="paragraph" w:styleId="Caption">
    <w:name w:val="caption"/>
    <w:basedOn w:val="Normal"/>
    <w:next w:val="Normal"/>
    <w:uiPriority w:val="35"/>
    <w:unhideWhenUsed/>
    <w:qFormat/>
    <w:rsid w:val="00C2073D"/>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51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5C1"/>
    <w:rPr>
      <w:rFonts w:asciiTheme="majorBidi" w:hAnsiTheme="majorBidi"/>
    </w:rPr>
  </w:style>
  <w:style w:type="paragraph" w:styleId="Footer">
    <w:name w:val="footer"/>
    <w:basedOn w:val="Normal"/>
    <w:link w:val="FooterChar"/>
    <w:uiPriority w:val="99"/>
    <w:unhideWhenUsed/>
    <w:rsid w:val="00E51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5C1"/>
    <w:rPr>
      <w:rFonts w:asciiTheme="majorBidi" w:hAnsiTheme="majorBidi"/>
    </w:rPr>
  </w:style>
  <w:style w:type="character" w:styleId="PageNumber">
    <w:name w:val="page number"/>
    <w:basedOn w:val="DefaultParagraphFont"/>
    <w:uiPriority w:val="99"/>
    <w:semiHidden/>
    <w:unhideWhenUsed/>
    <w:rsid w:val="00E515C1"/>
  </w:style>
  <w:style w:type="paragraph" w:styleId="TOCHeading">
    <w:name w:val="TOC Heading"/>
    <w:basedOn w:val="Heading1"/>
    <w:next w:val="Normal"/>
    <w:uiPriority w:val="39"/>
    <w:unhideWhenUsed/>
    <w:qFormat/>
    <w:rsid w:val="00E515C1"/>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E515C1"/>
    <w:pPr>
      <w:spacing w:before="240" w:after="120"/>
    </w:pPr>
    <w:rPr>
      <w:rFonts w:asciiTheme="minorHAnsi" w:hAnsiTheme="minorHAnsi" w:cs="Times New Roman"/>
      <w:b/>
      <w:bCs/>
      <w:sz w:val="20"/>
    </w:rPr>
  </w:style>
  <w:style w:type="paragraph" w:styleId="TOC2">
    <w:name w:val="toc 2"/>
    <w:basedOn w:val="Normal"/>
    <w:next w:val="Normal"/>
    <w:autoRedefine/>
    <w:uiPriority w:val="39"/>
    <w:unhideWhenUsed/>
    <w:rsid w:val="00E515C1"/>
    <w:pPr>
      <w:spacing w:before="120" w:after="0"/>
      <w:ind w:left="240"/>
    </w:pPr>
    <w:rPr>
      <w:rFonts w:asciiTheme="minorHAnsi" w:hAnsiTheme="minorHAnsi" w:cs="Times New Roman"/>
      <w:i/>
      <w:iCs/>
      <w:sz w:val="20"/>
    </w:rPr>
  </w:style>
  <w:style w:type="paragraph" w:styleId="TOC3">
    <w:name w:val="toc 3"/>
    <w:basedOn w:val="Normal"/>
    <w:next w:val="Normal"/>
    <w:autoRedefine/>
    <w:uiPriority w:val="39"/>
    <w:semiHidden/>
    <w:unhideWhenUsed/>
    <w:rsid w:val="00E515C1"/>
    <w:pPr>
      <w:spacing w:after="0"/>
      <w:ind w:left="480"/>
    </w:pPr>
    <w:rPr>
      <w:rFonts w:asciiTheme="minorHAnsi" w:hAnsiTheme="minorHAnsi" w:cs="Times New Roman"/>
      <w:sz w:val="20"/>
    </w:rPr>
  </w:style>
  <w:style w:type="paragraph" w:styleId="TOC4">
    <w:name w:val="toc 4"/>
    <w:basedOn w:val="Normal"/>
    <w:next w:val="Normal"/>
    <w:autoRedefine/>
    <w:uiPriority w:val="39"/>
    <w:semiHidden/>
    <w:unhideWhenUsed/>
    <w:rsid w:val="00E515C1"/>
    <w:pPr>
      <w:spacing w:after="0"/>
      <w:ind w:left="720"/>
    </w:pPr>
    <w:rPr>
      <w:rFonts w:asciiTheme="minorHAnsi" w:hAnsiTheme="minorHAnsi" w:cs="Times New Roman"/>
      <w:sz w:val="20"/>
    </w:rPr>
  </w:style>
  <w:style w:type="paragraph" w:styleId="TOC5">
    <w:name w:val="toc 5"/>
    <w:basedOn w:val="Normal"/>
    <w:next w:val="Normal"/>
    <w:autoRedefine/>
    <w:uiPriority w:val="39"/>
    <w:semiHidden/>
    <w:unhideWhenUsed/>
    <w:rsid w:val="00E515C1"/>
    <w:pPr>
      <w:spacing w:after="0"/>
      <w:ind w:left="960"/>
    </w:pPr>
    <w:rPr>
      <w:rFonts w:asciiTheme="minorHAnsi" w:hAnsiTheme="minorHAnsi" w:cs="Times New Roman"/>
      <w:sz w:val="20"/>
    </w:rPr>
  </w:style>
  <w:style w:type="paragraph" w:styleId="TOC6">
    <w:name w:val="toc 6"/>
    <w:basedOn w:val="Normal"/>
    <w:next w:val="Normal"/>
    <w:autoRedefine/>
    <w:uiPriority w:val="39"/>
    <w:semiHidden/>
    <w:unhideWhenUsed/>
    <w:rsid w:val="00E515C1"/>
    <w:pPr>
      <w:spacing w:after="0"/>
      <w:ind w:left="1200"/>
    </w:pPr>
    <w:rPr>
      <w:rFonts w:asciiTheme="minorHAnsi" w:hAnsiTheme="minorHAnsi" w:cs="Times New Roman"/>
      <w:sz w:val="20"/>
    </w:rPr>
  </w:style>
  <w:style w:type="paragraph" w:styleId="TOC7">
    <w:name w:val="toc 7"/>
    <w:basedOn w:val="Normal"/>
    <w:next w:val="Normal"/>
    <w:autoRedefine/>
    <w:uiPriority w:val="39"/>
    <w:semiHidden/>
    <w:unhideWhenUsed/>
    <w:rsid w:val="00E515C1"/>
    <w:pPr>
      <w:spacing w:after="0"/>
      <w:ind w:left="1440"/>
    </w:pPr>
    <w:rPr>
      <w:rFonts w:asciiTheme="minorHAnsi" w:hAnsiTheme="minorHAnsi" w:cs="Times New Roman"/>
      <w:sz w:val="20"/>
    </w:rPr>
  </w:style>
  <w:style w:type="paragraph" w:styleId="TOC8">
    <w:name w:val="toc 8"/>
    <w:basedOn w:val="Normal"/>
    <w:next w:val="Normal"/>
    <w:autoRedefine/>
    <w:uiPriority w:val="39"/>
    <w:semiHidden/>
    <w:unhideWhenUsed/>
    <w:rsid w:val="00E515C1"/>
    <w:pPr>
      <w:spacing w:after="0"/>
      <w:ind w:left="1680"/>
    </w:pPr>
    <w:rPr>
      <w:rFonts w:asciiTheme="minorHAnsi" w:hAnsiTheme="minorHAnsi" w:cs="Times New Roman"/>
      <w:sz w:val="20"/>
    </w:rPr>
  </w:style>
  <w:style w:type="paragraph" w:styleId="TOC9">
    <w:name w:val="toc 9"/>
    <w:basedOn w:val="Normal"/>
    <w:next w:val="Normal"/>
    <w:autoRedefine/>
    <w:uiPriority w:val="39"/>
    <w:semiHidden/>
    <w:unhideWhenUsed/>
    <w:rsid w:val="00E515C1"/>
    <w:pPr>
      <w:spacing w:after="0"/>
      <w:ind w:left="1920"/>
    </w:pPr>
    <w:rPr>
      <w:rFonts w:asciiTheme="minorHAnsi" w:hAnsiTheme="minorHAnsi" w:cs="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D648B-400A-B24E-BB62-E7ED4E08F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2399</Words>
  <Characters>13676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Olukayode Michael Santana (25126602)</dc:creator>
  <cp:keywords/>
  <dc:description/>
  <cp:lastModifiedBy>Aatiqa Rehmani</cp:lastModifiedBy>
  <cp:revision>2</cp:revision>
  <dcterms:created xsi:type="dcterms:W3CDTF">2026-07-23T00:56:00Z</dcterms:created>
  <dcterms:modified xsi:type="dcterms:W3CDTF">2026-07-23T00:56:00Z</dcterms:modified>
</cp:coreProperties>
</file>