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keepNext w:val="true"/>
        <w:keepLines w:val="true"/>
        <w:spacing w:before="240" w:after="0" w:line="360"/>
        <w:ind w:right="0" w:left="0" w:firstLine="0"/>
        <w:jc w:val="center"/>
        <w:rPr>
          <w:rFonts w:ascii="Arial" w:hAnsi="Arial" w:cs="Arial" w:eastAsia="Arial"/>
          <w:b/>
          <w:color w:val="000000"/>
          <w:spacing w:val="0"/>
          <w:position w:val="0"/>
          <w:sz w:val="28"/>
          <w:shd w:fill="auto" w:val="clear"/>
        </w:rPr>
      </w:pPr>
      <w:r>
        <w:rPr>
          <w:rFonts w:ascii="Arial" w:hAnsi="Arial" w:cs="Arial" w:eastAsia="Arial"/>
          <w:color w:val="000000"/>
          <w:spacing w:val="0"/>
          <w:position w:val="0"/>
          <w:sz w:val="28"/>
          <w:shd w:fill="auto" w:val="clear"/>
        </w:rPr>
        <w:t xml:space="preserve">University of Wales Trinity Saint David University</w:t>
      </w:r>
    </w:p>
    <w:p>
      <w:pPr>
        <w:spacing w:before="0" w:after="0" w:line="360"/>
        <w:ind w:right="0" w:left="0" w:firstLine="0"/>
        <w:jc w:val="left"/>
        <w:rPr>
          <w:rFonts w:ascii="Arial" w:hAnsi="Arial" w:cs="Arial" w:eastAsia="Arial"/>
          <w:b/>
          <w:color w:val="auto"/>
          <w:spacing w:val="0"/>
          <w:position w:val="0"/>
          <w:sz w:val="32"/>
          <w:shd w:fill="auto" w:val="clear"/>
        </w:rPr>
      </w:pPr>
    </w:p>
    <w:p>
      <w:pPr>
        <w:spacing w:before="100" w:after="100" w:line="24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w:t>
      </w:r>
    </w:p>
    <w:p>
      <w:pPr>
        <w:spacing w:before="100" w:after="100" w:line="24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Academic And Employability Skills</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Arial" w:hAnsi="Arial" w:cs="Arial" w:eastAsia="Arial"/>
          <w:b/>
          <w:color w:val="auto"/>
          <w:spacing w:val="0"/>
          <w:position w:val="0"/>
          <w:sz w:val="22"/>
          <w:shd w:fill="auto" w:val="clear"/>
        </w:rPr>
        <w:t xml:space="preserve">BMSW4001</w:t>
      </w:r>
    </w:p>
    <w:p>
      <w:pPr>
        <w:spacing w:before="100" w:after="100" w:line="240"/>
        <w:ind w:right="0" w:left="0" w:firstLine="0"/>
        <w:jc w:val="both"/>
        <w:rPr>
          <w:rFonts w:ascii="Arial" w:hAnsi="Arial" w:cs="Arial" w:eastAsia="Arial"/>
          <w:b/>
          <w:color w:val="auto"/>
          <w:spacing w:val="0"/>
          <w:position w:val="0"/>
          <w:sz w:val="32"/>
          <w:shd w:fill="auto" w:val="clear"/>
        </w:rPr>
      </w:pPr>
    </w:p>
    <w:p>
      <w:pPr>
        <w:spacing w:before="100" w:after="100" w:line="240"/>
        <w:ind w:right="0" w:left="0" w:firstLine="0"/>
        <w:jc w:val="left"/>
        <w:rPr>
          <w:rFonts w:ascii="Arial" w:hAnsi="Arial" w:cs="Arial" w:eastAsia="Arial"/>
          <w:b/>
          <w:color w:val="auto"/>
          <w:spacing w:val="0"/>
          <w:position w:val="0"/>
          <w:sz w:val="56"/>
          <w:shd w:fill="auto" w:val="clear"/>
        </w:rPr>
      </w:pPr>
    </w:p>
    <w:p>
      <w:pPr>
        <w:spacing w:before="100" w:after="100" w:line="240"/>
        <w:ind w:right="0" w:left="0" w:firstLine="0"/>
        <w:jc w:val="center"/>
        <w:rPr>
          <w:rFonts w:ascii="Arial" w:hAnsi="Arial" w:cs="Arial" w:eastAsia="Arial"/>
          <w:b/>
          <w:color w:val="auto"/>
          <w:spacing w:val="0"/>
          <w:position w:val="0"/>
          <w:sz w:val="56"/>
          <w:shd w:fill="auto" w:val="clear"/>
        </w:rPr>
      </w:pPr>
      <w:r>
        <w:rPr>
          <w:rFonts w:ascii="Arial" w:hAnsi="Arial" w:cs="Arial" w:eastAsia="Arial"/>
          <w:b/>
          <w:color w:val="auto"/>
          <w:spacing w:val="0"/>
          <w:position w:val="0"/>
          <w:sz w:val="56"/>
          <w:shd w:fill="auto" w:val="clear"/>
        </w:rPr>
        <w:t xml:space="preserve">ACE Practical Portfolio</w:t>
      </w:r>
    </w:p>
    <w:p>
      <w:pPr>
        <w:spacing w:before="100" w:after="100" w:line="240"/>
        <w:ind w:right="0" w:left="0" w:firstLine="0"/>
        <w:jc w:val="center"/>
        <w:rPr>
          <w:rFonts w:ascii="Times New Roman" w:hAnsi="Times New Roman" w:cs="Times New Roman" w:eastAsia="Times New Roman"/>
          <w:color w:val="auto"/>
          <w:spacing w:val="0"/>
          <w:position w:val="0"/>
          <w:sz w:val="56"/>
          <w:shd w:fill="auto" w:val="clear"/>
        </w:rPr>
      </w:pPr>
      <w:r>
        <w:rPr>
          <w:rFonts w:ascii="Arial" w:hAnsi="Arial" w:cs="Arial" w:eastAsia="Arial"/>
          <w:b/>
          <w:color w:val="auto"/>
          <w:spacing w:val="0"/>
          <w:position w:val="0"/>
          <w:sz w:val="56"/>
          <w:shd w:fill="auto" w:val="clear"/>
        </w:rPr>
        <w:t xml:space="preserve">Report</w:t>
      </w:r>
    </w:p>
    <w:p>
      <w:pPr>
        <w:spacing w:before="100" w:after="100" w:line="240"/>
        <w:ind w:right="0" w:left="0" w:firstLine="0"/>
        <w:jc w:val="center"/>
        <w:rPr>
          <w:rFonts w:ascii="Times New Roman" w:hAnsi="Times New Roman" w:cs="Times New Roman" w:eastAsia="Times New Roman"/>
          <w:color w:val="auto"/>
          <w:spacing w:val="0"/>
          <w:position w:val="0"/>
          <w:sz w:val="40"/>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8"/>
          <w:shd w:fill="auto" w:val="clear"/>
        </w:rPr>
      </w:pPr>
    </w:p>
    <w:p>
      <w:pPr>
        <w:spacing w:before="0" w:after="0" w:line="360"/>
        <w:ind w:right="0" w:left="0" w:firstLine="0"/>
        <w:jc w:val="left"/>
        <w:rPr>
          <w:rFonts w:ascii="Arial" w:hAnsi="Arial" w:cs="Arial" w:eastAsia="Arial"/>
          <w:color w:val="auto"/>
          <w:spacing w:val="0"/>
          <w:position w:val="0"/>
          <w:sz w:val="28"/>
          <w:shd w:fill="auto" w:val="clear"/>
        </w:rPr>
      </w:pPr>
    </w:p>
    <w:p>
      <w:pPr>
        <w:spacing w:before="0" w:after="0" w:line="360"/>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Student: Nicusor-Constantin Nicolae</w:t>
      </w:r>
    </w:p>
    <w:p>
      <w:pPr>
        <w:spacing w:before="0" w:after="0" w:line="360"/>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Student ID number: 2113310</w:t>
      </w:r>
    </w:p>
    <w:p>
      <w:pPr>
        <w:spacing w:before="0" w:after="0" w:line="360"/>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Lecture Name: JOANNA WALSH</w:t>
      </w:r>
    </w:p>
    <w:p>
      <w:pPr>
        <w:spacing w:before="100" w:after="100" w:line="240"/>
        <w:ind w:right="0" w:left="0" w:firstLine="0"/>
        <w:jc w:val="left"/>
        <w:rPr>
          <w:rFonts w:ascii="Arial" w:hAnsi="Arial" w:cs="Arial" w:eastAsia="Arial"/>
          <w:color w:val="auto"/>
          <w:spacing w:val="0"/>
          <w:position w:val="0"/>
          <w:sz w:val="28"/>
          <w:shd w:fill="auto" w:val="clear"/>
        </w:rPr>
      </w:pPr>
    </w:p>
    <w:p>
      <w:pPr>
        <w:spacing w:before="100" w:after="100" w:line="240"/>
        <w:ind w:right="0" w:left="0" w:firstLine="0"/>
        <w:jc w:val="left"/>
        <w:rPr>
          <w:rFonts w:ascii="Arial" w:hAnsi="Arial" w:cs="Arial" w:eastAsia="Arial"/>
          <w:color w:val="auto"/>
          <w:spacing w:val="0"/>
          <w:position w:val="0"/>
          <w:sz w:val="28"/>
          <w:shd w:fill="auto" w:val="clear"/>
        </w:rPr>
      </w:pPr>
    </w:p>
    <w:p>
      <w:pPr>
        <w:spacing w:before="0" w:after="0" w:line="360"/>
        <w:ind w:right="0" w:left="0" w:firstLine="0"/>
        <w:jc w:val="center"/>
        <w:rPr>
          <w:rFonts w:ascii="Arial" w:hAnsi="Arial" w:cs="Arial" w:eastAsia="Arial"/>
          <w:b/>
          <w:color w:val="auto"/>
          <w:spacing w:val="0"/>
          <w:position w:val="0"/>
          <w:sz w:val="32"/>
          <w:shd w:fill="auto" w:val="clear"/>
        </w:rPr>
      </w:pP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Arial" w:hAnsi="Arial" w:cs="Arial" w:eastAsia="Arial"/>
          <w:b/>
          <w:color w:val="auto"/>
          <w:spacing w:val="0"/>
          <w:position w:val="0"/>
          <w:sz w:val="22"/>
          <w:shd w:fill="auto" w:val="clear"/>
        </w:rPr>
      </w:pPr>
    </w:p>
    <w:p>
      <w:pPr>
        <w:keepNext w:val="true"/>
        <w:keepLines w:val="true"/>
        <w:spacing w:before="400" w:after="12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Introduction</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assessment report is related to the academic and employability skills module by using a reflection model. Academic skills are a collection of skills that are used by students and learners to perform better in academics. These skills are necessary for students to learn and improve over the period for continuous development. Various academic skills are used for future career prospects such as time management, and public speaking. Employability skills are the attributes which provide individuals an advantage in getting and retaining a job. Through this report, different academic and employability skills are discussed through a reflection model. The objective of this module is learning and researching employability and academic skills and reflecting the learnings through Gibb’s reflection model. </w:t>
      </w:r>
    </w:p>
    <w:p>
      <w:pPr>
        <w:keepNext w:val="true"/>
        <w:keepLines w:val="true"/>
        <w:spacing w:before="400" w:after="12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Reflection</w:t>
      </w:r>
    </w:p>
    <w:p>
      <w:pPr>
        <w:keepNext w:val="true"/>
        <w:keepLines w:val="true"/>
        <w:spacing w:before="360" w:after="12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Time Management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Time management skills are essential for productivity, and efficiency. Time management skills help in goal setting, planning tasks and activities, prioritising tasks, and making effective use of time. According to </w:t>
      </w:r>
      <w:r>
        <w:rPr>
          <w:rFonts w:ascii="Arial" w:hAnsi="Arial" w:cs="Arial" w:eastAsia="Arial"/>
          <w:color w:val="222222"/>
          <w:spacing w:val="0"/>
          <w:position w:val="0"/>
          <w:sz w:val="22"/>
          <w:shd w:fill="FFFFFF" w:val="clear"/>
        </w:rPr>
        <w:t xml:space="preserve">Afsaneh (2019) and Bahadir (2018), time management</w:t>
      </w:r>
      <w:r>
        <w:rPr>
          <w:rFonts w:ascii="Arial" w:hAnsi="Arial" w:cs="Arial" w:eastAsia="Arial"/>
          <w:color w:val="auto"/>
          <w:spacing w:val="0"/>
          <w:position w:val="0"/>
          <w:sz w:val="22"/>
          <w:shd w:fill="auto" w:val="clear"/>
        </w:rPr>
        <w:t xml:space="preserve"> skills are necessary for both learners and professionals. Time management is one of the most important skills that I have learned during the module, and its usefulness is reflected by the following points through Gibb’s reflection model. During the module it was difficult for me to manage the time as there were many tasks and activities, managing education, self-study, hobbies, preparing for tests, among other things. I want to make better use of my time, so I used time management skills such as the Eisenhower time management model for identifying important tasks which require immediate focus, while focusing on other activities according to priority. I also used another time management tool named Pomodoro method to increase my work efficiency by taking a short break after working for a specific time and taking a long break after working for two or three hours. I experienced that I was able to be more productive using time management skills and received a positive response from others.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From this time management skill, I learnt that it is important to complete the task, otherwise procrastinating will only cause problems when the task becomes a Priority, and I will have to complete the task urgently. Completing the task in a smaller span of time can lower the quality of the activity and the result it obtains will not be satisfactory. Thus, it was important for me to understand the importance of time management, otherwise it can give rise to broader issues in the future. I believe that I was able to rectify the situation regarding time management better. However, there is still scope for improving time management skills and effective and productive use of time. Effective time management skills will not only help for better time management, but it will also provide me time for recreation activities, self-study, spending time with family and friends, and in short time for creativity and habits. Time management tools and techniques such as the Eisenhower method, and pomodoro method technique have helped me to make better use of time successfully. Time management skill can help to overcome procrastination and prioritise tasks and activities important for academic and career. </w:t>
      </w:r>
    </w:p>
    <w:p>
      <w:pPr>
        <w:spacing w:before="0" w:after="0" w:line="360"/>
        <w:ind w:right="0" w:left="0" w:firstLine="0"/>
        <w:jc w:val="center"/>
        <w:rPr>
          <w:rFonts w:ascii="Arial" w:hAnsi="Arial" w:cs="Arial" w:eastAsia="Arial"/>
          <w:b/>
          <w:color w:val="auto"/>
          <w:spacing w:val="0"/>
          <w:position w:val="0"/>
          <w:sz w:val="22"/>
          <w:shd w:fill="auto" w:val="clear"/>
        </w:rPr>
      </w:pPr>
      <w:r>
        <w:object w:dxaOrig="8664" w:dyaOrig="6412">
          <v:rect xmlns:o="urn:schemas-microsoft-com:office:office" xmlns:v="urn:schemas-microsoft-com:vml" id="rectole0000000000" style="width:433.200000pt;height:320.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1: Eisenhower time management technique matrix</w:t>
      </w: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(Source: </w:t>
      </w:r>
      <w:r>
        <w:rPr>
          <w:rFonts w:ascii="Arial" w:hAnsi="Arial" w:cs="Arial" w:eastAsia="Arial"/>
          <w:color w:val="222222"/>
          <w:spacing w:val="0"/>
          <w:position w:val="0"/>
          <w:sz w:val="22"/>
          <w:shd w:fill="FFFFFF" w:val="clear"/>
        </w:rPr>
        <w:t xml:space="preserve">Afsaneh, 2019)</w:t>
      </w:r>
    </w:p>
    <w:p>
      <w:pPr>
        <w:spacing w:before="0" w:after="0" w:line="360"/>
        <w:ind w:right="0" w:left="0" w:firstLine="0"/>
        <w:jc w:val="center"/>
        <w:rPr>
          <w:rFonts w:ascii="Arial" w:hAnsi="Arial" w:cs="Arial" w:eastAsia="Arial"/>
          <w:b/>
          <w:color w:val="auto"/>
          <w:spacing w:val="0"/>
          <w:position w:val="0"/>
          <w:sz w:val="22"/>
          <w:shd w:fill="auto" w:val="clear"/>
        </w:rPr>
      </w:pPr>
      <w:r>
        <w:object w:dxaOrig="8664" w:dyaOrig="4876">
          <v:rect xmlns:o="urn:schemas-microsoft-com:office:office" xmlns:v="urn:schemas-microsoft-com:vml" id="rectole0000000001" style="width:433.200000pt;height:243.8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2: Pomodoro technique for time management</w:t>
      </w: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(Source: </w:t>
      </w:r>
      <w:r>
        <w:rPr>
          <w:rFonts w:ascii="Arial" w:hAnsi="Arial" w:cs="Arial" w:eastAsia="Arial"/>
          <w:color w:val="auto"/>
          <w:spacing w:val="0"/>
          <w:position w:val="0"/>
          <w:sz w:val="22"/>
          <w:shd w:fill="auto" w:val="clear"/>
        </w:rPr>
        <w:t xml:space="preserve"> </w:t>
      </w:r>
      <w:r>
        <w:rPr>
          <w:rFonts w:ascii="Arial" w:hAnsi="Arial" w:cs="Arial" w:eastAsia="Arial"/>
          <w:color w:val="222222"/>
          <w:spacing w:val="0"/>
          <w:position w:val="0"/>
          <w:sz w:val="22"/>
          <w:shd w:fill="FFFFFF" w:val="clear"/>
        </w:rPr>
        <w:t xml:space="preserve">Bahadir, 2018)</w:t>
      </w:r>
    </w:p>
    <w:p>
      <w:pPr>
        <w:keepNext w:val="true"/>
        <w:keepLines w:val="true"/>
        <w:spacing w:before="360" w:after="12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Summarising</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Summarising skills is an important skill used by learners and students to present their understanding and learnings by framing and identifying concepts and key facts. Summarising of learning helps in retaining the information in a concise manner. Summarising encourages focus and helps to retain the key points of any subject. A brief summary of any concept helps readers to obtain a basic idea of the concept in a simple way. According to Cooney, Darcy, and Casey (2018), summarising is an important attribute that helps students to analyse and improve the writing skill by interpreting the concepts. The experience of learning and developing summarising skills during the module is reflected by using Gibbs. reflective model, as presented to the given elements: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Summarising is an essential attribute that reflects learning and understanding of different concepts and context related to issues and subjects. It enhances focus and improves writing skills which are essential for students and working professionals. For improving summarising skills different summarising tools can be used such as mind maps which connect any topic with the key points and helps in retaining the information in a simple and concise manner. During the module, while working on making notes, I felt that with summarising skills I will be able to create a brief note of the learning which will be easy for me to revise during test as the key points of the subject will be emphasized</w:t>
      </w:r>
      <w:r>
        <w:rPr>
          <w:rFonts w:ascii="Arial" w:hAnsi="Arial" w:cs="Arial" w:eastAsia="Arial"/>
          <w:i/>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in the summary for learning summarising skills it is important to read more to understand the subject and get a better insight of the related concepts. To improve my summarising skills, I read books related to any topic I was learning and developed a better understanding of the concepts. I was able to notice the changes in my writings as I was able to perform better in academics by retaining the important points. When I was concentrating on improving summarising skills, I wanted to improve my performance in academics and get better results. For enhancing my knowledge and retaining the learning summarising skills helped in providing a brief detail of the concepts and this helped me to perform better in my tests and examinations. The process of developing summarising skills required extensive reading of the concept, which helped in enhancing and improving concepts (</w:t>
      </w:r>
      <w:r>
        <w:rPr>
          <w:rFonts w:ascii="Arial" w:hAnsi="Arial" w:cs="Arial" w:eastAsia="Arial"/>
          <w:color w:val="222222"/>
          <w:spacing w:val="0"/>
          <w:position w:val="0"/>
          <w:sz w:val="22"/>
          <w:shd w:fill="FFFFFF" w:val="clear"/>
        </w:rPr>
        <w:t xml:space="preserve">Cooney, 2018)</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Summarising skill is an important academic skill which acts as a guide to build better understanding and knowledge of the subject, strengthen and enhance vocabulary, improve writing skills, and the greatest benefit of summarising skill is creating summarised, and short notes of different concepts which make it easier to revise and practice related learning (</w:t>
      </w:r>
      <w:r>
        <w:rPr>
          <w:rFonts w:ascii="Arial" w:hAnsi="Arial" w:cs="Arial" w:eastAsia="Arial"/>
          <w:color w:val="222222"/>
          <w:spacing w:val="0"/>
          <w:position w:val="0"/>
          <w:sz w:val="22"/>
          <w:shd w:fill="FFFFFF" w:val="clear"/>
        </w:rPr>
        <w:t xml:space="preserve">Coullie, 2020).</w:t>
      </w:r>
      <w:r>
        <w:rPr>
          <w:rFonts w:ascii="Arial" w:hAnsi="Arial" w:cs="Arial" w:eastAsia="Arial"/>
          <w:color w:val="auto"/>
          <w:spacing w:val="0"/>
          <w:position w:val="0"/>
          <w:sz w:val="22"/>
          <w:shd w:fill="auto" w:val="clear"/>
        </w:rPr>
        <w:t xml:space="preserve"> Summarising skill can further be improved by understanding the theme, analysing text, identifying important points, following arguments, and differentiating opinions and facts. In my opinion, my summarising skills have improved and developed but I believe that I can further improve my summarising skills by increased reading comprehension and using tools for developing summarising skills. </w:t>
      </w:r>
    </w:p>
    <w:p>
      <w:pPr>
        <w:keepNext w:val="true"/>
        <w:keepLines w:val="true"/>
        <w:spacing w:before="360" w:after="12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Academic writing</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Academic learning is important for developing the academic career of students (</w:t>
      </w:r>
      <w:r>
        <w:rPr>
          <w:rFonts w:ascii="Arial" w:hAnsi="Arial" w:cs="Arial" w:eastAsia="Arial"/>
          <w:color w:val="222222"/>
          <w:spacing w:val="0"/>
          <w:position w:val="0"/>
          <w:sz w:val="22"/>
          <w:shd w:fill="FFFFFF" w:val="clear"/>
        </w:rPr>
        <w:t xml:space="preserve">Nazligul et al. 2017)</w:t>
      </w:r>
      <w:r>
        <w:rPr>
          <w:rFonts w:ascii="Arial" w:hAnsi="Arial" w:cs="Arial" w:eastAsia="Arial"/>
          <w:color w:val="auto"/>
          <w:spacing w:val="0"/>
          <w:position w:val="0"/>
          <w:sz w:val="22"/>
          <w:shd w:fill="auto" w:val="clear"/>
        </w:rPr>
        <w:t xml:space="preserve">. It plays a key role for students and learners to share and discuss information with instructors and tutors. According to Siti Johari (2018), academic writing is very important for students in tertiary level academic curriculum. Academic writing is considered as an important skill for success in academics and it is a major requirement for many professions and occupations. Academic writing skills are helpful for the students as it enables them to convey their required knowledge by analysing, understanding, focusing on style and method. It helps to foster the capability of explaining ideas and it is a basic skill for communication, it is fundamentally used in education institutions for judging learning and knowledge of students and learners (</w:t>
      </w:r>
      <w:r>
        <w:rPr>
          <w:rFonts w:ascii="Arial" w:hAnsi="Arial" w:cs="Arial" w:eastAsia="Arial"/>
          <w:color w:val="222222"/>
          <w:spacing w:val="0"/>
          <w:position w:val="0"/>
          <w:sz w:val="22"/>
          <w:shd w:fill="FFFFFF" w:val="clear"/>
        </w:rPr>
        <w:t xml:space="preserve">Mallia, 2017)</w:t>
      </w:r>
      <w:r>
        <w:rPr>
          <w:rFonts w:ascii="Arial" w:hAnsi="Arial" w:cs="Arial" w:eastAsia="Arial"/>
          <w:color w:val="auto"/>
          <w:spacing w:val="0"/>
          <w:position w:val="0"/>
          <w:sz w:val="22"/>
          <w:shd w:fill="auto" w:val="clear"/>
        </w:rPr>
        <w:t xml:space="preserve">. During my academic curriculum I learned that academic skill is essential for developing the academic career of students. I realised this when during tests and grading of assessment, we were marked on the quality of our academic writing. The fact that developing academic writing can help me to improve my performance in my academic curriculum and learning and developing academic writing skills will help me to create a robust academic integrity compelled me to work on my academic skills. I noticed that academic writing is different from other writings. In academic writing there is more focus on maintaining formality, precision, clarity, evidencing, and focusing on providing relevant information about the subject.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obtaining knowledge on academic writing, it was important to understand the subject and work on language skills to enhance understanding to build theory. From analysing academic writing skills, I found that it is important for an academic writing piece to have a specific structure, critical thinking, evidencing the information obtained from different sources, using clear language, precision, objective, and most importantly maintaining a formal tone in the writings (</w:t>
      </w:r>
      <w:r>
        <w:rPr>
          <w:rFonts w:ascii="Arial" w:hAnsi="Arial" w:cs="Arial" w:eastAsia="Arial"/>
          <w:color w:val="222222"/>
          <w:spacing w:val="0"/>
          <w:position w:val="0"/>
          <w:sz w:val="22"/>
          <w:shd w:fill="FFFFFF" w:val="clear"/>
        </w:rPr>
        <w:t xml:space="preserve">Ivanova et al. 2020)</w:t>
      </w:r>
      <w:r>
        <w:rPr>
          <w:rFonts w:ascii="Arial" w:hAnsi="Arial" w:cs="Arial" w:eastAsia="Arial"/>
          <w:color w:val="auto"/>
          <w:spacing w:val="0"/>
          <w:position w:val="0"/>
          <w:sz w:val="22"/>
          <w:shd w:fill="auto" w:val="clear"/>
        </w:rPr>
        <w:t xml:space="preserve">. From my learning experience, in my opinion critical thinking, researching skills and analytical skills are crucial for developing academic writing skills. Academic writing requires students to conduct independent research and obtain information from different sources regarding the topic. There are some positive and negative aspects of different topics from different perspectives. In academic writing it is important to provide information from different perspectives on the writings to avoid bias (</w:t>
      </w:r>
      <w:r>
        <w:rPr>
          <w:rFonts w:ascii="Arial" w:hAnsi="Arial" w:cs="Arial" w:eastAsia="Arial"/>
          <w:color w:val="222222"/>
          <w:spacing w:val="0"/>
          <w:position w:val="0"/>
          <w:sz w:val="22"/>
          <w:shd w:fill="FFFFFF" w:val="clear"/>
        </w:rPr>
        <w:t xml:space="preserve">Boyle, Ramsay and Struan, 2019)</w:t>
      </w:r>
      <w:r>
        <w:rPr>
          <w:rFonts w:ascii="Arial" w:hAnsi="Arial" w:cs="Arial" w:eastAsia="Arial"/>
          <w:color w:val="auto"/>
          <w:spacing w:val="0"/>
          <w:position w:val="0"/>
          <w:sz w:val="22"/>
          <w:shd w:fill="auto" w:val="clear"/>
        </w:rPr>
        <w:t xml:space="preserve">. This will help in creating a broader perspective. The positive impact of academic writing for students is that this skill enhances report writing, assessment writing which are required for both academic curriculum and employability. There are only a few negative aspects of academic writing, namely the process of researching and obtaining information can be tedious and time-consuming. </w:t>
      </w:r>
    </w:p>
    <w:p>
      <w:pPr>
        <w:keepNext w:val="true"/>
        <w:keepLines w:val="true"/>
        <w:spacing w:before="360" w:after="12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Public speaking and presentation skills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Public speaking and presentation skills are important academic skills which are not only relevant for students, but it is also essential for working professionals. To determine the relevance of public speaking and presentation skills, I have used Gibb’s reflection cycle Tu to present my reflection on the subject. I believe that public speaking and presentation skills can be acquired by strengthening concepts on the related topic that I may have to speak in front of the class or to the public. Presentation skills and public speaking skills required enhanced oratory skills in order to provide the audience information that they are able to understand and retain (</w:t>
      </w:r>
      <w:r>
        <w:rPr>
          <w:rFonts w:ascii="Arial" w:hAnsi="Arial" w:cs="Arial" w:eastAsia="Arial"/>
          <w:color w:val="222222"/>
          <w:spacing w:val="0"/>
          <w:position w:val="0"/>
          <w:sz w:val="22"/>
          <w:shd w:fill="FFFFFF" w:val="clear"/>
        </w:rPr>
        <w:t xml:space="preserve">Prahmana, 2017)</w:t>
      </w:r>
      <w:r>
        <w:rPr>
          <w:rFonts w:ascii="Arial" w:hAnsi="Arial" w:cs="Arial" w:eastAsia="Arial"/>
          <w:color w:val="auto"/>
          <w:spacing w:val="0"/>
          <w:position w:val="0"/>
          <w:sz w:val="22"/>
          <w:shd w:fill="auto" w:val="clear"/>
        </w:rPr>
        <w:t xml:space="preserve">. I found that I have some issues while speaking in public when the focus of the people is on me, and I have experienced similar issues while presenting during educational activities. As both these skills are crucial for academic and future prospects, I wanted to develop these skills. I found that the issue due to which I was not able to perform satisfactorily while public speaking and presentation are confidence and verbal communication. To develop and improve confidence I created a timetable for four weeks to improve my confidence and verbal communication (</w:t>
      </w:r>
      <w:r>
        <w:rPr>
          <w:rFonts w:ascii="Arial" w:hAnsi="Arial" w:cs="Arial" w:eastAsia="Arial"/>
          <w:color w:val="222222"/>
          <w:spacing w:val="0"/>
          <w:position w:val="0"/>
          <w:sz w:val="22"/>
          <w:shd w:fill="FFFFFF" w:val="clear"/>
        </w:rPr>
        <w:t xml:space="preserve">Dansieh 2021) and a PHP plan for development</w:t>
      </w:r>
      <w:r>
        <w:rPr>
          <w:rFonts w:ascii="Arial" w:hAnsi="Arial" w:cs="Arial" w:eastAsia="Arial"/>
          <w:color w:val="auto"/>
          <w:spacing w:val="0"/>
          <w:position w:val="0"/>
          <w:sz w:val="22"/>
          <w:shd w:fill="auto" w:val="clear"/>
        </w:rPr>
        <w:t xml:space="preserve">. I have taken certain activities to develop my potential to increase my confidence and communication skills for a competitive and enthusiastic future.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While public speaking the topic on which I will be speaking on should be clear to me.  By preparing a summarised note of the subject I will be able to quickly go through the key points of the subject and organise my thoughts to deliver clear and precise statements. I intend to follow the similar method for presentation skill, when I will be presenting the topic to the audience and after the presentation skill during the question-and-answer time while addressing the questions of the audience. To work on developing confidence and self-esteem, I focused mostly on practicing the topic by myself and in front of my friends so that it could perform better while public speaking and presentation (</w:t>
      </w:r>
      <w:r>
        <w:rPr>
          <w:rFonts w:ascii="Arial" w:hAnsi="Arial" w:cs="Arial" w:eastAsia="Arial"/>
          <w:color w:val="222222"/>
          <w:spacing w:val="0"/>
          <w:position w:val="0"/>
          <w:sz w:val="22"/>
          <w:shd w:fill="FFFFFF" w:val="clear"/>
        </w:rPr>
        <w:t xml:space="preserve">Raja,</w:t>
      </w:r>
      <w:r>
        <w:rPr>
          <w:rFonts w:ascii="Arial" w:hAnsi="Arial" w:cs="Arial" w:eastAsia="Arial"/>
          <w:color w:val="auto"/>
          <w:spacing w:val="0"/>
          <w:position w:val="0"/>
          <w:sz w:val="22"/>
          <w:shd w:fill="auto" w:val="clear"/>
        </w:rPr>
        <w:t xml:space="preserve"> 2017) </w:t>
      </w:r>
    </w:p>
    <w:p>
      <w:pPr>
        <w:keepNext w:val="true"/>
        <w:keepLines w:val="true"/>
        <w:spacing w:before="400" w:after="12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Conclusion </w:t>
      </w:r>
    </w:p>
    <w:p>
      <w:pPr>
        <w:keepNext w:val="true"/>
        <w:keepLines w:val="true"/>
        <w:spacing w:before="400" w:after="12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From the above discussions, it can be regarded that the different academic and employability skills used by students and working professionals are essential for providing better performance in the related field. Time management skills, summarising skills, academic writing, public speaking and presentation skills are important attributes that help students and learners to develop and enhance their learnings, confidence, self-esteem, confidence, and creating a positive attitude towards task and activity. These skills enable students to be more productive and efficient in their academic curriculums and create the attributes that are highly valued in academics and professional careers. Time management skills help for better and efficient utilisation of time, academic writing skills help in preparing and working on reports and assessments, summarising skills assist in writing better answers in tests and examinations, and to create efficient note making for revisioning topics. Lastly, public speaking and presentation skills are essential for presenting one’s thoughts and ideas to the audience with confidence.</w:t>
        <w:t xml:space="preserve"> </w:t>
      </w:r>
    </w:p>
    <w:p>
      <w:pPr>
        <w:spacing w:before="0" w:after="0" w:line="360"/>
        <w:ind w:right="0" w:left="0" w:firstLine="0"/>
        <w:jc w:val="both"/>
        <w:rPr>
          <w:rFonts w:ascii="Arial" w:hAnsi="Arial" w:cs="Arial" w:eastAsia="Arial"/>
          <w:color w:val="auto"/>
          <w:spacing w:val="0"/>
          <w:position w:val="0"/>
          <w:sz w:val="22"/>
          <w:shd w:fill="auto" w:val="clear"/>
        </w:rPr>
      </w:pPr>
    </w:p>
    <w:p>
      <w:pPr>
        <w:keepNext w:val="true"/>
        <w:keepLines w:val="true"/>
        <w:spacing w:before="400" w:after="12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References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Afsaneh, H.R., Gunnel, J., Suzanne, W. and Kajsa, L.H., (2019). ‘Time management skills in relation to general self-efficacy and parental sense of competence in individuals with and without cognitive disabilities’. </w:t>
      </w:r>
      <w:r>
        <w:rPr>
          <w:rFonts w:ascii="Arial" w:hAnsi="Arial" w:cs="Arial" w:eastAsia="Arial"/>
          <w:i/>
          <w:color w:val="auto"/>
          <w:spacing w:val="0"/>
          <w:position w:val="0"/>
          <w:sz w:val="22"/>
          <w:shd w:fill="auto" w:val="clear"/>
        </w:rPr>
        <w:t xml:space="preserve">Cogent Psychology</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6</w:t>
      </w:r>
      <w:r>
        <w:rPr>
          <w:rFonts w:ascii="Arial" w:hAnsi="Arial" w:cs="Arial" w:eastAsia="Arial"/>
          <w:color w:val="auto"/>
          <w:spacing w:val="0"/>
          <w:position w:val="0"/>
          <w:sz w:val="22"/>
          <w:shd w:fill="auto" w:val="clear"/>
        </w:rPr>
        <w:t xml:space="preserve">(1), p.1655981.</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Bahadir, Z., (2018). ‘Reviewing Emotional Intelligence Levels and Time Management Skills among Students of School of Physical Education and Sports’. </w:t>
      </w:r>
      <w:r>
        <w:rPr>
          <w:rFonts w:ascii="Arial" w:hAnsi="Arial" w:cs="Arial" w:eastAsia="Arial"/>
          <w:i/>
          <w:color w:val="auto"/>
          <w:spacing w:val="0"/>
          <w:position w:val="0"/>
          <w:sz w:val="22"/>
          <w:shd w:fill="auto" w:val="clear"/>
        </w:rPr>
        <w:t xml:space="preserve">Journal of Education and Learning</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7</w:t>
      </w:r>
      <w:r>
        <w:rPr>
          <w:rFonts w:ascii="Arial" w:hAnsi="Arial" w:cs="Arial" w:eastAsia="Arial"/>
          <w:color w:val="auto"/>
          <w:spacing w:val="0"/>
          <w:position w:val="0"/>
          <w:sz w:val="22"/>
          <w:shd w:fill="auto" w:val="clear"/>
        </w:rPr>
        <w:t xml:space="preserve">(4), pp.114-121.</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Boyle, J., Ramsay, S. and Struan, A., (2019). ‘The Academic Writing Skills Programme: A model for technology-enhanced, blended delivery of an academic writing programme’. </w:t>
      </w:r>
      <w:r>
        <w:rPr>
          <w:rFonts w:ascii="Arial" w:hAnsi="Arial" w:cs="Arial" w:eastAsia="Arial"/>
          <w:i/>
          <w:color w:val="auto"/>
          <w:spacing w:val="0"/>
          <w:position w:val="0"/>
          <w:sz w:val="22"/>
          <w:shd w:fill="auto" w:val="clear"/>
        </w:rPr>
        <w:t xml:space="preserve">Journal of University Teaching and Learning Practice</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16</w:t>
      </w:r>
      <w:r>
        <w:rPr>
          <w:rFonts w:ascii="Arial" w:hAnsi="Arial" w:cs="Arial" w:eastAsia="Arial"/>
          <w:color w:val="auto"/>
          <w:spacing w:val="0"/>
          <w:position w:val="0"/>
          <w:sz w:val="22"/>
          <w:shd w:fill="auto" w:val="clear"/>
        </w:rPr>
        <w:t xml:space="preserve">(4), p.4.</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Cooney, A., Darcy, E. and Casey, D., (2018). ‘Integrating Reading and Writing: Supporting Students' Writing from Source’. </w:t>
      </w:r>
      <w:r>
        <w:rPr>
          <w:rFonts w:ascii="Arial" w:hAnsi="Arial" w:cs="Arial" w:eastAsia="Arial"/>
          <w:i/>
          <w:color w:val="auto"/>
          <w:spacing w:val="0"/>
          <w:position w:val="0"/>
          <w:sz w:val="22"/>
          <w:shd w:fill="auto" w:val="clear"/>
        </w:rPr>
        <w:t xml:space="preserve">Journal of University Teaching and Learning Practice</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15</w:t>
      </w:r>
      <w:r>
        <w:rPr>
          <w:rFonts w:ascii="Arial" w:hAnsi="Arial" w:cs="Arial" w:eastAsia="Arial"/>
          <w:color w:val="auto"/>
          <w:spacing w:val="0"/>
          <w:position w:val="0"/>
          <w:sz w:val="22"/>
          <w:shd w:fill="auto" w:val="clear"/>
        </w:rPr>
        <w:t xml:space="preserve">(5), p.3.</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Coullie, J.L., (2020). ‘Teaching strategies for lecturers and tutors to assist non-English mother tongue tertiary students: Summarising, paraphrasing and vocabulary enrichment’. </w:t>
      </w:r>
      <w:r>
        <w:rPr>
          <w:rFonts w:ascii="Arial" w:hAnsi="Arial" w:cs="Arial" w:eastAsia="Arial"/>
          <w:i/>
          <w:color w:val="auto"/>
          <w:spacing w:val="0"/>
          <w:position w:val="0"/>
          <w:sz w:val="22"/>
          <w:shd w:fill="auto" w:val="clear"/>
        </w:rPr>
        <w:t xml:space="preserve">South African Journal of Higher Education</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34</w:t>
      </w:r>
      <w:r>
        <w:rPr>
          <w:rFonts w:ascii="Arial" w:hAnsi="Arial" w:cs="Arial" w:eastAsia="Arial"/>
          <w:color w:val="auto"/>
          <w:spacing w:val="0"/>
          <w:position w:val="0"/>
          <w:sz w:val="22"/>
          <w:shd w:fill="auto" w:val="clear"/>
        </w:rPr>
        <w:t xml:space="preserve">(1), pp.37-56.</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Dansieh, S.A., Owusu, E. and Seidu, G.A., (2021). ‘Glossophobia: The Fear of Public Speaking in ESL Students in Ghana’. </w:t>
      </w:r>
      <w:r>
        <w:rPr>
          <w:rFonts w:ascii="Arial" w:hAnsi="Arial" w:cs="Arial" w:eastAsia="Arial"/>
          <w:i/>
          <w:color w:val="auto"/>
          <w:spacing w:val="0"/>
          <w:position w:val="0"/>
          <w:sz w:val="22"/>
          <w:shd w:fill="auto" w:val="clear"/>
        </w:rPr>
        <w:t xml:space="preserve">Language Teaching</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w:t>
      </w:r>
      <w:r>
        <w:rPr>
          <w:rFonts w:ascii="Arial" w:hAnsi="Arial" w:cs="Arial" w:eastAsia="Arial"/>
          <w:color w:val="auto"/>
          <w:spacing w:val="0"/>
          <w:position w:val="0"/>
          <w:sz w:val="22"/>
          <w:shd w:fill="auto" w:val="clear"/>
        </w:rPr>
        <w:t xml:space="preserve">(1), pp.p22-p22.</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Eldianti, D. and Harahap, H., (2021). ‘The Energetic People Development Center (EPDC) Role in Improving Public Speaking Participants Ability Program’. </w:t>
      </w:r>
      <w:r>
        <w:rPr>
          <w:rFonts w:ascii="Arial" w:hAnsi="Arial" w:cs="Arial" w:eastAsia="Arial"/>
          <w:i/>
          <w:color w:val="auto"/>
          <w:spacing w:val="0"/>
          <w:position w:val="0"/>
          <w:sz w:val="22"/>
          <w:shd w:fill="auto" w:val="clear"/>
        </w:rPr>
        <w:t xml:space="preserve">Journal of Multidisciplinary Academic</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5</w:t>
      </w:r>
      <w:r>
        <w:rPr>
          <w:rFonts w:ascii="Arial" w:hAnsi="Arial" w:cs="Arial" w:eastAsia="Arial"/>
          <w:color w:val="auto"/>
          <w:spacing w:val="0"/>
          <w:position w:val="0"/>
          <w:sz w:val="22"/>
          <w:shd w:fill="auto" w:val="clear"/>
        </w:rPr>
        <w:t xml:space="preserve">(4), pp.353-359.</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Griffiths, D.A., Inman, M., Rojas, H. and Williams, K., (2018). ‘Transitioning student identity and sense of place: future possibilities for assessment and development of student employability skills’. </w:t>
      </w:r>
      <w:r>
        <w:rPr>
          <w:rFonts w:ascii="Arial" w:hAnsi="Arial" w:cs="Arial" w:eastAsia="Arial"/>
          <w:i/>
          <w:color w:val="auto"/>
          <w:spacing w:val="0"/>
          <w:position w:val="0"/>
          <w:sz w:val="22"/>
          <w:shd w:fill="auto" w:val="clear"/>
        </w:rPr>
        <w:t xml:space="preserve">Studies in Higher Education</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43</w:t>
      </w:r>
      <w:r>
        <w:rPr>
          <w:rFonts w:ascii="Arial" w:hAnsi="Arial" w:cs="Arial" w:eastAsia="Arial"/>
          <w:color w:val="auto"/>
          <w:spacing w:val="0"/>
          <w:position w:val="0"/>
          <w:sz w:val="22"/>
          <w:shd w:fill="auto" w:val="clear"/>
        </w:rPr>
        <w:t xml:space="preserve">(5), pp.891-913.</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Husam, H.A. and Abraham, P., (2019). ‘Employability skills development through assessment in higher education: Students’ voices on reflective assessments’. </w:t>
      </w:r>
      <w:r>
        <w:rPr>
          <w:rFonts w:ascii="Arial" w:hAnsi="Arial" w:cs="Arial" w:eastAsia="Arial"/>
          <w:i/>
          <w:color w:val="auto"/>
          <w:spacing w:val="0"/>
          <w:position w:val="0"/>
          <w:sz w:val="22"/>
          <w:shd w:fill="auto" w:val="clear"/>
        </w:rPr>
        <w:t xml:space="preserve">Glob Acad J Econ Buss</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w:t>
      </w:r>
      <w:r>
        <w:rPr>
          <w:rFonts w:ascii="Arial" w:hAnsi="Arial" w:cs="Arial" w:eastAsia="Arial"/>
          <w:color w:val="auto"/>
          <w:spacing w:val="0"/>
          <w:position w:val="0"/>
          <w:sz w:val="22"/>
          <w:shd w:fill="auto" w:val="clear"/>
        </w:rPr>
        <w:t xml:space="preserve">, pp.36-42.</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Ivanova, T., Gubanova, N., Shakirova, I. and Masitoh, F., (2020). ‘Educational technology as one of the terms for enhancing public speaking skills’. </w:t>
      </w:r>
      <w:r>
        <w:rPr>
          <w:rFonts w:ascii="Arial" w:hAnsi="Arial" w:cs="Arial" w:eastAsia="Arial"/>
          <w:i/>
          <w:color w:val="auto"/>
          <w:spacing w:val="0"/>
          <w:position w:val="0"/>
          <w:sz w:val="22"/>
          <w:shd w:fill="auto" w:val="clear"/>
        </w:rPr>
        <w:t xml:space="preserve">Universidad y Sociedad</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12</w:t>
      </w:r>
      <w:r>
        <w:rPr>
          <w:rFonts w:ascii="Arial" w:hAnsi="Arial" w:cs="Arial" w:eastAsia="Arial"/>
          <w:color w:val="auto"/>
          <w:spacing w:val="0"/>
          <w:position w:val="0"/>
          <w:sz w:val="22"/>
          <w:shd w:fill="auto" w:val="clear"/>
        </w:rPr>
        <w:t xml:space="preserve">(2), pp.154-159.</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Johari, S.K., (2018). ‘The Effects of Task-Based Process Writing Approach on the Academic Writing Skills among Second Language Tertiary Learners. </w:t>
      </w:r>
      <w:r>
        <w:rPr>
          <w:rFonts w:ascii="Arial" w:hAnsi="Arial" w:cs="Arial" w:eastAsia="Arial"/>
          <w:i/>
          <w:color w:val="auto"/>
          <w:spacing w:val="0"/>
          <w:position w:val="0"/>
          <w:sz w:val="22"/>
          <w:shd w:fill="auto" w:val="clear"/>
        </w:rPr>
        <w:t xml:space="preserve">Journal of ELT Research: The Academic Journal of Studies in English Language Teaching and Learning</w:t>
      </w:r>
      <w:r>
        <w:rPr>
          <w:rFonts w:ascii="Arial" w:hAnsi="Arial" w:cs="Arial" w:eastAsia="Arial"/>
          <w:color w:val="auto"/>
          <w:spacing w:val="0"/>
          <w:position w:val="0"/>
          <w:sz w:val="22"/>
          <w:shd w:fill="auto" w:val="clear"/>
        </w:rPr>
        <w:t xml:space="preserve">,’ pp.1-20.</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Mallia, J., (2017). ‘Strategies for developing English academic writing skills’. </w:t>
      </w:r>
      <w:r>
        <w:rPr>
          <w:rFonts w:ascii="Arial" w:hAnsi="Arial" w:cs="Arial" w:eastAsia="Arial"/>
          <w:i/>
          <w:color w:val="auto"/>
          <w:spacing w:val="0"/>
          <w:position w:val="0"/>
          <w:sz w:val="22"/>
          <w:shd w:fill="auto" w:val="clear"/>
        </w:rPr>
        <w:t xml:space="preserve">Arab World English Journal (AWEJ) Volume</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8</w:t>
      </w:r>
      <w:r>
        <w:rPr>
          <w:rFonts w:ascii="Arial" w:hAnsi="Arial" w:cs="Arial" w:eastAsia="Arial"/>
          <w:color w:val="auto"/>
          <w:spacing w:val="0"/>
          <w:position w:val="0"/>
          <w:sz w:val="22"/>
          <w:shd w:fill="auto" w:val="clear"/>
        </w:rPr>
        <w:t xml:space="preserv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Nazligul, M.D., Yilmaz, M., Gulec, U., Gozcu, M.A., O’Connor, R.V. and Clarke, P.M., (2017), September. ‘Overcoming public speaking anxiety of software engineers using virtual reality exposure therapy’. In </w:t>
      </w:r>
      <w:r>
        <w:rPr>
          <w:rFonts w:ascii="Arial" w:hAnsi="Arial" w:cs="Arial" w:eastAsia="Arial"/>
          <w:i/>
          <w:color w:val="auto"/>
          <w:spacing w:val="0"/>
          <w:position w:val="0"/>
          <w:sz w:val="22"/>
          <w:shd w:fill="auto" w:val="clear"/>
        </w:rPr>
        <w:t xml:space="preserve">European Conference on Software Process Improvement</w:t>
      </w:r>
      <w:r>
        <w:rPr>
          <w:rFonts w:ascii="Arial" w:hAnsi="Arial" w:cs="Arial" w:eastAsia="Arial"/>
          <w:color w:val="auto"/>
          <w:spacing w:val="0"/>
          <w:position w:val="0"/>
          <w:sz w:val="22"/>
          <w:shd w:fill="auto" w:val="clear"/>
        </w:rPr>
        <w:t xml:space="preserve"> (pp. 191-202). Springer, Cham.</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Osmani, M., Weerakkody, V., Hindi, N. and Eldabi, T., (2019). ‘Graduates employability skills: A review of literature against market demand’. </w:t>
      </w:r>
      <w:r>
        <w:rPr>
          <w:rFonts w:ascii="Arial" w:hAnsi="Arial" w:cs="Arial" w:eastAsia="Arial"/>
          <w:i/>
          <w:color w:val="auto"/>
          <w:spacing w:val="0"/>
          <w:position w:val="0"/>
          <w:sz w:val="22"/>
          <w:shd w:fill="auto" w:val="clear"/>
        </w:rPr>
        <w:t xml:space="preserve">Journal of Education for Business</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94</w:t>
      </w:r>
      <w:r>
        <w:rPr>
          <w:rFonts w:ascii="Arial" w:hAnsi="Arial" w:cs="Arial" w:eastAsia="Arial"/>
          <w:color w:val="auto"/>
          <w:spacing w:val="0"/>
          <w:position w:val="0"/>
          <w:sz w:val="22"/>
          <w:shd w:fill="auto" w:val="clear"/>
        </w:rPr>
        <w:t xml:space="preserve">(7), pp.423-432.</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Prahmana, R.C.I., (2017). ‘The role of research-based learning to enhance students’ research and academic writing skills’. </w:t>
      </w:r>
      <w:r>
        <w:rPr>
          <w:rFonts w:ascii="Arial" w:hAnsi="Arial" w:cs="Arial" w:eastAsia="Arial"/>
          <w:i/>
          <w:color w:val="auto"/>
          <w:spacing w:val="0"/>
          <w:position w:val="0"/>
          <w:sz w:val="22"/>
          <w:shd w:fill="auto" w:val="clear"/>
        </w:rPr>
        <w:t xml:space="preserve">Journal of education and Learning</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11</w:t>
      </w:r>
      <w:r>
        <w:rPr>
          <w:rFonts w:ascii="Arial" w:hAnsi="Arial" w:cs="Arial" w:eastAsia="Arial"/>
          <w:color w:val="auto"/>
          <w:spacing w:val="0"/>
          <w:position w:val="0"/>
          <w:sz w:val="22"/>
          <w:shd w:fill="auto" w:val="clear"/>
        </w:rPr>
        <w:t xml:space="preserve">(3), pp.351-366.</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Raja, F., (2017). ‘Anxiety Level in Students of Public Speaking: Causes and Remedies’. </w:t>
      </w:r>
      <w:r>
        <w:rPr>
          <w:rFonts w:ascii="Arial" w:hAnsi="Arial" w:cs="Arial" w:eastAsia="Arial"/>
          <w:i/>
          <w:color w:val="auto"/>
          <w:spacing w:val="0"/>
          <w:position w:val="0"/>
          <w:sz w:val="22"/>
          <w:shd w:fill="auto" w:val="clear"/>
        </w:rPr>
        <w:t xml:space="preserve">Journal of education and educational development</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4</w:t>
      </w:r>
      <w:r>
        <w:rPr>
          <w:rFonts w:ascii="Arial" w:hAnsi="Arial" w:cs="Arial" w:eastAsia="Arial"/>
          <w:color w:val="auto"/>
          <w:spacing w:val="0"/>
          <w:position w:val="0"/>
          <w:sz w:val="22"/>
          <w:shd w:fill="auto" w:val="clear"/>
        </w:rPr>
        <w:t xml:space="preserve">(1), pp.94-110.</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Suarta, I.M., Suwintana, I.K., Sudhana, I.F.P. and Hariyanti, N.K.D., (2018). ‘Employability skills for entry level workers: a content analysis of job advertisements in Indonesia’. </w:t>
      </w:r>
      <w:r>
        <w:rPr>
          <w:rFonts w:ascii="Arial" w:hAnsi="Arial" w:cs="Arial" w:eastAsia="Arial"/>
          <w:i/>
          <w:color w:val="auto"/>
          <w:spacing w:val="0"/>
          <w:position w:val="0"/>
          <w:sz w:val="22"/>
          <w:shd w:fill="auto" w:val="clear"/>
        </w:rPr>
        <w:t xml:space="preserve">Journal of Technical Education and Training</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10</w:t>
      </w:r>
      <w:r>
        <w:rPr>
          <w:rFonts w:ascii="Arial" w:hAnsi="Arial" w:cs="Arial" w:eastAsia="Arial"/>
          <w:color w:val="auto"/>
          <w:spacing w:val="0"/>
          <w:position w:val="0"/>
          <w:sz w:val="22"/>
          <w:shd w:fill="auto" w:val="clear"/>
        </w:rPr>
        <w:t xml:space="preserve">(2).</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left"/>
        <w:rPr>
          <w:rFonts w:ascii="Arial" w:hAnsi="Arial" w:cs="Arial" w:eastAsia="Arial"/>
          <w:color w:val="auto"/>
          <w:spacing w:val="0"/>
          <w:position w:val="0"/>
          <w:sz w:val="22"/>
          <w:shd w:fill="auto" w:val="clear"/>
        </w:rPr>
      </w:pPr>
    </w:p>
    <w:p>
      <w:pPr>
        <w:keepNext w:val="true"/>
        <w:keepLines w:val="true"/>
        <w:spacing w:before="400" w:after="12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Appendices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Appendix 1- Task 1: Presentation slides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auto" w:val="clear"/>
        </w:rPr>
        <w:t xml:space="preserve">Slide 3: Introduction</w:t>
      </w:r>
    </w:p>
    <w:p>
      <w:pPr>
        <w:numPr>
          <w:ilvl w:val="0"/>
          <w:numId w:val="32"/>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Academic and employability skills play a key role that ensure success of individuals in academic curriculum and career prospects (</w:t>
      </w:r>
      <w:r>
        <w:rPr>
          <w:rFonts w:ascii="Arial" w:hAnsi="Arial" w:cs="Arial" w:eastAsia="Arial"/>
          <w:color w:val="222222"/>
          <w:spacing w:val="0"/>
          <w:position w:val="0"/>
          <w:sz w:val="22"/>
          <w:shd w:fill="FFFFFF" w:val="clear"/>
        </w:rPr>
        <w:t xml:space="preserve">Husam, 2019)</w:t>
      </w:r>
      <w:r>
        <w:rPr>
          <w:rFonts w:ascii="Arial" w:hAnsi="Arial" w:cs="Arial" w:eastAsia="Arial"/>
          <w:color w:val="000000"/>
          <w:spacing w:val="0"/>
          <w:position w:val="0"/>
          <w:sz w:val="22"/>
          <w:shd w:fill="auto" w:val="clear"/>
        </w:rPr>
        <w:t xml:space="preserve">. </w:t>
      </w:r>
    </w:p>
    <w:p>
      <w:pPr>
        <w:numPr>
          <w:ilvl w:val="0"/>
          <w:numId w:val="32"/>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Strategic implementation of academic skill and employability skills are crucial for success in academic and professional careers.</w:t>
      </w:r>
    </w:p>
    <w:p>
      <w:pPr>
        <w:numPr>
          <w:ilvl w:val="0"/>
          <w:numId w:val="32"/>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Skills such as time management, academic writing, summarising skills, and public speaking and presentation skills are some of the core academic skills used for enhancing and developing personality and attributes. </w:t>
      </w:r>
    </w:p>
    <w:p>
      <w:pPr>
        <w:numPr>
          <w:ilvl w:val="0"/>
          <w:numId w:val="32"/>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Self-analysis tools such as SWOT analysis, and PDP are discussed in the presentation. </w:t>
      </w:r>
    </w:p>
    <w:p>
      <w:pPr>
        <w:spacing w:before="240" w:after="240" w:line="360"/>
        <w:ind w:right="0" w:left="0" w:firstLine="0"/>
        <w:jc w:val="both"/>
        <w:rPr>
          <w:rFonts w:ascii="Arial" w:hAnsi="Arial" w:cs="Arial" w:eastAsia="Arial"/>
          <w:color w:val="auto"/>
          <w:spacing w:val="0"/>
          <w:position w:val="0"/>
          <w:sz w:val="22"/>
          <w:shd w:fill="auto" w:val="clear"/>
        </w:rPr>
      </w:pPr>
      <w:r>
        <w:object w:dxaOrig="8667" w:dyaOrig="4899">
          <v:rect xmlns:o="urn:schemas-microsoft-com:office:office" xmlns:v="urn:schemas-microsoft-com:vml" id="rectole0000000002" style="width:433.350000pt;height:244.9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auto" w:val="clear"/>
        </w:rPr>
        <w:t xml:space="preserve">Slide 4-6: SWOT analysis</w:t>
      </w:r>
    </w:p>
    <w:p>
      <w:pPr>
        <w:spacing w:before="0" w:after="0" w:line="360"/>
        <w:ind w:right="0" w:left="0" w:firstLine="0"/>
        <w:jc w:val="left"/>
        <w:rPr>
          <w:rFonts w:ascii="Arial" w:hAnsi="Arial" w:cs="Arial" w:eastAsia="Arial"/>
          <w:color w:val="auto"/>
          <w:spacing w:val="0"/>
          <w:position w:val="0"/>
          <w:sz w:val="22"/>
          <w:shd w:fill="auto" w:val="clear"/>
        </w:rPr>
      </w:pPr>
    </w:p>
    <w:tbl>
      <w:tblPr/>
      <w:tblGrid>
        <w:gridCol w:w="4042"/>
        <w:gridCol w:w="4984"/>
      </w:tblGrid>
      <w:tr>
        <w:trPr>
          <w:trHeight w:val="1" w:hRule="atLeast"/>
          <w:jc w:val="left"/>
        </w:trPr>
        <w:tc>
          <w:tcPr>
            <w:tcW w:w="404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auto" w:val="clear"/>
              </w:rPr>
              <w:t xml:space="preserve">Strength</w:t>
            </w:r>
          </w:p>
          <w:p>
            <w:pPr>
              <w:numPr>
                <w:ilvl w:val="0"/>
                <w:numId w:val="38"/>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Time management</w:t>
            </w:r>
          </w:p>
          <w:p>
            <w:pPr>
              <w:numPr>
                <w:ilvl w:val="0"/>
                <w:numId w:val="38"/>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Academic writing</w:t>
            </w:r>
          </w:p>
          <w:p>
            <w:pPr>
              <w:numPr>
                <w:ilvl w:val="0"/>
                <w:numId w:val="38"/>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Problem solving</w:t>
            </w:r>
          </w:p>
          <w:p>
            <w:pPr>
              <w:numPr>
                <w:ilvl w:val="0"/>
                <w:numId w:val="38"/>
              </w:numPr>
              <w:tabs>
                <w:tab w:val="left" w:pos="720" w:leader="none"/>
              </w:tabs>
              <w:spacing w:before="0" w:after="0" w:line="360"/>
              <w:ind w:right="0" w:left="720" w:hanging="360"/>
              <w:jc w:val="both"/>
              <w:rPr>
                <w:spacing w:val="0"/>
                <w:position w:val="0"/>
                <w:sz w:val="22"/>
                <w:shd w:fill="auto" w:val="clear"/>
              </w:rPr>
            </w:pPr>
            <w:r>
              <w:rPr>
                <w:rFonts w:ascii="Arial" w:hAnsi="Arial" w:cs="Arial" w:eastAsia="Arial"/>
                <w:color w:val="000000"/>
                <w:spacing w:val="0"/>
                <w:position w:val="0"/>
                <w:sz w:val="22"/>
                <w:shd w:fill="auto" w:val="clear"/>
              </w:rPr>
              <w:t xml:space="preserve">Decision making</w:t>
            </w:r>
          </w:p>
        </w:tc>
        <w:tc>
          <w:tcPr>
            <w:tcW w:w="4984"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auto" w:val="clear"/>
              </w:rPr>
              <w:t xml:space="preserve">Weaknesses</w:t>
            </w:r>
          </w:p>
          <w:p>
            <w:pPr>
              <w:numPr>
                <w:ilvl w:val="0"/>
                <w:numId w:val="40"/>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Verbal communication</w:t>
            </w:r>
          </w:p>
          <w:p>
            <w:pPr>
              <w:numPr>
                <w:ilvl w:val="0"/>
                <w:numId w:val="40"/>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Low self-esteem and confidence</w:t>
            </w:r>
          </w:p>
          <w:p>
            <w:pPr>
              <w:numPr>
                <w:ilvl w:val="0"/>
                <w:numId w:val="40"/>
              </w:numPr>
              <w:tabs>
                <w:tab w:val="left" w:pos="720" w:leader="none"/>
              </w:tabs>
              <w:spacing w:before="0" w:after="0" w:line="360"/>
              <w:ind w:right="0" w:left="720" w:hanging="360"/>
              <w:jc w:val="both"/>
              <w:rPr>
                <w:spacing w:val="0"/>
                <w:position w:val="0"/>
                <w:sz w:val="22"/>
                <w:shd w:fill="auto" w:val="clear"/>
              </w:rPr>
            </w:pPr>
            <w:r>
              <w:rPr>
                <w:rFonts w:ascii="Arial" w:hAnsi="Arial" w:cs="Arial" w:eastAsia="Arial"/>
                <w:color w:val="000000"/>
                <w:spacing w:val="0"/>
                <w:position w:val="0"/>
                <w:sz w:val="22"/>
                <w:shd w:fill="auto" w:val="clear"/>
              </w:rPr>
              <w:t xml:space="preserve">Technological skills</w:t>
            </w:r>
          </w:p>
        </w:tc>
      </w:tr>
      <w:tr>
        <w:trPr>
          <w:trHeight w:val="1" w:hRule="atLeast"/>
          <w:jc w:val="left"/>
        </w:trPr>
        <w:tc>
          <w:tcPr>
            <w:tcW w:w="404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auto" w:val="clear"/>
              </w:rPr>
              <w:t xml:space="preserve">Opportunities</w:t>
            </w:r>
          </w:p>
          <w:p>
            <w:pPr>
              <w:numPr>
                <w:ilvl w:val="0"/>
                <w:numId w:val="44"/>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Learning new skills</w:t>
            </w:r>
          </w:p>
          <w:p>
            <w:pPr>
              <w:numPr>
                <w:ilvl w:val="0"/>
                <w:numId w:val="44"/>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Enhancing knowledge</w:t>
            </w:r>
          </w:p>
          <w:p>
            <w:pPr>
              <w:numPr>
                <w:ilvl w:val="0"/>
                <w:numId w:val="44"/>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Developing confidence</w:t>
            </w:r>
          </w:p>
          <w:p>
            <w:pPr>
              <w:numPr>
                <w:ilvl w:val="0"/>
                <w:numId w:val="44"/>
              </w:numPr>
              <w:tabs>
                <w:tab w:val="left" w:pos="720" w:leader="none"/>
              </w:tabs>
              <w:spacing w:before="0" w:after="0" w:line="360"/>
              <w:ind w:right="0" w:left="720" w:hanging="360"/>
              <w:jc w:val="both"/>
              <w:rPr>
                <w:spacing w:val="0"/>
                <w:position w:val="0"/>
                <w:sz w:val="22"/>
                <w:shd w:fill="auto" w:val="clear"/>
              </w:rPr>
            </w:pPr>
            <w:r>
              <w:rPr>
                <w:rFonts w:ascii="Arial" w:hAnsi="Arial" w:cs="Arial" w:eastAsia="Arial"/>
                <w:color w:val="000000"/>
                <w:spacing w:val="0"/>
                <w:position w:val="0"/>
                <w:sz w:val="22"/>
                <w:shd w:fill="auto" w:val="clear"/>
              </w:rPr>
              <w:t xml:space="preserve">Networking in workplace</w:t>
            </w:r>
          </w:p>
        </w:tc>
        <w:tc>
          <w:tcPr>
            <w:tcW w:w="4984"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auto" w:val="clear"/>
              </w:rPr>
              <w:t xml:space="preserve">Threats</w:t>
            </w:r>
          </w:p>
          <w:p>
            <w:pPr>
              <w:numPr>
                <w:ilvl w:val="0"/>
                <w:numId w:val="46"/>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Technological changes</w:t>
            </w:r>
          </w:p>
          <w:p>
            <w:pPr>
              <w:numPr>
                <w:ilvl w:val="0"/>
                <w:numId w:val="46"/>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Language barrier </w:t>
            </w:r>
          </w:p>
          <w:p>
            <w:pPr>
              <w:numPr>
                <w:ilvl w:val="0"/>
                <w:numId w:val="46"/>
              </w:numPr>
              <w:tabs>
                <w:tab w:val="left" w:pos="720" w:leader="none"/>
              </w:tabs>
              <w:spacing w:before="0" w:after="0" w:line="360"/>
              <w:ind w:right="0" w:left="720" w:hanging="360"/>
              <w:jc w:val="both"/>
              <w:rPr>
                <w:spacing w:val="0"/>
                <w:position w:val="0"/>
                <w:sz w:val="22"/>
                <w:shd w:fill="auto" w:val="clear"/>
              </w:rPr>
            </w:pPr>
            <w:r>
              <w:rPr>
                <w:rFonts w:ascii="Arial" w:hAnsi="Arial" w:cs="Arial" w:eastAsia="Arial"/>
                <w:color w:val="000000"/>
                <w:spacing w:val="0"/>
                <w:position w:val="0"/>
                <w:sz w:val="22"/>
                <w:shd w:fill="auto" w:val="clear"/>
              </w:rPr>
              <w:t xml:space="preserve">Changes in process</w:t>
            </w:r>
          </w:p>
        </w:tc>
      </w:tr>
    </w:tbl>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000000"/>
          <w:spacing w:val="0"/>
          <w:position w:val="0"/>
          <w:sz w:val="22"/>
          <w:shd w:fill="auto" w:val="clear"/>
        </w:rPr>
        <w:t xml:space="preserve">Strength:</w:t>
      </w:r>
      <w:r>
        <w:rPr>
          <w:rFonts w:ascii="Arial" w:hAnsi="Arial" w:cs="Arial" w:eastAsia="Arial"/>
          <w:color w:val="000000"/>
          <w:spacing w:val="0"/>
          <w:position w:val="0"/>
          <w:sz w:val="22"/>
          <w:shd w:fill="auto" w:val="clear"/>
        </w:rPr>
        <w:t xml:space="preserve"> While attending the class during the module academic and employability skill, I found skills, some of which were categorised into strength and weakness factors. Some of the attributes such as time management, academic writing, problem solving, and decision making are the skills that are important to achieve relevant academic skills and professional skills that can further enhance my strength to utilise opportunities. </w:t>
      </w: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000000"/>
          <w:spacing w:val="0"/>
          <w:position w:val="0"/>
          <w:sz w:val="22"/>
          <w:shd w:fill="auto" w:val="clear"/>
        </w:rPr>
        <w:t xml:space="preserve">Weakness:</w:t>
      </w:r>
      <w:r>
        <w:rPr>
          <w:rFonts w:ascii="Arial" w:hAnsi="Arial" w:cs="Arial" w:eastAsia="Arial"/>
          <w:color w:val="000000"/>
          <w:spacing w:val="0"/>
          <w:position w:val="0"/>
          <w:sz w:val="22"/>
          <w:shd w:fill="auto" w:val="clear"/>
        </w:rPr>
        <w:t xml:space="preserve"> Some of the attributes such as verbal communication, low confidence, low self-esteem, self-esteem and technological skills are the attributes which affect my performance in a negative manner. As per the opinion of </w:t>
      </w:r>
      <w:r>
        <w:rPr>
          <w:rFonts w:ascii="Arial" w:hAnsi="Arial" w:cs="Arial" w:eastAsia="Arial"/>
          <w:color w:val="222222"/>
          <w:spacing w:val="0"/>
          <w:position w:val="0"/>
          <w:sz w:val="22"/>
          <w:shd w:fill="FFFFFF" w:val="clear"/>
        </w:rPr>
        <w:t xml:space="preserve">Griffiths et al. (2018)</w:t>
      </w:r>
      <w:r>
        <w:rPr>
          <w:rFonts w:ascii="Arial" w:hAnsi="Arial" w:cs="Arial" w:eastAsia="Arial"/>
          <w:color w:val="000000"/>
          <w:spacing w:val="0"/>
          <w:position w:val="0"/>
          <w:sz w:val="22"/>
          <w:shd w:fill="auto" w:val="clear"/>
        </w:rPr>
        <w:t xml:space="preserve">, I am better at written communication, whereas I lack proper verbal communication skills which hinder my performance. </w:t>
      </w: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000000"/>
          <w:spacing w:val="0"/>
          <w:position w:val="0"/>
          <w:sz w:val="22"/>
          <w:shd w:fill="auto" w:val="clear"/>
        </w:rPr>
        <w:t xml:space="preserve">Opportunities:</w:t>
      </w:r>
      <w:r>
        <w:rPr>
          <w:rFonts w:ascii="Arial" w:hAnsi="Arial" w:cs="Arial" w:eastAsia="Arial"/>
          <w:color w:val="000000"/>
          <w:spacing w:val="0"/>
          <w:position w:val="0"/>
          <w:sz w:val="22"/>
          <w:shd w:fill="auto" w:val="clear"/>
        </w:rPr>
        <w:t xml:space="preserve"> From the perspective of </w:t>
      </w:r>
      <w:r>
        <w:rPr>
          <w:rFonts w:ascii="Arial" w:hAnsi="Arial" w:cs="Arial" w:eastAsia="Arial"/>
          <w:color w:val="222222"/>
          <w:spacing w:val="0"/>
          <w:position w:val="0"/>
          <w:sz w:val="22"/>
          <w:shd w:fill="FFFFFF" w:val="clear"/>
        </w:rPr>
        <w:t xml:space="preserve">Scott et al. (2019), employability skills provide students the opportunity to enhance their career prospects. Enhancing my existing skills and learning new skills can maximize my probability of working in a desired field. This will provide me with the opportunity to learn and develop my personality and skills. </w:t>
      </w: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000000"/>
          <w:spacing w:val="0"/>
          <w:position w:val="0"/>
          <w:sz w:val="22"/>
          <w:shd w:fill="auto" w:val="clear"/>
        </w:rPr>
        <w:t xml:space="preserve">Threats: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auto" w:val="clear"/>
        </w:rPr>
        <w:t xml:space="preserve">There are skills the lack of which can prove to be detrimental for the student and pose a threat for development in academics and the workplace. As per </w:t>
      </w:r>
      <w:r>
        <w:rPr>
          <w:rFonts w:ascii="Arial" w:hAnsi="Arial" w:cs="Arial" w:eastAsia="Arial"/>
          <w:color w:val="222222"/>
          <w:spacing w:val="0"/>
          <w:position w:val="0"/>
          <w:sz w:val="22"/>
          <w:shd w:fill="FFFFFF" w:val="clear"/>
        </w:rPr>
        <w:t xml:space="preserve">Cachia, Lynam and Stock (2018), the lack of relevant skills in academics and workplace can be a risk factor when students are only focusing on skills that increase grades. </w:t>
      </w:r>
    </w:p>
    <w:p>
      <w:pPr>
        <w:spacing w:before="0" w:after="0" w:line="360"/>
        <w:ind w:right="0" w:left="0" w:firstLine="0"/>
        <w:jc w:val="both"/>
        <w:rPr>
          <w:rFonts w:ascii="Arial" w:hAnsi="Arial" w:cs="Arial" w:eastAsia="Arial"/>
          <w:color w:val="000000"/>
          <w:spacing w:val="0"/>
          <w:position w:val="0"/>
          <w:sz w:val="22"/>
          <w:shd w:fill="auto" w:val="clear"/>
        </w:rPr>
      </w:pPr>
      <w:r>
        <w:object w:dxaOrig="8667" w:dyaOrig="4453">
          <v:rect xmlns:o="urn:schemas-microsoft-com:office:office" xmlns:v="urn:schemas-microsoft-com:vml" id="rectole0000000003" style="width:433.350000pt;height:222.6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both"/>
        <w:rPr>
          <w:rFonts w:ascii="Arial" w:hAnsi="Arial" w:cs="Arial" w:eastAsia="Arial"/>
          <w:color w:val="000000"/>
          <w:spacing w:val="0"/>
          <w:position w:val="0"/>
          <w:sz w:val="22"/>
          <w:shd w:fill="auto" w:val="clear"/>
        </w:rPr>
      </w:pPr>
      <w:r>
        <w:object w:dxaOrig="8667" w:dyaOrig="4780">
          <v:rect xmlns:o="urn:schemas-microsoft-com:office:office" xmlns:v="urn:schemas-microsoft-com:vml" id="rectole0000000004" style="width:433.350000pt;height:239.0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360"/>
        <w:ind w:right="0" w:left="0" w:firstLine="0"/>
        <w:jc w:val="both"/>
        <w:rPr>
          <w:rFonts w:ascii="Arial" w:hAnsi="Arial" w:cs="Arial" w:eastAsia="Arial"/>
          <w:color w:val="000000"/>
          <w:spacing w:val="0"/>
          <w:position w:val="0"/>
          <w:sz w:val="22"/>
          <w:shd w:fill="auto" w:val="clear"/>
        </w:rPr>
      </w:pPr>
      <w:r>
        <w:object w:dxaOrig="8667" w:dyaOrig="4743">
          <v:rect xmlns:o="urn:schemas-microsoft-com:office:office" xmlns:v="urn:schemas-microsoft-com:vml" id="rectole0000000005" style="width:433.350000pt;height:237.1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360"/>
        <w:ind w:right="0" w:left="0" w:firstLine="0"/>
        <w:jc w:val="both"/>
        <w:rPr>
          <w:rFonts w:ascii="Arial" w:hAnsi="Arial" w:cs="Arial" w:eastAsia="Arial"/>
          <w:b/>
          <w:color w:val="000000"/>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000000"/>
          <w:spacing w:val="0"/>
          <w:position w:val="0"/>
          <w:sz w:val="22"/>
          <w:shd w:fill="auto" w:val="clear"/>
        </w:rPr>
        <w:t xml:space="preserve">Slide 6: Time management tool for academic and employability skills</w:t>
      </w:r>
    </w:p>
    <w:p>
      <w:pPr>
        <w:numPr>
          <w:ilvl w:val="0"/>
          <w:numId w:val="56"/>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For better performance in academic, professional growth and career development time management skill must be practiced diligently</w:t>
      </w:r>
    </w:p>
    <w:p>
      <w:pPr>
        <w:numPr>
          <w:ilvl w:val="0"/>
          <w:numId w:val="56"/>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There are different tools, such as Eisenhower technique, Pomodoro method which can provide assistance for time management.</w:t>
      </w:r>
    </w:p>
    <w:p>
      <w:pPr>
        <w:numPr>
          <w:ilvl w:val="0"/>
          <w:numId w:val="56"/>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Other tools which are also used for effective time management are time tracking software, calendar, note taking, and time table which helps to effectively manage time. </w:t>
      </w:r>
    </w:p>
    <w:p>
      <w:pPr>
        <w:spacing w:before="0" w:after="0" w:line="360"/>
        <w:ind w:right="0" w:left="0" w:firstLine="0"/>
        <w:jc w:val="both"/>
        <w:rPr>
          <w:rFonts w:ascii="Arial" w:hAnsi="Arial" w:cs="Arial" w:eastAsia="Arial"/>
          <w:color w:val="000000"/>
          <w:spacing w:val="0"/>
          <w:position w:val="0"/>
          <w:sz w:val="22"/>
          <w:shd w:fill="auto" w:val="clear"/>
        </w:rPr>
      </w:pPr>
      <w:r>
        <w:object w:dxaOrig="8667" w:dyaOrig="4130">
          <v:rect xmlns:o="urn:schemas-microsoft-com:office:office" xmlns:v="urn:schemas-microsoft-com:vml" id="rectole0000000006" style="width:433.350000pt;height:206.5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Slide 8: PDP for Academic and employability skills</w:t>
      </w:r>
    </w:p>
    <w:p>
      <w:pPr>
        <w:spacing w:before="0" w:after="0" w:line="360"/>
        <w:ind w:right="0" w:left="0" w:firstLine="0"/>
        <w:jc w:val="both"/>
        <w:rPr>
          <w:rFonts w:ascii="Arial" w:hAnsi="Arial" w:cs="Arial" w:eastAsia="Arial"/>
          <w:color w:val="000000"/>
          <w:spacing w:val="0"/>
          <w:position w:val="0"/>
          <w:sz w:val="22"/>
          <w:shd w:fill="auto" w:val="clear"/>
        </w:rPr>
      </w:pPr>
      <w:r>
        <w:object w:dxaOrig="8667" w:dyaOrig="5120">
          <v:rect xmlns:o="urn:schemas-microsoft-com:office:office" xmlns:v="urn:schemas-microsoft-com:vml" id="rectole0000000007" style="width:433.350000pt;height:256.0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Slide 9: Conclusion</w:t>
      </w:r>
    </w:p>
    <w:p>
      <w:pPr>
        <w:numPr>
          <w:ilvl w:val="0"/>
          <w:numId w:val="58"/>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This report discusses the relevance of academic and employability skills through the use of reflection model.</w:t>
      </w:r>
    </w:p>
    <w:p>
      <w:pPr>
        <w:numPr>
          <w:ilvl w:val="0"/>
          <w:numId w:val="58"/>
        </w:numPr>
        <w:tabs>
          <w:tab w:val="left" w:pos="720" w:leader="none"/>
        </w:tabs>
        <w:spacing w:before="0" w:after="0" w:line="360"/>
        <w:ind w:right="0" w:left="720" w:hanging="36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presentation entails an introduction, SWOT analysis, time management and a personal development plan. </w:t>
      </w:r>
    </w:p>
    <w:p>
      <w:pPr>
        <w:spacing w:before="0" w:after="0" w:line="360"/>
        <w:ind w:right="0" w:left="0" w:firstLine="0"/>
        <w:jc w:val="both"/>
        <w:rPr>
          <w:rFonts w:ascii="Arial" w:hAnsi="Arial" w:cs="Arial" w:eastAsia="Arial"/>
          <w:color w:val="000000"/>
          <w:spacing w:val="0"/>
          <w:position w:val="0"/>
          <w:sz w:val="22"/>
          <w:shd w:fill="auto" w:val="clear"/>
        </w:rPr>
      </w:pPr>
      <w:r>
        <w:object w:dxaOrig="8667" w:dyaOrig="3869">
          <v:rect xmlns:o="urn:schemas-microsoft-com:office:office" xmlns:v="urn:schemas-microsoft-com:vml" id="rectole0000000008" style="width:433.350000pt;height:193.4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0" w:line="36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Slide 10: References</w:t>
      </w:r>
    </w:p>
    <w:p>
      <w:pPr>
        <w:spacing w:before="0" w:after="0" w:line="360"/>
        <w:ind w:right="0" w:left="0" w:firstLine="0"/>
        <w:jc w:val="both"/>
        <w:rPr>
          <w:rFonts w:ascii="Arial" w:hAnsi="Arial" w:cs="Arial" w:eastAsia="Arial"/>
          <w:color w:val="000000"/>
          <w:spacing w:val="0"/>
          <w:position w:val="0"/>
          <w:sz w:val="22"/>
          <w:shd w:fill="auto" w:val="clear"/>
        </w:rPr>
      </w:pPr>
      <w:r>
        <w:object w:dxaOrig="8667" w:dyaOrig="4966">
          <v:rect xmlns:o="urn:schemas-microsoft-com:office:office" xmlns:v="urn:schemas-microsoft-com:vml" id="rectole0000000009" style="width:433.350000pt;height:248.30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32">
    <w:abstractNumId w:val="36"/>
  </w:num>
  <w:num w:numId="38">
    <w:abstractNumId w:val="30"/>
  </w:num>
  <w:num w:numId="40">
    <w:abstractNumId w:val="24"/>
  </w:num>
  <w:num w:numId="44">
    <w:abstractNumId w:val="18"/>
  </w:num>
  <w:num w:numId="46">
    <w:abstractNumId w:val="12"/>
  </w:num>
  <w:num w:numId="56">
    <w:abstractNumId w:val="6"/>
  </w:num>
  <w:num w:numId="58">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edia/image8.wmf" Id="docRId17" Type="http://schemas.openxmlformats.org/officeDocument/2006/relationships/image"/><Relationship Target="media/image3.wmf" Id="docRId7" Type="http://schemas.openxmlformats.org/officeDocument/2006/relationships/image"/><Relationship Target="embeddings/oleObject7.bin" Id="docRId14" Type="http://schemas.openxmlformats.org/officeDocument/2006/relationships/oleObject"/><Relationship Target="embeddings/oleObject3.bin" Id="docRId6" Type="http://schemas.openxmlformats.org/officeDocument/2006/relationships/oleObject"/><Relationship Target="media/image0.wmf" Id="docRId1" Type="http://schemas.openxmlformats.org/officeDocument/2006/relationships/image"/><Relationship Target="media/image5.wmf" Id="docRId11" Type="http://schemas.openxmlformats.org/officeDocument/2006/relationships/image"/><Relationship Target="media/image7.wmf" Id="docRId15" Type="http://schemas.openxmlformats.org/officeDocument/2006/relationships/image"/><Relationship Target="media/image9.wmf" Id="docRId19" Type="http://schemas.openxmlformats.org/officeDocument/2006/relationships/image"/><Relationship Target="media/image2.wmf" Id="docRId5" Type="http://schemas.openxmlformats.org/officeDocument/2006/relationships/image"/><Relationship Target="media/image4.wmf" Id="docRId9" Type="http://schemas.openxmlformats.org/officeDocument/2006/relationships/image"/><Relationship Target="embeddings/oleObject0.bin" Id="docRId0" Type="http://schemas.openxmlformats.org/officeDocument/2006/relationships/oleObject"/><Relationship Target="embeddings/oleObject6.bin" Id="docRId12" Type="http://schemas.openxmlformats.org/officeDocument/2006/relationships/oleObject"/><Relationship Target="embeddings/oleObject8.bin" Id="docRId16" Type="http://schemas.openxmlformats.org/officeDocument/2006/relationships/oleObject"/><Relationship Target="styles.xml" Id="docRId21" Type="http://schemas.openxmlformats.org/officeDocument/2006/relationships/styles"/><Relationship Target="embeddings/oleObject2.bin" Id="docRId4" Type="http://schemas.openxmlformats.org/officeDocument/2006/relationships/oleObject"/><Relationship Target="embeddings/oleObject4.bin" Id="docRId8" Type="http://schemas.openxmlformats.org/officeDocument/2006/relationships/oleObject"/><Relationship Target="media/image6.wmf" Id="docRId13" Type="http://schemas.openxmlformats.org/officeDocument/2006/relationships/image"/><Relationship Target="numbering.xml" Id="docRId20" Type="http://schemas.openxmlformats.org/officeDocument/2006/relationships/numbering"/><Relationship Target="media/image1.wmf" Id="docRId3" Type="http://schemas.openxmlformats.org/officeDocument/2006/relationships/image"/><Relationship Target="embeddings/oleObject5.bin" Id="docRId10" Type="http://schemas.openxmlformats.org/officeDocument/2006/relationships/oleObject"/><Relationship Target="embeddings/oleObject9.bin" Id="docRId18" Type="http://schemas.openxmlformats.org/officeDocument/2006/relationships/oleObject"/><Relationship Target="embeddings/oleObject1.bin" Id="docRId2" Type="http://schemas.openxmlformats.org/officeDocument/2006/relationships/oleObject"/></Relationships>
</file>