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754F38" w14:textId="77777777" w:rsidR="00352129" w:rsidRPr="00911C93" w:rsidRDefault="00352129" w:rsidP="00352129">
      <w:pPr>
        <w:rPr>
          <w:rFonts w:ascii="Arial" w:hAnsi="Arial" w:cs="Arial"/>
        </w:rPr>
      </w:pPr>
    </w:p>
    <w:p w14:paraId="2C6CDD67" w14:textId="77777777" w:rsidR="00355147" w:rsidRPr="00911C93" w:rsidRDefault="00355147" w:rsidP="00352129">
      <w:pPr>
        <w:rPr>
          <w:rFonts w:ascii="Arial" w:hAnsi="Arial" w:cs="Arial"/>
        </w:rPr>
      </w:pPr>
    </w:p>
    <w:p w14:paraId="67768BE3" w14:textId="77777777" w:rsidR="00D15D74" w:rsidRPr="00911C93" w:rsidRDefault="00DE62DD" w:rsidP="00226C07">
      <w:pPr>
        <w:jc w:val="center"/>
        <w:rPr>
          <w:rFonts w:ascii="Arial" w:hAnsi="Arial" w:cs="Arial"/>
        </w:rPr>
      </w:pPr>
      <w:r w:rsidRPr="00911C93">
        <w:rPr>
          <w:rFonts w:ascii="Arial" w:hAnsi="Arial" w:cs="Arial"/>
          <w:noProof/>
        </w:rPr>
        <w:drawing>
          <wp:inline distT="0" distB="0" distL="0" distR="0" wp14:anchorId="3C60797B" wp14:editId="6E8B88BA">
            <wp:extent cx="662940" cy="1065439"/>
            <wp:effectExtent l="0" t="0" r="381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r="12156"/>
                    <a:stretch/>
                  </pic:blipFill>
                  <pic:spPr bwMode="auto">
                    <a:xfrm>
                      <a:off x="0" y="0"/>
                      <a:ext cx="674589" cy="1084161"/>
                    </a:xfrm>
                    <a:prstGeom prst="rect">
                      <a:avLst/>
                    </a:prstGeom>
                    <a:ln>
                      <a:noFill/>
                    </a:ln>
                    <a:extLst>
                      <a:ext uri="{53640926-AAD7-44D8-BBD7-CCE9431645EC}">
                        <a14:shadowObscured xmlns:a14="http://schemas.microsoft.com/office/drawing/2010/main"/>
                      </a:ext>
                    </a:extLst>
                  </pic:spPr>
                </pic:pic>
              </a:graphicData>
            </a:graphic>
          </wp:inline>
        </w:drawing>
      </w:r>
    </w:p>
    <w:p w14:paraId="49E16AA4" w14:textId="77777777" w:rsidR="00D15D74" w:rsidRPr="00911C93" w:rsidRDefault="00D15D74" w:rsidP="00911C93">
      <w:pPr>
        <w:spacing w:after="0" w:line="360" w:lineRule="auto"/>
        <w:jc w:val="center"/>
        <w:rPr>
          <w:rFonts w:ascii="Arial" w:hAnsi="Arial" w:cs="Arial"/>
          <w:b/>
          <w:sz w:val="32"/>
        </w:rPr>
      </w:pPr>
      <w:r w:rsidRPr="00911C93">
        <w:rPr>
          <w:rFonts w:ascii="Arial" w:hAnsi="Arial" w:cs="Arial"/>
          <w:b/>
          <w:sz w:val="32"/>
        </w:rPr>
        <w:t>Portfolio on Health and Social Care Services</w:t>
      </w:r>
    </w:p>
    <w:tbl>
      <w:tblPr>
        <w:tblStyle w:val="TableGrid"/>
        <w:tblW w:w="0" w:type="auto"/>
        <w:tblLook w:val="04A0" w:firstRow="1" w:lastRow="0" w:firstColumn="1" w:lastColumn="0" w:noHBand="0" w:noVBand="1"/>
      </w:tblPr>
      <w:tblGrid>
        <w:gridCol w:w="4405"/>
        <w:gridCol w:w="4945"/>
      </w:tblGrid>
      <w:tr w:rsidR="00355147" w:rsidRPr="00355147" w14:paraId="32D2C238" w14:textId="77777777" w:rsidTr="007A2298">
        <w:tc>
          <w:tcPr>
            <w:tcW w:w="4405" w:type="dxa"/>
            <w:hideMark/>
          </w:tcPr>
          <w:p w14:paraId="67C4F3FC" w14:textId="77777777" w:rsidR="00355147" w:rsidRPr="00355147" w:rsidRDefault="00355147" w:rsidP="00911C93">
            <w:pPr>
              <w:spacing w:line="360" w:lineRule="auto"/>
              <w:jc w:val="center"/>
              <w:rPr>
                <w:rFonts w:ascii="Arial" w:eastAsia="Times New Roman" w:hAnsi="Arial" w:cs="Arial"/>
                <w:b/>
                <w:bCs/>
                <w:sz w:val="24"/>
                <w:szCs w:val="24"/>
              </w:rPr>
            </w:pPr>
            <w:r w:rsidRPr="00911C93">
              <w:rPr>
                <w:rFonts w:ascii="Arial" w:eastAsia="Times New Roman" w:hAnsi="Arial" w:cs="Arial"/>
                <w:b/>
                <w:bCs/>
                <w:sz w:val="24"/>
                <w:szCs w:val="24"/>
              </w:rPr>
              <w:t>Field</w:t>
            </w:r>
          </w:p>
        </w:tc>
        <w:tc>
          <w:tcPr>
            <w:tcW w:w="4945" w:type="dxa"/>
            <w:hideMark/>
          </w:tcPr>
          <w:p w14:paraId="09D105A8" w14:textId="77777777" w:rsidR="00355147" w:rsidRPr="00355147" w:rsidRDefault="00355147" w:rsidP="00911C93">
            <w:pPr>
              <w:spacing w:line="360" w:lineRule="auto"/>
              <w:jc w:val="center"/>
              <w:rPr>
                <w:rFonts w:ascii="Arial" w:eastAsia="Times New Roman" w:hAnsi="Arial" w:cs="Arial"/>
                <w:b/>
                <w:bCs/>
                <w:sz w:val="24"/>
                <w:szCs w:val="24"/>
              </w:rPr>
            </w:pPr>
            <w:r w:rsidRPr="00911C93">
              <w:rPr>
                <w:rFonts w:ascii="Arial" w:eastAsia="Times New Roman" w:hAnsi="Arial" w:cs="Arial"/>
                <w:b/>
                <w:bCs/>
                <w:sz w:val="24"/>
                <w:szCs w:val="24"/>
              </w:rPr>
              <w:t>Details</w:t>
            </w:r>
          </w:p>
        </w:tc>
      </w:tr>
      <w:tr w:rsidR="00355147" w:rsidRPr="00355147" w14:paraId="3498205B" w14:textId="77777777" w:rsidTr="007A2298">
        <w:tc>
          <w:tcPr>
            <w:tcW w:w="4405" w:type="dxa"/>
            <w:hideMark/>
          </w:tcPr>
          <w:p w14:paraId="5A719D0F"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Student Name</w:t>
            </w:r>
          </w:p>
        </w:tc>
        <w:tc>
          <w:tcPr>
            <w:tcW w:w="4945" w:type="dxa"/>
            <w:hideMark/>
          </w:tcPr>
          <w:p w14:paraId="53A32390" w14:textId="378925A8" w:rsidR="00355147" w:rsidRPr="00355147" w:rsidRDefault="00565D7C" w:rsidP="00911C93">
            <w:pPr>
              <w:spacing w:line="360" w:lineRule="auto"/>
              <w:rPr>
                <w:rFonts w:ascii="Arial" w:eastAsia="Times New Roman" w:hAnsi="Arial" w:cs="Arial"/>
                <w:sz w:val="24"/>
                <w:szCs w:val="24"/>
              </w:rPr>
            </w:pPr>
            <w:r>
              <w:rPr>
                <w:rFonts w:ascii="Arial" w:eastAsia="Times New Roman" w:hAnsi="Arial" w:cs="Arial"/>
                <w:sz w:val="24"/>
                <w:szCs w:val="24"/>
              </w:rPr>
              <w:t>Chesney Brenda Haroon</w:t>
            </w:r>
          </w:p>
        </w:tc>
      </w:tr>
      <w:tr w:rsidR="00355147" w:rsidRPr="00355147" w14:paraId="5A3D6062" w14:textId="77777777" w:rsidTr="007A2298">
        <w:tc>
          <w:tcPr>
            <w:tcW w:w="4405" w:type="dxa"/>
            <w:hideMark/>
          </w:tcPr>
          <w:p w14:paraId="4B1E231E"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Student ID Number</w:t>
            </w:r>
          </w:p>
        </w:tc>
        <w:tc>
          <w:tcPr>
            <w:tcW w:w="4945" w:type="dxa"/>
            <w:hideMark/>
          </w:tcPr>
          <w:p w14:paraId="5E360A7E" w14:textId="1EC5C4E4" w:rsidR="00355147" w:rsidRPr="00355147" w:rsidRDefault="00565D7C" w:rsidP="00911C93">
            <w:pPr>
              <w:spacing w:line="360" w:lineRule="auto"/>
              <w:rPr>
                <w:rFonts w:ascii="Arial" w:eastAsia="Times New Roman" w:hAnsi="Arial" w:cs="Arial"/>
                <w:sz w:val="24"/>
                <w:szCs w:val="24"/>
              </w:rPr>
            </w:pPr>
            <w:r>
              <w:rPr>
                <w:rFonts w:ascii="Arial" w:eastAsia="Times New Roman" w:hAnsi="Arial" w:cs="Arial"/>
                <w:sz w:val="24"/>
                <w:szCs w:val="24"/>
              </w:rPr>
              <w:t>2505431</w:t>
            </w:r>
          </w:p>
        </w:tc>
      </w:tr>
      <w:tr w:rsidR="00355147" w:rsidRPr="00355147" w14:paraId="08F14F53" w14:textId="77777777" w:rsidTr="007A2298">
        <w:tc>
          <w:tcPr>
            <w:tcW w:w="4405" w:type="dxa"/>
            <w:hideMark/>
          </w:tcPr>
          <w:p w14:paraId="7FA77CEB" w14:textId="77777777" w:rsidR="00355147" w:rsidRPr="00355147" w:rsidRDefault="00355147" w:rsidP="00911C93">
            <w:pPr>
              <w:spacing w:line="360" w:lineRule="auto"/>
              <w:rPr>
                <w:rFonts w:ascii="Arial" w:eastAsia="Times New Roman" w:hAnsi="Arial" w:cs="Arial"/>
                <w:sz w:val="24"/>
                <w:szCs w:val="24"/>
              </w:rPr>
            </w:pPr>
            <w:proofErr w:type="spellStart"/>
            <w:r w:rsidRPr="00911C93">
              <w:rPr>
                <w:rFonts w:ascii="Arial" w:eastAsia="Times New Roman" w:hAnsi="Arial" w:cs="Arial"/>
                <w:b/>
                <w:bCs/>
                <w:sz w:val="24"/>
                <w:szCs w:val="24"/>
              </w:rPr>
              <w:t>Programme</w:t>
            </w:r>
            <w:proofErr w:type="spellEnd"/>
          </w:p>
        </w:tc>
        <w:tc>
          <w:tcPr>
            <w:tcW w:w="4945" w:type="dxa"/>
            <w:hideMark/>
          </w:tcPr>
          <w:p w14:paraId="57704419"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Certificate of Higher Education Skills for the Workplace (Health &amp; Social Care)</w:t>
            </w:r>
          </w:p>
        </w:tc>
      </w:tr>
      <w:tr w:rsidR="00355147" w:rsidRPr="00355147" w14:paraId="670A22B2" w14:textId="77777777" w:rsidTr="007A2298">
        <w:tc>
          <w:tcPr>
            <w:tcW w:w="4405" w:type="dxa"/>
            <w:hideMark/>
          </w:tcPr>
          <w:p w14:paraId="2C7CC745"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Module Title</w:t>
            </w:r>
          </w:p>
        </w:tc>
        <w:tc>
          <w:tcPr>
            <w:tcW w:w="4945" w:type="dxa"/>
            <w:hideMark/>
          </w:tcPr>
          <w:p w14:paraId="49F56AAC"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Introduction to Health and Social Care</w:t>
            </w:r>
          </w:p>
        </w:tc>
      </w:tr>
      <w:tr w:rsidR="00355147" w:rsidRPr="00355147" w14:paraId="0317503D" w14:textId="77777777" w:rsidTr="007A2298">
        <w:tc>
          <w:tcPr>
            <w:tcW w:w="4405" w:type="dxa"/>
            <w:hideMark/>
          </w:tcPr>
          <w:p w14:paraId="0AE1FB2E"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Module Code</w:t>
            </w:r>
          </w:p>
        </w:tc>
        <w:tc>
          <w:tcPr>
            <w:tcW w:w="4945" w:type="dxa"/>
            <w:hideMark/>
          </w:tcPr>
          <w:p w14:paraId="1A6DD87F"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LCHS4003</w:t>
            </w:r>
          </w:p>
        </w:tc>
      </w:tr>
      <w:tr w:rsidR="00355147" w:rsidRPr="00355147" w14:paraId="583AAA20" w14:textId="77777777" w:rsidTr="007A2298">
        <w:tc>
          <w:tcPr>
            <w:tcW w:w="4405" w:type="dxa"/>
            <w:hideMark/>
          </w:tcPr>
          <w:p w14:paraId="306DEE4E"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Assignment Title</w:t>
            </w:r>
          </w:p>
        </w:tc>
        <w:tc>
          <w:tcPr>
            <w:tcW w:w="4945" w:type="dxa"/>
            <w:hideMark/>
          </w:tcPr>
          <w:p w14:paraId="045BFE62"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Portfolio – Two Tasks</w:t>
            </w:r>
          </w:p>
        </w:tc>
      </w:tr>
      <w:tr w:rsidR="00355147" w:rsidRPr="00355147" w14:paraId="5D128BD4" w14:textId="77777777" w:rsidTr="007A2298">
        <w:tc>
          <w:tcPr>
            <w:tcW w:w="4405" w:type="dxa"/>
            <w:hideMark/>
          </w:tcPr>
          <w:p w14:paraId="5D9D7420"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Word Count (or Equivalent)</w:t>
            </w:r>
          </w:p>
        </w:tc>
        <w:tc>
          <w:tcPr>
            <w:tcW w:w="4945" w:type="dxa"/>
            <w:hideMark/>
          </w:tcPr>
          <w:p w14:paraId="7C7CDC0B"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1,500 words (equivalent)</w:t>
            </w:r>
          </w:p>
        </w:tc>
      </w:tr>
      <w:tr w:rsidR="00355147" w:rsidRPr="00355147" w14:paraId="52012124" w14:textId="77777777" w:rsidTr="007A2298">
        <w:tc>
          <w:tcPr>
            <w:tcW w:w="4405" w:type="dxa"/>
            <w:hideMark/>
          </w:tcPr>
          <w:p w14:paraId="2B8B2B58"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Lecturer (Module Lead)</w:t>
            </w:r>
          </w:p>
        </w:tc>
        <w:tc>
          <w:tcPr>
            <w:tcW w:w="4945" w:type="dxa"/>
            <w:hideMark/>
          </w:tcPr>
          <w:p w14:paraId="150A94F4" w14:textId="64A25AE9" w:rsidR="00355147" w:rsidRPr="002E55B9" w:rsidRDefault="00DA01CC" w:rsidP="002E55B9">
            <w:pPr>
              <w:rPr>
                <w:sz w:val="28"/>
                <w:szCs w:val="28"/>
              </w:rPr>
            </w:pPr>
            <w:r w:rsidRPr="002E55B9">
              <w:rPr>
                <w:sz w:val="28"/>
                <w:szCs w:val="28"/>
              </w:rPr>
              <w:t>Daniel Haruna</w:t>
            </w:r>
          </w:p>
        </w:tc>
      </w:tr>
      <w:tr w:rsidR="00355147" w:rsidRPr="00355147" w14:paraId="24D477E9" w14:textId="77777777" w:rsidTr="007A2298">
        <w:tc>
          <w:tcPr>
            <w:tcW w:w="4405" w:type="dxa"/>
            <w:hideMark/>
          </w:tcPr>
          <w:p w14:paraId="10614D61"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Internal Verifier</w:t>
            </w:r>
          </w:p>
        </w:tc>
        <w:tc>
          <w:tcPr>
            <w:tcW w:w="4945" w:type="dxa"/>
            <w:hideMark/>
          </w:tcPr>
          <w:p w14:paraId="7FE239E8"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Dr Besty Jose</w:t>
            </w:r>
          </w:p>
        </w:tc>
      </w:tr>
      <w:tr w:rsidR="00355147" w:rsidRPr="00355147" w14:paraId="15BABA8C" w14:textId="77777777" w:rsidTr="007A2298">
        <w:tc>
          <w:tcPr>
            <w:tcW w:w="4405" w:type="dxa"/>
            <w:hideMark/>
          </w:tcPr>
          <w:p w14:paraId="0608FE97" w14:textId="77777777" w:rsidR="00355147" w:rsidRPr="00355147" w:rsidRDefault="00355147" w:rsidP="00911C93">
            <w:pPr>
              <w:spacing w:line="360" w:lineRule="auto"/>
              <w:rPr>
                <w:rFonts w:ascii="Arial" w:eastAsia="Times New Roman" w:hAnsi="Arial" w:cs="Arial"/>
                <w:sz w:val="24"/>
                <w:szCs w:val="24"/>
              </w:rPr>
            </w:pPr>
            <w:r w:rsidRPr="00911C93">
              <w:rPr>
                <w:rFonts w:ascii="Arial" w:eastAsia="Times New Roman" w:hAnsi="Arial" w:cs="Arial"/>
                <w:b/>
                <w:bCs/>
                <w:sz w:val="24"/>
                <w:szCs w:val="24"/>
              </w:rPr>
              <w:t>Submission Deadline</w:t>
            </w:r>
          </w:p>
        </w:tc>
        <w:tc>
          <w:tcPr>
            <w:tcW w:w="4945" w:type="dxa"/>
            <w:hideMark/>
          </w:tcPr>
          <w:p w14:paraId="221B8B46" w14:textId="77777777" w:rsidR="00355147" w:rsidRPr="00355147" w:rsidRDefault="00355147" w:rsidP="00911C93">
            <w:pPr>
              <w:spacing w:line="360" w:lineRule="auto"/>
              <w:rPr>
                <w:rFonts w:ascii="Arial" w:eastAsia="Times New Roman" w:hAnsi="Arial" w:cs="Arial"/>
                <w:sz w:val="24"/>
                <w:szCs w:val="24"/>
              </w:rPr>
            </w:pPr>
            <w:r w:rsidRPr="00355147">
              <w:rPr>
                <w:rFonts w:ascii="Arial" w:eastAsia="Times New Roman" w:hAnsi="Arial" w:cs="Arial"/>
                <w:sz w:val="24"/>
                <w:szCs w:val="24"/>
              </w:rPr>
              <w:t>Monday, 23rd February 2026, 10:00 am</w:t>
            </w:r>
          </w:p>
        </w:tc>
      </w:tr>
    </w:tbl>
    <w:p w14:paraId="37935697" w14:textId="77777777" w:rsidR="00352129" w:rsidRPr="00911C93" w:rsidRDefault="00352129" w:rsidP="00911C93">
      <w:pPr>
        <w:spacing w:after="0" w:line="360" w:lineRule="auto"/>
        <w:rPr>
          <w:rFonts w:ascii="Arial" w:hAnsi="Arial" w:cs="Arial"/>
        </w:rPr>
      </w:pPr>
    </w:p>
    <w:p w14:paraId="2A6DAE82" w14:textId="77777777" w:rsidR="00352129" w:rsidRPr="00911C93" w:rsidRDefault="00352129" w:rsidP="00911C93">
      <w:pPr>
        <w:spacing w:after="0" w:line="360" w:lineRule="auto"/>
        <w:rPr>
          <w:rFonts w:ascii="Arial" w:hAnsi="Arial" w:cs="Arial"/>
        </w:rPr>
      </w:pPr>
    </w:p>
    <w:p w14:paraId="4CCC67EC" w14:textId="77777777" w:rsidR="00352129" w:rsidRPr="00911C93" w:rsidRDefault="00352129" w:rsidP="00352129">
      <w:pPr>
        <w:rPr>
          <w:rFonts w:ascii="Arial" w:hAnsi="Arial" w:cs="Arial"/>
        </w:rPr>
      </w:pPr>
    </w:p>
    <w:p w14:paraId="58BBB980" w14:textId="77777777" w:rsidR="00352129" w:rsidRPr="00911C93" w:rsidRDefault="00352129" w:rsidP="00352129">
      <w:pPr>
        <w:rPr>
          <w:rFonts w:ascii="Arial" w:hAnsi="Arial" w:cs="Arial"/>
        </w:rPr>
      </w:pPr>
    </w:p>
    <w:p w14:paraId="34C84B80" w14:textId="77777777" w:rsidR="00352129" w:rsidRPr="00911C93" w:rsidRDefault="00352129" w:rsidP="00352129">
      <w:pPr>
        <w:rPr>
          <w:rFonts w:ascii="Arial" w:hAnsi="Arial" w:cs="Arial"/>
        </w:rPr>
      </w:pPr>
    </w:p>
    <w:p w14:paraId="03054BD7" w14:textId="77777777" w:rsidR="00352129" w:rsidRPr="00911C93" w:rsidRDefault="00352129" w:rsidP="00352129">
      <w:pPr>
        <w:rPr>
          <w:rFonts w:ascii="Arial" w:hAnsi="Arial" w:cs="Arial"/>
        </w:rPr>
      </w:pPr>
    </w:p>
    <w:p w14:paraId="7D3B1E84" w14:textId="77777777" w:rsidR="00352129" w:rsidRPr="00911C93" w:rsidRDefault="00352129" w:rsidP="00352129">
      <w:pPr>
        <w:rPr>
          <w:rFonts w:ascii="Arial" w:hAnsi="Arial" w:cs="Arial"/>
        </w:rPr>
      </w:pPr>
    </w:p>
    <w:p w14:paraId="600E9C9F" w14:textId="77777777" w:rsidR="00352129" w:rsidRPr="00911C93" w:rsidRDefault="00352129" w:rsidP="00352129">
      <w:pPr>
        <w:rPr>
          <w:rFonts w:ascii="Arial" w:hAnsi="Arial" w:cs="Arial"/>
        </w:rPr>
      </w:pPr>
    </w:p>
    <w:p w14:paraId="2B9B7B78" w14:textId="77777777" w:rsidR="00352129" w:rsidRPr="00911C93" w:rsidRDefault="00352129" w:rsidP="00352129">
      <w:pPr>
        <w:rPr>
          <w:rFonts w:ascii="Arial" w:hAnsi="Arial" w:cs="Arial"/>
        </w:rPr>
      </w:pPr>
    </w:p>
    <w:p w14:paraId="06DC802A" w14:textId="77777777" w:rsidR="00352129" w:rsidRPr="00911C93" w:rsidRDefault="00352129" w:rsidP="00352129">
      <w:pPr>
        <w:rPr>
          <w:rFonts w:ascii="Arial" w:hAnsi="Arial" w:cs="Arial"/>
        </w:rPr>
      </w:pPr>
    </w:p>
    <w:p w14:paraId="542D8F5E" w14:textId="77777777" w:rsidR="00D63C80" w:rsidRDefault="00D63C80" w:rsidP="00D63C80">
      <w:pPr>
        <w:rPr>
          <w:rFonts w:ascii="Arial" w:hAnsi="Arial" w:cs="Arial"/>
          <w:b/>
          <w:bCs/>
          <w:sz w:val="36"/>
          <w:szCs w:val="24"/>
        </w:rPr>
        <w:sectPr w:rsidR="00D63C80">
          <w:headerReference w:type="default" r:id="rId7"/>
          <w:footerReference w:type="default" r:id="rId8"/>
          <w:pgSz w:w="12240" w:h="15840"/>
          <w:pgMar w:top="1440" w:right="1440" w:bottom="1440" w:left="1440" w:header="720" w:footer="720" w:gutter="0"/>
          <w:cols w:space="720"/>
          <w:docGrid w:linePitch="360"/>
        </w:sectPr>
      </w:pPr>
    </w:p>
    <w:tbl>
      <w:tblPr>
        <w:tblStyle w:val="PlainTable4"/>
        <w:tblW w:w="15570" w:type="dxa"/>
        <w:tblInd w:w="-1260" w:type="dxa"/>
        <w:shd w:val="clear" w:color="auto" w:fill="DEEAF6" w:themeFill="accent5" w:themeFillTint="33"/>
        <w:tblLook w:val="04A0" w:firstRow="1" w:lastRow="0" w:firstColumn="1" w:lastColumn="0" w:noHBand="0" w:noVBand="1"/>
      </w:tblPr>
      <w:tblGrid>
        <w:gridCol w:w="8364"/>
        <w:gridCol w:w="7206"/>
      </w:tblGrid>
      <w:tr w:rsidR="00D63C80" w:rsidRPr="00911C93" w14:paraId="5F71AE35" w14:textId="77777777" w:rsidTr="00567DB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70" w:type="dxa"/>
            <w:gridSpan w:val="2"/>
            <w:shd w:val="clear" w:color="auto" w:fill="002060"/>
          </w:tcPr>
          <w:p w14:paraId="72E1E741" w14:textId="77777777" w:rsidR="008319A3" w:rsidRPr="00911C93" w:rsidRDefault="008319A3" w:rsidP="00567DBA">
            <w:pPr>
              <w:jc w:val="center"/>
              <w:rPr>
                <w:rFonts w:ascii="Arial" w:hAnsi="Arial" w:cs="Arial"/>
                <w:sz w:val="32"/>
                <w:szCs w:val="24"/>
              </w:rPr>
            </w:pPr>
            <w:r w:rsidRPr="00911C93">
              <w:rPr>
                <w:rFonts w:ascii="Arial" w:hAnsi="Arial" w:cs="Arial"/>
                <w:noProof/>
                <w:sz w:val="32"/>
                <w:szCs w:val="24"/>
              </w:rPr>
              <w:lastRenderedPageBreak/>
              <w:drawing>
                <wp:inline distT="0" distB="0" distL="0" distR="0" wp14:anchorId="14258BB5" wp14:editId="7F6D50E1">
                  <wp:extent cx="480035" cy="477635"/>
                  <wp:effectExtent l="0" t="0" r="0" b="0"/>
                  <wp:docPr id="14" name="Picture 8" descr="Community Access &amp; Activities Center - Better Care Disability"/>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2" name="Picture 8" descr="Community Access &amp; Activities Center - Better Care Disability"/>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011" cy="490547"/>
                          </a:xfrm>
                          <a:prstGeom prst="rect">
                            <a:avLst/>
                          </a:prstGeom>
                          <a:noFill/>
                        </pic:spPr>
                      </pic:pic>
                    </a:graphicData>
                  </a:graphic>
                </wp:inline>
              </w:drawing>
            </w:r>
            <w:r w:rsidRPr="00911C93">
              <w:rPr>
                <w:rFonts w:ascii="Arial" w:hAnsi="Arial" w:cs="Arial"/>
                <w:noProof/>
                <w:sz w:val="32"/>
                <w:szCs w:val="24"/>
              </w:rPr>
              <w:drawing>
                <wp:inline distT="0" distB="0" distL="0" distR="0" wp14:anchorId="1FC4B570" wp14:editId="58713A2A">
                  <wp:extent cx="480035" cy="477635"/>
                  <wp:effectExtent l="0" t="0" r="0" b="0"/>
                  <wp:docPr id="15" name="Picture 8" descr="Community Access &amp; Activities Center - Better Care Disability"/>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2" name="Picture 8" descr="Community Access &amp; Activities Center - Better Care Disability"/>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011" cy="490547"/>
                          </a:xfrm>
                          <a:prstGeom prst="rect">
                            <a:avLst/>
                          </a:prstGeom>
                          <a:noFill/>
                        </pic:spPr>
                      </pic:pic>
                    </a:graphicData>
                  </a:graphic>
                </wp:inline>
              </w:drawing>
            </w:r>
            <w:r w:rsidRPr="00911C93">
              <w:rPr>
                <w:rFonts w:ascii="Arial" w:hAnsi="Arial" w:cs="Arial"/>
                <w:noProof/>
                <w:sz w:val="32"/>
                <w:szCs w:val="24"/>
              </w:rPr>
              <w:drawing>
                <wp:inline distT="0" distB="0" distL="0" distR="0" wp14:anchorId="0AD14B1B" wp14:editId="1A3B093A">
                  <wp:extent cx="480035" cy="477635"/>
                  <wp:effectExtent l="0" t="0" r="0" b="0"/>
                  <wp:docPr id="16" name="Picture 8" descr="Community Access &amp; Activities Center - Better Care Disability"/>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2" name="Picture 8" descr="Community Access &amp; Activities Center - Better Care Disability"/>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011" cy="490547"/>
                          </a:xfrm>
                          <a:prstGeom prst="rect">
                            <a:avLst/>
                          </a:prstGeom>
                          <a:noFill/>
                        </pic:spPr>
                      </pic:pic>
                    </a:graphicData>
                  </a:graphic>
                </wp:inline>
              </w:drawing>
            </w:r>
            <w:r w:rsidRPr="00911C93">
              <w:rPr>
                <w:rFonts w:ascii="Arial" w:hAnsi="Arial" w:cs="Arial"/>
                <w:noProof/>
              </w:rPr>
              <w:drawing>
                <wp:inline distT="0" distB="0" distL="0" distR="0" wp14:anchorId="53ADF8A1" wp14:editId="54281B2B">
                  <wp:extent cx="502920" cy="502920"/>
                  <wp:effectExtent l="0" t="0" r="0" b="0"/>
                  <wp:docPr id="11" name="Picture 11" descr="Disability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ability - Free people ic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2920" cy="502920"/>
                          </a:xfrm>
                          <a:prstGeom prst="rect">
                            <a:avLst/>
                          </a:prstGeom>
                          <a:noFill/>
                          <a:ln>
                            <a:noFill/>
                          </a:ln>
                        </pic:spPr>
                      </pic:pic>
                    </a:graphicData>
                  </a:graphic>
                </wp:inline>
              </w:drawing>
            </w:r>
            <w:r w:rsidR="00642F28" w:rsidRPr="00911C93">
              <w:rPr>
                <w:rFonts w:ascii="Arial" w:hAnsi="Arial" w:cs="Arial"/>
                <w:sz w:val="36"/>
                <w:szCs w:val="24"/>
              </w:rPr>
              <w:t xml:space="preserve">Task -1: </w:t>
            </w:r>
            <w:r w:rsidRPr="00911C93">
              <w:rPr>
                <w:rFonts w:ascii="Arial" w:hAnsi="Arial" w:cs="Arial"/>
                <w:sz w:val="36"/>
                <w:szCs w:val="24"/>
              </w:rPr>
              <w:t xml:space="preserve">Community Disability Services – Poster </w:t>
            </w:r>
            <w:r w:rsidRPr="00911C93">
              <w:rPr>
                <w:rFonts w:ascii="Arial" w:hAnsi="Arial" w:cs="Arial"/>
                <w:noProof/>
              </w:rPr>
              <w:drawing>
                <wp:inline distT="0" distB="0" distL="0" distR="0" wp14:anchorId="21A722EE" wp14:editId="23F3C3ED">
                  <wp:extent cx="502920" cy="502920"/>
                  <wp:effectExtent l="0" t="0" r="0" b="0"/>
                  <wp:docPr id="10" name="Picture 10" descr="Disability - Free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ability - Free people icon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2920" cy="502920"/>
                          </a:xfrm>
                          <a:prstGeom prst="rect">
                            <a:avLst/>
                          </a:prstGeom>
                          <a:noFill/>
                          <a:ln>
                            <a:noFill/>
                          </a:ln>
                        </pic:spPr>
                      </pic:pic>
                    </a:graphicData>
                  </a:graphic>
                </wp:inline>
              </w:drawing>
            </w:r>
            <w:r w:rsidRPr="00911C93">
              <w:rPr>
                <w:rFonts w:ascii="Arial" w:hAnsi="Arial" w:cs="Arial"/>
                <w:noProof/>
                <w:sz w:val="32"/>
                <w:szCs w:val="24"/>
              </w:rPr>
              <w:drawing>
                <wp:inline distT="0" distB="0" distL="0" distR="0" wp14:anchorId="59B02F2A" wp14:editId="570E56D1">
                  <wp:extent cx="401955" cy="401955"/>
                  <wp:effectExtent l="0" t="0" r="0" b="0"/>
                  <wp:docPr id="1026" name="Picture 2" descr="Inclusive With Disability Community Flat Design, Inclusive, Disability,  Flat Design PNG and Vector with Transparent Background for Free Downloa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Inclusive With Disability Community Flat Design, Inclusive, Disability,  Flat Design PNG and Vector with Transparent Background for Free Download"/>
                          <pic:cNvPicPr>
                            <a:picLocks noGrp="1"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2192" cy="402192"/>
                          </a:xfrm>
                          <a:prstGeom prst="rect">
                            <a:avLst/>
                          </a:prstGeom>
                          <a:noFill/>
                        </pic:spPr>
                      </pic:pic>
                    </a:graphicData>
                  </a:graphic>
                </wp:inline>
              </w:drawing>
            </w:r>
            <w:r w:rsidRPr="00911C93">
              <w:rPr>
                <w:rFonts w:ascii="Arial" w:hAnsi="Arial" w:cs="Arial"/>
                <w:sz w:val="32"/>
                <w:szCs w:val="24"/>
              </w:rPr>
              <w:t xml:space="preserve"> </w:t>
            </w:r>
            <w:r w:rsidRPr="00911C93">
              <w:rPr>
                <w:rFonts w:ascii="Arial" w:hAnsi="Arial" w:cs="Arial"/>
                <w:noProof/>
                <w:sz w:val="32"/>
                <w:szCs w:val="24"/>
              </w:rPr>
              <w:drawing>
                <wp:inline distT="0" distB="0" distL="0" distR="0" wp14:anchorId="5C2573BB" wp14:editId="23D5A4AD">
                  <wp:extent cx="480035" cy="477635"/>
                  <wp:effectExtent l="0" t="0" r="0" b="0"/>
                  <wp:docPr id="1032" name="Picture 8" descr="Community Access &amp; Activities Center - Better Care Disability"/>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2" name="Picture 8" descr="Community Access &amp; Activities Center - Better Care Disability"/>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011" cy="490547"/>
                          </a:xfrm>
                          <a:prstGeom prst="rect">
                            <a:avLst/>
                          </a:prstGeom>
                          <a:noFill/>
                        </pic:spPr>
                      </pic:pic>
                    </a:graphicData>
                  </a:graphic>
                </wp:inline>
              </w:drawing>
            </w:r>
            <w:r w:rsidRPr="00911C93">
              <w:rPr>
                <w:rFonts w:ascii="Arial" w:hAnsi="Arial" w:cs="Arial"/>
                <w:noProof/>
                <w:sz w:val="32"/>
                <w:szCs w:val="24"/>
              </w:rPr>
              <w:drawing>
                <wp:inline distT="0" distB="0" distL="0" distR="0" wp14:anchorId="561B4F39" wp14:editId="70BB1765">
                  <wp:extent cx="480035" cy="477635"/>
                  <wp:effectExtent l="0" t="0" r="0" b="0"/>
                  <wp:docPr id="17" name="Picture 8" descr="Community Access &amp; Activities Center - Better Care Disability"/>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2" name="Picture 8" descr="Community Access &amp; Activities Center - Better Care Disability"/>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011" cy="490547"/>
                          </a:xfrm>
                          <a:prstGeom prst="rect">
                            <a:avLst/>
                          </a:prstGeom>
                          <a:noFill/>
                        </pic:spPr>
                      </pic:pic>
                    </a:graphicData>
                  </a:graphic>
                </wp:inline>
              </w:drawing>
            </w:r>
            <w:r w:rsidRPr="00911C93">
              <w:rPr>
                <w:rFonts w:ascii="Arial" w:hAnsi="Arial" w:cs="Arial"/>
                <w:noProof/>
                <w:sz w:val="32"/>
                <w:szCs w:val="24"/>
              </w:rPr>
              <w:drawing>
                <wp:inline distT="0" distB="0" distL="0" distR="0" wp14:anchorId="547D67CA" wp14:editId="6A039203">
                  <wp:extent cx="480035" cy="477635"/>
                  <wp:effectExtent l="0" t="0" r="0" b="0"/>
                  <wp:docPr id="18" name="Picture 8" descr="Community Access &amp; Activities Center - Better Care Disability"/>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32" name="Picture 8" descr="Community Access &amp; Activities Center - Better Care Disability"/>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011" cy="490547"/>
                          </a:xfrm>
                          <a:prstGeom prst="rect">
                            <a:avLst/>
                          </a:prstGeom>
                          <a:noFill/>
                        </pic:spPr>
                      </pic:pic>
                    </a:graphicData>
                  </a:graphic>
                </wp:inline>
              </w:drawing>
            </w:r>
          </w:p>
        </w:tc>
      </w:tr>
      <w:tr w:rsidR="008319A3" w:rsidRPr="00911C93" w14:paraId="64006320" w14:textId="77777777" w:rsidTr="00567DB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726" w:type="dxa"/>
            <w:shd w:val="clear" w:color="auto" w:fill="DEEAF6" w:themeFill="accent5" w:themeFillTint="33"/>
          </w:tcPr>
          <w:p w14:paraId="2735225D" w14:textId="77777777" w:rsidR="008319A3" w:rsidRPr="00911C93" w:rsidRDefault="008319A3" w:rsidP="00567DBA">
            <w:pPr>
              <w:pStyle w:val="Heading2"/>
              <w:shd w:val="clear" w:color="auto" w:fill="E779CD"/>
              <w:spacing w:before="0"/>
              <w:rPr>
                <w:rFonts w:ascii="Arial" w:hAnsi="Arial" w:cs="Arial"/>
                <w:b w:val="0"/>
                <w:sz w:val="24"/>
                <w:szCs w:val="24"/>
              </w:rPr>
            </w:pPr>
            <w:r w:rsidRPr="00911C93">
              <w:rPr>
                <w:rFonts w:ascii="Arial" w:hAnsi="Arial" w:cs="Arial"/>
                <w:b w:val="0"/>
                <w:sz w:val="24"/>
                <w:szCs w:val="24"/>
              </w:rPr>
              <w:t xml:space="preserve">What are </w:t>
            </w:r>
            <w:r w:rsidRPr="00911C93">
              <w:rPr>
                <w:rStyle w:val="Emphasis"/>
                <w:rFonts w:ascii="Arial" w:hAnsi="Arial" w:cs="Arial"/>
                <w:b w:val="0"/>
                <w:sz w:val="24"/>
                <w:szCs w:val="24"/>
              </w:rPr>
              <w:t>Community Disability Services</w:t>
            </w:r>
            <w:r w:rsidRPr="00911C93">
              <w:rPr>
                <w:rFonts w:ascii="Arial" w:hAnsi="Arial" w:cs="Arial"/>
                <w:b w:val="0"/>
                <w:sz w:val="24"/>
                <w:szCs w:val="24"/>
              </w:rPr>
              <w:t>?</w:t>
            </w:r>
          </w:p>
          <w:p w14:paraId="3C740DF8" w14:textId="77777777" w:rsidR="008319A3" w:rsidRPr="00911C93" w:rsidRDefault="008319A3" w:rsidP="00567DBA">
            <w:pPr>
              <w:rPr>
                <w:rFonts w:ascii="Arial" w:hAnsi="Arial" w:cs="Arial"/>
                <w:sz w:val="24"/>
                <w:szCs w:val="24"/>
              </w:rPr>
            </w:pPr>
            <w:r w:rsidRPr="00911C93">
              <w:rPr>
                <w:rFonts w:ascii="Arial" w:hAnsi="Arial" w:cs="Arial"/>
                <w:noProof/>
                <w:sz w:val="24"/>
                <w:szCs w:val="24"/>
              </w:rPr>
              <w:drawing>
                <wp:inline distT="0" distB="0" distL="0" distR="0" wp14:anchorId="260570EE" wp14:editId="39CA2D42">
                  <wp:extent cx="4472940" cy="2468880"/>
                  <wp:effectExtent l="0" t="38100" r="41910" b="2667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tc>
        <w:tc>
          <w:tcPr>
            <w:tcW w:w="5844" w:type="dxa"/>
            <w:shd w:val="clear" w:color="auto" w:fill="DEEAF6" w:themeFill="accent5" w:themeFillTint="33"/>
          </w:tcPr>
          <w:p w14:paraId="4B48C82C" w14:textId="77777777" w:rsidR="008319A3" w:rsidRPr="00911C93" w:rsidRDefault="008319A3" w:rsidP="00567DBA">
            <w:pPr>
              <w:shd w:val="clear" w:color="auto" w:fill="E779CD"/>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911C93">
              <w:rPr>
                <w:rFonts w:ascii="Arial" w:hAnsi="Arial" w:cs="Arial"/>
                <w:b/>
                <w:sz w:val="24"/>
                <w:szCs w:val="24"/>
              </w:rPr>
              <w:t>How the service functions today</w:t>
            </w:r>
          </w:p>
          <w:p w14:paraId="42341B19" w14:textId="77777777" w:rsidR="008319A3" w:rsidRPr="00911C93" w:rsidRDefault="008319A3" w:rsidP="00567DBA">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911C93">
              <w:rPr>
                <w:rFonts w:ascii="Arial" w:hAnsi="Arial" w:cs="Arial"/>
                <w:noProof/>
                <w:sz w:val="24"/>
                <w:szCs w:val="24"/>
              </w:rPr>
              <w:drawing>
                <wp:inline distT="0" distB="0" distL="0" distR="0" wp14:anchorId="1C370BCE" wp14:editId="06CC949D">
                  <wp:extent cx="4381500" cy="2461260"/>
                  <wp:effectExtent l="19050" t="19050" r="38100" b="3429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tc>
      </w:tr>
      <w:tr w:rsidR="008319A3" w:rsidRPr="00911C93" w14:paraId="212B2A5F" w14:textId="77777777" w:rsidTr="00567DBA">
        <w:tc>
          <w:tcPr>
            <w:cnfStyle w:val="001000000000" w:firstRow="0" w:lastRow="0" w:firstColumn="1" w:lastColumn="0" w:oddVBand="0" w:evenVBand="0" w:oddHBand="0" w:evenHBand="0" w:firstRowFirstColumn="0" w:firstRowLastColumn="0" w:lastRowFirstColumn="0" w:lastRowLastColumn="0"/>
            <w:tcW w:w="9726" w:type="dxa"/>
            <w:shd w:val="clear" w:color="auto" w:fill="DEEAF6" w:themeFill="accent5" w:themeFillTint="33"/>
          </w:tcPr>
          <w:p w14:paraId="7DE7A2AE" w14:textId="77777777" w:rsidR="008319A3" w:rsidRPr="00911C93" w:rsidRDefault="008319A3" w:rsidP="00567DBA">
            <w:pPr>
              <w:pStyle w:val="Heading2"/>
              <w:shd w:val="clear" w:color="auto" w:fill="E779CD"/>
              <w:spacing w:before="0"/>
              <w:rPr>
                <w:rFonts w:ascii="Arial" w:eastAsia="Times New Roman" w:hAnsi="Arial" w:cs="Arial"/>
                <w:b w:val="0"/>
                <w:sz w:val="24"/>
                <w:szCs w:val="24"/>
              </w:rPr>
            </w:pPr>
            <w:r w:rsidRPr="00911C93">
              <w:rPr>
                <w:rFonts w:ascii="Arial" w:hAnsi="Arial" w:cs="Arial"/>
                <w:b w:val="0"/>
                <w:sz w:val="24"/>
                <w:szCs w:val="24"/>
              </w:rPr>
              <w:t>Brief history (timeline)</w:t>
            </w:r>
          </w:p>
          <w:p w14:paraId="3A58E82B" w14:textId="77777777" w:rsidR="008319A3" w:rsidRPr="00911C93" w:rsidRDefault="008319A3" w:rsidP="00567DBA">
            <w:pPr>
              <w:pStyle w:val="Heading2"/>
              <w:spacing w:before="0"/>
              <w:rPr>
                <w:rFonts w:ascii="Arial" w:hAnsi="Arial" w:cs="Arial"/>
                <w:sz w:val="24"/>
                <w:szCs w:val="24"/>
              </w:rPr>
            </w:pPr>
            <w:r w:rsidRPr="00911C93">
              <w:rPr>
                <w:rFonts w:ascii="Arial" w:eastAsia="Times New Roman" w:hAnsi="Arial" w:cs="Arial"/>
                <w:noProof/>
                <w:sz w:val="24"/>
                <w:szCs w:val="24"/>
              </w:rPr>
              <w:drawing>
                <wp:inline distT="0" distB="0" distL="0" distR="0" wp14:anchorId="716DF60B" wp14:editId="2284E7E1">
                  <wp:extent cx="5059680" cy="2301240"/>
                  <wp:effectExtent l="0" t="38100" r="7620" b="6096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2" r:lo="rId23" r:qs="rId24" r:cs="rId25"/>
                    </a:graphicData>
                  </a:graphic>
                </wp:inline>
              </w:drawing>
            </w:r>
          </w:p>
        </w:tc>
        <w:tc>
          <w:tcPr>
            <w:tcW w:w="5844" w:type="dxa"/>
            <w:shd w:val="clear" w:color="auto" w:fill="DEEAF6" w:themeFill="accent5" w:themeFillTint="33"/>
          </w:tcPr>
          <w:p w14:paraId="7FCF964E" w14:textId="77777777" w:rsidR="008319A3" w:rsidRPr="00911C93" w:rsidRDefault="008319A3" w:rsidP="00567DBA">
            <w:pPr>
              <w:pStyle w:val="Heading2"/>
              <w:shd w:val="clear" w:color="auto" w:fill="E779CD"/>
              <w:spacing w:before="0"/>
              <w:cnfStyle w:val="000000000000" w:firstRow="0" w:lastRow="0" w:firstColumn="0" w:lastColumn="0" w:oddVBand="0" w:evenVBand="0" w:oddHBand="0" w:evenHBand="0" w:firstRowFirstColumn="0" w:firstRowLastColumn="0" w:lastRowFirstColumn="0" w:lastRowLastColumn="0"/>
              <w:rPr>
                <w:rFonts w:ascii="Arial" w:eastAsia="Times New Roman" w:hAnsi="Arial" w:cs="Arial"/>
                <w:b/>
                <w:bCs/>
                <w:sz w:val="24"/>
                <w:szCs w:val="24"/>
              </w:rPr>
            </w:pPr>
            <w:r w:rsidRPr="00911C93">
              <w:rPr>
                <w:rFonts w:ascii="Arial" w:hAnsi="Arial" w:cs="Arial"/>
                <w:sz w:val="24"/>
                <w:szCs w:val="24"/>
              </w:rPr>
              <w:t>Challenges faced by community disability services</w:t>
            </w:r>
          </w:p>
          <w:p w14:paraId="59C622A0" w14:textId="77777777" w:rsidR="008319A3" w:rsidRPr="00911C93" w:rsidRDefault="008319A3" w:rsidP="00567DBA">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911C93">
              <w:rPr>
                <w:rFonts w:ascii="Arial" w:hAnsi="Arial" w:cs="Arial"/>
                <w:noProof/>
                <w:sz w:val="24"/>
                <w:szCs w:val="24"/>
              </w:rPr>
              <w:drawing>
                <wp:inline distT="0" distB="0" distL="0" distR="0" wp14:anchorId="5FC05B28" wp14:editId="7176051D">
                  <wp:extent cx="3863340" cy="2415540"/>
                  <wp:effectExtent l="38100" t="0" r="41910" b="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7" r:lo="rId28" r:qs="rId29" r:cs="rId30"/>
                    </a:graphicData>
                  </a:graphic>
                </wp:inline>
              </w:drawing>
            </w:r>
            <w:r w:rsidRPr="00911C93">
              <w:rPr>
                <w:rFonts w:ascii="Arial" w:hAnsi="Arial" w:cs="Arial"/>
                <w:sz w:val="24"/>
                <w:szCs w:val="24"/>
              </w:rPr>
              <w:t xml:space="preserve"> </w:t>
            </w:r>
          </w:p>
        </w:tc>
      </w:tr>
    </w:tbl>
    <w:p w14:paraId="1005349D" w14:textId="77777777" w:rsidR="00D63C80" w:rsidRDefault="00D63C80" w:rsidP="00352129">
      <w:pPr>
        <w:rPr>
          <w:rFonts w:ascii="Arial" w:hAnsi="Arial" w:cs="Arial"/>
        </w:rPr>
        <w:sectPr w:rsidR="00D63C80" w:rsidSect="00D63C80">
          <w:pgSz w:w="15840" w:h="12240" w:orient="landscape"/>
          <w:pgMar w:top="1440" w:right="1440" w:bottom="1440" w:left="1440" w:header="720" w:footer="720" w:gutter="0"/>
          <w:cols w:space="720"/>
          <w:docGrid w:linePitch="360"/>
        </w:sectPr>
      </w:pPr>
    </w:p>
    <w:p w14:paraId="32C0240F" w14:textId="77777777" w:rsidR="008319A3" w:rsidRPr="00911C93" w:rsidRDefault="008319A3" w:rsidP="00352129">
      <w:pPr>
        <w:rPr>
          <w:rFonts w:ascii="Arial" w:hAnsi="Arial" w:cs="Arial"/>
        </w:rPr>
      </w:pPr>
    </w:p>
    <w:p w14:paraId="10340FB2" w14:textId="77777777" w:rsidR="00D63C80" w:rsidRPr="009618E4" w:rsidRDefault="00113699" w:rsidP="00D63C80">
      <w:pPr>
        <w:spacing w:before="100" w:beforeAutospacing="1" w:after="100" w:afterAutospacing="1" w:line="240" w:lineRule="auto"/>
        <w:jc w:val="center"/>
        <w:outlineLvl w:val="0"/>
        <w:rPr>
          <w:rFonts w:ascii="Arial" w:eastAsia="Times New Roman" w:hAnsi="Arial" w:cs="Arial"/>
          <w:b/>
          <w:bCs/>
          <w:kern w:val="36"/>
          <w:sz w:val="32"/>
          <w:szCs w:val="32"/>
        </w:rPr>
      </w:pPr>
      <w:r w:rsidRPr="009618E4">
        <w:rPr>
          <w:rFonts w:ascii="Arial" w:eastAsia="Times New Roman" w:hAnsi="Arial" w:cs="Arial"/>
          <w:b/>
          <w:bCs/>
          <w:kern w:val="36"/>
          <w:sz w:val="32"/>
          <w:szCs w:val="32"/>
        </w:rPr>
        <w:t>Task 2 - Essay</w:t>
      </w:r>
    </w:p>
    <w:p w14:paraId="384AD4A4" w14:textId="77777777" w:rsidR="00627098" w:rsidRPr="00627098" w:rsidRDefault="00627098" w:rsidP="00D63C80">
      <w:pPr>
        <w:spacing w:before="120" w:after="120" w:line="360" w:lineRule="auto"/>
        <w:jc w:val="both"/>
        <w:outlineLvl w:val="0"/>
        <w:rPr>
          <w:rFonts w:ascii="Arial" w:eastAsia="Times New Roman" w:hAnsi="Arial" w:cs="Arial"/>
          <w:b/>
          <w:bCs/>
          <w:kern w:val="36"/>
          <w:sz w:val="24"/>
          <w:szCs w:val="24"/>
        </w:rPr>
      </w:pPr>
      <w:r w:rsidRPr="00627098">
        <w:rPr>
          <w:rFonts w:ascii="Arial" w:eastAsia="Times New Roman" w:hAnsi="Arial" w:cs="Arial"/>
          <w:b/>
          <w:bCs/>
          <w:kern w:val="36"/>
          <w:sz w:val="24"/>
          <w:szCs w:val="24"/>
        </w:rPr>
        <w:t>Origins and Historical Context</w:t>
      </w:r>
    </w:p>
    <w:p w14:paraId="29CC5B2A" w14:textId="77777777" w:rsidR="00627098" w:rsidRPr="00627098" w:rsidRDefault="00627098" w:rsidP="00D63C80">
      <w:pPr>
        <w:spacing w:before="120" w:after="120" w:line="360" w:lineRule="auto"/>
        <w:jc w:val="both"/>
        <w:rPr>
          <w:rFonts w:ascii="Arial" w:eastAsia="Times New Roman" w:hAnsi="Arial" w:cs="Arial"/>
          <w:sz w:val="24"/>
          <w:szCs w:val="24"/>
        </w:rPr>
      </w:pPr>
      <w:r w:rsidRPr="00627098">
        <w:rPr>
          <w:rFonts w:ascii="Arial" w:eastAsia="Times New Roman" w:hAnsi="Arial" w:cs="Arial"/>
          <w:sz w:val="24"/>
          <w:szCs w:val="24"/>
        </w:rPr>
        <w:t>Pharmacy began long ago. Early apothecaries mixed herbs and compounds for patients. Ancient texts from Egypt and Mesopotamia show early drug use (</w:t>
      </w:r>
      <w:proofErr w:type="spellStart"/>
      <w:r w:rsidRPr="00627098">
        <w:rPr>
          <w:rFonts w:ascii="Arial" w:eastAsia="Times New Roman" w:hAnsi="Arial" w:cs="Arial"/>
          <w:sz w:val="24"/>
          <w:szCs w:val="24"/>
        </w:rPr>
        <w:t>Sneader</w:t>
      </w:r>
      <w:proofErr w:type="spellEnd"/>
      <w:r w:rsidRPr="00627098">
        <w:rPr>
          <w:rFonts w:ascii="Arial" w:eastAsia="Times New Roman" w:hAnsi="Arial" w:cs="Arial"/>
          <w:sz w:val="24"/>
          <w:szCs w:val="24"/>
        </w:rPr>
        <w:t>, 2005). In Europe, apothecaries grew into a distinct trade by the Middle Ages. Guilds and early pharmacopeias set standards (</w:t>
      </w:r>
      <w:proofErr w:type="spellStart"/>
      <w:r w:rsidRPr="00627098">
        <w:rPr>
          <w:rFonts w:ascii="Arial" w:eastAsia="Times New Roman" w:hAnsi="Arial" w:cs="Arial"/>
          <w:sz w:val="24"/>
          <w:szCs w:val="24"/>
        </w:rPr>
        <w:t>Sneader</w:t>
      </w:r>
      <w:proofErr w:type="spellEnd"/>
      <w:r w:rsidRPr="00627098">
        <w:rPr>
          <w:rFonts w:ascii="Arial" w:eastAsia="Times New Roman" w:hAnsi="Arial" w:cs="Arial"/>
          <w:sz w:val="24"/>
          <w:szCs w:val="24"/>
        </w:rPr>
        <w:t xml:space="preserve">, 2005). </w:t>
      </w:r>
      <w:r w:rsidR="00891BAA" w:rsidRPr="00891BAA">
        <w:rPr>
          <w:rFonts w:ascii="Arial" w:eastAsia="Times New Roman" w:hAnsi="Arial" w:cs="Arial"/>
          <w:sz w:val="24"/>
          <w:szCs w:val="24"/>
        </w:rPr>
        <w:t xml:space="preserve">The role shifted </w:t>
      </w:r>
      <w:proofErr w:type="gramStart"/>
      <w:r w:rsidR="00891BAA" w:rsidRPr="00891BAA">
        <w:rPr>
          <w:rFonts w:ascii="Arial" w:eastAsia="Times New Roman" w:hAnsi="Arial" w:cs="Arial"/>
          <w:sz w:val="24"/>
          <w:szCs w:val="24"/>
        </w:rPr>
        <w:t>in</w:t>
      </w:r>
      <w:proofErr w:type="gramEnd"/>
      <w:r w:rsidR="00891BAA" w:rsidRPr="00891BAA">
        <w:rPr>
          <w:rFonts w:ascii="Arial" w:eastAsia="Times New Roman" w:hAnsi="Arial" w:cs="Arial"/>
          <w:sz w:val="24"/>
          <w:szCs w:val="24"/>
        </w:rPr>
        <w:t xml:space="preserve"> several centuries, shifting the production of </w:t>
      </w:r>
      <w:proofErr w:type="gramStart"/>
      <w:r w:rsidR="00891BAA" w:rsidRPr="00891BAA">
        <w:rPr>
          <w:rFonts w:ascii="Arial" w:eastAsia="Times New Roman" w:hAnsi="Arial" w:cs="Arial"/>
          <w:sz w:val="24"/>
          <w:szCs w:val="24"/>
        </w:rPr>
        <w:t>the medicines</w:t>
      </w:r>
      <w:proofErr w:type="gramEnd"/>
      <w:r w:rsidR="00891BAA" w:rsidRPr="00891BAA">
        <w:rPr>
          <w:rFonts w:ascii="Arial" w:eastAsia="Times New Roman" w:hAnsi="Arial" w:cs="Arial"/>
          <w:sz w:val="24"/>
          <w:szCs w:val="24"/>
        </w:rPr>
        <w:t xml:space="preserve"> to </w:t>
      </w:r>
      <w:proofErr w:type="gramStart"/>
      <w:r w:rsidR="00891BAA" w:rsidRPr="00891BAA">
        <w:rPr>
          <w:rFonts w:ascii="Arial" w:eastAsia="Times New Roman" w:hAnsi="Arial" w:cs="Arial"/>
          <w:sz w:val="24"/>
          <w:szCs w:val="24"/>
        </w:rPr>
        <w:t>the advice</w:t>
      </w:r>
      <w:proofErr w:type="gramEnd"/>
      <w:r w:rsidR="00891BAA" w:rsidRPr="00891BAA">
        <w:rPr>
          <w:rFonts w:ascii="Arial" w:eastAsia="Times New Roman" w:hAnsi="Arial" w:cs="Arial"/>
          <w:sz w:val="24"/>
          <w:szCs w:val="24"/>
        </w:rPr>
        <w:t>. Laws and formal trainin</w:t>
      </w:r>
      <w:r w:rsidR="00263861">
        <w:rPr>
          <w:rFonts w:ascii="Arial" w:eastAsia="Times New Roman" w:hAnsi="Arial" w:cs="Arial"/>
          <w:sz w:val="24"/>
          <w:szCs w:val="24"/>
        </w:rPr>
        <w:t>g of pharmacists came in the 20</w:t>
      </w:r>
      <w:r w:rsidR="00263861" w:rsidRPr="00263861">
        <w:rPr>
          <w:rFonts w:ascii="Arial" w:eastAsia="Times New Roman" w:hAnsi="Arial" w:cs="Arial"/>
          <w:sz w:val="24"/>
          <w:szCs w:val="24"/>
          <w:vertAlign w:val="superscript"/>
        </w:rPr>
        <w:t>th</w:t>
      </w:r>
      <w:r w:rsidR="00263861">
        <w:rPr>
          <w:rFonts w:ascii="Arial" w:eastAsia="Times New Roman" w:hAnsi="Arial" w:cs="Arial"/>
          <w:sz w:val="24"/>
          <w:szCs w:val="24"/>
        </w:rPr>
        <w:t xml:space="preserve"> </w:t>
      </w:r>
      <w:r w:rsidR="00891BAA" w:rsidRPr="00891BAA">
        <w:rPr>
          <w:rFonts w:ascii="Arial" w:eastAsia="Times New Roman" w:hAnsi="Arial" w:cs="Arial"/>
          <w:sz w:val="24"/>
          <w:szCs w:val="24"/>
        </w:rPr>
        <w:t>century. The pharmacist was subsequently established by the global bodies as a member of health teams (World Health Organization [WHO], 1994). Professional groups also encouraged broader public-health func</w:t>
      </w:r>
      <w:r w:rsidR="00891BAA">
        <w:rPr>
          <w:rFonts w:ascii="Arial" w:eastAsia="Times New Roman" w:hAnsi="Arial" w:cs="Arial"/>
          <w:sz w:val="24"/>
          <w:szCs w:val="24"/>
        </w:rPr>
        <w:t>tions and planning of workforce</w:t>
      </w:r>
      <w:r w:rsidRPr="00627098">
        <w:rPr>
          <w:rFonts w:ascii="Arial" w:eastAsia="Times New Roman" w:hAnsi="Arial" w:cs="Arial"/>
          <w:sz w:val="24"/>
          <w:szCs w:val="24"/>
        </w:rPr>
        <w:t xml:space="preserve"> (International Pharmaceutical Federation [FIP], 2012).</w:t>
      </w:r>
    </w:p>
    <w:p w14:paraId="1FD22DF4" w14:textId="77777777" w:rsidR="00627098" w:rsidRPr="00627098" w:rsidRDefault="00627098" w:rsidP="00D63C80">
      <w:pPr>
        <w:spacing w:before="120" w:after="120" w:line="360" w:lineRule="auto"/>
        <w:jc w:val="both"/>
        <w:outlineLvl w:val="0"/>
        <w:rPr>
          <w:rFonts w:ascii="Arial" w:eastAsia="Times New Roman" w:hAnsi="Arial" w:cs="Arial"/>
          <w:b/>
          <w:bCs/>
          <w:kern w:val="36"/>
          <w:sz w:val="24"/>
          <w:szCs w:val="24"/>
        </w:rPr>
      </w:pPr>
      <w:r w:rsidRPr="00627098">
        <w:rPr>
          <w:rFonts w:ascii="Arial" w:eastAsia="Times New Roman" w:hAnsi="Arial" w:cs="Arial"/>
          <w:b/>
          <w:bCs/>
          <w:kern w:val="36"/>
          <w:sz w:val="24"/>
          <w:szCs w:val="24"/>
        </w:rPr>
        <w:t>Current Functioning and Critical Evaluation</w:t>
      </w:r>
    </w:p>
    <w:p w14:paraId="5D39BF5B" w14:textId="77777777" w:rsidR="00627098" w:rsidRPr="00627098" w:rsidRDefault="00627098" w:rsidP="00D63C80">
      <w:pPr>
        <w:spacing w:before="120" w:after="120" w:line="360" w:lineRule="auto"/>
        <w:jc w:val="both"/>
        <w:rPr>
          <w:rFonts w:ascii="Arial" w:eastAsia="Times New Roman" w:hAnsi="Arial" w:cs="Arial"/>
          <w:sz w:val="24"/>
          <w:szCs w:val="24"/>
        </w:rPr>
      </w:pPr>
      <w:r w:rsidRPr="00627098">
        <w:rPr>
          <w:rFonts w:ascii="Arial" w:eastAsia="Times New Roman" w:hAnsi="Arial" w:cs="Arial"/>
          <w:sz w:val="24"/>
          <w:szCs w:val="24"/>
        </w:rPr>
        <w:t xml:space="preserve">Today pharmacy services work at several places. Community pharmacies dispense prescriptions. They give advice, vaccines, and public-health help. Hospital pharmacists manage medicines for in-patients. </w:t>
      </w:r>
      <w:r w:rsidR="00D21B62" w:rsidRPr="00D21B62">
        <w:rPr>
          <w:rFonts w:ascii="Arial" w:eastAsia="Times New Roman" w:hAnsi="Arial" w:cs="Arial"/>
          <w:sz w:val="24"/>
          <w:szCs w:val="24"/>
        </w:rPr>
        <w:t>Clinical pharmacists are members of primary care teams. Numerous services are supposed to make medicines safer and more helpful (NHS England, 2019). Medication reviews, discharge reconciliation and patient counselling are all done by pharmacists (Mekonnen et al., 2016). There are those that can prescribe in a limited manner. Clinical roles are on the rise as indicated in poli</w:t>
      </w:r>
      <w:r w:rsidR="00D21B62">
        <w:rPr>
          <w:rFonts w:ascii="Arial" w:eastAsia="Times New Roman" w:hAnsi="Arial" w:cs="Arial"/>
          <w:sz w:val="24"/>
          <w:szCs w:val="24"/>
        </w:rPr>
        <w:t xml:space="preserve">cy documents and service specs </w:t>
      </w:r>
      <w:r w:rsidRPr="00627098">
        <w:rPr>
          <w:rFonts w:ascii="Arial" w:eastAsia="Times New Roman" w:hAnsi="Arial" w:cs="Arial"/>
          <w:sz w:val="24"/>
          <w:szCs w:val="24"/>
        </w:rPr>
        <w:t>(NHS England, 2019; FIP, 2012).</w:t>
      </w:r>
    </w:p>
    <w:p w14:paraId="0B6EFE79" w14:textId="77777777" w:rsidR="00627098" w:rsidRPr="00627098" w:rsidRDefault="00627098" w:rsidP="00D63C80">
      <w:pPr>
        <w:spacing w:before="120" w:after="120" w:line="360" w:lineRule="auto"/>
        <w:jc w:val="both"/>
        <w:rPr>
          <w:rFonts w:ascii="Arial" w:eastAsia="Times New Roman" w:hAnsi="Arial" w:cs="Arial"/>
          <w:sz w:val="24"/>
          <w:szCs w:val="24"/>
        </w:rPr>
      </w:pPr>
      <w:r w:rsidRPr="00627098">
        <w:rPr>
          <w:rFonts w:ascii="Arial" w:eastAsia="Times New Roman" w:hAnsi="Arial" w:cs="Arial"/>
          <w:sz w:val="24"/>
          <w:szCs w:val="24"/>
        </w:rPr>
        <w:t xml:space="preserve">The evidence is mixed but promising. Trials and reviews show pharmacist interventions can cut some drug problems and reduce some readmissions (Royal et al., 2006; Thomas et al., 2014). </w:t>
      </w:r>
      <w:r w:rsidR="0057635F" w:rsidRPr="0057635F">
        <w:rPr>
          <w:rFonts w:ascii="Arial" w:eastAsia="Times New Roman" w:hAnsi="Arial" w:cs="Arial"/>
          <w:sz w:val="24"/>
          <w:szCs w:val="24"/>
        </w:rPr>
        <w:t xml:space="preserve">Hospital discharge of medication reconciliation and review tends to minimize errors (Mekonnen et al., 2016). However, effect sizes vary. Other reviews identify low or poor evidence of sweeping decreases in all-cause admissions (Thomas et al., 2014). The results are also determined by the specific service, the environment and the effectiveness of the collaboration between teams (Royal et al., 2006). They include barriers such as funding, staffing and lack of integration with other health services (FIP, 2012). When </w:t>
      </w:r>
      <w:r w:rsidR="0057635F" w:rsidRPr="0057635F">
        <w:rPr>
          <w:rFonts w:ascii="Arial" w:eastAsia="Times New Roman" w:hAnsi="Arial" w:cs="Arial"/>
          <w:sz w:val="24"/>
          <w:szCs w:val="24"/>
        </w:rPr>
        <w:lastRenderedPageBreak/>
        <w:t xml:space="preserve">pharmacists have a strong relationship with the doctors and </w:t>
      </w:r>
      <w:r w:rsidR="0057635F">
        <w:rPr>
          <w:rFonts w:ascii="Arial" w:eastAsia="Times New Roman" w:hAnsi="Arial" w:cs="Arial"/>
          <w:sz w:val="24"/>
          <w:szCs w:val="24"/>
        </w:rPr>
        <w:t>nurses, the outcome is improved</w:t>
      </w:r>
      <w:r w:rsidRPr="00627098">
        <w:rPr>
          <w:rFonts w:ascii="Arial" w:eastAsia="Times New Roman" w:hAnsi="Arial" w:cs="Arial"/>
          <w:sz w:val="24"/>
          <w:szCs w:val="24"/>
        </w:rPr>
        <w:t>.</w:t>
      </w:r>
    </w:p>
    <w:p w14:paraId="3C251776" w14:textId="77777777" w:rsidR="00627098" w:rsidRPr="00627098" w:rsidRDefault="00627098" w:rsidP="00D63C80">
      <w:pPr>
        <w:spacing w:before="120" w:after="120" w:line="360" w:lineRule="auto"/>
        <w:jc w:val="both"/>
        <w:outlineLvl w:val="0"/>
        <w:rPr>
          <w:rFonts w:ascii="Arial" w:eastAsia="Times New Roman" w:hAnsi="Arial" w:cs="Arial"/>
          <w:b/>
          <w:bCs/>
          <w:kern w:val="36"/>
          <w:sz w:val="24"/>
          <w:szCs w:val="24"/>
        </w:rPr>
      </w:pPr>
      <w:r w:rsidRPr="00627098">
        <w:rPr>
          <w:rFonts w:ascii="Arial" w:eastAsia="Times New Roman" w:hAnsi="Arial" w:cs="Arial"/>
          <w:b/>
          <w:bCs/>
          <w:kern w:val="36"/>
          <w:sz w:val="24"/>
          <w:szCs w:val="24"/>
        </w:rPr>
        <w:t>Significance in Enhancing Quality of Life</w:t>
      </w:r>
    </w:p>
    <w:p w14:paraId="7601E9D9" w14:textId="77777777" w:rsidR="00627098" w:rsidRPr="00627098" w:rsidRDefault="00627098" w:rsidP="00D63C80">
      <w:pPr>
        <w:spacing w:before="120" w:after="120" w:line="360" w:lineRule="auto"/>
        <w:jc w:val="both"/>
        <w:rPr>
          <w:rFonts w:ascii="Arial" w:eastAsia="Times New Roman" w:hAnsi="Arial" w:cs="Arial"/>
          <w:sz w:val="24"/>
          <w:szCs w:val="24"/>
        </w:rPr>
      </w:pPr>
      <w:r w:rsidRPr="00627098">
        <w:rPr>
          <w:rFonts w:ascii="Arial" w:eastAsia="Times New Roman" w:hAnsi="Arial" w:cs="Arial"/>
          <w:sz w:val="24"/>
          <w:szCs w:val="24"/>
        </w:rPr>
        <w:t xml:space="preserve">Pharmacy services improve daily life in clear ways. They make medicines easier to use. Pharmacists check doses and warn about side effects. This reduces pain and harm from wrong medicines (Mekonnen et al., 2016). </w:t>
      </w:r>
      <w:r w:rsidR="003A6804" w:rsidRPr="003A6804">
        <w:rPr>
          <w:rFonts w:ascii="Arial" w:eastAsia="Times New Roman" w:hAnsi="Arial" w:cs="Arial"/>
          <w:sz w:val="24"/>
          <w:szCs w:val="24"/>
        </w:rPr>
        <w:t>They assist individuals to cope with chronic illnesses. Compliance can be increased through pharmacist counseling. An improved level of compliance usually leads to improved management of illness and reduced crises (Royal et al., 2006). Pharmacies that are situated within the community provide access to minor illness and disease checks quickly. This saves on trips and waiting of patients (NHS England, 2019). Pharmacy vaccination and health promotion will target individuals who ar</w:t>
      </w:r>
      <w:r w:rsidR="003A6804">
        <w:rPr>
          <w:rFonts w:ascii="Arial" w:eastAsia="Times New Roman" w:hAnsi="Arial" w:cs="Arial"/>
          <w:sz w:val="24"/>
          <w:szCs w:val="24"/>
        </w:rPr>
        <w:t>e unlikely to visit a physician</w:t>
      </w:r>
      <w:r w:rsidRPr="00627098">
        <w:rPr>
          <w:rFonts w:ascii="Arial" w:eastAsia="Times New Roman" w:hAnsi="Arial" w:cs="Arial"/>
          <w:sz w:val="24"/>
          <w:szCs w:val="24"/>
        </w:rPr>
        <w:t xml:space="preserve"> (FIP, 2012).</w:t>
      </w:r>
    </w:p>
    <w:p w14:paraId="42751DD2" w14:textId="77777777" w:rsidR="00C03792" w:rsidRPr="00C03792" w:rsidRDefault="00C03792" w:rsidP="00C03792">
      <w:pPr>
        <w:spacing w:before="120" w:after="120" w:line="360" w:lineRule="auto"/>
        <w:jc w:val="both"/>
        <w:rPr>
          <w:rFonts w:ascii="Arial" w:eastAsia="Times New Roman" w:hAnsi="Arial" w:cs="Arial"/>
          <w:sz w:val="24"/>
          <w:szCs w:val="24"/>
        </w:rPr>
      </w:pPr>
      <w:r w:rsidRPr="00C03792">
        <w:rPr>
          <w:rFonts w:ascii="Arial" w:eastAsia="Times New Roman" w:hAnsi="Arial" w:cs="Arial"/>
          <w:sz w:val="24"/>
          <w:szCs w:val="24"/>
        </w:rPr>
        <w:t xml:space="preserve">Pharmacists are also in favor of older people and with a complex drug regimen. Inappropriate drugs can be reduced by medication reviews. This reduces the side effects and enhances operation (Thomas et al., 2014). To </w:t>
      </w:r>
      <w:proofErr w:type="gramStart"/>
      <w:r w:rsidRPr="00C03792">
        <w:rPr>
          <w:rFonts w:ascii="Arial" w:eastAsia="Times New Roman" w:hAnsi="Arial" w:cs="Arial"/>
          <w:sz w:val="24"/>
          <w:szCs w:val="24"/>
        </w:rPr>
        <w:t>the families</w:t>
      </w:r>
      <w:proofErr w:type="gramEnd"/>
      <w:r w:rsidRPr="00C03792">
        <w:rPr>
          <w:rFonts w:ascii="Arial" w:eastAsia="Times New Roman" w:hAnsi="Arial" w:cs="Arial"/>
          <w:sz w:val="24"/>
          <w:szCs w:val="24"/>
        </w:rPr>
        <w:t xml:space="preserve"> and carers, specific guidance lessens fear and assists in everyday tasks. To conclude, pharmacy services increase the level of safety, convenience in the use of the medicines, and assist individuals to remain healthy at home.</w:t>
      </w:r>
    </w:p>
    <w:p w14:paraId="2205E206" w14:textId="77777777" w:rsidR="00C03792" w:rsidRPr="00A84283" w:rsidRDefault="00C03792" w:rsidP="00C03792">
      <w:pPr>
        <w:spacing w:before="120" w:after="120" w:line="360" w:lineRule="auto"/>
        <w:jc w:val="both"/>
        <w:rPr>
          <w:rFonts w:ascii="Arial" w:eastAsia="Times New Roman" w:hAnsi="Arial" w:cs="Arial"/>
          <w:b/>
          <w:sz w:val="24"/>
          <w:szCs w:val="24"/>
        </w:rPr>
      </w:pPr>
      <w:r w:rsidRPr="00A84283">
        <w:rPr>
          <w:rFonts w:ascii="Arial" w:eastAsia="Times New Roman" w:hAnsi="Arial" w:cs="Arial"/>
          <w:b/>
          <w:sz w:val="24"/>
          <w:szCs w:val="24"/>
        </w:rPr>
        <w:t>Conclusion</w:t>
      </w:r>
    </w:p>
    <w:p w14:paraId="56BCC6C3" w14:textId="77777777" w:rsidR="00627098" w:rsidRDefault="00A84283" w:rsidP="00C03792">
      <w:pPr>
        <w:spacing w:before="120" w:after="120" w:line="360" w:lineRule="auto"/>
        <w:jc w:val="both"/>
        <w:rPr>
          <w:rFonts w:ascii="Arial" w:eastAsia="Times New Roman" w:hAnsi="Arial" w:cs="Arial"/>
          <w:sz w:val="24"/>
          <w:szCs w:val="24"/>
        </w:rPr>
      </w:pPr>
      <w:r>
        <w:rPr>
          <w:rFonts w:ascii="Arial" w:eastAsia="Times New Roman" w:hAnsi="Arial" w:cs="Arial"/>
          <w:sz w:val="24"/>
          <w:szCs w:val="24"/>
        </w:rPr>
        <w:t>In conclusion, p</w:t>
      </w:r>
      <w:r w:rsidR="00C03792" w:rsidRPr="00C03792">
        <w:rPr>
          <w:rFonts w:ascii="Arial" w:eastAsia="Times New Roman" w:hAnsi="Arial" w:cs="Arial"/>
          <w:sz w:val="24"/>
          <w:szCs w:val="24"/>
        </w:rPr>
        <w:t xml:space="preserve">harmacy has deep roots. It now has a critical clinical role to play. There are actual positive results, but different outcomes. Pharmacy works best when there is </w:t>
      </w:r>
      <w:proofErr w:type="gramStart"/>
      <w:r w:rsidR="00C03792" w:rsidRPr="00C03792">
        <w:rPr>
          <w:rFonts w:ascii="Arial" w:eastAsia="Times New Roman" w:hAnsi="Arial" w:cs="Arial"/>
          <w:sz w:val="24"/>
          <w:szCs w:val="24"/>
        </w:rPr>
        <w:t>a strong</w:t>
      </w:r>
      <w:proofErr w:type="gramEnd"/>
      <w:r w:rsidR="00C03792" w:rsidRPr="00C03792">
        <w:rPr>
          <w:rFonts w:ascii="Arial" w:eastAsia="Times New Roman" w:hAnsi="Arial" w:cs="Arial"/>
          <w:sz w:val="24"/>
          <w:szCs w:val="24"/>
        </w:rPr>
        <w:t xml:space="preserve"> teamwork, adequate funding, and effective connections with other services. The services offered by pharmacy have the potential to change the lives of many people by enhancing safety and health and improving their daily life when performed effectively.</w:t>
      </w:r>
    </w:p>
    <w:p w14:paraId="232204BA" w14:textId="77777777" w:rsidR="00D63C80" w:rsidRDefault="00D63C80" w:rsidP="00D63C80">
      <w:pPr>
        <w:spacing w:before="120" w:after="120" w:line="360" w:lineRule="auto"/>
        <w:jc w:val="both"/>
        <w:rPr>
          <w:rFonts w:ascii="Arial" w:eastAsia="Times New Roman" w:hAnsi="Arial" w:cs="Arial"/>
          <w:sz w:val="24"/>
          <w:szCs w:val="24"/>
        </w:rPr>
      </w:pPr>
    </w:p>
    <w:p w14:paraId="6B1C1DE6" w14:textId="77777777" w:rsidR="00D63C80" w:rsidRDefault="00D63C80" w:rsidP="00D63C80">
      <w:pPr>
        <w:spacing w:before="120" w:after="120" w:line="360" w:lineRule="auto"/>
        <w:jc w:val="both"/>
        <w:rPr>
          <w:rFonts w:ascii="Arial" w:eastAsia="Times New Roman" w:hAnsi="Arial" w:cs="Arial"/>
          <w:sz w:val="24"/>
          <w:szCs w:val="24"/>
        </w:rPr>
      </w:pPr>
    </w:p>
    <w:p w14:paraId="30B3E197" w14:textId="77777777" w:rsidR="00D63C80" w:rsidRDefault="00D63C80" w:rsidP="00D63C80">
      <w:pPr>
        <w:spacing w:before="120" w:after="120" w:line="360" w:lineRule="auto"/>
        <w:jc w:val="both"/>
        <w:rPr>
          <w:rFonts w:ascii="Arial" w:eastAsia="Times New Roman" w:hAnsi="Arial" w:cs="Arial"/>
          <w:sz w:val="24"/>
          <w:szCs w:val="24"/>
        </w:rPr>
      </w:pPr>
    </w:p>
    <w:p w14:paraId="7FE21A05" w14:textId="77777777" w:rsidR="00D63C80" w:rsidRPr="00627098" w:rsidRDefault="00D63C80" w:rsidP="00D63C80">
      <w:pPr>
        <w:spacing w:before="120" w:after="120" w:line="360" w:lineRule="auto"/>
        <w:jc w:val="both"/>
        <w:rPr>
          <w:rFonts w:ascii="Arial" w:eastAsia="Times New Roman" w:hAnsi="Arial" w:cs="Arial"/>
          <w:sz w:val="24"/>
          <w:szCs w:val="24"/>
        </w:rPr>
      </w:pPr>
    </w:p>
    <w:p w14:paraId="200D2C8D" w14:textId="77777777" w:rsidR="00627098" w:rsidRPr="00627098" w:rsidRDefault="00627098" w:rsidP="00D63C80">
      <w:pPr>
        <w:spacing w:before="100" w:beforeAutospacing="1" w:after="100" w:afterAutospacing="1" w:line="240" w:lineRule="auto"/>
        <w:jc w:val="center"/>
        <w:outlineLvl w:val="2"/>
        <w:rPr>
          <w:rFonts w:ascii="Arial" w:eastAsia="Times New Roman" w:hAnsi="Arial" w:cs="Arial"/>
          <w:b/>
          <w:bCs/>
          <w:sz w:val="32"/>
          <w:szCs w:val="27"/>
        </w:rPr>
      </w:pPr>
      <w:r w:rsidRPr="00627098">
        <w:rPr>
          <w:rFonts w:ascii="Arial" w:eastAsia="Times New Roman" w:hAnsi="Arial" w:cs="Arial"/>
          <w:b/>
          <w:bCs/>
          <w:sz w:val="32"/>
          <w:szCs w:val="27"/>
        </w:rPr>
        <w:lastRenderedPageBreak/>
        <w:t>References</w:t>
      </w:r>
    </w:p>
    <w:p w14:paraId="3472E514"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FIP. (2012). </w:t>
      </w:r>
      <w:r w:rsidRPr="002202EE">
        <w:rPr>
          <w:rStyle w:val="Emphasis"/>
          <w:rFonts w:ascii="Arial" w:hAnsi="Arial" w:cs="Arial"/>
        </w:rPr>
        <w:t>FIP global pharmacy workforce report 2012</w:t>
      </w:r>
      <w:r w:rsidRPr="002202EE">
        <w:rPr>
          <w:rFonts w:ascii="Arial" w:hAnsi="Arial" w:cs="Arial"/>
        </w:rPr>
        <w:t>. International Pharmaceutical Federation.</w:t>
      </w:r>
      <w:r w:rsidR="00D93837" w:rsidRPr="002202EE">
        <w:rPr>
          <w:rFonts w:ascii="Arial" w:hAnsi="Arial" w:cs="Arial"/>
        </w:rPr>
        <w:t xml:space="preserve"> </w:t>
      </w:r>
      <w:hyperlink r:id="rId32" w:history="1">
        <w:r w:rsidR="007D662C" w:rsidRPr="002202EE">
          <w:rPr>
            <w:rStyle w:val="Hyperlink"/>
            <w:rFonts w:ascii="Arial" w:hAnsi="Arial" w:cs="Arial"/>
          </w:rPr>
          <w:t>https://www.fip.org/files/members/library/FIP_workforce_Report_2012.pdf</w:t>
        </w:r>
      </w:hyperlink>
      <w:r w:rsidR="007D662C" w:rsidRPr="002202EE">
        <w:rPr>
          <w:rFonts w:ascii="Arial" w:hAnsi="Arial" w:cs="Arial"/>
        </w:rPr>
        <w:t xml:space="preserve"> </w:t>
      </w:r>
    </w:p>
    <w:p w14:paraId="36CB1186"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Iemmi, V. (2017). </w:t>
      </w:r>
      <w:r w:rsidRPr="002202EE">
        <w:rPr>
          <w:rStyle w:val="Emphasis"/>
          <w:rFonts w:ascii="Arial" w:hAnsi="Arial" w:cs="Arial"/>
        </w:rPr>
        <w:t>Community-based rehabilitation for people with physical and mental disabilities in low- and middle-income countries</w:t>
      </w:r>
      <w:r w:rsidRPr="002202EE">
        <w:rPr>
          <w:rFonts w:ascii="Arial" w:hAnsi="Arial" w:cs="Arial"/>
        </w:rPr>
        <w:t xml:space="preserve">. Cochrane Database of Systematic Reviews. </w:t>
      </w:r>
      <w:hyperlink r:id="rId33" w:tgtFrame="_new" w:history="1">
        <w:r w:rsidRPr="002202EE">
          <w:rPr>
            <w:rStyle w:val="Hyperlink"/>
            <w:rFonts w:ascii="Arial" w:hAnsi="Arial" w:cs="Arial"/>
          </w:rPr>
          <w:t>https://www.ncbi.nlm.nih.gov/pmc/articles/PMC6464564/</w:t>
        </w:r>
      </w:hyperlink>
    </w:p>
    <w:p w14:paraId="276C12AE"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Lancashire &amp; South Cumbria NHS Foundation Trust. (n.d.). </w:t>
      </w:r>
      <w:r w:rsidRPr="002202EE">
        <w:rPr>
          <w:rStyle w:val="Emphasis"/>
          <w:rFonts w:ascii="Arial" w:hAnsi="Arial" w:cs="Arial"/>
        </w:rPr>
        <w:t>Community learning disability service</w:t>
      </w:r>
      <w:r w:rsidRPr="002202EE">
        <w:rPr>
          <w:rFonts w:ascii="Arial" w:hAnsi="Arial" w:cs="Arial"/>
        </w:rPr>
        <w:t xml:space="preserve">. </w:t>
      </w:r>
      <w:hyperlink r:id="rId34" w:tgtFrame="_new" w:history="1">
        <w:r w:rsidRPr="002202EE">
          <w:rPr>
            <w:rStyle w:val="Hyperlink"/>
            <w:rFonts w:ascii="Arial" w:hAnsi="Arial" w:cs="Arial"/>
          </w:rPr>
          <w:t>https://www.lscft.nhs.uk/services/service-finder-z/learning-disability</w:t>
        </w:r>
      </w:hyperlink>
    </w:p>
    <w:p w14:paraId="78155E3F" w14:textId="77777777" w:rsidR="00D63C80" w:rsidRPr="002202EE" w:rsidRDefault="00D63C80" w:rsidP="002202EE">
      <w:pPr>
        <w:pStyle w:val="NormalWeb"/>
        <w:spacing w:before="120" w:beforeAutospacing="0" w:after="120" w:afterAutospacing="0" w:line="360" w:lineRule="auto"/>
        <w:jc w:val="both"/>
        <w:rPr>
          <w:rFonts w:ascii="Arial" w:hAnsi="Arial" w:cs="Arial"/>
        </w:rPr>
      </w:pPr>
      <w:proofErr w:type="spellStart"/>
      <w:r w:rsidRPr="002202EE">
        <w:rPr>
          <w:rFonts w:ascii="Arial" w:hAnsi="Arial" w:cs="Arial"/>
        </w:rPr>
        <w:t>Lukersmith</w:t>
      </w:r>
      <w:proofErr w:type="spellEnd"/>
      <w:r w:rsidRPr="002202EE">
        <w:rPr>
          <w:rFonts w:ascii="Arial" w:hAnsi="Arial" w:cs="Arial"/>
        </w:rPr>
        <w:t xml:space="preserve">, S., Hartley, S., Kuipers, P., Madden, R., Llewellyn, G., &amp; Dune, T. (2013). Community-based rehabilitation (CBR) monitoring and evaluation methods and tools: A literature review. </w:t>
      </w:r>
      <w:r w:rsidRPr="002202EE">
        <w:rPr>
          <w:rStyle w:val="Emphasis"/>
          <w:rFonts w:ascii="Arial" w:hAnsi="Arial" w:cs="Arial"/>
        </w:rPr>
        <w:t>Disability and Rehabilitation, 35</w:t>
      </w:r>
      <w:r w:rsidRPr="002202EE">
        <w:rPr>
          <w:rFonts w:ascii="Arial" w:hAnsi="Arial" w:cs="Arial"/>
        </w:rPr>
        <w:t xml:space="preserve">(23), 1941–1953. </w:t>
      </w:r>
      <w:hyperlink r:id="rId35" w:tgtFrame="_new" w:history="1">
        <w:r w:rsidRPr="002202EE">
          <w:rPr>
            <w:rStyle w:val="Hyperlink"/>
            <w:rFonts w:ascii="Arial" w:hAnsi="Arial" w:cs="Arial"/>
          </w:rPr>
          <w:t>https://doi.org/10.3109/09638288.2013.770078</w:t>
        </w:r>
      </w:hyperlink>
    </w:p>
    <w:p w14:paraId="66CD8A33"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Mekonnen, A. B., McLachlan, A. J., Brien, J.-A., &amp; others. (2016). Effectiveness of pharmacist-led medication reconciliation </w:t>
      </w:r>
      <w:proofErr w:type="spellStart"/>
      <w:r w:rsidRPr="002202EE">
        <w:rPr>
          <w:rFonts w:ascii="Arial" w:hAnsi="Arial" w:cs="Arial"/>
        </w:rPr>
        <w:t>programmes</w:t>
      </w:r>
      <w:proofErr w:type="spellEnd"/>
      <w:r w:rsidRPr="002202EE">
        <w:rPr>
          <w:rFonts w:ascii="Arial" w:hAnsi="Arial" w:cs="Arial"/>
        </w:rPr>
        <w:t xml:space="preserve"> on clinical outcomes at hospital transitions: A systematic review and meta-analysis. </w:t>
      </w:r>
      <w:r w:rsidRPr="002202EE">
        <w:rPr>
          <w:rStyle w:val="Emphasis"/>
          <w:rFonts w:ascii="Arial" w:hAnsi="Arial" w:cs="Arial"/>
        </w:rPr>
        <w:t>BMJ Open, 6</w:t>
      </w:r>
      <w:r w:rsidRPr="002202EE">
        <w:rPr>
          <w:rFonts w:ascii="Arial" w:hAnsi="Arial" w:cs="Arial"/>
        </w:rPr>
        <w:t xml:space="preserve">, e010003. </w:t>
      </w:r>
      <w:hyperlink r:id="rId36" w:tgtFrame="_new" w:history="1">
        <w:r w:rsidRPr="002202EE">
          <w:rPr>
            <w:rStyle w:val="Hyperlink"/>
            <w:rFonts w:ascii="Arial" w:hAnsi="Arial" w:cs="Arial"/>
          </w:rPr>
          <w:t>https://doi.org/10.1136/bmjopen-2015-010003</w:t>
        </w:r>
      </w:hyperlink>
    </w:p>
    <w:p w14:paraId="763BB558"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NHS Digital. (2024). </w:t>
      </w:r>
      <w:r w:rsidRPr="002202EE">
        <w:rPr>
          <w:rStyle w:val="Emphasis"/>
          <w:rFonts w:ascii="Arial" w:hAnsi="Arial" w:cs="Arial"/>
        </w:rPr>
        <w:t>Disability data quality</w:t>
      </w:r>
      <w:r w:rsidRPr="002202EE">
        <w:rPr>
          <w:rFonts w:ascii="Arial" w:hAnsi="Arial" w:cs="Arial"/>
        </w:rPr>
        <w:t xml:space="preserve">. </w:t>
      </w:r>
      <w:hyperlink r:id="rId37" w:tgtFrame="_new" w:history="1">
        <w:r w:rsidRPr="002202EE">
          <w:rPr>
            <w:rStyle w:val="Hyperlink"/>
            <w:rFonts w:ascii="Arial" w:hAnsi="Arial" w:cs="Arial"/>
          </w:rPr>
          <w:t>https://digital.nhs.uk/</w:t>
        </w:r>
      </w:hyperlink>
    </w:p>
    <w:p w14:paraId="6BA8E39B"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NHS England. (2019). </w:t>
      </w:r>
      <w:r w:rsidRPr="002202EE">
        <w:rPr>
          <w:rStyle w:val="Emphasis"/>
          <w:rFonts w:ascii="Arial" w:hAnsi="Arial" w:cs="Arial"/>
        </w:rPr>
        <w:t>Community pharmacy consultation service: Advanced service specification</w:t>
      </w:r>
      <w:r w:rsidRPr="002202EE">
        <w:rPr>
          <w:rFonts w:ascii="Arial" w:hAnsi="Arial" w:cs="Arial"/>
        </w:rPr>
        <w:t xml:space="preserve">. </w:t>
      </w:r>
      <w:hyperlink r:id="rId38" w:tgtFrame="_new" w:history="1">
        <w:r w:rsidRPr="002202EE">
          <w:rPr>
            <w:rStyle w:val="Hyperlink"/>
            <w:rFonts w:ascii="Arial" w:hAnsi="Arial" w:cs="Arial"/>
          </w:rPr>
          <w:t>https://www.england.nhs.uk/long-read/community-pharmacy-advanced-service-specification-nhs-community-pharmacist-consultation-service/</w:t>
        </w:r>
      </w:hyperlink>
    </w:p>
    <w:p w14:paraId="4930AE37"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NHS England. (2025). </w:t>
      </w:r>
      <w:proofErr w:type="spellStart"/>
      <w:r w:rsidRPr="002202EE">
        <w:rPr>
          <w:rStyle w:val="Emphasis"/>
          <w:rFonts w:ascii="Arial" w:hAnsi="Arial" w:cs="Arial"/>
        </w:rPr>
        <w:t>Standardising</w:t>
      </w:r>
      <w:proofErr w:type="spellEnd"/>
      <w:r w:rsidRPr="002202EE">
        <w:rPr>
          <w:rStyle w:val="Emphasis"/>
          <w:rFonts w:ascii="Arial" w:hAnsi="Arial" w:cs="Arial"/>
        </w:rPr>
        <w:t xml:space="preserve"> community health services</w:t>
      </w:r>
      <w:r w:rsidRPr="002202EE">
        <w:rPr>
          <w:rFonts w:ascii="Arial" w:hAnsi="Arial" w:cs="Arial"/>
        </w:rPr>
        <w:t xml:space="preserve">. </w:t>
      </w:r>
      <w:hyperlink r:id="rId39" w:tgtFrame="_new" w:history="1">
        <w:r w:rsidRPr="002202EE">
          <w:rPr>
            <w:rStyle w:val="Hyperlink"/>
            <w:rFonts w:ascii="Arial" w:hAnsi="Arial" w:cs="Arial"/>
          </w:rPr>
          <w:t>https://www.england.nhs.uk/long-read/standardising-community-health-services/</w:t>
        </w:r>
      </w:hyperlink>
    </w:p>
    <w:p w14:paraId="6B984606"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Royal, S., Smeaton, L., Avery, A., et al. (2006). Interventions in primary care to reduce medication-related adverse events and hospital admissions: Systematic review and meta-analysis. </w:t>
      </w:r>
      <w:r w:rsidRPr="002202EE">
        <w:rPr>
          <w:rStyle w:val="Emphasis"/>
          <w:rFonts w:ascii="Arial" w:hAnsi="Arial" w:cs="Arial"/>
        </w:rPr>
        <w:t>Quality &amp; Safety in Health Care, 15</w:t>
      </w:r>
      <w:r w:rsidRPr="002202EE">
        <w:rPr>
          <w:rFonts w:ascii="Arial" w:hAnsi="Arial" w:cs="Arial"/>
        </w:rPr>
        <w:t>(1), 23–31.</w:t>
      </w:r>
      <w:r w:rsidR="00A55775" w:rsidRPr="002202EE">
        <w:rPr>
          <w:rFonts w:ascii="Arial" w:hAnsi="Arial" w:cs="Arial"/>
        </w:rPr>
        <w:t xml:space="preserve"> </w:t>
      </w:r>
      <w:hyperlink r:id="rId40" w:history="1">
        <w:r w:rsidR="00771D09" w:rsidRPr="002202EE">
          <w:rPr>
            <w:rStyle w:val="Hyperlink"/>
            <w:rFonts w:ascii="Arial" w:hAnsi="Arial" w:cs="Arial"/>
          </w:rPr>
          <w:t>https://doi.org/10.1136/qshc.2004.012153</w:t>
        </w:r>
      </w:hyperlink>
      <w:r w:rsidR="00771D09" w:rsidRPr="002202EE">
        <w:rPr>
          <w:rFonts w:ascii="Arial" w:hAnsi="Arial" w:cs="Arial"/>
        </w:rPr>
        <w:t xml:space="preserve"> </w:t>
      </w:r>
    </w:p>
    <w:p w14:paraId="4BC35069" w14:textId="77777777" w:rsidR="00D63C80" w:rsidRPr="002202EE" w:rsidRDefault="00D63C80" w:rsidP="002202EE">
      <w:pPr>
        <w:pStyle w:val="NormalWeb"/>
        <w:spacing w:before="120" w:beforeAutospacing="0" w:after="120" w:afterAutospacing="0" w:line="360" w:lineRule="auto"/>
        <w:jc w:val="both"/>
        <w:rPr>
          <w:rFonts w:ascii="Arial" w:hAnsi="Arial" w:cs="Arial"/>
        </w:rPr>
      </w:pPr>
      <w:proofErr w:type="spellStart"/>
      <w:r w:rsidRPr="002202EE">
        <w:rPr>
          <w:rFonts w:ascii="Arial" w:hAnsi="Arial" w:cs="Arial"/>
        </w:rPr>
        <w:t>Sneader</w:t>
      </w:r>
      <w:proofErr w:type="spellEnd"/>
      <w:r w:rsidRPr="002202EE">
        <w:rPr>
          <w:rFonts w:ascii="Arial" w:hAnsi="Arial" w:cs="Arial"/>
        </w:rPr>
        <w:t xml:space="preserve">, W. (2005). </w:t>
      </w:r>
      <w:r w:rsidRPr="002202EE">
        <w:rPr>
          <w:rStyle w:val="Emphasis"/>
          <w:rFonts w:ascii="Arial" w:hAnsi="Arial" w:cs="Arial"/>
        </w:rPr>
        <w:t>Drug discovery: A history</w:t>
      </w:r>
      <w:r w:rsidRPr="002202EE">
        <w:rPr>
          <w:rFonts w:ascii="Arial" w:hAnsi="Arial" w:cs="Arial"/>
        </w:rPr>
        <w:t>. John Wiley &amp; Sons.</w:t>
      </w:r>
    </w:p>
    <w:p w14:paraId="1EF0AC48"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lastRenderedPageBreak/>
        <w:t xml:space="preserve">The King’s Fund. (2023). </w:t>
      </w:r>
      <w:r w:rsidRPr="002202EE">
        <w:rPr>
          <w:rStyle w:val="Emphasis"/>
          <w:rFonts w:ascii="Arial" w:hAnsi="Arial" w:cs="Arial"/>
        </w:rPr>
        <w:t>A history of social care funding reform in England</w:t>
      </w:r>
      <w:r w:rsidRPr="002202EE">
        <w:rPr>
          <w:rFonts w:ascii="Arial" w:hAnsi="Arial" w:cs="Arial"/>
        </w:rPr>
        <w:t xml:space="preserve">. </w:t>
      </w:r>
      <w:hyperlink r:id="rId41" w:tgtFrame="_new" w:history="1">
        <w:r w:rsidRPr="002202EE">
          <w:rPr>
            <w:rStyle w:val="Hyperlink"/>
            <w:rFonts w:ascii="Arial" w:hAnsi="Arial" w:cs="Arial"/>
          </w:rPr>
          <w:t>https://www.kingsfund.org.uk/insight-and-analysis/data-and-charts/short-history-social-care-funding</w:t>
        </w:r>
      </w:hyperlink>
    </w:p>
    <w:p w14:paraId="120DFB5C"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Thomas, R., et al. (2014). Pharmacist-led interventions to reduce unplanned hospital admissions in older people: A systematic review. </w:t>
      </w:r>
      <w:r w:rsidRPr="002202EE">
        <w:rPr>
          <w:rStyle w:val="Emphasis"/>
          <w:rFonts w:ascii="Arial" w:hAnsi="Arial" w:cs="Arial"/>
        </w:rPr>
        <w:t>Age and Ageing, 43</w:t>
      </w:r>
      <w:r w:rsidRPr="002202EE">
        <w:rPr>
          <w:rFonts w:ascii="Arial" w:hAnsi="Arial" w:cs="Arial"/>
        </w:rPr>
        <w:t xml:space="preserve">(2), 174–181. </w:t>
      </w:r>
      <w:hyperlink r:id="rId42" w:tgtFrame="_new" w:history="1">
        <w:r w:rsidRPr="002202EE">
          <w:rPr>
            <w:rStyle w:val="Hyperlink"/>
            <w:rFonts w:ascii="Arial" w:hAnsi="Arial" w:cs="Arial"/>
          </w:rPr>
          <w:t>https://doi.org/10.1093/ageing/aft166</w:t>
        </w:r>
      </w:hyperlink>
    </w:p>
    <w:p w14:paraId="3D70AA8D"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Wirz, S. (2002). Evaluation of community-based rehabilitation </w:t>
      </w:r>
      <w:proofErr w:type="spellStart"/>
      <w:r w:rsidRPr="002202EE">
        <w:rPr>
          <w:rFonts w:ascii="Arial" w:hAnsi="Arial" w:cs="Arial"/>
        </w:rPr>
        <w:t>programmes</w:t>
      </w:r>
      <w:proofErr w:type="spellEnd"/>
      <w:r w:rsidRPr="002202EE">
        <w:rPr>
          <w:rFonts w:ascii="Arial" w:hAnsi="Arial" w:cs="Arial"/>
        </w:rPr>
        <w:t xml:space="preserve">. </w:t>
      </w:r>
      <w:r w:rsidRPr="002202EE">
        <w:rPr>
          <w:rStyle w:val="Emphasis"/>
          <w:rFonts w:ascii="Arial" w:hAnsi="Arial" w:cs="Arial"/>
        </w:rPr>
        <w:t>Leprosy Review, 73</w:t>
      </w:r>
      <w:r w:rsidRPr="002202EE">
        <w:rPr>
          <w:rFonts w:ascii="Arial" w:hAnsi="Arial" w:cs="Arial"/>
        </w:rPr>
        <w:t xml:space="preserve">(2), 110–118. </w:t>
      </w:r>
      <w:hyperlink r:id="rId43" w:tgtFrame="_new" w:history="1">
        <w:r w:rsidRPr="002202EE">
          <w:rPr>
            <w:rStyle w:val="Hyperlink"/>
            <w:rFonts w:ascii="Arial" w:hAnsi="Arial" w:cs="Arial"/>
          </w:rPr>
          <w:t>https://pubmed.ncbi.nlm.nih.gov/12352169/</w:t>
        </w:r>
      </w:hyperlink>
    </w:p>
    <w:p w14:paraId="264BAA8E" w14:textId="77777777" w:rsidR="00D63C80" w:rsidRPr="002202EE" w:rsidRDefault="00D63C80" w:rsidP="002202EE">
      <w:pPr>
        <w:pStyle w:val="NormalWeb"/>
        <w:spacing w:before="120" w:beforeAutospacing="0" w:after="120" w:afterAutospacing="0" w:line="360" w:lineRule="auto"/>
        <w:jc w:val="both"/>
        <w:rPr>
          <w:rFonts w:ascii="Arial" w:hAnsi="Arial" w:cs="Arial"/>
        </w:rPr>
      </w:pPr>
      <w:r w:rsidRPr="002202EE">
        <w:rPr>
          <w:rFonts w:ascii="Arial" w:hAnsi="Arial" w:cs="Arial"/>
        </w:rPr>
        <w:t xml:space="preserve">World Health Organization. (1994). </w:t>
      </w:r>
      <w:r w:rsidRPr="002202EE">
        <w:rPr>
          <w:rStyle w:val="Emphasis"/>
          <w:rFonts w:ascii="Arial" w:hAnsi="Arial" w:cs="Arial"/>
        </w:rPr>
        <w:t>The role of the pharmacist in the health care system</w:t>
      </w:r>
      <w:r w:rsidRPr="002202EE">
        <w:rPr>
          <w:rFonts w:ascii="Arial" w:hAnsi="Arial" w:cs="Arial"/>
        </w:rPr>
        <w:t>. WHO.</w:t>
      </w:r>
      <w:r w:rsidR="00792092" w:rsidRPr="002202EE">
        <w:rPr>
          <w:rFonts w:ascii="Arial" w:hAnsi="Arial" w:cs="Arial"/>
        </w:rPr>
        <w:t xml:space="preserve"> </w:t>
      </w:r>
      <w:hyperlink r:id="rId44" w:history="1">
        <w:r w:rsidR="00792092" w:rsidRPr="002202EE">
          <w:rPr>
            <w:rStyle w:val="Hyperlink"/>
            <w:rFonts w:ascii="Arial" w:hAnsi="Arial" w:cs="Arial"/>
          </w:rPr>
          <w:t>https://iris.who.int/server/api/core/bitstreams/3de79826-c82a-4a12-842e-24ecbbb36840/content</w:t>
        </w:r>
      </w:hyperlink>
      <w:r w:rsidR="00792092" w:rsidRPr="002202EE">
        <w:rPr>
          <w:rFonts w:ascii="Arial" w:hAnsi="Arial" w:cs="Arial"/>
        </w:rPr>
        <w:t xml:space="preserve"> </w:t>
      </w:r>
    </w:p>
    <w:p w14:paraId="3FDAE06E" w14:textId="77777777" w:rsidR="00627098" w:rsidRPr="00627098" w:rsidRDefault="00627098" w:rsidP="002202EE">
      <w:pPr>
        <w:pBdr>
          <w:bottom w:val="single" w:sz="6" w:space="1" w:color="auto"/>
        </w:pBdr>
        <w:spacing w:before="120" w:after="120" w:line="360" w:lineRule="auto"/>
        <w:jc w:val="center"/>
        <w:rPr>
          <w:rFonts w:ascii="Arial" w:eastAsia="Times New Roman" w:hAnsi="Arial" w:cs="Arial"/>
          <w:vanish/>
          <w:sz w:val="24"/>
          <w:szCs w:val="24"/>
        </w:rPr>
      </w:pPr>
      <w:r w:rsidRPr="00627098">
        <w:rPr>
          <w:rFonts w:ascii="Arial" w:eastAsia="Times New Roman" w:hAnsi="Arial" w:cs="Arial"/>
          <w:vanish/>
          <w:sz w:val="24"/>
          <w:szCs w:val="24"/>
        </w:rPr>
        <w:t>Top of Form</w:t>
      </w:r>
    </w:p>
    <w:p w14:paraId="4AE0A371" w14:textId="77777777" w:rsidR="00627098" w:rsidRPr="00627098" w:rsidRDefault="00627098" w:rsidP="002202EE">
      <w:pPr>
        <w:pBdr>
          <w:top w:val="single" w:sz="6" w:space="1" w:color="auto"/>
        </w:pBdr>
        <w:spacing w:before="120" w:after="120" w:line="360" w:lineRule="auto"/>
        <w:jc w:val="center"/>
        <w:rPr>
          <w:rFonts w:ascii="Arial" w:eastAsia="Times New Roman" w:hAnsi="Arial" w:cs="Arial"/>
          <w:vanish/>
          <w:sz w:val="24"/>
          <w:szCs w:val="24"/>
        </w:rPr>
      </w:pPr>
      <w:r w:rsidRPr="00627098">
        <w:rPr>
          <w:rFonts w:ascii="Arial" w:eastAsia="Times New Roman" w:hAnsi="Arial" w:cs="Arial"/>
          <w:vanish/>
          <w:sz w:val="24"/>
          <w:szCs w:val="24"/>
        </w:rPr>
        <w:t>Bottom of Form</w:t>
      </w:r>
    </w:p>
    <w:p w14:paraId="26EB0AD5" w14:textId="77777777" w:rsidR="00B64F6D" w:rsidRPr="002202EE" w:rsidRDefault="00B64F6D" w:rsidP="002202EE">
      <w:pPr>
        <w:spacing w:before="120" w:after="120" w:line="360" w:lineRule="auto"/>
        <w:rPr>
          <w:rFonts w:ascii="Arial" w:hAnsi="Arial" w:cs="Arial"/>
          <w:sz w:val="24"/>
          <w:szCs w:val="24"/>
        </w:rPr>
      </w:pPr>
    </w:p>
    <w:sectPr w:rsidR="00B64F6D" w:rsidRPr="002202E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EE1BBA" w14:textId="77777777" w:rsidR="005D3C7E" w:rsidRDefault="005D3C7E" w:rsidP="00DE62DD">
      <w:pPr>
        <w:spacing w:after="0" w:line="240" w:lineRule="auto"/>
      </w:pPr>
      <w:r>
        <w:separator/>
      </w:r>
    </w:p>
  </w:endnote>
  <w:endnote w:type="continuationSeparator" w:id="0">
    <w:p w14:paraId="02BC3E4D" w14:textId="77777777" w:rsidR="005D3C7E" w:rsidRDefault="005D3C7E" w:rsidP="00DE62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heme="majorHAnsi" w:eastAsiaTheme="majorEastAsia" w:hAnsiTheme="majorHAnsi" w:cstheme="majorBidi"/>
      </w:rPr>
      <w:id w:val="-124552371"/>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14:paraId="5B05E2D0" w14:textId="77777777" w:rsidR="00BA130D" w:rsidRDefault="00BA130D">
            <w:pPr>
              <w:rPr>
                <w:rFonts w:asciiTheme="majorHAnsi" w:eastAsiaTheme="majorEastAsia" w:hAnsiTheme="majorHAnsi" w:cstheme="majorBidi"/>
              </w:rPr>
            </w:pPr>
            <w:r>
              <w:rPr>
                <w:rFonts w:asciiTheme="majorHAnsi" w:eastAsiaTheme="majorEastAsia" w:hAnsiTheme="majorHAnsi" w:cstheme="majorBidi"/>
                <w:noProof/>
              </w:rPr>
              <mc:AlternateContent>
                <mc:Choice Requires="wps">
                  <w:drawing>
                    <wp:anchor distT="0" distB="0" distL="114300" distR="114300" simplePos="0" relativeHeight="251659264" behindDoc="0" locked="0" layoutInCell="1" allowOverlap="1" wp14:anchorId="43924CC3" wp14:editId="5E97B199">
                      <wp:simplePos x="0" y="0"/>
                      <wp:positionH relativeFrom="rightMargin">
                        <wp:align>left</wp:align>
                      </wp:positionH>
                      <wp:positionV relativeFrom="bottomMargin">
                        <wp:align>top</wp:align>
                      </wp:positionV>
                      <wp:extent cx="626745" cy="626745"/>
                      <wp:effectExtent l="0" t="0" r="1905" b="1905"/>
                      <wp:wrapNone/>
                      <wp:docPr id="5" name="Oval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C8535D6" w14:textId="77777777" w:rsidR="00BA130D" w:rsidRDefault="00BA130D">
                                  <w:pPr>
                                    <w:pStyle w:val="Footer"/>
                                    <w:jc w:val="center"/>
                                    <w:rPr>
                                      <w:b/>
                                      <w:bCs/>
                                      <w:color w:val="FFFFFF" w:themeColor="background1"/>
                                      <w:sz w:val="32"/>
                                      <w:szCs w:val="32"/>
                                    </w:rPr>
                                  </w:pPr>
                                  <w:r>
                                    <w:fldChar w:fldCharType="begin"/>
                                  </w:r>
                                  <w:r>
                                    <w:instrText xml:space="preserve"> PAGE    \* MERGEFORMAT </w:instrText>
                                  </w:r>
                                  <w:r>
                                    <w:fldChar w:fldCharType="separate"/>
                                  </w:r>
                                  <w:r w:rsidR="005A1054" w:rsidRPr="005A1054">
                                    <w:rPr>
                                      <w:b/>
                                      <w:bCs/>
                                      <w:noProof/>
                                      <w:color w:val="FFFFFF" w:themeColor="background1"/>
                                      <w:sz w:val="32"/>
                                      <w:szCs w:val="32"/>
                                    </w:rPr>
                                    <w:t>3</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w14:anchorId="43924CC3" id="Oval 5" o:spid="_x0000_s1026" style="position:absolute;margin-left:0;margin-top:0;width:49.35pt;height:49.35pt;z-index:251659264;visibility:visible;mso-wrap-style:square;mso-width-percent:0;mso-height-percent:0;mso-wrap-distance-left:9pt;mso-wrap-distance-top:0;mso-wrap-distance-right:9pt;mso-wrap-distance-bottom:0;mso-position-horizontal:left;mso-position-horizontal-relative:right-margin-area;mso-position-vertical:top;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" fillcolor="#40618b" stroked="f">
                      <v:textbox>
                        <w:txbxContent>
                          <w:p w14:paraId="7C8535D6" w14:textId="77777777" w:rsidR="00BA130D" w:rsidRDefault="00BA130D">
                            <w:pPr>
                              <w:pStyle w:val="Footer"/>
                              <w:jc w:val="center"/>
                              <w:rPr>
                                <w:b/>
                                <w:bCs/>
                                <w:color w:val="FFFFFF" w:themeColor="background1"/>
                                <w:sz w:val="32"/>
                                <w:szCs w:val="32"/>
                              </w:rPr>
                            </w:pPr>
                            <w:r>
                              <w:fldChar w:fldCharType="begin"/>
                            </w:r>
                            <w:r>
                              <w:instrText xml:space="preserve"> PAGE    \* MERGEFORMAT </w:instrText>
                            </w:r>
                            <w:r>
                              <w:fldChar w:fldCharType="separate"/>
                            </w:r>
                            <w:r w:rsidR="005A1054" w:rsidRPr="005A1054">
                              <w:rPr>
                                <w:b/>
                                <w:bCs/>
                                <w:noProof/>
                                <w:color w:val="FFFFFF" w:themeColor="background1"/>
                                <w:sz w:val="32"/>
                                <w:szCs w:val="32"/>
                              </w:rPr>
                              <w:t>3</w:t>
                            </w:r>
                            <w:r>
                              <w:rPr>
                                <w:b/>
                                <w:bCs/>
                                <w:noProof/>
                                <w:color w:val="FFFFFF" w:themeColor="background1"/>
                                <w:sz w:val="32"/>
                                <w:szCs w:val="32"/>
                              </w:rPr>
                              <w:fldChar w:fldCharType="end"/>
                            </w:r>
                          </w:p>
                        </w:txbxContent>
                      </v:textbox>
                      <w10:wrap anchorx="margin" anchory="margin"/>
                    </v:oval>
                  </w:pict>
                </mc:Fallback>
              </mc:AlternateContent>
            </w:r>
          </w:p>
        </w:sdtContent>
      </w:sdt>
    </w:sdtContent>
  </w:sdt>
  <w:p w14:paraId="0BDB2FAA" w14:textId="77777777" w:rsidR="00BA130D" w:rsidRDefault="00BA13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75F45" w14:textId="77777777" w:rsidR="005D3C7E" w:rsidRDefault="005D3C7E" w:rsidP="00DE62DD">
      <w:pPr>
        <w:spacing w:after="0" w:line="240" w:lineRule="auto"/>
      </w:pPr>
      <w:r>
        <w:separator/>
      </w:r>
    </w:p>
  </w:footnote>
  <w:footnote w:type="continuationSeparator" w:id="0">
    <w:p w14:paraId="6B244C32" w14:textId="77777777" w:rsidR="005D3C7E" w:rsidRDefault="005D3C7E" w:rsidP="00DE62D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62AD4" w14:textId="346D9D58" w:rsidR="00565D7C" w:rsidRDefault="00565D7C">
    <w:pPr>
      <w:pStyle w:val="Header"/>
    </w:pPr>
  </w:p>
  <w:p w14:paraId="2A946E40" w14:textId="33308F4C" w:rsidR="00DE62DD" w:rsidRDefault="00DE62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27B"/>
    <w:rsid w:val="000C3776"/>
    <w:rsid w:val="00113699"/>
    <w:rsid w:val="001744FD"/>
    <w:rsid w:val="002202EE"/>
    <w:rsid w:val="00226C07"/>
    <w:rsid w:val="00263861"/>
    <w:rsid w:val="002E55B9"/>
    <w:rsid w:val="00352129"/>
    <w:rsid w:val="00355147"/>
    <w:rsid w:val="003A6804"/>
    <w:rsid w:val="00431BC2"/>
    <w:rsid w:val="00432E30"/>
    <w:rsid w:val="00472BF5"/>
    <w:rsid w:val="00477A9F"/>
    <w:rsid w:val="00565D7C"/>
    <w:rsid w:val="0057635F"/>
    <w:rsid w:val="005953B7"/>
    <w:rsid w:val="005A1054"/>
    <w:rsid w:val="005D3C7E"/>
    <w:rsid w:val="00627098"/>
    <w:rsid w:val="00633360"/>
    <w:rsid w:val="00642F28"/>
    <w:rsid w:val="006A1132"/>
    <w:rsid w:val="00771D09"/>
    <w:rsid w:val="00792092"/>
    <w:rsid w:val="007A2298"/>
    <w:rsid w:val="007C6998"/>
    <w:rsid w:val="007D662C"/>
    <w:rsid w:val="008319A3"/>
    <w:rsid w:val="0086627B"/>
    <w:rsid w:val="00891BAA"/>
    <w:rsid w:val="00911C93"/>
    <w:rsid w:val="009618E4"/>
    <w:rsid w:val="009E7E65"/>
    <w:rsid w:val="00A34FA7"/>
    <w:rsid w:val="00A55775"/>
    <w:rsid w:val="00A84283"/>
    <w:rsid w:val="00B64F6D"/>
    <w:rsid w:val="00BA130D"/>
    <w:rsid w:val="00BF306A"/>
    <w:rsid w:val="00C03792"/>
    <w:rsid w:val="00C5223E"/>
    <w:rsid w:val="00D15D74"/>
    <w:rsid w:val="00D21B62"/>
    <w:rsid w:val="00D63C80"/>
    <w:rsid w:val="00D93837"/>
    <w:rsid w:val="00DA01CC"/>
    <w:rsid w:val="00DE62DD"/>
    <w:rsid w:val="00E130B7"/>
    <w:rsid w:val="00EF2B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EFCA053"/>
  <w15:chartTrackingRefBased/>
  <w15:docId w15:val="{CFEA0E04-440B-428A-96C8-7C988C002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2709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semiHidden/>
    <w:unhideWhenUsed/>
    <w:qFormat/>
    <w:rsid w:val="008319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2709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098"/>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62709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62709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27098"/>
    <w:rPr>
      <w:i/>
      <w:iCs/>
    </w:rPr>
  </w:style>
  <w:style w:type="character" w:styleId="Hyperlink">
    <w:name w:val="Hyperlink"/>
    <w:basedOn w:val="DefaultParagraphFont"/>
    <w:uiPriority w:val="99"/>
    <w:unhideWhenUsed/>
    <w:rsid w:val="00627098"/>
    <w:rPr>
      <w:color w:val="0000FF"/>
      <w:u w:val="single"/>
    </w:rPr>
  </w:style>
  <w:style w:type="paragraph" w:styleId="z-TopofForm">
    <w:name w:val="HTML Top of Form"/>
    <w:basedOn w:val="Normal"/>
    <w:next w:val="Normal"/>
    <w:link w:val="z-TopofFormChar"/>
    <w:hidden/>
    <w:uiPriority w:val="99"/>
    <w:semiHidden/>
    <w:unhideWhenUsed/>
    <w:rsid w:val="00627098"/>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627098"/>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627098"/>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627098"/>
    <w:rPr>
      <w:rFonts w:ascii="Arial" w:eastAsia="Times New Roman" w:hAnsi="Arial" w:cs="Arial"/>
      <w:vanish/>
      <w:sz w:val="16"/>
      <w:szCs w:val="16"/>
    </w:rPr>
  </w:style>
  <w:style w:type="character" w:customStyle="1" w:styleId="Heading2Char">
    <w:name w:val="Heading 2 Char"/>
    <w:basedOn w:val="DefaultParagraphFont"/>
    <w:link w:val="Heading2"/>
    <w:uiPriority w:val="9"/>
    <w:semiHidden/>
    <w:rsid w:val="008319A3"/>
    <w:rPr>
      <w:rFonts w:asciiTheme="majorHAnsi" w:eastAsiaTheme="majorEastAsia" w:hAnsiTheme="majorHAnsi" w:cstheme="majorBidi"/>
      <w:color w:val="2F5496" w:themeColor="accent1" w:themeShade="BF"/>
      <w:sz w:val="26"/>
      <w:szCs w:val="26"/>
    </w:rPr>
  </w:style>
  <w:style w:type="table" w:styleId="PlainTable4">
    <w:name w:val="Plain Table 4"/>
    <w:basedOn w:val="TableNormal"/>
    <w:uiPriority w:val="44"/>
    <w:rsid w:val="008319A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Strong">
    <w:name w:val="Strong"/>
    <w:basedOn w:val="DefaultParagraphFont"/>
    <w:uiPriority w:val="22"/>
    <w:qFormat/>
    <w:rsid w:val="00355147"/>
    <w:rPr>
      <w:b/>
      <w:bCs/>
    </w:rPr>
  </w:style>
  <w:style w:type="table" w:styleId="TableGrid">
    <w:name w:val="Table Grid"/>
    <w:basedOn w:val="TableNormal"/>
    <w:uiPriority w:val="39"/>
    <w:rsid w:val="001744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E62D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E62DD"/>
  </w:style>
  <w:style w:type="paragraph" w:styleId="Footer">
    <w:name w:val="footer"/>
    <w:basedOn w:val="Normal"/>
    <w:link w:val="FooterChar"/>
    <w:uiPriority w:val="99"/>
    <w:unhideWhenUsed/>
    <w:rsid w:val="00DE62D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E62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9178084">
      <w:bodyDiv w:val="1"/>
      <w:marLeft w:val="0"/>
      <w:marRight w:val="0"/>
      <w:marTop w:val="0"/>
      <w:marBottom w:val="0"/>
      <w:divBdr>
        <w:top w:val="none" w:sz="0" w:space="0" w:color="auto"/>
        <w:left w:val="none" w:sz="0" w:space="0" w:color="auto"/>
        <w:bottom w:val="none" w:sz="0" w:space="0" w:color="auto"/>
        <w:right w:val="none" w:sz="0" w:space="0" w:color="auto"/>
      </w:divBdr>
      <w:divsChild>
        <w:div w:id="1455631533">
          <w:marLeft w:val="0"/>
          <w:marRight w:val="0"/>
          <w:marTop w:val="0"/>
          <w:marBottom w:val="0"/>
          <w:divBdr>
            <w:top w:val="none" w:sz="0" w:space="0" w:color="auto"/>
            <w:left w:val="none" w:sz="0" w:space="0" w:color="auto"/>
            <w:bottom w:val="none" w:sz="0" w:space="0" w:color="auto"/>
            <w:right w:val="none" w:sz="0" w:space="0" w:color="auto"/>
          </w:divBdr>
          <w:divsChild>
            <w:div w:id="1403479760">
              <w:marLeft w:val="0"/>
              <w:marRight w:val="0"/>
              <w:marTop w:val="0"/>
              <w:marBottom w:val="0"/>
              <w:divBdr>
                <w:top w:val="none" w:sz="0" w:space="0" w:color="auto"/>
                <w:left w:val="none" w:sz="0" w:space="0" w:color="auto"/>
                <w:bottom w:val="none" w:sz="0" w:space="0" w:color="auto"/>
                <w:right w:val="none" w:sz="0" w:space="0" w:color="auto"/>
              </w:divBdr>
              <w:divsChild>
                <w:div w:id="1710450504">
                  <w:marLeft w:val="0"/>
                  <w:marRight w:val="0"/>
                  <w:marTop w:val="0"/>
                  <w:marBottom w:val="0"/>
                  <w:divBdr>
                    <w:top w:val="none" w:sz="0" w:space="0" w:color="auto"/>
                    <w:left w:val="none" w:sz="0" w:space="0" w:color="auto"/>
                    <w:bottom w:val="none" w:sz="0" w:space="0" w:color="auto"/>
                    <w:right w:val="none" w:sz="0" w:space="0" w:color="auto"/>
                  </w:divBdr>
                  <w:divsChild>
                    <w:div w:id="576788097">
                      <w:marLeft w:val="0"/>
                      <w:marRight w:val="0"/>
                      <w:marTop w:val="0"/>
                      <w:marBottom w:val="0"/>
                      <w:divBdr>
                        <w:top w:val="none" w:sz="0" w:space="0" w:color="auto"/>
                        <w:left w:val="none" w:sz="0" w:space="0" w:color="auto"/>
                        <w:bottom w:val="none" w:sz="0" w:space="0" w:color="auto"/>
                        <w:right w:val="none" w:sz="0" w:space="0" w:color="auto"/>
                      </w:divBdr>
                      <w:divsChild>
                        <w:div w:id="1695963446">
                          <w:marLeft w:val="0"/>
                          <w:marRight w:val="0"/>
                          <w:marTop w:val="0"/>
                          <w:marBottom w:val="0"/>
                          <w:divBdr>
                            <w:top w:val="none" w:sz="0" w:space="0" w:color="auto"/>
                            <w:left w:val="none" w:sz="0" w:space="0" w:color="auto"/>
                            <w:bottom w:val="none" w:sz="0" w:space="0" w:color="auto"/>
                            <w:right w:val="none" w:sz="0" w:space="0" w:color="auto"/>
                          </w:divBdr>
                          <w:divsChild>
                            <w:div w:id="1012563859">
                              <w:marLeft w:val="0"/>
                              <w:marRight w:val="0"/>
                              <w:marTop w:val="0"/>
                              <w:marBottom w:val="0"/>
                              <w:divBdr>
                                <w:top w:val="none" w:sz="0" w:space="0" w:color="auto"/>
                                <w:left w:val="none" w:sz="0" w:space="0" w:color="auto"/>
                                <w:bottom w:val="none" w:sz="0" w:space="0" w:color="auto"/>
                                <w:right w:val="none" w:sz="0" w:space="0" w:color="auto"/>
                              </w:divBdr>
                              <w:divsChild>
                                <w:div w:id="37701438">
                                  <w:marLeft w:val="0"/>
                                  <w:marRight w:val="0"/>
                                  <w:marTop w:val="0"/>
                                  <w:marBottom w:val="0"/>
                                  <w:divBdr>
                                    <w:top w:val="none" w:sz="0" w:space="0" w:color="auto"/>
                                    <w:left w:val="none" w:sz="0" w:space="0" w:color="auto"/>
                                    <w:bottom w:val="none" w:sz="0" w:space="0" w:color="auto"/>
                                    <w:right w:val="none" w:sz="0" w:space="0" w:color="auto"/>
                                  </w:divBdr>
                                  <w:divsChild>
                                    <w:div w:id="825627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2719073">
          <w:marLeft w:val="0"/>
          <w:marRight w:val="0"/>
          <w:marTop w:val="0"/>
          <w:marBottom w:val="0"/>
          <w:divBdr>
            <w:top w:val="none" w:sz="0" w:space="0" w:color="auto"/>
            <w:left w:val="none" w:sz="0" w:space="0" w:color="auto"/>
            <w:bottom w:val="none" w:sz="0" w:space="0" w:color="auto"/>
            <w:right w:val="none" w:sz="0" w:space="0" w:color="auto"/>
          </w:divBdr>
          <w:divsChild>
            <w:div w:id="219287406">
              <w:marLeft w:val="0"/>
              <w:marRight w:val="0"/>
              <w:marTop w:val="0"/>
              <w:marBottom w:val="0"/>
              <w:divBdr>
                <w:top w:val="none" w:sz="0" w:space="0" w:color="auto"/>
                <w:left w:val="none" w:sz="0" w:space="0" w:color="auto"/>
                <w:bottom w:val="none" w:sz="0" w:space="0" w:color="auto"/>
                <w:right w:val="none" w:sz="0" w:space="0" w:color="auto"/>
              </w:divBdr>
              <w:divsChild>
                <w:div w:id="938834816">
                  <w:marLeft w:val="0"/>
                  <w:marRight w:val="0"/>
                  <w:marTop w:val="0"/>
                  <w:marBottom w:val="0"/>
                  <w:divBdr>
                    <w:top w:val="none" w:sz="0" w:space="0" w:color="auto"/>
                    <w:left w:val="none" w:sz="0" w:space="0" w:color="auto"/>
                    <w:bottom w:val="none" w:sz="0" w:space="0" w:color="auto"/>
                    <w:right w:val="none" w:sz="0" w:space="0" w:color="auto"/>
                  </w:divBdr>
                  <w:divsChild>
                    <w:div w:id="2060395180">
                      <w:marLeft w:val="0"/>
                      <w:marRight w:val="0"/>
                      <w:marTop w:val="0"/>
                      <w:marBottom w:val="0"/>
                      <w:divBdr>
                        <w:top w:val="none" w:sz="0" w:space="0" w:color="auto"/>
                        <w:left w:val="none" w:sz="0" w:space="0" w:color="auto"/>
                        <w:bottom w:val="none" w:sz="0" w:space="0" w:color="auto"/>
                        <w:right w:val="none" w:sz="0" w:space="0" w:color="auto"/>
                      </w:divBdr>
                      <w:divsChild>
                        <w:div w:id="1012878214">
                          <w:marLeft w:val="0"/>
                          <w:marRight w:val="0"/>
                          <w:marTop w:val="0"/>
                          <w:marBottom w:val="0"/>
                          <w:divBdr>
                            <w:top w:val="none" w:sz="0" w:space="0" w:color="auto"/>
                            <w:left w:val="none" w:sz="0" w:space="0" w:color="auto"/>
                            <w:bottom w:val="none" w:sz="0" w:space="0" w:color="auto"/>
                            <w:right w:val="none" w:sz="0" w:space="0" w:color="auto"/>
                          </w:divBdr>
                          <w:divsChild>
                            <w:div w:id="1630168353">
                              <w:marLeft w:val="0"/>
                              <w:marRight w:val="0"/>
                              <w:marTop w:val="0"/>
                              <w:marBottom w:val="0"/>
                              <w:divBdr>
                                <w:top w:val="none" w:sz="0" w:space="0" w:color="auto"/>
                                <w:left w:val="none" w:sz="0" w:space="0" w:color="auto"/>
                                <w:bottom w:val="none" w:sz="0" w:space="0" w:color="auto"/>
                                <w:right w:val="none" w:sz="0" w:space="0" w:color="auto"/>
                              </w:divBdr>
                              <w:divsChild>
                                <w:div w:id="2067216470">
                                  <w:marLeft w:val="0"/>
                                  <w:marRight w:val="0"/>
                                  <w:marTop w:val="0"/>
                                  <w:marBottom w:val="0"/>
                                  <w:divBdr>
                                    <w:top w:val="none" w:sz="0" w:space="0" w:color="auto"/>
                                    <w:left w:val="none" w:sz="0" w:space="0" w:color="auto"/>
                                    <w:bottom w:val="none" w:sz="0" w:space="0" w:color="auto"/>
                                    <w:right w:val="none" w:sz="0" w:space="0" w:color="auto"/>
                                  </w:divBdr>
                                  <w:divsChild>
                                    <w:div w:id="115294309">
                                      <w:marLeft w:val="0"/>
                                      <w:marRight w:val="0"/>
                                      <w:marTop w:val="0"/>
                                      <w:marBottom w:val="0"/>
                                      <w:divBdr>
                                        <w:top w:val="none" w:sz="0" w:space="0" w:color="auto"/>
                                        <w:left w:val="none" w:sz="0" w:space="0" w:color="auto"/>
                                        <w:bottom w:val="none" w:sz="0" w:space="0" w:color="auto"/>
                                        <w:right w:val="none" w:sz="0" w:space="0" w:color="auto"/>
                                      </w:divBdr>
                                      <w:divsChild>
                                        <w:div w:id="5597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4264401">
      <w:bodyDiv w:val="1"/>
      <w:marLeft w:val="0"/>
      <w:marRight w:val="0"/>
      <w:marTop w:val="0"/>
      <w:marBottom w:val="0"/>
      <w:divBdr>
        <w:top w:val="none" w:sz="0" w:space="0" w:color="auto"/>
        <w:left w:val="none" w:sz="0" w:space="0" w:color="auto"/>
        <w:bottom w:val="none" w:sz="0" w:space="0" w:color="auto"/>
        <w:right w:val="none" w:sz="0" w:space="0" w:color="auto"/>
      </w:divBdr>
    </w:div>
    <w:div w:id="1416248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diagramLayout" Target="diagrams/layout2.xml"/><Relationship Id="rId26" Type="http://schemas.microsoft.com/office/2007/relationships/diagramDrawing" Target="diagrams/drawing3.xml"/><Relationship Id="rId39" Type="http://schemas.openxmlformats.org/officeDocument/2006/relationships/hyperlink" Target="https://www.england.nhs.uk/long-read/standardising-community-health-services/?utm_source=chatgpt.com" TargetMode="External"/><Relationship Id="rId21" Type="http://schemas.microsoft.com/office/2007/relationships/diagramDrawing" Target="diagrams/drawing2.xml"/><Relationship Id="rId34" Type="http://schemas.openxmlformats.org/officeDocument/2006/relationships/hyperlink" Target="https://www.lscft.nhs.uk/services/service-finder-z/learning-disability?utm_source=chatgpt.com" TargetMode="External"/><Relationship Id="rId42" Type="http://schemas.openxmlformats.org/officeDocument/2006/relationships/hyperlink" Target="https://doi.org/10.1093/ageing/aft166" TargetMode="External"/><Relationship Id="rId7" Type="http://schemas.openxmlformats.org/officeDocument/2006/relationships/header" Target="header1.xml"/><Relationship Id="rId2" Type="http://schemas.openxmlformats.org/officeDocument/2006/relationships/settings" Target="settings.xml"/><Relationship Id="rId16" Type="http://schemas.microsoft.com/office/2007/relationships/diagramDrawing" Target="diagrams/drawing1.xml"/><Relationship Id="rId29" Type="http://schemas.openxmlformats.org/officeDocument/2006/relationships/diagramQuickStyle" Target="diagrams/quickStyle4.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4.png"/><Relationship Id="rId24" Type="http://schemas.openxmlformats.org/officeDocument/2006/relationships/diagramQuickStyle" Target="diagrams/quickStyle3.xml"/><Relationship Id="rId32" Type="http://schemas.openxmlformats.org/officeDocument/2006/relationships/hyperlink" Target="https://www.fip.org/files/members/library/FIP_workforce_Report_2012.pdf" TargetMode="External"/><Relationship Id="rId37" Type="http://schemas.openxmlformats.org/officeDocument/2006/relationships/hyperlink" Target="https://digital.nhs.uk/" TargetMode="External"/><Relationship Id="rId40" Type="http://schemas.openxmlformats.org/officeDocument/2006/relationships/hyperlink" Target="https://doi.org/10.1136/qshc.2004.012153" TargetMode="External"/><Relationship Id="rId45"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diagramColors" Target="diagrams/colors1.xml"/><Relationship Id="rId23" Type="http://schemas.openxmlformats.org/officeDocument/2006/relationships/diagramLayout" Target="diagrams/layout3.xml"/><Relationship Id="rId28" Type="http://schemas.openxmlformats.org/officeDocument/2006/relationships/diagramLayout" Target="diagrams/layout4.xml"/><Relationship Id="rId36" Type="http://schemas.openxmlformats.org/officeDocument/2006/relationships/hyperlink" Target="https://doi.org/10.1136/bmjopen-2015-010003" TargetMode="External"/><Relationship Id="rId10" Type="http://schemas.openxmlformats.org/officeDocument/2006/relationships/image" Target="media/image3.png"/><Relationship Id="rId19" Type="http://schemas.openxmlformats.org/officeDocument/2006/relationships/diagramQuickStyle" Target="diagrams/quickStyle2.xml"/><Relationship Id="rId31" Type="http://schemas.microsoft.com/office/2007/relationships/diagramDrawing" Target="diagrams/drawing4.xml"/><Relationship Id="rId44" Type="http://schemas.openxmlformats.org/officeDocument/2006/relationships/hyperlink" Target="https://iris.who.int/server/api/core/bitstreams/3de79826-c82a-4a12-842e-24ecbbb36840/content" TargetMode="External"/><Relationship Id="rId4" Type="http://schemas.openxmlformats.org/officeDocument/2006/relationships/footnotes" Target="footnote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Data" Target="diagrams/data3.xml"/><Relationship Id="rId27" Type="http://schemas.openxmlformats.org/officeDocument/2006/relationships/diagramData" Target="diagrams/data4.xml"/><Relationship Id="rId30" Type="http://schemas.openxmlformats.org/officeDocument/2006/relationships/diagramColors" Target="diagrams/colors4.xml"/><Relationship Id="rId35" Type="http://schemas.openxmlformats.org/officeDocument/2006/relationships/hyperlink" Target="https://doi.org/10.3109/09638288.2013.770078" TargetMode="External"/><Relationship Id="rId43" Type="http://schemas.openxmlformats.org/officeDocument/2006/relationships/hyperlink" Target="https://pubmed.ncbi.nlm.nih.gov/12352169/?utm_source=chatgpt.com" TargetMode="External"/><Relationship Id="rId8"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diagramData" Target="diagrams/data1.xml"/><Relationship Id="rId17" Type="http://schemas.openxmlformats.org/officeDocument/2006/relationships/diagramData" Target="diagrams/data2.xml"/><Relationship Id="rId25" Type="http://schemas.openxmlformats.org/officeDocument/2006/relationships/diagramColors" Target="diagrams/colors3.xml"/><Relationship Id="rId33" Type="http://schemas.openxmlformats.org/officeDocument/2006/relationships/hyperlink" Target="https://www.ncbi.nlm.nih.gov/pmc/articles/PMC6464564/" TargetMode="External"/><Relationship Id="rId38" Type="http://schemas.openxmlformats.org/officeDocument/2006/relationships/hyperlink" Target="https://www.england.nhs.uk/long-read/community-pharmacy-advanced-service-specification-nhs-community-pharmacist-consultation-service/?utm_source=chatgpt.com" TargetMode="External"/><Relationship Id="rId46" Type="http://schemas.openxmlformats.org/officeDocument/2006/relationships/theme" Target="theme/theme1.xml"/><Relationship Id="rId20" Type="http://schemas.openxmlformats.org/officeDocument/2006/relationships/diagramColors" Target="diagrams/colors2.xml"/><Relationship Id="rId41" Type="http://schemas.openxmlformats.org/officeDocument/2006/relationships/hyperlink" Target="https://www.kingsfund.org.uk/insight-and-analysis/data-and-charts/short-history-social-care-funding?utm_source=chatgpt.com" TargetMode="External"/></Relationships>
</file>

<file path=word/diagrams/_rels/data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diagrams/_rels/data2.xml.rels><?xml version="1.0" encoding="UTF-8" standalone="yes"?>
<Relationships xmlns="http://schemas.openxmlformats.org/package/2006/relationships"><Relationship Id="rId1" Type="http://schemas.openxmlformats.org/officeDocument/2006/relationships/image" Target="../media/image7.png"/></Relationships>
</file>

<file path=word/diagrams/_rels/data3.xml.rels><?xml version="1.0" encoding="UTF-8" standalone="yes"?>
<Relationships xmlns="http://schemas.openxmlformats.org/package/2006/relationships"><Relationship Id="rId1" Type="http://schemas.openxmlformats.org/officeDocument/2006/relationships/image" Target="../media/image7.png"/></Relationships>
</file>

<file path=word/diagrams/_rels/drawing1.xml.rels><?xml version="1.0" encoding="UTF-8" standalone="yes"?>
<Relationships xmlns="http://schemas.openxmlformats.org/package/2006/relationships"><Relationship Id="rId2" Type="http://schemas.openxmlformats.org/officeDocument/2006/relationships/image" Target="../media/image6.png"/><Relationship Id="rId1" Type="http://schemas.openxmlformats.org/officeDocument/2006/relationships/image" Target="../media/image5.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7.png"/></Relationships>
</file>

<file path=word/diagrams/_rels/drawing3.xml.rels><?xml version="1.0" encoding="UTF-8" standalone="yes"?>
<Relationships xmlns="http://schemas.openxmlformats.org/package/2006/relationships"><Relationship Id="rId1" Type="http://schemas.openxmlformats.org/officeDocument/2006/relationships/image" Target="../media/image7.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BE41E2F-58A5-4917-A625-C7A581085F0E}" type="doc">
      <dgm:prSet loTypeId="urn:microsoft.com/office/officeart/2005/8/layout/vList4" loCatId="list" qsTypeId="urn:microsoft.com/office/officeart/2005/8/quickstyle/simple1" qsCatId="simple" csTypeId="urn:microsoft.com/office/officeart/2005/8/colors/accent1_2" csCatId="accent1" phldr="1"/>
      <dgm:spPr/>
      <dgm:t>
        <a:bodyPr/>
        <a:lstStyle/>
        <a:p>
          <a:endParaRPr lang="en-US"/>
        </a:p>
      </dgm:t>
    </dgm:pt>
    <dgm:pt modelId="{EC0B9E27-826E-4DA6-9A96-8F86616FBCE8}">
      <dgm:prSet/>
      <dgm:spPr>
        <a:solidFill>
          <a:srgbClr val="C00000"/>
        </a:solidFill>
      </dgm:spPr>
      <dgm:t>
        <a:bodyPr/>
        <a:lstStyle/>
        <a:p>
          <a:pPr rtl="0"/>
          <a:r>
            <a:rPr lang="en-US" b="1"/>
            <a:t>What are </a:t>
          </a:r>
          <a:r>
            <a:rPr lang="en-US" b="1" i="1"/>
            <a:t>Community Disability Services</a:t>
          </a:r>
          <a:r>
            <a:rPr lang="en-US" b="1"/>
            <a:t>?</a:t>
          </a:r>
          <a:endParaRPr lang="en-US"/>
        </a:p>
      </dgm:t>
    </dgm:pt>
    <dgm:pt modelId="{89C83FD4-A282-4D8A-BE83-FA8AB0DDF9A5}" type="parTrans" cxnId="{19ED3C7F-F91B-4F33-837D-018534295E8E}">
      <dgm:prSet/>
      <dgm:spPr/>
      <dgm:t>
        <a:bodyPr/>
        <a:lstStyle/>
        <a:p>
          <a:endParaRPr lang="en-US"/>
        </a:p>
      </dgm:t>
    </dgm:pt>
    <dgm:pt modelId="{51F1EDAD-C9C5-48A8-A9F2-595FE7538402}" type="sibTrans" cxnId="{19ED3C7F-F91B-4F33-837D-018534295E8E}">
      <dgm:prSet/>
      <dgm:spPr/>
      <dgm:t>
        <a:bodyPr/>
        <a:lstStyle/>
        <a:p>
          <a:endParaRPr lang="en-US"/>
        </a:p>
      </dgm:t>
    </dgm:pt>
    <dgm:pt modelId="{8692DABB-541B-4756-854D-C87A78489A8B}">
      <dgm:prSet/>
      <dgm:spPr>
        <a:solidFill>
          <a:srgbClr val="C00000"/>
        </a:solidFill>
      </dgm:spPr>
      <dgm:t>
        <a:bodyPr/>
        <a:lstStyle/>
        <a:p>
          <a:pPr rtl="0"/>
          <a:r>
            <a:rPr lang="en-US"/>
            <a:t>Community disability services are teams and programmes that support people with long-term physical, intellectual, sensory or neurodevelopmental disabilities to live as independently as possible within their local community. These services include specialist assessments, rehabilitation (such as occupational therapy, physiotherapy, and speech and language therapy), care coordination, personal budgets or direct payments, supported living, and advice for families and employers (NHS England, 2025).</a:t>
          </a:r>
        </a:p>
      </dgm:t>
    </dgm:pt>
    <dgm:pt modelId="{BBB19E2F-784E-4B5C-8931-4761E6B8BF73}" type="parTrans" cxnId="{0BDCF394-2431-467C-9080-18F7B792842A}">
      <dgm:prSet/>
      <dgm:spPr/>
      <dgm:t>
        <a:bodyPr/>
        <a:lstStyle/>
        <a:p>
          <a:endParaRPr lang="en-US"/>
        </a:p>
      </dgm:t>
    </dgm:pt>
    <dgm:pt modelId="{90A029EA-E033-411E-9381-6539A363D82A}" type="sibTrans" cxnId="{0BDCF394-2431-467C-9080-18F7B792842A}">
      <dgm:prSet/>
      <dgm:spPr/>
      <dgm:t>
        <a:bodyPr/>
        <a:lstStyle/>
        <a:p>
          <a:endParaRPr lang="en-US"/>
        </a:p>
      </dgm:t>
    </dgm:pt>
    <dgm:pt modelId="{D3FD4E37-846D-463C-9344-8A2B44F1367E}">
      <dgm:prSet/>
      <dgm:spPr>
        <a:solidFill>
          <a:srgbClr val="C00000"/>
        </a:solidFill>
      </dgm:spPr>
      <dgm:t>
        <a:bodyPr/>
        <a:lstStyle/>
        <a:p>
          <a:pPr rtl="0"/>
          <a:r>
            <a:rPr lang="en-US" b="1"/>
            <a:t>Core goals</a:t>
          </a:r>
          <a:endParaRPr lang="en-US"/>
        </a:p>
      </dgm:t>
    </dgm:pt>
    <dgm:pt modelId="{2EA40FAC-861F-48B8-B350-B33E3FEB3640}" type="parTrans" cxnId="{90E221F1-4E77-4408-A03C-C8D8A842CDDB}">
      <dgm:prSet/>
      <dgm:spPr/>
      <dgm:t>
        <a:bodyPr/>
        <a:lstStyle/>
        <a:p>
          <a:endParaRPr lang="en-US"/>
        </a:p>
      </dgm:t>
    </dgm:pt>
    <dgm:pt modelId="{8D4916DD-3F3B-4ECA-A2EE-36352BA9E6A9}" type="sibTrans" cxnId="{90E221F1-4E77-4408-A03C-C8D8A842CDDB}">
      <dgm:prSet/>
      <dgm:spPr/>
      <dgm:t>
        <a:bodyPr/>
        <a:lstStyle/>
        <a:p>
          <a:endParaRPr lang="en-US"/>
        </a:p>
      </dgm:t>
    </dgm:pt>
    <dgm:pt modelId="{5FE785EF-A7B5-4748-8752-57770A031474}">
      <dgm:prSet/>
      <dgm:spPr>
        <a:solidFill>
          <a:srgbClr val="C00000"/>
        </a:solidFill>
      </dgm:spPr>
      <dgm:t>
        <a:bodyPr/>
        <a:lstStyle/>
        <a:p>
          <a:pPr rtl="0"/>
          <a:r>
            <a:rPr lang="en-US"/>
            <a:t>Maximise independence and participation</a:t>
          </a:r>
        </a:p>
      </dgm:t>
    </dgm:pt>
    <dgm:pt modelId="{321F6A91-F5E0-4745-8D86-518395E01177}" type="parTrans" cxnId="{5A4D2B8A-7D28-4903-86AB-7D39CA88F5AD}">
      <dgm:prSet/>
      <dgm:spPr/>
      <dgm:t>
        <a:bodyPr/>
        <a:lstStyle/>
        <a:p>
          <a:endParaRPr lang="en-US"/>
        </a:p>
      </dgm:t>
    </dgm:pt>
    <dgm:pt modelId="{A01A82FB-0C03-4898-A5EA-BB23963877A8}" type="sibTrans" cxnId="{5A4D2B8A-7D28-4903-86AB-7D39CA88F5AD}">
      <dgm:prSet/>
      <dgm:spPr/>
      <dgm:t>
        <a:bodyPr/>
        <a:lstStyle/>
        <a:p>
          <a:endParaRPr lang="en-US"/>
        </a:p>
      </dgm:t>
    </dgm:pt>
    <dgm:pt modelId="{D4D565AD-F4CC-43A4-8D3E-001135597E94}">
      <dgm:prSet/>
      <dgm:spPr>
        <a:solidFill>
          <a:srgbClr val="C00000"/>
        </a:solidFill>
      </dgm:spPr>
      <dgm:t>
        <a:bodyPr/>
        <a:lstStyle/>
        <a:p>
          <a:pPr rtl="0"/>
          <a:r>
            <a:rPr lang="en-US"/>
            <a:t>Prevent unnecessary hospital or institutional care</a:t>
          </a:r>
        </a:p>
      </dgm:t>
    </dgm:pt>
    <dgm:pt modelId="{77EEC0F9-2C90-4064-A36D-43A049DF0B84}" type="parTrans" cxnId="{F7386E2A-9D24-4F4E-A402-45F4EE5C880D}">
      <dgm:prSet/>
      <dgm:spPr/>
      <dgm:t>
        <a:bodyPr/>
        <a:lstStyle/>
        <a:p>
          <a:endParaRPr lang="en-US"/>
        </a:p>
      </dgm:t>
    </dgm:pt>
    <dgm:pt modelId="{FA8F2AFF-C32F-453E-BF4B-1BB3284C1037}" type="sibTrans" cxnId="{F7386E2A-9D24-4F4E-A402-45F4EE5C880D}">
      <dgm:prSet/>
      <dgm:spPr/>
      <dgm:t>
        <a:bodyPr/>
        <a:lstStyle/>
        <a:p>
          <a:endParaRPr lang="en-US"/>
        </a:p>
      </dgm:t>
    </dgm:pt>
    <dgm:pt modelId="{15736AA3-9919-4166-8D70-639043EC1B41}">
      <dgm:prSet/>
      <dgm:spPr>
        <a:solidFill>
          <a:srgbClr val="C00000"/>
        </a:solidFill>
      </dgm:spPr>
      <dgm:t>
        <a:bodyPr/>
        <a:lstStyle/>
        <a:p>
          <a:pPr rtl="0"/>
          <a:r>
            <a:rPr lang="en-US"/>
            <a:t>Deliver personalised, coordinated care close to home (Iemmi, 2017)</a:t>
          </a:r>
        </a:p>
      </dgm:t>
    </dgm:pt>
    <dgm:pt modelId="{50F31B1D-F3F5-4099-87D9-DF71A2D3431A}" type="parTrans" cxnId="{BFC0DD54-904F-4C0B-9816-D4E76B33CFB2}">
      <dgm:prSet/>
      <dgm:spPr/>
      <dgm:t>
        <a:bodyPr/>
        <a:lstStyle/>
        <a:p>
          <a:endParaRPr lang="en-US"/>
        </a:p>
      </dgm:t>
    </dgm:pt>
    <dgm:pt modelId="{F36EA2FC-3C02-444C-906E-2060FC5B7562}" type="sibTrans" cxnId="{BFC0DD54-904F-4C0B-9816-D4E76B33CFB2}">
      <dgm:prSet/>
      <dgm:spPr/>
      <dgm:t>
        <a:bodyPr/>
        <a:lstStyle/>
        <a:p>
          <a:endParaRPr lang="en-US"/>
        </a:p>
      </dgm:t>
    </dgm:pt>
    <dgm:pt modelId="{6AAC00A5-DA80-4177-A582-0C4672835F42}" type="pres">
      <dgm:prSet presAssocID="{ABE41E2F-58A5-4917-A625-C7A581085F0E}" presName="linear" presStyleCnt="0">
        <dgm:presLayoutVars>
          <dgm:dir/>
          <dgm:resizeHandles val="exact"/>
        </dgm:presLayoutVars>
      </dgm:prSet>
      <dgm:spPr/>
    </dgm:pt>
    <dgm:pt modelId="{62548521-CD90-4CF8-A42B-6CA3FD10587E}" type="pres">
      <dgm:prSet presAssocID="{EC0B9E27-826E-4DA6-9A96-8F86616FBCE8}" presName="comp" presStyleCnt="0"/>
      <dgm:spPr/>
    </dgm:pt>
    <dgm:pt modelId="{93307C4C-F41C-4CEB-A0DD-673486E5F478}" type="pres">
      <dgm:prSet presAssocID="{EC0B9E27-826E-4DA6-9A96-8F86616FBCE8}" presName="box" presStyleLbl="node1" presStyleIdx="0" presStyleCnt="2"/>
      <dgm:spPr/>
    </dgm:pt>
    <dgm:pt modelId="{4A30A0BE-E125-4411-B234-70343DC906A0}" type="pres">
      <dgm:prSet presAssocID="{EC0B9E27-826E-4DA6-9A96-8F86616FBCE8}" presName="img" presStyleLbl="fgImgPlace1" presStyleIdx="0" presStyleCnt="2"/>
      <dgm:spPr>
        <a:blipFill rotWithShape="1">
          <a:blip xmlns:r="http://schemas.openxmlformats.org/officeDocument/2006/relationships" r:embed="rId1"/>
          <a:stretch>
            <a:fillRect/>
          </a:stretch>
        </a:blipFill>
      </dgm:spPr>
    </dgm:pt>
    <dgm:pt modelId="{4A0A0A26-0357-4CC9-BA55-016EB16F6C14}" type="pres">
      <dgm:prSet presAssocID="{EC0B9E27-826E-4DA6-9A96-8F86616FBCE8}" presName="text" presStyleLbl="node1" presStyleIdx="0" presStyleCnt="2">
        <dgm:presLayoutVars>
          <dgm:bulletEnabled val="1"/>
        </dgm:presLayoutVars>
      </dgm:prSet>
      <dgm:spPr/>
    </dgm:pt>
    <dgm:pt modelId="{D6940A83-CCB8-47B3-B483-92A4D85D4492}" type="pres">
      <dgm:prSet presAssocID="{51F1EDAD-C9C5-48A8-A9F2-595FE7538402}" presName="spacer" presStyleCnt="0"/>
      <dgm:spPr/>
    </dgm:pt>
    <dgm:pt modelId="{EB4B1A4B-11DB-4D3B-8611-FA122B5AE509}" type="pres">
      <dgm:prSet presAssocID="{D3FD4E37-846D-463C-9344-8A2B44F1367E}" presName="comp" presStyleCnt="0"/>
      <dgm:spPr/>
    </dgm:pt>
    <dgm:pt modelId="{F05AC0E7-3F49-4A6D-AA39-4B2B5C285FCD}" type="pres">
      <dgm:prSet presAssocID="{D3FD4E37-846D-463C-9344-8A2B44F1367E}" presName="box" presStyleLbl="node1" presStyleIdx="1" presStyleCnt="2"/>
      <dgm:spPr/>
    </dgm:pt>
    <dgm:pt modelId="{2692C3DB-6EE6-4DFC-98D5-11CA1C340F62}" type="pres">
      <dgm:prSet presAssocID="{D3FD4E37-846D-463C-9344-8A2B44F1367E}" presName="img" presStyleLbl="fgImgPlace1" presStyleIdx="1" presStyleCnt="2"/>
      <dgm:spPr>
        <a:blipFill rotWithShape="1">
          <a:blip xmlns:r="http://schemas.openxmlformats.org/officeDocument/2006/relationships" r:embed="rId2"/>
          <a:stretch>
            <a:fillRect/>
          </a:stretch>
        </a:blipFill>
      </dgm:spPr>
    </dgm:pt>
    <dgm:pt modelId="{B63EE720-82B0-45AB-9E0A-35EFB5A5921E}" type="pres">
      <dgm:prSet presAssocID="{D3FD4E37-846D-463C-9344-8A2B44F1367E}" presName="text" presStyleLbl="node1" presStyleIdx="1" presStyleCnt="2">
        <dgm:presLayoutVars>
          <dgm:bulletEnabled val="1"/>
        </dgm:presLayoutVars>
      </dgm:prSet>
      <dgm:spPr/>
    </dgm:pt>
  </dgm:ptLst>
  <dgm:cxnLst>
    <dgm:cxn modelId="{F7386E2A-9D24-4F4E-A402-45F4EE5C880D}" srcId="{D3FD4E37-846D-463C-9344-8A2B44F1367E}" destId="{D4D565AD-F4CC-43A4-8D3E-001135597E94}" srcOrd="1" destOrd="0" parTransId="{77EEC0F9-2C90-4064-A36D-43A049DF0B84}" sibTransId="{FA8F2AFF-C32F-453E-BF4B-1BB3284C1037}"/>
    <dgm:cxn modelId="{6A31102F-B6FC-4B9A-84B7-7E954860AC54}" type="presOf" srcId="{D4D565AD-F4CC-43A4-8D3E-001135597E94}" destId="{F05AC0E7-3F49-4A6D-AA39-4B2B5C285FCD}" srcOrd="0" destOrd="2" presId="urn:microsoft.com/office/officeart/2005/8/layout/vList4"/>
    <dgm:cxn modelId="{B7F7A249-2A66-4DBE-81B8-6DD2F9AE6C5B}" type="presOf" srcId="{ABE41E2F-58A5-4917-A625-C7A581085F0E}" destId="{6AAC00A5-DA80-4177-A582-0C4672835F42}" srcOrd="0" destOrd="0" presId="urn:microsoft.com/office/officeart/2005/8/layout/vList4"/>
    <dgm:cxn modelId="{BFC0DD54-904F-4C0B-9816-D4E76B33CFB2}" srcId="{D3FD4E37-846D-463C-9344-8A2B44F1367E}" destId="{15736AA3-9919-4166-8D70-639043EC1B41}" srcOrd="2" destOrd="0" parTransId="{50F31B1D-F3F5-4099-87D9-DF71A2D3431A}" sibTransId="{F36EA2FC-3C02-444C-906E-2060FC5B7562}"/>
    <dgm:cxn modelId="{AD5B8D75-D3C3-4E71-9828-5AE3A3FD1746}" type="presOf" srcId="{15736AA3-9919-4166-8D70-639043EC1B41}" destId="{F05AC0E7-3F49-4A6D-AA39-4B2B5C285FCD}" srcOrd="0" destOrd="3" presId="urn:microsoft.com/office/officeart/2005/8/layout/vList4"/>
    <dgm:cxn modelId="{79EAAC75-B7C5-4428-A6E8-E545031F158C}" type="presOf" srcId="{D3FD4E37-846D-463C-9344-8A2B44F1367E}" destId="{F05AC0E7-3F49-4A6D-AA39-4B2B5C285FCD}" srcOrd="0" destOrd="0" presId="urn:microsoft.com/office/officeart/2005/8/layout/vList4"/>
    <dgm:cxn modelId="{F7317A79-8ED0-455A-8367-28D6E9D4D33B}" type="presOf" srcId="{EC0B9E27-826E-4DA6-9A96-8F86616FBCE8}" destId="{4A0A0A26-0357-4CC9-BA55-016EB16F6C14}" srcOrd="1" destOrd="0" presId="urn:microsoft.com/office/officeart/2005/8/layout/vList4"/>
    <dgm:cxn modelId="{19ED3C7F-F91B-4F33-837D-018534295E8E}" srcId="{ABE41E2F-58A5-4917-A625-C7A581085F0E}" destId="{EC0B9E27-826E-4DA6-9A96-8F86616FBCE8}" srcOrd="0" destOrd="0" parTransId="{89C83FD4-A282-4D8A-BE83-FA8AB0DDF9A5}" sibTransId="{51F1EDAD-C9C5-48A8-A9F2-595FE7538402}"/>
    <dgm:cxn modelId="{5A4D2B8A-7D28-4903-86AB-7D39CA88F5AD}" srcId="{D3FD4E37-846D-463C-9344-8A2B44F1367E}" destId="{5FE785EF-A7B5-4748-8752-57770A031474}" srcOrd="0" destOrd="0" parTransId="{321F6A91-F5E0-4745-8D86-518395E01177}" sibTransId="{A01A82FB-0C03-4898-A5EA-BB23963877A8}"/>
    <dgm:cxn modelId="{0BDCF394-2431-467C-9080-18F7B792842A}" srcId="{EC0B9E27-826E-4DA6-9A96-8F86616FBCE8}" destId="{8692DABB-541B-4756-854D-C87A78489A8B}" srcOrd="0" destOrd="0" parTransId="{BBB19E2F-784E-4B5C-8931-4761E6B8BF73}" sibTransId="{90A029EA-E033-411E-9381-6539A363D82A}"/>
    <dgm:cxn modelId="{6FF6DEA0-BF87-4649-A168-6DAD527B6B52}" type="presOf" srcId="{5FE785EF-A7B5-4748-8752-57770A031474}" destId="{F05AC0E7-3F49-4A6D-AA39-4B2B5C285FCD}" srcOrd="0" destOrd="1" presId="urn:microsoft.com/office/officeart/2005/8/layout/vList4"/>
    <dgm:cxn modelId="{E8F397BA-B512-49D9-ACC3-3237571C15A4}" type="presOf" srcId="{D3FD4E37-846D-463C-9344-8A2B44F1367E}" destId="{B63EE720-82B0-45AB-9E0A-35EFB5A5921E}" srcOrd="1" destOrd="0" presId="urn:microsoft.com/office/officeart/2005/8/layout/vList4"/>
    <dgm:cxn modelId="{301650BD-6DAA-493F-91A6-7C5888DDE3FD}" type="presOf" srcId="{15736AA3-9919-4166-8D70-639043EC1B41}" destId="{B63EE720-82B0-45AB-9E0A-35EFB5A5921E}" srcOrd="1" destOrd="3" presId="urn:microsoft.com/office/officeart/2005/8/layout/vList4"/>
    <dgm:cxn modelId="{641514D1-EBDB-4D03-ACC1-47BF6B83DA3F}" type="presOf" srcId="{EC0B9E27-826E-4DA6-9A96-8F86616FBCE8}" destId="{93307C4C-F41C-4CEB-A0DD-673486E5F478}" srcOrd="0" destOrd="0" presId="urn:microsoft.com/office/officeart/2005/8/layout/vList4"/>
    <dgm:cxn modelId="{01AE4DD4-8BDF-4AF7-9B14-01514CE94FBC}" type="presOf" srcId="{8692DABB-541B-4756-854D-C87A78489A8B}" destId="{93307C4C-F41C-4CEB-A0DD-673486E5F478}" srcOrd="0" destOrd="1" presId="urn:microsoft.com/office/officeart/2005/8/layout/vList4"/>
    <dgm:cxn modelId="{8781AFDC-9AD0-429D-BA5F-F1457F6F385D}" type="presOf" srcId="{5FE785EF-A7B5-4748-8752-57770A031474}" destId="{B63EE720-82B0-45AB-9E0A-35EFB5A5921E}" srcOrd="1" destOrd="1" presId="urn:microsoft.com/office/officeart/2005/8/layout/vList4"/>
    <dgm:cxn modelId="{90E221F1-4E77-4408-A03C-C8D8A842CDDB}" srcId="{ABE41E2F-58A5-4917-A625-C7A581085F0E}" destId="{D3FD4E37-846D-463C-9344-8A2B44F1367E}" srcOrd="1" destOrd="0" parTransId="{2EA40FAC-861F-48B8-B350-B33E3FEB3640}" sibTransId="{8D4916DD-3F3B-4ECA-A2EE-36352BA9E6A9}"/>
    <dgm:cxn modelId="{8C9049F6-D842-4332-B7D5-804182D5C668}" type="presOf" srcId="{D4D565AD-F4CC-43A4-8D3E-001135597E94}" destId="{B63EE720-82B0-45AB-9E0A-35EFB5A5921E}" srcOrd="1" destOrd="2" presId="urn:microsoft.com/office/officeart/2005/8/layout/vList4"/>
    <dgm:cxn modelId="{EE9ED7FA-BD0C-48BD-AADB-11ADBCB77EC1}" type="presOf" srcId="{8692DABB-541B-4756-854D-C87A78489A8B}" destId="{4A0A0A26-0357-4CC9-BA55-016EB16F6C14}" srcOrd="1" destOrd="1" presId="urn:microsoft.com/office/officeart/2005/8/layout/vList4"/>
    <dgm:cxn modelId="{CE7684DB-F8AB-4F55-8A84-FE3450B043A3}" type="presParOf" srcId="{6AAC00A5-DA80-4177-A582-0C4672835F42}" destId="{62548521-CD90-4CF8-A42B-6CA3FD10587E}" srcOrd="0" destOrd="0" presId="urn:microsoft.com/office/officeart/2005/8/layout/vList4"/>
    <dgm:cxn modelId="{A86D0D69-D518-4087-802C-8973C4F0A276}" type="presParOf" srcId="{62548521-CD90-4CF8-A42B-6CA3FD10587E}" destId="{93307C4C-F41C-4CEB-A0DD-673486E5F478}" srcOrd="0" destOrd="0" presId="urn:microsoft.com/office/officeart/2005/8/layout/vList4"/>
    <dgm:cxn modelId="{F9BA7976-C038-4F8B-B148-89377F115D4E}" type="presParOf" srcId="{62548521-CD90-4CF8-A42B-6CA3FD10587E}" destId="{4A30A0BE-E125-4411-B234-70343DC906A0}" srcOrd="1" destOrd="0" presId="urn:microsoft.com/office/officeart/2005/8/layout/vList4"/>
    <dgm:cxn modelId="{A0A0ECBB-DC62-49D0-AEB3-F0107D82FE2C}" type="presParOf" srcId="{62548521-CD90-4CF8-A42B-6CA3FD10587E}" destId="{4A0A0A26-0357-4CC9-BA55-016EB16F6C14}" srcOrd="2" destOrd="0" presId="urn:microsoft.com/office/officeart/2005/8/layout/vList4"/>
    <dgm:cxn modelId="{385AF91D-90C0-4B4F-9409-CBE96717BDFF}" type="presParOf" srcId="{6AAC00A5-DA80-4177-A582-0C4672835F42}" destId="{D6940A83-CCB8-47B3-B483-92A4D85D4492}" srcOrd="1" destOrd="0" presId="urn:microsoft.com/office/officeart/2005/8/layout/vList4"/>
    <dgm:cxn modelId="{93F92949-EED6-44EE-9252-3364E535B7EA}" type="presParOf" srcId="{6AAC00A5-DA80-4177-A582-0C4672835F42}" destId="{EB4B1A4B-11DB-4D3B-8611-FA122B5AE509}" srcOrd="2" destOrd="0" presId="urn:microsoft.com/office/officeart/2005/8/layout/vList4"/>
    <dgm:cxn modelId="{488AB954-E821-4CC3-83D3-2FE84D9553BC}" type="presParOf" srcId="{EB4B1A4B-11DB-4D3B-8611-FA122B5AE509}" destId="{F05AC0E7-3F49-4A6D-AA39-4B2B5C285FCD}" srcOrd="0" destOrd="0" presId="urn:microsoft.com/office/officeart/2005/8/layout/vList4"/>
    <dgm:cxn modelId="{BCE6207B-06A4-4565-9375-DC0A2FDB394C}" type="presParOf" srcId="{EB4B1A4B-11DB-4D3B-8611-FA122B5AE509}" destId="{2692C3DB-6EE6-4DFC-98D5-11CA1C340F62}" srcOrd="1" destOrd="0" presId="urn:microsoft.com/office/officeart/2005/8/layout/vList4"/>
    <dgm:cxn modelId="{4D827E25-4298-4F3F-AF4E-C9DDBD812C1F}" type="presParOf" srcId="{EB4B1A4B-11DB-4D3B-8611-FA122B5AE509}" destId="{B63EE720-82B0-45AB-9E0A-35EFB5A5921E}" srcOrd="2" destOrd="0" presId="urn:microsoft.com/office/officeart/2005/8/layout/vList4"/>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9EE6FB6-EC03-405A-A33C-B9B19BB08BE3}" type="doc">
      <dgm:prSet loTypeId="urn:microsoft.com/office/officeart/2005/8/layout/vList6" loCatId="list" qsTypeId="urn:microsoft.com/office/officeart/2005/8/quickstyle/simple1" qsCatId="simple" csTypeId="urn:microsoft.com/office/officeart/2005/8/colors/colorful3" csCatId="colorful" phldr="1"/>
      <dgm:spPr/>
      <dgm:t>
        <a:bodyPr/>
        <a:lstStyle/>
        <a:p>
          <a:endParaRPr lang="en-US"/>
        </a:p>
      </dgm:t>
    </dgm:pt>
    <dgm:pt modelId="{D6A2571F-FA9A-491F-B9C5-79D4E96373A7}">
      <dgm:prSet/>
      <dgm:spPr/>
      <dgm:t>
        <a:bodyPr/>
        <a:lstStyle/>
        <a:p>
          <a:pPr rtl="0"/>
          <a:r>
            <a:rPr lang="en-US" b="1" dirty="0"/>
            <a:t>How the service functions today</a:t>
          </a:r>
          <a:endParaRPr lang="en-US" dirty="0"/>
        </a:p>
      </dgm:t>
    </dgm:pt>
    <dgm:pt modelId="{C30EDF68-BE82-4272-873B-5C4E25ED4FCE}" type="parTrans" cxnId="{7055E00D-9009-42F4-8203-429AD75BB558}">
      <dgm:prSet/>
      <dgm:spPr/>
      <dgm:t>
        <a:bodyPr/>
        <a:lstStyle/>
        <a:p>
          <a:endParaRPr lang="en-US"/>
        </a:p>
      </dgm:t>
    </dgm:pt>
    <dgm:pt modelId="{E0566FCF-4486-47CC-9901-87B697283AE3}" type="sibTrans" cxnId="{7055E00D-9009-42F4-8203-429AD75BB558}">
      <dgm:prSet/>
      <dgm:spPr/>
      <dgm:t>
        <a:bodyPr/>
        <a:lstStyle/>
        <a:p>
          <a:endParaRPr lang="en-US"/>
        </a:p>
      </dgm:t>
    </dgm:pt>
    <dgm:pt modelId="{8E2A9B11-46DA-4ED6-BAF3-5FED22028B65}">
      <dgm:prSet/>
      <dgm:spPr/>
      <dgm:t>
        <a:bodyPr/>
        <a:lstStyle/>
        <a:p>
          <a:pPr rtl="0"/>
          <a:r>
            <a:rPr lang="en-US" b="1"/>
            <a:t>Providers:</a:t>
          </a:r>
          <a:r>
            <a:rPr lang="en-US"/>
            <a:t> </a:t>
          </a:r>
        </a:p>
      </dgm:t>
    </dgm:pt>
    <dgm:pt modelId="{38DF06CC-5F75-4076-B5A6-1BC45BAB5E5C}" type="parTrans" cxnId="{B77AF15C-997E-469A-A1B3-4911F618C7D4}">
      <dgm:prSet/>
      <dgm:spPr/>
      <dgm:t>
        <a:bodyPr/>
        <a:lstStyle/>
        <a:p>
          <a:endParaRPr lang="en-US"/>
        </a:p>
      </dgm:t>
    </dgm:pt>
    <dgm:pt modelId="{861EF307-BB2D-4AEA-94FB-86B2B90B3FA4}" type="sibTrans" cxnId="{B77AF15C-997E-469A-A1B3-4911F618C7D4}">
      <dgm:prSet/>
      <dgm:spPr/>
      <dgm:t>
        <a:bodyPr/>
        <a:lstStyle/>
        <a:p>
          <a:endParaRPr lang="en-US"/>
        </a:p>
      </dgm:t>
    </dgm:pt>
    <dgm:pt modelId="{8BC43250-1BC0-4368-9D57-E9A7C81FCD8D}">
      <dgm:prSet/>
      <dgm:spPr/>
      <dgm:t>
        <a:bodyPr/>
        <a:lstStyle/>
        <a:p>
          <a:pPr rtl="0"/>
          <a:r>
            <a:rPr lang="en-US" dirty="0"/>
            <a:t>NHS community teams, local authorities, independent &amp; voluntary sector (many providers). (NHS England, 2025).</a:t>
          </a:r>
        </a:p>
      </dgm:t>
    </dgm:pt>
    <dgm:pt modelId="{0B1186E7-60D3-42B9-ADC7-AAE92936263F}" type="parTrans" cxnId="{F7D4C4C2-E5E8-40F1-89BB-795DD71BF31F}">
      <dgm:prSet/>
      <dgm:spPr/>
      <dgm:t>
        <a:bodyPr/>
        <a:lstStyle/>
        <a:p>
          <a:endParaRPr lang="en-US"/>
        </a:p>
      </dgm:t>
    </dgm:pt>
    <dgm:pt modelId="{FF533D4E-7467-4F0D-ACA8-46042DDE64C7}" type="sibTrans" cxnId="{F7D4C4C2-E5E8-40F1-89BB-795DD71BF31F}">
      <dgm:prSet/>
      <dgm:spPr/>
      <dgm:t>
        <a:bodyPr/>
        <a:lstStyle/>
        <a:p>
          <a:endParaRPr lang="en-US"/>
        </a:p>
      </dgm:t>
    </dgm:pt>
    <dgm:pt modelId="{DE3B6B6A-C0D4-4340-9952-E9BB0D90F98B}">
      <dgm:prSet/>
      <dgm:spPr/>
      <dgm:t>
        <a:bodyPr/>
        <a:lstStyle/>
        <a:p>
          <a:pPr rtl="0"/>
          <a:r>
            <a:rPr lang="en-US" b="1"/>
            <a:t>Workforce:</a:t>
          </a:r>
          <a:r>
            <a:rPr lang="en-US"/>
            <a:t> </a:t>
          </a:r>
        </a:p>
      </dgm:t>
    </dgm:pt>
    <dgm:pt modelId="{90B906F5-5A37-41B1-B589-1A0E05B1ED9B}" type="parTrans" cxnId="{D3D1C9F7-F2C1-4926-B4A4-9CC0BFB9D626}">
      <dgm:prSet/>
      <dgm:spPr/>
      <dgm:t>
        <a:bodyPr/>
        <a:lstStyle/>
        <a:p>
          <a:endParaRPr lang="en-US"/>
        </a:p>
      </dgm:t>
    </dgm:pt>
    <dgm:pt modelId="{33C0905F-CFEB-4560-8FE7-B3F69B29B68A}" type="sibTrans" cxnId="{D3D1C9F7-F2C1-4926-B4A4-9CC0BFB9D626}">
      <dgm:prSet/>
      <dgm:spPr/>
      <dgm:t>
        <a:bodyPr/>
        <a:lstStyle/>
        <a:p>
          <a:endParaRPr lang="en-US"/>
        </a:p>
      </dgm:t>
    </dgm:pt>
    <dgm:pt modelId="{F5BAB98A-046C-4D11-9FEA-C620E398BAFA}">
      <dgm:prSet/>
      <dgm:spPr/>
      <dgm:t>
        <a:bodyPr/>
        <a:lstStyle/>
        <a:p>
          <a:pPr rtl="0"/>
          <a:r>
            <a:rPr lang="en-US" dirty="0"/>
            <a:t>multidisciplinary (community/LD nurses, OT, physio, speech &amp; language, psychologists, support staff) (Lancashire &amp; South </a:t>
          </a:r>
          <a:r>
            <a:rPr lang="en-US" dirty="0" err="1"/>
            <a:t>Cumbria</a:t>
          </a:r>
          <a:r>
            <a:rPr lang="en-US" dirty="0"/>
            <a:t> NHS Foundation Trust, </a:t>
          </a:r>
          <a:r>
            <a:rPr lang="en-US" dirty="0" err="1"/>
            <a:t>n.d.</a:t>
          </a:r>
          <a:r>
            <a:rPr lang="en-US" dirty="0"/>
            <a:t>).</a:t>
          </a:r>
        </a:p>
      </dgm:t>
    </dgm:pt>
    <dgm:pt modelId="{6F4038E6-F61E-4186-8BCF-724F022FE9BC}" type="parTrans" cxnId="{CA2FB25C-D566-4A87-969F-1A00552C7876}">
      <dgm:prSet/>
      <dgm:spPr/>
      <dgm:t>
        <a:bodyPr/>
        <a:lstStyle/>
        <a:p>
          <a:endParaRPr lang="en-US"/>
        </a:p>
      </dgm:t>
    </dgm:pt>
    <dgm:pt modelId="{E803953A-B655-41A4-BF99-0B9016C3A8D9}" type="sibTrans" cxnId="{CA2FB25C-D566-4A87-969F-1A00552C7876}">
      <dgm:prSet/>
      <dgm:spPr/>
      <dgm:t>
        <a:bodyPr/>
        <a:lstStyle/>
        <a:p>
          <a:endParaRPr lang="en-US"/>
        </a:p>
      </dgm:t>
    </dgm:pt>
    <dgm:pt modelId="{64C347A1-927A-4C0D-822C-A9BFA8B7F6B9}">
      <dgm:prSet/>
      <dgm:spPr/>
      <dgm:t>
        <a:bodyPr/>
        <a:lstStyle/>
        <a:p>
          <a:pPr rtl="0"/>
          <a:r>
            <a:rPr lang="en-US" b="1"/>
            <a:t>Pathways:</a:t>
          </a:r>
          <a:r>
            <a:rPr lang="en-US"/>
            <a:t> </a:t>
          </a:r>
        </a:p>
      </dgm:t>
    </dgm:pt>
    <dgm:pt modelId="{F377211E-905A-4896-80BF-9012BC528C40}" type="parTrans" cxnId="{44EDDDB5-04EB-48AD-908C-296889FCEB5D}">
      <dgm:prSet/>
      <dgm:spPr/>
      <dgm:t>
        <a:bodyPr/>
        <a:lstStyle/>
        <a:p>
          <a:endParaRPr lang="en-US"/>
        </a:p>
      </dgm:t>
    </dgm:pt>
    <dgm:pt modelId="{F3B0F6C9-CD52-43A3-BB52-B6431433B1C8}" type="sibTrans" cxnId="{44EDDDB5-04EB-48AD-908C-296889FCEB5D}">
      <dgm:prSet/>
      <dgm:spPr/>
      <dgm:t>
        <a:bodyPr/>
        <a:lstStyle/>
        <a:p>
          <a:endParaRPr lang="en-US"/>
        </a:p>
      </dgm:t>
    </dgm:pt>
    <dgm:pt modelId="{40E7BD34-2BB6-40A7-A156-A8591D1CB13F}">
      <dgm:prSet/>
      <dgm:spPr/>
      <dgm:t>
        <a:bodyPr/>
        <a:lstStyle/>
        <a:p>
          <a:pPr rtl="0"/>
          <a:r>
            <a:rPr lang="en-US"/>
            <a:t>referrals from GPs, hospitals, self-referral; single-point-of-access in some areas; personalised care plans and reasonable adjustments recorded in patient records. </a:t>
          </a:r>
        </a:p>
      </dgm:t>
    </dgm:pt>
    <dgm:pt modelId="{13FE3A6F-CE4A-4C5A-9CD0-F1ACDBBFA7A0}" type="parTrans" cxnId="{B5DE4361-6DD0-4E6E-BFA2-986674F146D0}">
      <dgm:prSet/>
      <dgm:spPr/>
      <dgm:t>
        <a:bodyPr/>
        <a:lstStyle/>
        <a:p>
          <a:endParaRPr lang="en-US"/>
        </a:p>
      </dgm:t>
    </dgm:pt>
    <dgm:pt modelId="{5F6B4B95-612E-4BF8-987D-E83FB1F19515}" type="sibTrans" cxnId="{B5DE4361-6DD0-4E6E-BFA2-986674F146D0}">
      <dgm:prSet/>
      <dgm:spPr/>
      <dgm:t>
        <a:bodyPr/>
        <a:lstStyle/>
        <a:p>
          <a:endParaRPr lang="en-US"/>
        </a:p>
      </dgm:t>
    </dgm:pt>
    <dgm:pt modelId="{AB262DC3-0623-4DCF-97DA-F35B125E1896}">
      <dgm:prSet/>
      <dgm:spPr/>
      <dgm:t>
        <a:bodyPr/>
        <a:lstStyle/>
        <a:p>
          <a:pPr rtl="0"/>
          <a:r>
            <a:rPr lang="en-US" b="1"/>
            <a:t>Evidence &amp; models:</a:t>
          </a:r>
          <a:r>
            <a:rPr lang="en-US"/>
            <a:t> </a:t>
          </a:r>
        </a:p>
      </dgm:t>
    </dgm:pt>
    <dgm:pt modelId="{8A246B25-DE77-41C9-82C0-693AB117831F}" type="parTrans" cxnId="{11783A17-D347-473C-B2C8-59E06D19945B}">
      <dgm:prSet/>
      <dgm:spPr/>
      <dgm:t>
        <a:bodyPr/>
        <a:lstStyle/>
        <a:p>
          <a:endParaRPr lang="en-US"/>
        </a:p>
      </dgm:t>
    </dgm:pt>
    <dgm:pt modelId="{FAB11456-BA51-4176-BDCF-3E8D93E5C330}" type="sibTrans" cxnId="{11783A17-D347-473C-B2C8-59E06D19945B}">
      <dgm:prSet/>
      <dgm:spPr/>
      <dgm:t>
        <a:bodyPr/>
        <a:lstStyle/>
        <a:p>
          <a:endParaRPr lang="en-US"/>
        </a:p>
      </dgm:t>
    </dgm:pt>
    <dgm:pt modelId="{5F16BCC7-5178-40AF-A4AF-D2D814236003}">
      <dgm:prSet/>
      <dgm:spPr/>
      <dgm:t>
        <a:bodyPr/>
        <a:lstStyle/>
        <a:p>
          <a:pPr rtl="0"/>
          <a:r>
            <a:rPr lang="en-US" dirty="0"/>
            <a:t>community-based rehabilitation (CBR) frameworks </a:t>
          </a:r>
          <a:r>
            <a:rPr lang="en-US" dirty="0" err="1"/>
            <a:t>emphasise</a:t>
          </a:r>
          <a:r>
            <a:rPr lang="en-US" dirty="0"/>
            <a:t> community participation, multi-sector action (health, education, livelihood) and local monitoring/evaluation (</a:t>
          </a:r>
          <a:r>
            <a:rPr lang="en-US" dirty="0" err="1"/>
            <a:t>Iemmi</a:t>
          </a:r>
          <a:r>
            <a:rPr lang="en-US"/>
            <a:t>, 2017).</a:t>
          </a:r>
        </a:p>
      </dgm:t>
    </dgm:pt>
    <dgm:pt modelId="{63DE940A-62B5-46BC-A90F-2ED23F59E697}" type="parTrans" cxnId="{8EB5F105-8EBE-4996-8107-5D924BDA25A6}">
      <dgm:prSet/>
      <dgm:spPr/>
      <dgm:t>
        <a:bodyPr/>
        <a:lstStyle/>
        <a:p>
          <a:endParaRPr lang="en-US"/>
        </a:p>
      </dgm:t>
    </dgm:pt>
    <dgm:pt modelId="{B2B9D01E-F0E1-497F-A97C-5CCD1D7A45E6}" type="sibTrans" cxnId="{8EB5F105-8EBE-4996-8107-5D924BDA25A6}">
      <dgm:prSet/>
      <dgm:spPr/>
      <dgm:t>
        <a:bodyPr/>
        <a:lstStyle/>
        <a:p>
          <a:endParaRPr lang="en-US"/>
        </a:p>
      </dgm:t>
    </dgm:pt>
    <dgm:pt modelId="{15741279-5EDB-4C5F-A866-DC4B38DC8969}" type="pres">
      <dgm:prSet presAssocID="{F9EE6FB6-EC03-405A-A33C-B9B19BB08BE3}" presName="Name0" presStyleCnt="0">
        <dgm:presLayoutVars>
          <dgm:dir/>
          <dgm:animLvl val="lvl"/>
          <dgm:resizeHandles/>
        </dgm:presLayoutVars>
      </dgm:prSet>
      <dgm:spPr/>
    </dgm:pt>
    <dgm:pt modelId="{562EF929-5315-4BE8-89EF-A386EE355087}" type="pres">
      <dgm:prSet presAssocID="{D6A2571F-FA9A-491F-B9C5-79D4E96373A7}" presName="linNode" presStyleCnt="0"/>
      <dgm:spPr/>
    </dgm:pt>
    <dgm:pt modelId="{2E59EEF3-B704-4A26-B513-83D018B71AB3}" type="pres">
      <dgm:prSet presAssocID="{D6A2571F-FA9A-491F-B9C5-79D4E96373A7}" presName="parentShp" presStyleLbl="node1" presStyleIdx="0" presStyleCnt="5" custScaleX="1304459">
        <dgm:presLayoutVars>
          <dgm:bulletEnabled val="1"/>
        </dgm:presLayoutVars>
      </dgm:prSet>
      <dgm:spPr/>
    </dgm:pt>
    <dgm:pt modelId="{E4F10BA8-293A-4F99-955D-881E08589BDF}" type="pres">
      <dgm:prSet presAssocID="{D6A2571F-FA9A-491F-B9C5-79D4E96373A7}" presName="childShp" presStyleLbl="bgAccFollowNode1" presStyleIdx="0" presStyleCnt="5" custLinFactX="20881" custLinFactNeighborX="100000" custLinFactNeighborY="-16942">
        <dgm:presLayoutVars>
          <dgm:bulletEnabled val="1"/>
        </dgm:presLayoutVars>
      </dgm:prSet>
      <dgm:spPr>
        <a:blipFill rotWithShape="0">
          <a:blip xmlns:r="http://schemas.openxmlformats.org/officeDocument/2006/relationships" r:embed="rId1"/>
          <a:stretch>
            <a:fillRect/>
          </a:stretch>
        </a:blipFill>
      </dgm:spPr>
    </dgm:pt>
    <dgm:pt modelId="{C6DB5B82-1441-4FB0-8324-F6E4CA3360B6}" type="pres">
      <dgm:prSet presAssocID="{E0566FCF-4486-47CC-9901-87B697283AE3}" presName="spacing" presStyleCnt="0"/>
      <dgm:spPr/>
    </dgm:pt>
    <dgm:pt modelId="{DA5154A8-EDDB-4829-9576-92D815C7F8B1}" type="pres">
      <dgm:prSet presAssocID="{8E2A9B11-46DA-4ED6-BAF3-5FED22028B65}" presName="linNode" presStyleCnt="0"/>
      <dgm:spPr/>
    </dgm:pt>
    <dgm:pt modelId="{7B44D2FD-47EC-4B9C-A6E6-244F902749E1}" type="pres">
      <dgm:prSet presAssocID="{8E2A9B11-46DA-4ED6-BAF3-5FED22028B65}" presName="parentShp" presStyleLbl="node1" presStyleIdx="1" presStyleCnt="5">
        <dgm:presLayoutVars>
          <dgm:bulletEnabled val="1"/>
        </dgm:presLayoutVars>
      </dgm:prSet>
      <dgm:spPr/>
    </dgm:pt>
    <dgm:pt modelId="{DD6FB9FA-6753-4774-95FA-EF3E6FDA4BAE}" type="pres">
      <dgm:prSet presAssocID="{8E2A9B11-46DA-4ED6-BAF3-5FED22028B65}" presName="childShp" presStyleLbl="bgAccFollowNode1" presStyleIdx="1" presStyleCnt="5">
        <dgm:presLayoutVars>
          <dgm:bulletEnabled val="1"/>
        </dgm:presLayoutVars>
      </dgm:prSet>
      <dgm:spPr/>
    </dgm:pt>
    <dgm:pt modelId="{5103739E-EC35-421A-BD15-344F46A799DD}" type="pres">
      <dgm:prSet presAssocID="{861EF307-BB2D-4AEA-94FB-86B2B90B3FA4}" presName="spacing" presStyleCnt="0"/>
      <dgm:spPr/>
    </dgm:pt>
    <dgm:pt modelId="{6E24BEED-2C13-40C1-AFF7-B7E0A5BAAB21}" type="pres">
      <dgm:prSet presAssocID="{DE3B6B6A-C0D4-4340-9952-E9BB0D90F98B}" presName="linNode" presStyleCnt="0"/>
      <dgm:spPr/>
    </dgm:pt>
    <dgm:pt modelId="{6B574BA7-13FE-482D-B8E7-3DFFC18974D5}" type="pres">
      <dgm:prSet presAssocID="{DE3B6B6A-C0D4-4340-9952-E9BB0D90F98B}" presName="parentShp" presStyleLbl="node1" presStyleIdx="2" presStyleCnt="5">
        <dgm:presLayoutVars>
          <dgm:bulletEnabled val="1"/>
        </dgm:presLayoutVars>
      </dgm:prSet>
      <dgm:spPr/>
    </dgm:pt>
    <dgm:pt modelId="{9E934C67-3D2F-418B-9C4D-F28C78B53A92}" type="pres">
      <dgm:prSet presAssocID="{DE3B6B6A-C0D4-4340-9952-E9BB0D90F98B}" presName="childShp" presStyleLbl="bgAccFollowNode1" presStyleIdx="2" presStyleCnt="5">
        <dgm:presLayoutVars>
          <dgm:bulletEnabled val="1"/>
        </dgm:presLayoutVars>
      </dgm:prSet>
      <dgm:spPr/>
    </dgm:pt>
    <dgm:pt modelId="{CFE106A2-E0B5-4ACE-BBB6-354B0E263FAB}" type="pres">
      <dgm:prSet presAssocID="{33C0905F-CFEB-4560-8FE7-B3F69B29B68A}" presName="spacing" presStyleCnt="0"/>
      <dgm:spPr/>
    </dgm:pt>
    <dgm:pt modelId="{EBA6B0BC-3D00-4B67-B9D9-4699FBDC87EB}" type="pres">
      <dgm:prSet presAssocID="{64C347A1-927A-4C0D-822C-A9BFA8B7F6B9}" presName="linNode" presStyleCnt="0"/>
      <dgm:spPr/>
    </dgm:pt>
    <dgm:pt modelId="{C2B75499-F93F-42B0-95B3-813304BAF725}" type="pres">
      <dgm:prSet presAssocID="{64C347A1-927A-4C0D-822C-A9BFA8B7F6B9}" presName="parentShp" presStyleLbl="node1" presStyleIdx="3" presStyleCnt="5">
        <dgm:presLayoutVars>
          <dgm:bulletEnabled val="1"/>
        </dgm:presLayoutVars>
      </dgm:prSet>
      <dgm:spPr/>
    </dgm:pt>
    <dgm:pt modelId="{737DBB45-0B37-4EF4-A525-674285B4942F}" type="pres">
      <dgm:prSet presAssocID="{64C347A1-927A-4C0D-822C-A9BFA8B7F6B9}" presName="childShp" presStyleLbl="bgAccFollowNode1" presStyleIdx="3" presStyleCnt="5">
        <dgm:presLayoutVars>
          <dgm:bulletEnabled val="1"/>
        </dgm:presLayoutVars>
      </dgm:prSet>
      <dgm:spPr/>
    </dgm:pt>
    <dgm:pt modelId="{E92C9F1D-BE59-46AB-B96A-21DCF06FDC25}" type="pres">
      <dgm:prSet presAssocID="{F3B0F6C9-CD52-43A3-BB52-B6431433B1C8}" presName="spacing" presStyleCnt="0"/>
      <dgm:spPr/>
    </dgm:pt>
    <dgm:pt modelId="{A0566BAE-9BD2-4E1E-9D6E-8A24B52A3741}" type="pres">
      <dgm:prSet presAssocID="{AB262DC3-0623-4DCF-97DA-F35B125E1896}" presName="linNode" presStyleCnt="0"/>
      <dgm:spPr/>
    </dgm:pt>
    <dgm:pt modelId="{8851203A-B8DB-4D7D-BC57-1F53F0B8984C}" type="pres">
      <dgm:prSet presAssocID="{AB262DC3-0623-4DCF-97DA-F35B125E1896}" presName="parentShp" presStyleLbl="node1" presStyleIdx="4" presStyleCnt="5">
        <dgm:presLayoutVars>
          <dgm:bulletEnabled val="1"/>
        </dgm:presLayoutVars>
      </dgm:prSet>
      <dgm:spPr/>
    </dgm:pt>
    <dgm:pt modelId="{D8997E67-56DF-4927-ADEE-403DD229EBED}" type="pres">
      <dgm:prSet presAssocID="{AB262DC3-0623-4DCF-97DA-F35B125E1896}" presName="childShp" presStyleLbl="bgAccFollowNode1" presStyleIdx="4" presStyleCnt="5">
        <dgm:presLayoutVars>
          <dgm:bulletEnabled val="1"/>
        </dgm:presLayoutVars>
      </dgm:prSet>
      <dgm:spPr/>
    </dgm:pt>
  </dgm:ptLst>
  <dgm:cxnLst>
    <dgm:cxn modelId="{8EB5F105-8EBE-4996-8107-5D924BDA25A6}" srcId="{AB262DC3-0623-4DCF-97DA-F35B125E1896}" destId="{5F16BCC7-5178-40AF-A4AF-D2D814236003}" srcOrd="0" destOrd="0" parTransId="{63DE940A-62B5-46BC-A90F-2ED23F59E697}" sibTransId="{B2B9D01E-F0E1-497F-A97C-5CCD1D7A45E6}"/>
    <dgm:cxn modelId="{7055E00D-9009-42F4-8203-429AD75BB558}" srcId="{F9EE6FB6-EC03-405A-A33C-B9B19BB08BE3}" destId="{D6A2571F-FA9A-491F-B9C5-79D4E96373A7}" srcOrd="0" destOrd="0" parTransId="{C30EDF68-BE82-4272-873B-5C4E25ED4FCE}" sibTransId="{E0566FCF-4486-47CC-9901-87B697283AE3}"/>
    <dgm:cxn modelId="{11783A17-D347-473C-B2C8-59E06D19945B}" srcId="{F9EE6FB6-EC03-405A-A33C-B9B19BB08BE3}" destId="{AB262DC3-0623-4DCF-97DA-F35B125E1896}" srcOrd="4" destOrd="0" parTransId="{8A246B25-DE77-41C9-82C0-693AB117831F}" sibTransId="{FAB11456-BA51-4176-BDCF-3E8D93E5C330}"/>
    <dgm:cxn modelId="{B8C1F81D-9897-40E5-900E-9187906487D8}" type="presOf" srcId="{8BC43250-1BC0-4368-9D57-E9A7C81FCD8D}" destId="{DD6FB9FA-6753-4774-95FA-EF3E6FDA4BAE}" srcOrd="0" destOrd="0" presId="urn:microsoft.com/office/officeart/2005/8/layout/vList6"/>
    <dgm:cxn modelId="{CA2FB25C-D566-4A87-969F-1A00552C7876}" srcId="{DE3B6B6A-C0D4-4340-9952-E9BB0D90F98B}" destId="{F5BAB98A-046C-4D11-9FEA-C620E398BAFA}" srcOrd="0" destOrd="0" parTransId="{6F4038E6-F61E-4186-8BCF-724F022FE9BC}" sibTransId="{E803953A-B655-41A4-BF99-0B9016C3A8D9}"/>
    <dgm:cxn modelId="{B77AF15C-997E-469A-A1B3-4911F618C7D4}" srcId="{F9EE6FB6-EC03-405A-A33C-B9B19BB08BE3}" destId="{8E2A9B11-46DA-4ED6-BAF3-5FED22028B65}" srcOrd="1" destOrd="0" parTransId="{38DF06CC-5F75-4076-B5A6-1BC45BAB5E5C}" sibTransId="{861EF307-BB2D-4AEA-94FB-86B2B90B3FA4}"/>
    <dgm:cxn modelId="{B5DE4361-6DD0-4E6E-BFA2-986674F146D0}" srcId="{64C347A1-927A-4C0D-822C-A9BFA8B7F6B9}" destId="{40E7BD34-2BB6-40A7-A156-A8591D1CB13F}" srcOrd="0" destOrd="0" parTransId="{13FE3A6F-CE4A-4C5A-9CD0-F1ACDBBFA7A0}" sibTransId="{5F6B4B95-612E-4BF8-987D-E83FB1F19515}"/>
    <dgm:cxn modelId="{71125647-E3CB-4AB1-9729-C83252FCE041}" type="presOf" srcId="{D6A2571F-FA9A-491F-B9C5-79D4E96373A7}" destId="{2E59EEF3-B704-4A26-B513-83D018B71AB3}" srcOrd="0" destOrd="0" presId="urn:microsoft.com/office/officeart/2005/8/layout/vList6"/>
    <dgm:cxn modelId="{CD1A0E75-610B-4DD8-B92B-04D7EBF14B84}" type="presOf" srcId="{DE3B6B6A-C0D4-4340-9952-E9BB0D90F98B}" destId="{6B574BA7-13FE-482D-B8E7-3DFFC18974D5}" srcOrd="0" destOrd="0" presId="urn:microsoft.com/office/officeart/2005/8/layout/vList6"/>
    <dgm:cxn modelId="{9D80ED80-96C1-49B3-B95C-799E29CEAA15}" type="presOf" srcId="{5F16BCC7-5178-40AF-A4AF-D2D814236003}" destId="{D8997E67-56DF-4927-ADEE-403DD229EBED}" srcOrd="0" destOrd="0" presId="urn:microsoft.com/office/officeart/2005/8/layout/vList6"/>
    <dgm:cxn modelId="{2687F3AE-9EC1-4F5A-A015-54961A93A39B}" type="presOf" srcId="{F9EE6FB6-EC03-405A-A33C-B9B19BB08BE3}" destId="{15741279-5EDB-4C5F-A866-DC4B38DC8969}" srcOrd="0" destOrd="0" presId="urn:microsoft.com/office/officeart/2005/8/layout/vList6"/>
    <dgm:cxn modelId="{44EDDDB5-04EB-48AD-908C-296889FCEB5D}" srcId="{F9EE6FB6-EC03-405A-A33C-B9B19BB08BE3}" destId="{64C347A1-927A-4C0D-822C-A9BFA8B7F6B9}" srcOrd="3" destOrd="0" parTransId="{F377211E-905A-4896-80BF-9012BC528C40}" sibTransId="{F3B0F6C9-CD52-43A3-BB52-B6431433B1C8}"/>
    <dgm:cxn modelId="{BBDB89C1-7CCB-4AC4-B9AB-3E0438F55125}" type="presOf" srcId="{AB262DC3-0623-4DCF-97DA-F35B125E1896}" destId="{8851203A-B8DB-4D7D-BC57-1F53F0B8984C}" srcOrd="0" destOrd="0" presId="urn:microsoft.com/office/officeart/2005/8/layout/vList6"/>
    <dgm:cxn modelId="{F7D4C4C2-E5E8-40F1-89BB-795DD71BF31F}" srcId="{8E2A9B11-46DA-4ED6-BAF3-5FED22028B65}" destId="{8BC43250-1BC0-4368-9D57-E9A7C81FCD8D}" srcOrd="0" destOrd="0" parTransId="{0B1186E7-60D3-42B9-ADC7-AAE92936263F}" sibTransId="{FF533D4E-7467-4F0D-ACA8-46042DDE64C7}"/>
    <dgm:cxn modelId="{8ABC7FC8-C39D-4819-B709-D52D7DB6E639}" type="presOf" srcId="{8E2A9B11-46DA-4ED6-BAF3-5FED22028B65}" destId="{7B44D2FD-47EC-4B9C-A6E6-244F902749E1}" srcOrd="0" destOrd="0" presId="urn:microsoft.com/office/officeart/2005/8/layout/vList6"/>
    <dgm:cxn modelId="{D1C65EDE-5A5A-4E11-833B-E189C5862D43}" type="presOf" srcId="{F5BAB98A-046C-4D11-9FEA-C620E398BAFA}" destId="{9E934C67-3D2F-418B-9C4D-F28C78B53A92}" srcOrd="0" destOrd="0" presId="urn:microsoft.com/office/officeart/2005/8/layout/vList6"/>
    <dgm:cxn modelId="{2100CEE9-A8AF-4FFB-AD77-47D937C1AB37}" type="presOf" srcId="{64C347A1-927A-4C0D-822C-A9BFA8B7F6B9}" destId="{C2B75499-F93F-42B0-95B3-813304BAF725}" srcOrd="0" destOrd="0" presId="urn:microsoft.com/office/officeart/2005/8/layout/vList6"/>
    <dgm:cxn modelId="{30B738F0-7A59-4806-A990-4DD2A914CD9D}" type="presOf" srcId="{40E7BD34-2BB6-40A7-A156-A8591D1CB13F}" destId="{737DBB45-0B37-4EF4-A525-674285B4942F}" srcOrd="0" destOrd="0" presId="urn:microsoft.com/office/officeart/2005/8/layout/vList6"/>
    <dgm:cxn modelId="{D3D1C9F7-F2C1-4926-B4A4-9CC0BFB9D626}" srcId="{F9EE6FB6-EC03-405A-A33C-B9B19BB08BE3}" destId="{DE3B6B6A-C0D4-4340-9952-E9BB0D90F98B}" srcOrd="2" destOrd="0" parTransId="{90B906F5-5A37-41B1-B589-1A0E05B1ED9B}" sibTransId="{33C0905F-CFEB-4560-8FE7-B3F69B29B68A}"/>
    <dgm:cxn modelId="{33E19347-DC22-4154-817F-15D15F52972C}" type="presParOf" srcId="{15741279-5EDB-4C5F-A866-DC4B38DC8969}" destId="{562EF929-5315-4BE8-89EF-A386EE355087}" srcOrd="0" destOrd="0" presId="urn:microsoft.com/office/officeart/2005/8/layout/vList6"/>
    <dgm:cxn modelId="{B6BFB265-989C-4899-B5A2-1B75B35FAE40}" type="presParOf" srcId="{562EF929-5315-4BE8-89EF-A386EE355087}" destId="{2E59EEF3-B704-4A26-B513-83D018B71AB3}" srcOrd="0" destOrd="0" presId="urn:microsoft.com/office/officeart/2005/8/layout/vList6"/>
    <dgm:cxn modelId="{C12DD261-4758-4E23-B7D7-36C5116A7AF8}" type="presParOf" srcId="{562EF929-5315-4BE8-89EF-A386EE355087}" destId="{E4F10BA8-293A-4F99-955D-881E08589BDF}" srcOrd="1" destOrd="0" presId="urn:microsoft.com/office/officeart/2005/8/layout/vList6"/>
    <dgm:cxn modelId="{9A511E3B-ACEF-451A-BB26-42D47724914B}" type="presParOf" srcId="{15741279-5EDB-4C5F-A866-DC4B38DC8969}" destId="{C6DB5B82-1441-4FB0-8324-F6E4CA3360B6}" srcOrd="1" destOrd="0" presId="urn:microsoft.com/office/officeart/2005/8/layout/vList6"/>
    <dgm:cxn modelId="{F3314D76-D565-43FD-9044-732ADCBB2D31}" type="presParOf" srcId="{15741279-5EDB-4C5F-A866-DC4B38DC8969}" destId="{DA5154A8-EDDB-4829-9576-92D815C7F8B1}" srcOrd="2" destOrd="0" presId="urn:microsoft.com/office/officeart/2005/8/layout/vList6"/>
    <dgm:cxn modelId="{5817C4BD-349E-454E-BB55-8A845E112D86}" type="presParOf" srcId="{DA5154A8-EDDB-4829-9576-92D815C7F8B1}" destId="{7B44D2FD-47EC-4B9C-A6E6-244F902749E1}" srcOrd="0" destOrd="0" presId="urn:microsoft.com/office/officeart/2005/8/layout/vList6"/>
    <dgm:cxn modelId="{65713878-FD07-4B87-AD0B-8AC66C79F85B}" type="presParOf" srcId="{DA5154A8-EDDB-4829-9576-92D815C7F8B1}" destId="{DD6FB9FA-6753-4774-95FA-EF3E6FDA4BAE}" srcOrd="1" destOrd="0" presId="urn:microsoft.com/office/officeart/2005/8/layout/vList6"/>
    <dgm:cxn modelId="{72C5EAD2-5FB3-4EBE-BDDF-6E979470268F}" type="presParOf" srcId="{15741279-5EDB-4C5F-A866-DC4B38DC8969}" destId="{5103739E-EC35-421A-BD15-344F46A799DD}" srcOrd="3" destOrd="0" presId="urn:microsoft.com/office/officeart/2005/8/layout/vList6"/>
    <dgm:cxn modelId="{9C3E88C4-5571-4E64-BA4E-ADFF428808DC}" type="presParOf" srcId="{15741279-5EDB-4C5F-A866-DC4B38DC8969}" destId="{6E24BEED-2C13-40C1-AFF7-B7E0A5BAAB21}" srcOrd="4" destOrd="0" presId="urn:microsoft.com/office/officeart/2005/8/layout/vList6"/>
    <dgm:cxn modelId="{EF797C65-64C5-4F7A-8F56-78C5E942A771}" type="presParOf" srcId="{6E24BEED-2C13-40C1-AFF7-B7E0A5BAAB21}" destId="{6B574BA7-13FE-482D-B8E7-3DFFC18974D5}" srcOrd="0" destOrd="0" presId="urn:microsoft.com/office/officeart/2005/8/layout/vList6"/>
    <dgm:cxn modelId="{5A6EE04B-4BAC-4861-A127-830009E81B7D}" type="presParOf" srcId="{6E24BEED-2C13-40C1-AFF7-B7E0A5BAAB21}" destId="{9E934C67-3D2F-418B-9C4D-F28C78B53A92}" srcOrd="1" destOrd="0" presId="urn:microsoft.com/office/officeart/2005/8/layout/vList6"/>
    <dgm:cxn modelId="{D52F44B3-0C9C-433D-9A22-38FFA35DC48E}" type="presParOf" srcId="{15741279-5EDB-4C5F-A866-DC4B38DC8969}" destId="{CFE106A2-E0B5-4ACE-BBB6-354B0E263FAB}" srcOrd="5" destOrd="0" presId="urn:microsoft.com/office/officeart/2005/8/layout/vList6"/>
    <dgm:cxn modelId="{26C6C6B7-9BC6-4012-8989-B37C7008447A}" type="presParOf" srcId="{15741279-5EDB-4C5F-A866-DC4B38DC8969}" destId="{EBA6B0BC-3D00-4B67-B9D9-4699FBDC87EB}" srcOrd="6" destOrd="0" presId="urn:microsoft.com/office/officeart/2005/8/layout/vList6"/>
    <dgm:cxn modelId="{69A9C7E0-1D68-47B7-822F-CA2A85E43FAA}" type="presParOf" srcId="{EBA6B0BC-3D00-4B67-B9D9-4699FBDC87EB}" destId="{C2B75499-F93F-42B0-95B3-813304BAF725}" srcOrd="0" destOrd="0" presId="urn:microsoft.com/office/officeart/2005/8/layout/vList6"/>
    <dgm:cxn modelId="{539E1FBC-287F-465B-B535-C7FA265EB3C9}" type="presParOf" srcId="{EBA6B0BC-3D00-4B67-B9D9-4699FBDC87EB}" destId="{737DBB45-0B37-4EF4-A525-674285B4942F}" srcOrd="1" destOrd="0" presId="urn:microsoft.com/office/officeart/2005/8/layout/vList6"/>
    <dgm:cxn modelId="{644E554A-A8E4-4B12-A9DF-8AB27B0EECDF}" type="presParOf" srcId="{15741279-5EDB-4C5F-A866-DC4B38DC8969}" destId="{E92C9F1D-BE59-46AB-B96A-21DCF06FDC25}" srcOrd="7" destOrd="0" presId="urn:microsoft.com/office/officeart/2005/8/layout/vList6"/>
    <dgm:cxn modelId="{47921FEE-EA6B-4701-BD6C-F88ECBE3F8DF}" type="presParOf" srcId="{15741279-5EDB-4C5F-A866-DC4B38DC8969}" destId="{A0566BAE-9BD2-4E1E-9D6E-8A24B52A3741}" srcOrd="8" destOrd="0" presId="urn:microsoft.com/office/officeart/2005/8/layout/vList6"/>
    <dgm:cxn modelId="{5DE93AED-9856-4311-A1CD-BF8A01B9FF42}" type="presParOf" srcId="{A0566BAE-9BD2-4E1E-9D6E-8A24B52A3741}" destId="{8851203A-B8DB-4D7D-BC57-1F53F0B8984C}" srcOrd="0" destOrd="0" presId="urn:microsoft.com/office/officeart/2005/8/layout/vList6"/>
    <dgm:cxn modelId="{0694889D-F78B-4E82-B998-D2F539399575}" type="presParOf" srcId="{A0566BAE-9BD2-4E1E-9D6E-8A24B52A3741}" destId="{D8997E67-56DF-4927-ADEE-403DD229EBED}" srcOrd="1" destOrd="0" presId="urn:microsoft.com/office/officeart/2005/8/layout/vList6"/>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7B2A03-67C6-4723-A82D-A441C7321246}" type="doc">
      <dgm:prSet loTypeId="urn:microsoft.com/office/officeart/2005/8/layout/hProcess11" loCatId="process" qsTypeId="urn:microsoft.com/office/officeart/2005/8/quickstyle/simple1" qsCatId="simple" csTypeId="urn:microsoft.com/office/officeart/2005/8/colors/accent2_1" csCatId="accent2" phldr="1"/>
      <dgm:spPr/>
      <dgm:t>
        <a:bodyPr/>
        <a:lstStyle/>
        <a:p>
          <a:endParaRPr lang="en-US"/>
        </a:p>
      </dgm:t>
    </dgm:pt>
    <dgm:pt modelId="{776E5CAE-E736-47F5-8378-2BF95B011488}">
      <dgm:prSet custT="1"/>
      <dgm:spPr/>
      <dgm:t>
        <a:bodyPr/>
        <a:lstStyle/>
        <a:p>
          <a:pPr algn="ctr" rtl="0"/>
          <a:r>
            <a:rPr lang="en-US" sz="1000"/>
            <a:t>1950s </a:t>
          </a:r>
        </a:p>
      </dgm:t>
    </dgm:pt>
    <dgm:pt modelId="{D1B56062-26E2-416C-A911-96E69E6B3259}" type="parTrans" cxnId="{CD1111BF-4F70-4777-93C1-C3DBFBA749D9}">
      <dgm:prSet/>
      <dgm:spPr/>
      <dgm:t>
        <a:bodyPr/>
        <a:lstStyle/>
        <a:p>
          <a:pPr algn="ctr"/>
          <a:endParaRPr lang="en-US" sz="2400"/>
        </a:p>
      </dgm:t>
    </dgm:pt>
    <dgm:pt modelId="{945E2A54-CCE0-4543-8948-5BE1BE69C4AF}" type="sibTrans" cxnId="{CD1111BF-4F70-4777-93C1-C3DBFBA749D9}">
      <dgm:prSet/>
      <dgm:spPr/>
      <dgm:t>
        <a:bodyPr/>
        <a:lstStyle/>
        <a:p>
          <a:pPr algn="ctr"/>
          <a:endParaRPr lang="en-US" sz="2400"/>
        </a:p>
      </dgm:t>
    </dgm:pt>
    <dgm:pt modelId="{13B5EDA9-E822-41C6-A201-1F3A00E0243A}">
      <dgm:prSet custT="1"/>
      <dgm:spPr/>
      <dgm:t>
        <a:bodyPr/>
        <a:lstStyle/>
        <a:p>
          <a:pPr algn="ctr" rtl="0"/>
          <a:r>
            <a:rPr lang="en-US" sz="800"/>
            <a:t>institutional care dominant</a:t>
          </a:r>
        </a:p>
      </dgm:t>
    </dgm:pt>
    <dgm:pt modelId="{8B8E74F5-107F-42B4-B0C3-8B73D04F5284}" type="parTrans" cxnId="{EA3023ED-90DC-464D-A6FB-A81C8F17874A}">
      <dgm:prSet/>
      <dgm:spPr/>
      <dgm:t>
        <a:bodyPr/>
        <a:lstStyle/>
        <a:p>
          <a:pPr algn="ctr"/>
          <a:endParaRPr lang="en-US" sz="2400"/>
        </a:p>
      </dgm:t>
    </dgm:pt>
    <dgm:pt modelId="{026C274C-38F9-43C7-9361-2BD1A24785E0}" type="sibTrans" cxnId="{EA3023ED-90DC-464D-A6FB-A81C8F17874A}">
      <dgm:prSet/>
      <dgm:spPr/>
      <dgm:t>
        <a:bodyPr/>
        <a:lstStyle/>
        <a:p>
          <a:pPr algn="ctr"/>
          <a:endParaRPr lang="en-US" sz="2400"/>
        </a:p>
      </dgm:t>
    </dgm:pt>
    <dgm:pt modelId="{81992EFB-F1E3-44BB-8E37-D64F66FB59B8}">
      <dgm:prSet custT="1"/>
      <dgm:spPr/>
      <dgm:t>
        <a:bodyPr/>
        <a:lstStyle/>
        <a:p>
          <a:pPr algn="ctr" rtl="0"/>
          <a:r>
            <a:rPr lang="en-US" sz="1000"/>
            <a:t>1970s–80s </a:t>
          </a:r>
        </a:p>
      </dgm:t>
    </dgm:pt>
    <dgm:pt modelId="{51C8B4BB-3A76-45C0-AF51-4310835ACE14}" type="parTrans" cxnId="{D871CA9C-7E42-4274-B5FE-FAE47FFBC1ED}">
      <dgm:prSet/>
      <dgm:spPr/>
      <dgm:t>
        <a:bodyPr/>
        <a:lstStyle/>
        <a:p>
          <a:pPr algn="ctr"/>
          <a:endParaRPr lang="en-US" sz="2400"/>
        </a:p>
      </dgm:t>
    </dgm:pt>
    <dgm:pt modelId="{29E81D4E-25E8-4C74-AE1A-606390141F33}" type="sibTrans" cxnId="{D871CA9C-7E42-4274-B5FE-FAE47FFBC1ED}">
      <dgm:prSet/>
      <dgm:spPr/>
      <dgm:t>
        <a:bodyPr/>
        <a:lstStyle/>
        <a:p>
          <a:pPr algn="ctr"/>
          <a:endParaRPr lang="en-US" sz="2400"/>
        </a:p>
      </dgm:t>
    </dgm:pt>
    <dgm:pt modelId="{6934960C-19FE-4BC7-9095-E04964D3D6CD}">
      <dgm:prSet custT="1"/>
      <dgm:spPr/>
      <dgm:t>
        <a:bodyPr/>
        <a:lstStyle/>
        <a:p>
          <a:pPr algn="ctr" rtl="0"/>
          <a:r>
            <a:rPr lang="en-US" sz="800"/>
            <a:t>criticism of long-stay hospitals </a:t>
          </a:r>
        </a:p>
      </dgm:t>
    </dgm:pt>
    <dgm:pt modelId="{1B0D04A7-568A-425F-8035-D9D49E72328F}" type="parTrans" cxnId="{A94F5B49-6F55-4A9C-BE90-20D75F0487F6}">
      <dgm:prSet/>
      <dgm:spPr/>
      <dgm:t>
        <a:bodyPr/>
        <a:lstStyle/>
        <a:p>
          <a:pPr algn="ctr"/>
          <a:endParaRPr lang="en-US" sz="2400"/>
        </a:p>
      </dgm:t>
    </dgm:pt>
    <dgm:pt modelId="{6CB17DDB-3EAC-4FE2-AAD9-F0DD24508FC3}" type="sibTrans" cxnId="{A94F5B49-6F55-4A9C-BE90-20D75F0487F6}">
      <dgm:prSet/>
      <dgm:spPr/>
      <dgm:t>
        <a:bodyPr/>
        <a:lstStyle/>
        <a:p>
          <a:pPr algn="ctr"/>
          <a:endParaRPr lang="en-US" sz="2400"/>
        </a:p>
      </dgm:t>
    </dgm:pt>
    <dgm:pt modelId="{56859192-B10B-4109-90D7-59EF41F1C831}">
      <dgm:prSet custT="1"/>
      <dgm:spPr/>
      <dgm:t>
        <a:bodyPr/>
        <a:lstStyle/>
        <a:p>
          <a:pPr algn="ctr" rtl="0"/>
          <a:r>
            <a:rPr lang="en-US" sz="800"/>
            <a:t>policy shift to "care in the community"</a:t>
          </a:r>
        </a:p>
      </dgm:t>
    </dgm:pt>
    <dgm:pt modelId="{7E41644A-8EA3-4D1E-A437-76C3980EA9FB}" type="parTrans" cxnId="{93B1B978-5100-458C-AFB1-B021962FACFA}">
      <dgm:prSet/>
      <dgm:spPr/>
      <dgm:t>
        <a:bodyPr/>
        <a:lstStyle/>
        <a:p>
          <a:pPr algn="ctr"/>
          <a:endParaRPr lang="en-US" sz="2400"/>
        </a:p>
      </dgm:t>
    </dgm:pt>
    <dgm:pt modelId="{EE618005-C480-440A-AE58-35D4618753C7}" type="sibTrans" cxnId="{93B1B978-5100-458C-AFB1-B021962FACFA}">
      <dgm:prSet/>
      <dgm:spPr/>
      <dgm:t>
        <a:bodyPr/>
        <a:lstStyle/>
        <a:p>
          <a:pPr algn="ctr"/>
          <a:endParaRPr lang="en-US" sz="2400"/>
        </a:p>
      </dgm:t>
    </dgm:pt>
    <dgm:pt modelId="{153CA598-5586-4AA5-81E0-EC9A6A3B3758}">
      <dgm:prSet custT="1"/>
      <dgm:spPr/>
      <dgm:t>
        <a:bodyPr/>
        <a:lstStyle/>
        <a:p>
          <a:pPr algn="ctr" rtl="0"/>
          <a:r>
            <a:rPr lang="en-US" sz="1000"/>
            <a:t>1980s–2000s </a:t>
          </a:r>
        </a:p>
      </dgm:t>
    </dgm:pt>
    <dgm:pt modelId="{57481AC1-96C5-4C0A-AE24-2B6085732E76}" type="parTrans" cxnId="{AADAA9BD-C6DE-4114-BAF8-E9E5A2D98022}">
      <dgm:prSet/>
      <dgm:spPr/>
      <dgm:t>
        <a:bodyPr/>
        <a:lstStyle/>
        <a:p>
          <a:pPr algn="ctr"/>
          <a:endParaRPr lang="en-US" sz="2400"/>
        </a:p>
      </dgm:t>
    </dgm:pt>
    <dgm:pt modelId="{6593B014-A97F-4F2D-8FCC-A2DE9615E0BF}" type="sibTrans" cxnId="{AADAA9BD-C6DE-4114-BAF8-E9E5A2D98022}">
      <dgm:prSet/>
      <dgm:spPr/>
      <dgm:t>
        <a:bodyPr/>
        <a:lstStyle/>
        <a:p>
          <a:pPr algn="ctr"/>
          <a:endParaRPr lang="en-US" sz="2400"/>
        </a:p>
      </dgm:t>
    </dgm:pt>
    <dgm:pt modelId="{4AA7736E-3EFF-4990-8377-477A39DC707C}">
      <dgm:prSet custT="1"/>
      <dgm:spPr/>
      <dgm:t>
        <a:bodyPr/>
        <a:lstStyle/>
        <a:p>
          <a:pPr algn="ctr" rtl="0"/>
          <a:r>
            <a:rPr lang="en-US" sz="800"/>
            <a:t>deinstitutionalisation + rise of community-based rehab and personalisation</a:t>
          </a:r>
        </a:p>
      </dgm:t>
    </dgm:pt>
    <dgm:pt modelId="{D74B53E9-935E-4C9A-AA02-7772D658B1FB}" type="parTrans" cxnId="{7934BC0B-93DB-4500-98CB-102D64955AF1}">
      <dgm:prSet/>
      <dgm:spPr/>
      <dgm:t>
        <a:bodyPr/>
        <a:lstStyle/>
        <a:p>
          <a:pPr algn="ctr"/>
          <a:endParaRPr lang="en-US" sz="2400"/>
        </a:p>
      </dgm:t>
    </dgm:pt>
    <dgm:pt modelId="{77DB2B53-0533-4AAB-A668-B79D3784BE2C}" type="sibTrans" cxnId="{7934BC0B-93DB-4500-98CB-102D64955AF1}">
      <dgm:prSet/>
      <dgm:spPr/>
      <dgm:t>
        <a:bodyPr/>
        <a:lstStyle/>
        <a:p>
          <a:pPr algn="ctr"/>
          <a:endParaRPr lang="en-US" sz="2400"/>
        </a:p>
      </dgm:t>
    </dgm:pt>
    <dgm:pt modelId="{76A22879-66DE-4946-AD00-750C019B73FE}">
      <dgm:prSet custT="1"/>
      <dgm:spPr/>
      <dgm:t>
        <a:bodyPr/>
        <a:lstStyle/>
        <a:p>
          <a:pPr algn="ctr" rtl="0"/>
          <a:r>
            <a:rPr lang="en-US" sz="1000"/>
            <a:t>2010s–2020s </a:t>
          </a:r>
        </a:p>
      </dgm:t>
    </dgm:pt>
    <dgm:pt modelId="{8AA899F8-9284-43E6-B149-36E5FDC3B55D}" type="parTrans" cxnId="{8759B714-1A2A-4691-ADA9-7C69C1B6189E}">
      <dgm:prSet/>
      <dgm:spPr/>
      <dgm:t>
        <a:bodyPr/>
        <a:lstStyle/>
        <a:p>
          <a:pPr algn="ctr"/>
          <a:endParaRPr lang="en-US" sz="2400"/>
        </a:p>
      </dgm:t>
    </dgm:pt>
    <dgm:pt modelId="{5F338A09-83CC-476A-912E-F2F5CF84D691}" type="sibTrans" cxnId="{8759B714-1A2A-4691-ADA9-7C69C1B6189E}">
      <dgm:prSet/>
      <dgm:spPr/>
      <dgm:t>
        <a:bodyPr/>
        <a:lstStyle/>
        <a:p>
          <a:pPr algn="ctr"/>
          <a:endParaRPr lang="en-US" sz="2400"/>
        </a:p>
      </dgm:t>
    </dgm:pt>
    <dgm:pt modelId="{E6889236-C83A-4DBE-8575-4C52084F6420}">
      <dgm:prSet custT="1"/>
      <dgm:spPr/>
      <dgm:t>
        <a:bodyPr/>
        <a:lstStyle/>
        <a:p>
          <a:pPr algn="ctr" rtl="0"/>
          <a:r>
            <a:rPr lang="en-US" sz="800"/>
            <a:t>integration with health, personal budgets, ICB commissioning reforms</a:t>
          </a:r>
        </a:p>
      </dgm:t>
    </dgm:pt>
    <dgm:pt modelId="{A6DA8B53-5EFF-42C7-9A34-D4BBF2898CE5}" type="parTrans" cxnId="{3F49F0C0-ED97-4062-AED7-60DD1D221E68}">
      <dgm:prSet/>
      <dgm:spPr/>
      <dgm:t>
        <a:bodyPr/>
        <a:lstStyle/>
        <a:p>
          <a:pPr algn="ctr"/>
          <a:endParaRPr lang="en-US" sz="2400"/>
        </a:p>
      </dgm:t>
    </dgm:pt>
    <dgm:pt modelId="{1B3331B3-F513-4CF5-A931-CF46993D637C}" type="sibTrans" cxnId="{3F49F0C0-ED97-4062-AED7-60DD1D221E68}">
      <dgm:prSet/>
      <dgm:spPr/>
      <dgm:t>
        <a:bodyPr/>
        <a:lstStyle/>
        <a:p>
          <a:pPr algn="ctr"/>
          <a:endParaRPr lang="en-US" sz="2400"/>
        </a:p>
      </dgm:t>
    </dgm:pt>
    <dgm:pt modelId="{DCBE992C-37A8-4782-B6B6-C92442E17687}">
      <dgm:prSet custT="1"/>
      <dgm:spPr/>
      <dgm:t>
        <a:bodyPr/>
        <a:lstStyle/>
        <a:p>
          <a:pPr algn="ctr" rtl="0"/>
          <a:r>
            <a:rPr lang="en-US" sz="1000"/>
            <a:t>2020s </a:t>
          </a:r>
        </a:p>
      </dgm:t>
    </dgm:pt>
    <dgm:pt modelId="{FC14C6A7-3C03-4112-BA86-A773F668ECFA}" type="parTrans" cxnId="{53E8A201-6244-40FA-B309-C2138D108D1F}">
      <dgm:prSet/>
      <dgm:spPr/>
      <dgm:t>
        <a:bodyPr/>
        <a:lstStyle/>
        <a:p>
          <a:pPr algn="ctr"/>
          <a:endParaRPr lang="en-US" sz="2400"/>
        </a:p>
      </dgm:t>
    </dgm:pt>
    <dgm:pt modelId="{50519ACA-A669-4F13-88D2-1DC327166954}" type="sibTrans" cxnId="{53E8A201-6244-40FA-B309-C2138D108D1F}">
      <dgm:prSet/>
      <dgm:spPr/>
      <dgm:t>
        <a:bodyPr/>
        <a:lstStyle/>
        <a:p>
          <a:pPr algn="ctr"/>
          <a:endParaRPr lang="en-US" sz="2400"/>
        </a:p>
      </dgm:t>
    </dgm:pt>
    <dgm:pt modelId="{625C8F03-3C08-4C33-BE76-D77CEF40C3A3}">
      <dgm:prSet custT="1"/>
      <dgm:spPr/>
      <dgm:t>
        <a:bodyPr/>
        <a:lstStyle/>
        <a:p>
          <a:pPr algn="ctr" rtl="0"/>
          <a:r>
            <a:rPr lang="en-US" sz="800"/>
            <a:t>renewed focus on standardising and data for community services</a:t>
          </a:r>
        </a:p>
      </dgm:t>
    </dgm:pt>
    <dgm:pt modelId="{F7AEC1D2-AF5C-48E1-B970-9311599E4AF9}" type="parTrans" cxnId="{2E9B0CBD-6EFD-4A27-B3D5-5CB4E2721A6E}">
      <dgm:prSet/>
      <dgm:spPr/>
      <dgm:t>
        <a:bodyPr/>
        <a:lstStyle/>
        <a:p>
          <a:pPr algn="ctr"/>
          <a:endParaRPr lang="en-US" sz="2400"/>
        </a:p>
      </dgm:t>
    </dgm:pt>
    <dgm:pt modelId="{D7BADFB8-CC79-4F88-8742-64D31D445D06}" type="sibTrans" cxnId="{2E9B0CBD-6EFD-4A27-B3D5-5CB4E2721A6E}">
      <dgm:prSet/>
      <dgm:spPr/>
      <dgm:t>
        <a:bodyPr/>
        <a:lstStyle/>
        <a:p>
          <a:pPr algn="ctr"/>
          <a:endParaRPr lang="en-US" sz="2400"/>
        </a:p>
      </dgm:t>
    </dgm:pt>
    <dgm:pt modelId="{3BA83015-C152-4593-B389-083B7F996BFB}" type="pres">
      <dgm:prSet presAssocID="{F27B2A03-67C6-4723-A82D-A441C7321246}" presName="Name0" presStyleCnt="0">
        <dgm:presLayoutVars>
          <dgm:dir/>
          <dgm:resizeHandles val="exact"/>
        </dgm:presLayoutVars>
      </dgm:prSet>
      <dgm:spPr/>
    </dgm:pt>
    <dgm:pt modelId="{E3109BDB-B403-4E60-A7D6-48684C08255F}" type="pres">
      <dgm:prSet presAssocID="{F27B2A03-67C6-4723-A82D-A441C7321246}" presName="arrow" presStyleLbl="bgShp" presStyleIdx="0" presStyleCnt="1"/>
      <dgm:spPr/>
    </dgm:pt>
    <dgm:pt modelId="{978368EF-E45B-4BA3-A373-BBAA0A4FD273}" type="pres">
      <dgm:prSet presAssocID="{F27B2A03-67C6-4723-A82D-A441C7321246}" presName="points" presStyleCnt="0"/>
      <dgm:spPr/>
    </dgm:pt>
    <dgm:pt modelId="{BB146D08-4729-49E1-9A3D-1BC83A5A1AC5}" type="pres">
      <dgm:prSet presAssocID="{776E5CAE-E736-47F5-8378-2BF95B011488}" presName="compositeA" presStyleCnt="0"/>
      <dgm:spPr/>
    </dgm:pt>
    <dgm:pt modelId="{AADF3C9E-0080-46DE-AB12-A2AACF6D7A29}" type="pres">
      <dgm:prSet presAssocID="{776E5CAE-E736-47F5-8378-2BF95B011488}" presName="textA" presStyleLbl="revTx" presStyleIdx="0" presStyleCnt="5">
        <dgm:presLayoutVars>
          <dgm:bulletEnabled val="1"/>
        </dgm:presLayoutVars>
      </dgm:prSet>
      <dgm:spPr/>
    </dgm:pt>
    <dgm:pt modelId="{6840FF75-5BDF-4008-AD53-928072F5EF3A}" type="pres">
      <dgm:prSet presAssocID="{776E5CAE-E736-47F5-8378-2BF95B011488}" presName="circleA" presStyleLbl="node1" presStyleIdx="0" presStyleCnt="5"/>
      <dgm:spPr>
        <a:blipFill rotWithShape="0">
          <a:blip xmlns:r="http://schemas.openxmlformats.org/officeDocument/2006/relationships" r:embed="rId1"/>
          <a:stretch>
            <a:fillRect/>
          </a:stretch>
        </a:blipFill>
      </dgm:spPr>
    </dgm:pt>
    <dgm:pt modelId="{E73322B9-B192-4540-BFAE-1F525F57BA0A}" type="pres">
      <dgm:prSet presAssocID="{776E5CAE-E736-47F5-8378-2BF95B011488}" presName="spaceA" presStyleCnt="0"/>
      <dgm:spPr/>
    </dgm:pt>
    <dgm:pt modelId="{C91C7668-F526-4E49-89C6-3D58F6E5B2A7}" type="pres">
      <dgm:prSet presAssocID="{945E2A54-CCE0-4543-8948-5BE1BE69C4AF}" presName="space" presStyleCnt="0"/>
      <dgm:spPr/>
    </dgm:pt>
    <dgm:pt modelId="{2DB5DA10-0C45-4AAB-8DA3-DE16C3129F70}" type="pres">
      <dgm:prSet presAssocID="{81992EFB-F1E3-44BB-8E37-D64F66FB59B8}" presName="compositeB" presStyleCnt="0"/>
      <dgm:spPr/>
    </dgm:pt>
    <dgm:pt modelId="{96DBD5F6-6114-4F33-BBCC-7560F5A10B21}" type="pres">
      <dgm:prSet presAssocID="{81992EFB-F1E3-44BB-8E37-D64F66FB59B8}" presName="textB" presStyleLbl="revTx" presStyleIdx="1" presStyleCnt="5">
        <dgm:presLayoutVars>
          <dgm:bulletEnabled val="1"/>
        </dgm:presLayoutVars>
      </dgm:prSet>
      <dgm:spPr/>
    </dgm:pt>
    <dgm:pt modelId="{A6776B36-2C60-4246-B0A1-CAA54A55108C}" type="pres">
      <dgm:prSet presAssocID="{81992EFB-F1E3-44BB-8E37-D64F66FB59B8}" presName="circleB" presStyleLbl="node1" presStyleIdx="1" presStyleCnt="5"/>
      <dgm:spPr>
        <a:blipFill rotWithShape="0">
          <a:blip xmlns:r="http://schemas.openxmlformats.org/officeDocument/2006/relationships" r:embed="rId1"/>
          <a:stretch>
            <a:fillRect/>
          </a:stretch>
        </a:blipFill>
      </dgm:spPr>
    </dgm:pt>
    <dgm:pt modelId="{B75C9B6A-52A2-4D23-ABEB-A305031136BE}" type="pres">
      <dgm:prSet presAssocID="{81992EFB-F1E3-44BB-8E37-D64F66FB59B8}" presName="spaceB" presStyleCnt="0"/>
      <dgm:spPr/>
    </dgm:pt>
    <dgm:pt modelId="{B6B285EC-6B99-492A-A955-29CD74F4F607}" type="pres">
      <dgm:prSet presAssocID="{29E81D4E-25E8-4C74-AE1A-606390141F33}" presName="space" presStyleCnt="0"/>
      <dgm:spPr/>
    </dgm:pt>
    <dgm:pt modelId="{935DE8D5-3758-4800-8FCD-40F9E9295550}" type="pres">
      <dgm:prSet presAssocID="{153CA598-5586-4AA5-81E0-EC9A6A3B3758}" presName="compositeA" presStyleCnt="0"/>
      <dgm:spPr/>
    </dgm:pt>
    <dgm:pt modelId="{A06D9668-58C0-486C-A698-D0AAEE8FA2F0}" type="pres">
      <dgm:prSet presAssocID="{153CA598-5586-4AA5-81E0-EC9A6A3B3758}" presName="textA" presStyleLbl="revTx" presStyleIdx="2" presStyleCnt="5">
        <dgm:presLayoutVars>
          <dgm:bulletEnabled val="1"/>
        </dgm:presLayoutVars>
      </dgm:prSet>
      <dgm:spPr/>
    </dgm:pt>
    <dgm:pt modelId="{60342B5F-6FFA-46BA-A736-2E7546463385}" type="pres">
      <dgm:prSet presAssocID="{153CA598-5586-4AA5-81E0-EC9A6A3B3758}" presName="circleA" presStyleLbl="node1" presStyleIdx="2" presStyleCnt="5"/>
      <dgm:spPr>
        <a:blipFill rotWithShape="0">
          <a:blip xmlns:r="http://schemas.openxmlformats.org/officeDocument/2006/relationships" r:embed="rId1"/>
          <a:stretch>
            <a:fillRect/>
          </a:stretch>
        </a:blipFill>
      </dgm:spPr>
    </dgm:pt>
    <dgm:pt modelId="{A17ADB1B-9C26-4F25-B960-F53A822830D8}" type="pres">
      <dgm:prSet presAssocID="{153CA598-5586-4AA5-81E0-EC9A6A3B3758}" presName="spaceA" presStyleCnt="0"/>
      <dgm:spPr/>
    </dgm:pt>
    <dgm:pt modelId="{227D2EFA-3A10-427C-B22A-1F3B49523457}" type="pres">
      <dgm:prSet presAssocID="{6593B014-A97F-4F2D-8FCC-A2DE9615E0BF}" presName="space" presStyleCnt="0"/>
      <dgm:spPr/>
    </dgm:pt>
    <dgm:pt modelId="{0735085E-39AB-44BC-AC73-B25D6C08F3CA}" type="pres">
      <dgm:prSet presAssocID="{76A22879-66DE-4946-AD00-750C019B73FE}" presName="compositeB" presStyleCnt="0"/>
      <dgm:spPr/>
    </dgm:pt>
    <dgm:pt modelId="{D7D06635-1D08-47D1-94C4-C6366B027F6E}" type="pres">
      <dgm:prSet presAssocID="{76A22879-66DE-4946-AD00-750C019B73FE}" presName="textB" presStyleLbl="revTx" presStyleIdx="3" presStyleCnt="5">
        <dgm:presLayoutVars>
          <dgm:bulletEnabled val="1"/>
        </dgm:presLayoutVars>
      </dgm:prSet>
      <dgm:spPr/>
    </dgm:pt>
    <dgm:pt modelId="{A2089064-E50B-412C-9205-D7870A6DDBBF}" type="pres">
      <dgm:prSet presAssocID="{76A22879-66DE-4946-AD00-750C019B73FE}" presName="circleB" presStyleLbl="node1" presStyleIdx="3" presStyleCnt="5"/>
      <dgm:spPr>
        <a:blipFill rotWithShape="0">
          <a:blip xmlns:r="http://schemas.openxmlformats.org/officeDocument/2006/relationships" r:embed="rId1"/>
          <a:stretch>
            <a:fillRect/>
          </a:stretch>
        </a:blipFill>
      </dgm:spPr>
    </dgm:pt>
    <dgm:pt modelId="{E1AF50F6-5F62-4472-A5BC-72D4FC5AC831}" type="pres">
      <dgm:prSet presAssocID="{76A22879-66DE-4946-AD00-750C019B73FE}" presName="spaceB" presStyleCnt="0"/>
      <dgm:spPr/>
    </dgm:pt>
    <dgm:pt modelId="{DD5CC694-7C45-4D64-A92C-07AD78C1087F}" type="pres">
      <dgm:prSet presAssocID="{5F338A09-83CC-476A-912E-F2F5CF84D691}" presName="space" presStyleCnt="0"/>
      <dgm:spPr/>
    </dgm:pt>
    <dgm:pt modelId="{D82D3889-E718-4E86-8F77-116E728E1582}" type="pres">
      <dgm:prSet presAssocID="{DCBE992C-37A8-4782-B6B6-C92442E17687}" presName="compositeA" presStyleCnt="0"/>
      <dgm:spPr/>
    </dgm:pt>
    <dgm:pt modelId="{7655B2A3-5783-475D-8874-F31A780AEF2B}" type="pres">
      <dgm:prSet presAssocID="{DCBE992C-37A8-4782-B6B6-C92442E17687}" presName="textA" presStyleLbl="revTx" presStyleIdx="4" presStyleCnt="5">
        <dgm:presLayoutVars>
          <dgm:bulletEnabled val="1"/>
        </dgm:presLayoutVars>
      </dgm:prSet>
      <dgm:spPr/>
    </dgm:pt>
    <dgm:pt modelId="{ED8E6EDD-CEB6-4242-8414-652DD6EEBE44}" type="pres">
      <dgm:prSet presAssocID="{DCBE992C-37A8-4782-B6B6-C92442E17687}" presName="circleA" presStyleLbl="node1" presStyleIdx="4" presStyleCnt="5"/>
      <dgm:spPr>
        <a:blipFill rotWithShape="0">
          <a:blip xmlns:r="http://schemas.openxmlformats.org/officeDocument/2006/relationships" r:embed="rId1"/>
          <a:stretch>
            <a:fillRect/>
          </a:stretch>
        </a:blipFill>
      </dgm:spPr>
    </dgm:pt>
    <dgm:pt modelId="{55F9CD50-A1B2-45C0-B091-876894FA71A3}" type="pres">
      <dgm:prSet presAssocID="{DCBE992C-37A8-4782-B6B6-C92442E17687}" presName="spaceA" presStyleCnt="0"/>
      <dgm:spPr/>
    </dgm:pt>
  </dgm:ptLst>
  <dgm:cxnLst>
    <dgm:cxn modelId="{53E8A201-6244-40FA-B309-C2138D108D1F}" srcId="{F27B2A03-67C6-4723-A82D-A441C7321246}" destId="{DCBE992C-37A8-4782-B6B6-C92442E17687}" srcOrd="4" destOrd="0" parTransId="{FC14C6A7-3C03-4112-BA86-A773F668ECFA}" sibTransId="{50519ACA-A669-4F13-88D2-1DC327166954}"/>
    <dgm:cxn modelId="{7934BC0B-93DB-4500-98CB-102D64955AF1}" srcId="{153CA598-5586-4AA5-81E0-EC9A6A3B3758}" destId="{4AA7736E-3EFF-4990-8377-477A39DC707C}" srcOrd="0" destOrd="0" parTransId="{D74B53E9-935E-4C9A-AA02-7772D658B1FB}" sibTransId="{77DB2B53-0533-4AAB-A668-B79D3784BE2C}"/>
    <dgm:cxn modelId="{41C7B20D-4281-40E0-B834-E95D3F318EA3}" type="presOf" srcId="{DCBE992C-37A8-4782-B6B6-C92442E17687}" destId="{7655B2A3-5783-475D-8874-F31A780AEF2B}" srcOrd="0" destOrd="0" presId="urn:microsoft.com/office/officeart/2005/8/layout/hProcess11"/>
    <dgm:cxn modelId="{8759B714-1A2A-4691-ADA9-7C69C1B6189E}" srcId="{F27B2A03-67C6-4723-A82D-A441C7321246}" destId="{76A22879-66DE-4946-AD00-750C019B73FE}" srcOrd="3" destOrd="0" parTransId="{8AA899F8-9284-43E6-B149-36E5FDC3B55D}" sibTransId="{5F338A09-83CC-476A-912E-F2F5CF84D691}"/>
    <dgm:cxn modelId="{40D5671C-8449-4F9B-A75B-3F7A5BB396FB}" type="presOf" srcId="{81992EFB-F1E3-44BB-8E37-D64F66FB59B8}" destId="{96DBD5F6-6114-4F33-BBCC-7560F5A10B21}" srcOrd="0" destOrd="0" presId="urn:microsoft.com/office/officeart/2005/8/layout/hProcess11"/>
    <dgm:cxn modelId="{B065C72C-FD55-45D8-89CD-A47905A63339}" type="presOf" srcId="{76A22879-66DE-4946-AD00-750C019B73FE}" destId="{D7D06635-1D08-47D1-94C4-C6366B027F6E}" srcOrd="0" destOrd="0" presId="urn:microsoft.com/office/officeart/2005/8/layout/hProcess11"/>
    <dgm:cxn modelId="{A94F5B49-6F55-4A9C-BE90-20D75F0487F6}" srcId="{81992EFB-F1E3-44BB-8E37-D64F66FB59B8}" destId="{6934960C-19FE-4BC7-9095-E04964D3D6CD}" srcOrd="0" destOrd="0" parTransId="{1B0D04A7-568A-425F-8035-D9D49E72328F}" sibTransId="{6CB17DDB-3EAC-4FE2-AAD9-F0DD24508FC3}"/>
    <dgm:cxn modelId="{D5C0796B-CC09-4858-AF84-3699966D1A26}" type="presOf" srcId="{6934960C-19FE-4BC7-9095-E04964D3D6CD}" destId="{96DBD5F6-6114-4F33-BBCC-7560F5A10B21}" srcOrd="0" destOrd="1" presId="urn:microsoft.com/office/officeart/2005/8/layout/hProcess11"/>
    <dgm:cxn modelId="{BF8CCD4B-C252-42D7-855B-65968E820A20}" type="presOf" srcId="{625C8F03-3C08-4C33-BE76-D77CEF40C3A3}" destId="{7655B2A3-5783-475D-8874-F31A780AEF2B}" srcOrd="0" destOrd="1" presId="urn:microsoft.com/office/officeart/2005/8/layout/hProcess11"/>
    <dgm:cxn modelId="{8A5D0778-90A8-41AD-9075-9FCA20976AA8}" type="presOf" srcId="{56859192-B10B-4109-90D7-59EF41F1C831}" destId="{96DBD5F6-6114-4F33-BBCC-7560F5A10B21}" srcOrd="0" destOrd="2" presId="urn:microsoft.com/office/officeart/2005/8/layout/hProcess11"/>
    <dgm:cxn modelId="{93B1B978-5100-458C-AFB1-B021962FACFA}" srcId="{81992EFB-F1E3-44BB-8E37-D64F66FB59B8}" destId="{56859192-B10B-4109-90D7-59EF41F1C831}" srcOrd="1" destOrd="0" parTransId="{7E41644A-8EA3-4D1E-A437-76C3980EA9FB}" sibTransId="{EE618005-C480-440A-AE58-35D4618753C7}"/>
    <dgm:cxn modelId="{5C5B977F-5CEA-485D-9A43-3F965B40E3CD}" type="presOf" srcId="{F27B2A03-67C6-4723-A82D-A441C7321246}" destId="{3BA83015-C152-4593-B389-083B7F996BFB}" srcOrd="0" destOrd="0" presId="urn:microsoft.com/office/officeart/2005/8/layout/hProcess11"/>
    <dgm:cxn modelId="{6C1BB681-E760-4D06-9334-2216173831F8}" type="presOf" srcId="{153CA598-5586-4AA5-81E0-EC9A6A3B3758}" destId="{A06D9668-58C0-486C-A698-D0AAEE8FA2F0}" srcOrd="0" destOrd="0" presId="urn:microsoft.com/office/officeart/2005/8/layout/hProcess11"/>
    <dgm:cxn modelId="{D871CA9C-7E42-4274-B5FE-FAE47FFBC1ED}" srcId="{F27B2A03-67C6-4723-A82D-A441C7321246}" destId="{81992EFB-F1E3-44BB-8E37-D64F66FB59B8}" srcOrd="1" destOrd="0" parTransId="{51C8B4BB-3A76-45C0-AF51-4310835ACE14}" sibTransId="{29E81D4E-25E8-4C74-AE1A-606390141F33}"/>
    <dgm:cxn modelId="{2E9B0CBD-6EFD-4A27-B3D5-5CB4E2721A6E}" srcId="{DCBE992C-37A8-4782-B6B6-C92442E17687}" destId="{625C8F03-3C08-4C33-BE76-D77CEF40C3A3}" srcOrd="0" destOrd="0" parTransId="{F7AEC1D2-AF5C-48E1-B970-9311599E4AF9}" sibTransId="{D7BADFB8-CC79-4F88-8742-64D31D445D06}"/>
    <dgm:cxn modelId="{AADAA9BD-C6DE-4114-BAF8-E9E5A2D98022}" srcId="{F27B2A03-67C6-4723-A82D-A441C7321246}" destId="{153CA598-5586-4AA5-81E0-EC9A6A3B3758}" srcOrd="2" destOrd="0" parTransId="{57481AC1-96C5-4C0A-AE24-2B6085732E76}" sibTransId="{6593B014-A97F-4F2D-8FCC-A2DE9615E0BF}"/>
    <dgm:cxn modelId="{CD1111BF-4F70-4777-93C1-C3DBFBA749D9}" srcId="{F27B2A03-67C6-4723-A82D-A441C7321246}" destId="{776E5CAE-E736-47F5-8378-2BF95B011488}" srcOrd="0" destOrd="0" parTransId="{D1B56062-26E2-416C-A911-96E69E6B3259}" sibTransId="{945E2A54-CCE0-4543-8948-5BE1BE69C4AF}"/>
    <dgm:cxn modelId="{3F49F0C0-ED97-4062-AED7-60DD1D221E68}" srcId="{76A22879-66DE-4946-AD00-750C019B73FE}" destId="{E6889236-C83A-4DBE-8575-4C52084F6420}" srcOrd="0" destOrd="0" parTransId="{A6DA8B53-5EFF-42C7-9A34-D4BBF2898CE5}" sibTransId="{1B3331B3-F513-4CF5-A931-CF46993D637C}"/>
    <dgm:cxn modelId="{005501C5-9227-4E51-93F5-9CD80F9AD668}" type="presOf" srcId="{E6889236-C83A-4DBE-8575-4C52084F6420}" destId="{D7D06635-1D08-47D1-94C4-C6366B027F6E}" srcOrd="0" destOrd="1" presId="urn:microsoft.com/office/officeart/2005/8/layout/hProcess11"/>
    <dgm:cxn modelId="{9D58BFD1-3BE0-4E64-9774-AE1DCF3FECED}" type="presOf" srcId="{776E5CAE-E736-47F5-8378-2BF95B011488}" destId="{AADF3C9E-0080-46DE-AB12-A2AACF6D7A29}" srcOrd="0" destOrd="0" presId="urn:microsoft.com/office/officeart/2005/8/layout/hProcess11"/>
    <dgm:cxn modelId="{EA3023ED-90DC-464D-A6FB-A81C8F17874A}" srcId="{776E5CAE-E736-47F5-8378-2BF95B011488}" destId="{13B5EDA9-E822-41C6-A201-1F3A00E0243A}" srcOrd="0" destOrd="0" parTransId="{8B8E74F5-107F-42B4-B0C3-8B73D04F5284}" sibTransId="{026C274C-38F9-43C7-9361-2BD1A24785E0}"/>
    <dgm:cxn modelId="{937252F1-7979-4E22-8070-7FF269779322}" type="presOf" srcId="{4AA7736E-3EFF-4990-8377-477A39DC707C}" destId="{A06D9668-58C0-486C-A698-D0AAEE8FA2F0}" srcOrd="0" destOrd="1" presId="urn:microsoft.com/office/officeart/2005/8/layout/hProcess11"/>
    <dgm:cxn modelId="{271114F3-0E6E-4AFD-86DA-0BC2A9984847}" type="presOf" srcId="{13B5EDA9-E822-41C6-A201-1F3A00E0243A}" destId="{AADF3C9E-0080-46DE-AB12-A2AACF6D7A29}" srcOrd="0" destOrd="1" presId="urn:microsoft.com/office/officeart/2005/8/layout/hProcess11"/>
    <dgm:cxn modelId="{D217DAF3-4341-43B7-B108-0E8BFE8A0F47}" type="presParOf" srcId="{3BA83015-C152-4593-B389-083B7F996BFB}" destId="{E3109BDB-B403-4E60-A7D6-48684C08255F}" srcOrd="0" destOrd="0" presId="urn:microsoft.com/office/officeart/2005/8/layout/hProcess11"/>
    <dgm:cxn modelId="{FA22098F-B60C-4B95-9D3C-FF72D4BF747E}" type="presParOf" srcId="{3BA83015-C152-4593-B389-083B7F996BFB}" destId="{978368EF-E45B-4BA3-A373-BBAA0A4FD273}" srcOrd="1" destOrd="0" presId="urn:microsoft.com/office/officeart/2005/8/layout/hProcess11"/>
    <dgm:cxn modelId="{8FAA9329-5525-4697-92B9-478FB35C3A4C}" type="presParOf" srcId="{978368EF-E45B-4BA3-A373-BBAA0A4FD273}" destId="{BB146D08-4729-49E1-9A3D-1BC83A5A1AC5}" srcOrd="0" destOrd="0" presId="urn:microsoft.com/office/officeart/2005/8/layout/hProcess11"/>
    <dgm:cxn modelId="{CFEE107C-1383-4A1A-B021-CB991774C0FC}" type="presParOf" srcId="{BB146D08-4729-49E1-9A3D-1BC83A5A1AC5}" destId="{AADF3C9E-0080-46DE-AB12-A2AACF6D7A29}" srcOrd="0" destOrd="0" presId="urn:microsoft.com/office/officeart/2005/8/layout/hProcess11"/>
    <dgm:cxn modelId="{1483DCBB-5EED-418C-8641-064DD2BDD97E}" type="presParOf" srcId="{BB146D08-4729-49E1-9A3D-1BC83A5A1AC5}" destId="{6840FF75-5BDF-4008-AD53-928072F5EF3A}" srcOrd="1" destOrd="0" presId="urn:microsoft.com/office/officeart/2005/8/layout/hProcess11"/>
    <dgm:cxn modelId="{7977FE5C-FB77-4FC5-92C0-3314EC3B7AB6}" type="presParOf" srcId="{BB146D08-4729-49E1-9A3D-1BC83A5A1AC5}" destId="{E73322B9-B192-4540-BFAE-1F525F57BA0A}" srcOrd="2" destOrd="0" presId="urn:microsoft.com/office/officeart/2005/8/layout/hProcess11"/>
    <dgm:cxn modelId="{49A85FB2-D5F1-4483-8AA1-ADE5006D9E43}" type="presParOf" srcId="{978368EF-E45B-4BA3-A373-BBAA0A4FD273}" destId="{C91C7668-F526-4E49-89C6-3D58F6E5B2A7}" srcOrd="1" destOrd="0" presId="urn:microsoft.com/office/officeart/2005/8/layout/hProcess11"/>
    <dgm:cxn modelId="{94E39001-9244-4463-B105-E7FDE3B970D4}" type="presParOf" srcId="{978368EF-E45B-4BA3-A373-BBAA0A4FD273}" destId="{2DB5DA10-0C45-4AAB-8DA3-DE16C3129F70}" srcOrd="2" destOrd="0" presId="urn:microsoft.com/office/officeart/2005/8/layout/hProcess11"/>
    <dgm:cxn modelId="{05269D0F-4F74-481F-BBE1-2FBC1F3BAEBC}" type="presParOf" srcId="{2DB5DA10-0C45-4AAB-8DA3-DE16C3129F70}" destId="{96DBD5F6-6114-4F33-BBCC-7560F5A10B21}" srcOrd="0" destOrd="0" presId="urn:microsoft.com/office/officeart/2005/8/layout/hProcess11"/>
    <dgm:cxn modelId="{04CFF388-678B-4B04-88FB-277EA25C588A}" type="presParOf" srcId="{2DB5DA10-0C45-4AAB-8DA3-DE16C3129F70}" destId="{A6776B36-2C60-4246-B0A1-CAA54A55108C}" srcOrd="1" destOrd="0" presId="urn:microsoft.com/office/officeart/2005/8/layout/hProcess11"/>
    <dgm:cxn modelId="{44472A2E-1CE0-4B1E-AEBD-A00719F0A12F}" type="presParOf" srcId="{2DB5DA10-0C45-4AAB-8DA3-DE16C3129F70}" destId="{B75C9B6A-52A2-4D23-ABEB-A305031136BE}" srcOrd="2" destOrd="0" presId="urn:microsoft.com/office/officeart/2005/8/layout/hProcess11"/>
    <dgm:cxn modelId="{CC08054F-5C71-4871-AF02-F6AD4B8E127A}" type="presParOf" srcId="{978368EF-E45B-4BA3-A373-BBAA0A4FD273}" destId="{B6B285EC-6B99-492A-A955-29CD74F4F607}" srcOrd="3" destOrd="0" presId="urn:microsoft.com/office/officeart/2005/8/layout/hProcess11"/>
    <dgm:cxn modelId="{6A72307B-0C16-4C95-A718-E6AFA2575B86}" type="presParOf" srcId="{978368EF-E45B-4BA3-A373-BBAA0A4FD273}" destId="{935DE8D5-3758-4800-8FCD-40F9E9295550}" srcOrd="4" destOrd="0" presId="urn:microsoft.com/office/officeart/2005/8/layout/hProcess11"/>
    <dgm:cxn modelId="{9CCDA833-8F62-4CE9-8753-4572BACAAC74}" type="presParOf" srcId="{935DE8D5-3758-4800-8FCD-40F9E9295550}" destId="{A06D9668-58C0-486C-A698-D0AAEE8FA2F0}" srcOrd="0" destOrd="0" presId="urn:microsoft.com/office/officeart/2005/8/layout/hProcess11"/>
    <dgm:cxn modelId="{53B23E90-F6DF-4D00-822F-FC8B2A686D43}" type="presParOf" srcId="{935DE8D5-3758-4800-8FCD-40F9E9295550}" destId="{60342B5F-6FFA-46BA-A736-2E7546463385}" srcOrd="1" destOrd="0" presId="urn:microsoft.com/office/officeart/2005/8/layout/hProcess11"/>
    <dgm:cxn modelId="{69672623-D40C-4232-AEF4-4AEA79FBC1E2}" type="presParOf" srcId="{935DE8D5-3758-4800-8FCD-40F9E9295550}" destId="{A17ADB1B-9C26-4F25-B960-F53A822830D8}" srcOrd="2" destOrd="0" presId="urn:microsoft.com/office/officeart/2005/8/layout/hProcess11"/>
    <dgm:cxn modelId="{390E5492-B385-41EC-8907-4DCFE24E52E7}" type="presParOf" srcId="{978368EF-E45B-4BA3-A373-BBAA0A4FD273}" destId="{227D2EFA-3A10-427C-B22A-1F3B49523457}" srcOrd="5" destOrd="0" presId="urn:microsoft.com/office/officeart/2005/8/layout/hProcess11"/>
    <dgm:cxn modelId="{A7A91C90-F682-4E30-A2C0-4C7A14F1863E}" type="presParOf" srcId="{978368EF-E45B-4BA3-A373-BBAA0A4FD273}" destId="{0735085E-39AB-44BC-AC73-B25D6C08F3CA}" srcOrd="6" destOrd="0" presId="urn:microsoft.com/office/officeart/2005/8/layout/hProcess11"/>
    <dgm:cxn modelId="{233086C2-D80F-4A0E-B52F-3C7D1BBE49B1}" type="presParOf" srcId="{0735085E-39AB-44BC-AC73-B25D6C08F3CA}" destId="{D7D06635-1D08-47D1-94C4-C6366B027F6E}" srcOrd="0" destOrd="0" presId="urn:microsoft.com/office/officeart/2005/8/layout/hProcess11"/>
    <dgm:cxn modelId="{2F9339DC-8C14-48BD-8A2D-49C619A095D3}" type="presParOf" srcId="{0735085E-39AB-44BC-AC73-B25D6C08F3CA}" destId="{A2089064-E50B-412C-9205-D7870A6DDBBF}" srcOrd="1" destOrd="0" presId="urn:microsoft.com/office/officeart/2005/8/layout/hProcess11"/>
    <dgm:cxn modelId="{AAA1FF9E-0A03-4581-83B0-721DC9CA953A}" type="presParOf" srcId="{0735085E-39AB-44BC-AC73-B25D6C08F3CA}" destId="{E1AF50F6-5F62-4472-A5BC-72D4FC5AC831}" srcOrd="2" destOrd="0" presId="urn:microsoft.com/office/officeart/2005/8/layout/hProcess11"/>
    <dgm:cxn modelId="{5A5A83CD-DCFF-4902-8485-972248091EA8}" type="presParOf" srcId="{978368EF-E45B-4BA3-A373-BBAA0A4FD273}" destId="{DD5CC694-7C45-4D64-A92C-07AD78C1087F}" srcOrd="7" destOrd="0" presId="urn:microsoft.com/office/officeart/2005/8/layout/hProcess11"/>
    <dgm:cxn modelId="{361BA2A3-772D-4434-8A02-71BF5059FCD4}" type="presParOf" srcId="{978368EF-E45B-4BA3-A373-BBAA0A4FD273}" destId="{D82D3889-E718-4E86-8F77-116E728E1582}" srcOrd="8" destOrd="0" presId="urn:microsoft.com/office/officeart/2005/8/layout/hProcess11"/>
    <dgm:cxn modelId="{84D1355D-832C-4CF0-9C2B-535F42093668}" type="presParOf" srcId="{D82D3889-E718-4E86-8F77-116E728E1582}" destId="{7655B2A3-5783-475D-8874-F31A780AEF2B}" srcOrd="0" destOrd="0" presId="urn:microsoft.com/office/officeart/2005/8/layout/hProcess11"/>
    <dgm:cxn modelId="{0C235621-65BE-436B-B7CE-CA1EF4D1E995}" type="presParOf" srcId="{D82D3889-E718-4E86-8F77-116E728E1582}" destId="{ED8E6EDD-CEB6-4242-8414-652DD6EEBE44}" srcOrd="1" destOrd="0" presId="urn:microsoft.com/office/officeart/2005/8/layout/hProcess11"/>
    <dgm:cxn modelId="{FE710063-B334-4D52-B1C1-868B1EDC0E79}" type="presParOf" srcId="{D82D3889-E718-4E86-8F77-116E728E1582}" destId="{55F9CD50-A1B2-45C0-B091-876894FA71A3}" srcOrd="2" destOrd="0" presId="urn:microsoft.com/office/officeart/2005/8/layout/hProcess11"/>
  </dgm:cxnLst>
  <dgm:bg/>
  <dgm:whole/>
  <dgm:extLst>
    <a:ext uri="http://schemas.microsoft.com/office/drawing/2008/diagram">
      <dsp:dataModelExt xmlns:dsp="http://schemas.microsoft.com/office/drawing/2008/diagram" relId="rId26"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96CF355-75DA-4BB7-B220-D0528E4080E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AECDB737-41A9-4FF5-9AA1-755BFD5481F9}">
      <dgm:prSet custT="1"/>
      <dgm:spPr>
        <a:solidFill>
          <a:schemeClr val="tx2"/>
        </a:solidFill>
      </dgm:spPr>
      <dgm:t>
        <a:bodyPr/>
        <a:lstStyle/>
        <a:p>
          <a:pPr rtl="0"/>
          <a:r>
            <a:rPr lang="en-US" sz="700" b="1"/>
            <a:t>1. Funding and commissioning complexity</a:t>
          </a:r>
          <a:endParaRPr lang="en-US" sz="700"/>
        </a:p>
      </dgm:t>
    </dgm:pt>
    <dgm:pt modelId="{667259DD-184C-4BE4-ACEB-0EE6F865C623}" type="parTrans" cxnId="{141A709F-4923-4243-A6A1-1B98E5428740}">
      <dgm:prSet/>
      <dgm:spPr/>
      <dgm:t>
        <a:bodyPr/>
        <a:lstStyle/>
        <a:p>
          <a:endParaRPr lang="en-US" sz="1800"/>
        </a:p>
      </dgm:t>
    </dgm:pt>
    <dgm:pt modelId="{90D2C74E-B2B4-488A-84DC-4547F5A1ADCA}" type="sibTrans" cxnId="{141A709F-4923-4243-A6A1-1B98E5428740}">
      <dgm:prSet/>
      <dgm:spPr/>
      <dgm:t>
        <a:bodyPr/>
        <a:lstStyle/>
        <a:p>
          <a:endParaRPr lang="en-US" sz="1800"/>
        </a:p>
      </dgm:t>
    </dgm:pt>
    <dgm:pt modelId="{40BA2CFC-E07B-47C3-A6CD-67440A3FD19A}">
      <dgm:prSet custT="1"/>
      <dgm:spPr>
        <a:solidFill>
          <a:srgbClr val="009999"/>
        </a:solidFill>
      </dgm:spPr>
      <dgm:t>
        <a:bodyPr/>
        <a:lstStyle/>
        <a:p>
          <a:pPr rtl="0"/>
          <a:r>
            <a:rPr lang="en-US" sz="700"/>
            <a:t>Community disability services are funded through a combination of NHS, local authority, and voluntary sector resources. This mixed funding system leads to variation in service availability and eligibility across regions, resulting in inequalities in access to care (The King’s Fund, 2023).</a:t>
          </a:r>
        </a:p>
      </dgm:t>
    </dgm:pt>
    <dgm:pt modelId="{1D9E8DFD-37C1-4E19-AE03-0AAE739DA6AA}" type="parTrans" cxnId="{EC08D5F4-4D1C-4167-AB27-6C62F0889797}">
      <dgm:prSet/>
      <dgm:spPr/>
      <dgm:t>
        <a:bodyPr/>
        <a:lstStyle/>
        <a:p>
          <a:endParaRPr lang="en-US" sz="1800"/>
        </a:p>
      </dgm:t>
    </dgm:pt>
    <dgm:pt modelId="{832D77F2-1BD7-41BA-BC62-56DC7C3ADDF0}" type="sibTrans" cxnId="{EC08D5F4-4D1C-4167-AB27-6C62F0889797}">
      <dgm:prSet/>
      <dgm:spPr/>
      <dgm:t>
        <a:bodyPr/>
        <a:lstStyle/>
        <a:p>
          <a:endParaRPr lang="en-US" sz="1800"/>
        </a:p>
      </dgm:t>
    </dgm:pt>
    <dgm:pt modelId="{F094FA68-33AD-48AC-89DA-A1A708E65CA4}">
      <dgm:prSet custT="1"/>
      <dgm:spPr>
        <a:solidFill>
          <a:schemeClr val="tx2"/>
        </a:solidFill>
      </dgm:spPr>
      <dgm:t>
        <a:bodyPr/>
        <a:lstStyle/>
        <a:p>
          <a:pPr rtl="0"/>
          <a:r>
            <a:rPr lang="en-US" sz="700" b="1"/>
            <a:t>2. Workforce capacity and skills shortages</a:t>
          </a:r>
          <a:endParaRPr lang="en-US" sz="700"/>
        </a:p>
      </dgm:t>
    </dgm:pt>
    <dgm:pt modelId="{5E3AAC28-CB5A-4C89-B76E-EB12031AE36B}" type="parTrans" cxnId="{3812585F-72AC-401A-96AE-07662F19144D}">
      <dgm:prSet/>
      <dgm:spPr/>
      <dgm:t>
        <a:bodyPr/>
        <a:lstStyle/>
        <a:p>
          <a:endParaRPr lang="en-US" sz="1800"/>
        </a:p>
      </dgm:t>
    </dgm:pt>
    <dgm:pt modelId="{4266F042-3807-497D-A2EC-C2992B79F8DA}" type="sibTrans" cxnId="{3812585F-72AC-401A-96AE-07662F19144D}">
      <dgm:prSet/>
      <dgm:spPr/>
      <dgm:t>
        <a:bodyPr/>
        <a:lstStyle/>
        <a:p>
          <a:endParaRPr lang="en-US" sz="1800"/>
        </a:p>
      </dgm:t>
    </dgm:pt>
    <dgm:pt modelId="{8352DDE0-9AB8-4B99-8955-8416781733F1}">
      <dgm:prSet custT="1"/>
      <dgm:spPr>
        <a:solidFill>
          <a:srgbClr val="009999"/>
        </a:solidFill>
      </dgm:spPr>
      <dgm:t>
        <a:bodyPr/>
        <a:lstStyle/>
        <a:p>
          <a:pPr rtl="0"/>
          <a:r>
            <a:rPr lang="en-US" sz="700"/>
            <a:t>Services rely on specialist professionals and support staff, but workforce shortages, recruitment difficulties, and limited training opportunities place pressure on service delivery. NHS England (2025) identifies workforce sustainability as a key challenge to delivering consistent and high-quality community disability care.</a:t>
          </a:r>
        </a:p>
      </dgm:t>
    </dgm:pt>
    <dgm:pt modelId="{B4046B26-027C-4FA7-8A11-0F105D79DCE8}" type="parTrans" cxnId="{F4D709F5-934E-4E61-8995-46D92ABF87A3}">
      <dgm:prSet/>
      <dgm:spPr/>
      <dgm:t>
        <a:bodyPr/>
        <a:lstStyle/>
        <a:p>
          <a:endParaRPr lang="en-US" sz="1800"/>
        </a:p>
      </dgm:t>
    </dgm:pt>
    <dgm:pt modelId="{FC787C9A-894C-4DB2-9306-98E2518919AA}" type="sibTrans" cxnId="{F4D709F5-934E-4E61-8995-46D92ABF87A3}">
      <dgm:prSet/>
      <dgm:spPr/>
      <dgm:t>
        <a:bodyPr/>
        <a:lstStyle/>
        <a:p>
          <a:endParaRPr lang="en-US" sz="1800"/>
        </a:p>
      </dgm:t>
    </dgm:pt>
    <dgm:pt modelId="{DCCE86D5-9108-43FF-B923-6351BD2F7A9E}" type="pres">
      <dgm:prSet presAssocID="{196CF355-75DA-4BB7-B220-D0528E4080E3}" presName="hierChild1" presStyleCnt="0">
        <dgm:presLayoutVars>
          <dgm:orgChart val="1"/>
          <dgm:chPref val="1"/>
          <dgm:dir/>
          <dgm:animOne val="branch"/>
          <dgm:animLvl val="lvl"/>
          <dgm:resizeHandles/>
        </dgm:presLayoutVars>
      </dgm:prSet>
      <dgm:spPr/>
    </dgm:pt>
    <dgm:pt modelId="{C76F28EF-934B-4C77-AD22-EE92D6B25B4F}" type="pres">
      <dgm:prSet presAssocID="{AECDB737-41A9-4FF5-9AA1-755BFD5481F9}" presName="hierRoot1" presStyleCnt="0">
        <dgm:presLayoutVars>
          <dgm:hierBranch val="init"/>
        </dgm:presLayoutVars>
      </dgm:prSet>
      <dgm:spPr/>
    </dgm:pt>
    <dgm:pt modelId="{94DC5477-CC4E-4610-B7F8-1E33BB8805E6}" type="pres">
      <dgm:prSet presAssocID="{AECDB737-41A9-4FF5-9AA1-755BFD5481F9}" presName="rootComposite1" presStyleCnt="0"/>
      <dgm:spPr/>
    </dgm:pt>
    <dgm:pt modelId="{3D35FA33-6ECB-4FB1-B8B5-895EA3EC96A3}" type="pres">
      <dgm:prSet presAssocID="{AECDB737-41A9-4FF5-9AA1-755BFD5481F9}" presName="rootText1" presStyleLbl="node0" presStyleIdx="0" presStyleCnt="2">
        <dgm:presLayoutVars>
          <dgm:chPref val="3"/>
        </dgm:presLayoutVars>
      </dgm:prSet>
      <dgm:spPr/>
    </dgm:pt>
    <dgm:pt modelId="{F851476E-C6FE-4AC6-9712-2D34795815B7}" type="pres">
      <dgm:prSet presAssocID="{AECDB737-41A9-4FF5-9AA1-755BFD5481F9}" presName="rootConnector1" presStyleLbl="node1" presStyleIdx="0" presStyleCnt="0"/>
      <dgm:spPr/>
    </dgm:pt>
    <dgm:pt modelId="{AAAAD214-9E4D-43D4-884C-7B341651ADAF}" type="pres">
      <dgm:prSet presAssocID="{AECDB737-41A9-4FF5-9AA1-755BFD5481F9}" presName="hierChild2" presStyleCnt="0"/>
      <dgm:spPr/>
    </dgm:pt>
    <dgm:pt modelId="{67D73461-2E52-46DF-8742-D470D43BD49E}" type="pres">
      <dgm:prSet presAssocID="{1D9E8DFD-37C1-4E19-AE03-0AAE739DA6AA}" presName="Name37" presStyleLbl="parChTrans1D2" presStyleIdx="0" presStyleCnt="2"/>
      <dgm:spPr/>
    </dgm:pt>
    <dgm:pt modelId="{660E632F-8608-4669-8C5A-B38074D9C49C}" type="pres">
      <dgm:prSet presAssocID="{40BA2CFC-E07B-47C3-A6CD-67440A3FD19A}" presName="hierRoot2" presStyleCnt="0">
        <dgm:presLayoutVars>
          <dgm:hierBranch val="init"/>
        </dgm:presLayoutVars>
      </dgm:prSet>
      <dgm:spPr/>
    </dgm:pt>
    <dgm:pt modelId="{024E832D-919A-42BC-9210-60F2EA02A143}" type="pres">
      <dgm:prSet presAssocID="{40BA2CFC-E07B-47C3-A6CD-67440A3FD19A}" presName="rootComposite" presStyleCnt="0"/>
      <dgm:spPr/>
    </dgm:pt>
    <dgm:pt modelId="{01DA6984-8EDC-4C25-9867-8918D0168237}" type="pres">
      <dgm:prSet presAssocID="{40BA2CFC-E07B-47C3-A6CD-67440A3FD19A}" presName="rootText" presStyleLbl="node2" presStyleIdx="0" presStyleCnt="2">
        <dgm:presLayoutVars>
          <dgm:chPref val="3"/>
        </dgm:presLayoutVars>
      </dgm:prSet>
      <dgm:spPr/>
    </dgm:pt>
    <dgm:pt modelId="{605FE337-4D0B-414B-B77F-0852CBA6DB06}" type="pres">
      <dgm:prSet presAssocID="{40BA2CFC-E07B-47C3-A6CD-67440A3FD19A}" presName="rootConnector" presStyleLbl="node2" presStyleIdx="0" presStyleCnt="2"/>
      <dgm:spPr/>
    </dgm:pt>
    <dgm:pt modelId="{72A9080B-414A-42FF-8D03-48E2F206FD1E}" type="pres">
      <dgm:prSet presAssocID="{40BA2CFC-E07B-47C3-A6CD-67440A3FD19A}" presName="hierChild4" presStyleCnt="0"/>
      <dgm:spPr/>
    </dgm:pt>
    <dgm:pt modelId="{38CBC16F-654F-4F61-B47A-65D8E03F844F}" type="pres">
      <dgm:prSet presAssocID="{40BA2CFC-E07B-47C3-A6CD-67440A3FD19A}" presName="hierChild5" presStyleCnt="0"/>
      <dgm:spPr/>
    </dgm:pt>
    <dgm:pt modelId="{5B7BE054-51EA-4BB0-8490-61124182530E}" type="pres">
      <dgm:prSet presAssocID="{AECDB737-41A9-4FF5-9AA1-755BFD5481F9}" presName="hierChild3" presStyleCnt="0"/>
      <dgm:spPr/>
    </dgm:pt>
    <dgm:pt modelId="{B37D5634-83FC-4DF5-948A-F23E5B71244D}" type="pres">
      <dgm:prSet presAssocID="{F094FA68-33AD-48AC-89DA-A1A708E65CA4}" presName="hierRoot1" presStyleCnt="0">
        <dgm:presLayoutVars>
          <dgm:hierBranch val="init"/>
        </dgm:presLayoutVars>
      </dgm:prSet>
      <dgm:spPr/>
    </dgm:pt>
    <dgm:pt modelId="{0E1CC8D7-218C-44D2-B79B-79B28844B967}" type="pres">
      <dgm:prSet presAssocID="{F094FA68-33AD-48AC-89DA-A1A708E65CA4}" presName="rootComposite1" presStyleCnt="0"/>
      <dgm:spPr/>
    </dgm:pt>
    <dgm:pt modelId="{4D79069D-513F-4EE6-B347-50E72F271F93}" type="pres">
      <dgm:prSet presAssocID="{F094FA68-33AD-48AC-89DA-A1A708E65CA4}" presName="rootText1" presStyleLbl="node0" presStyleIdx="1" presStyleCnt="2">
        <dgm:presLayoutVars>
          <dgm:chPref val="3"/>
        </dgm:presLayoutVars>
      </dgm:prSet>
      <dgm:spPr/>
    </dgm:pt>
    <dgm:pt modelId="{14DBABAF-F4DD-4BF7-A7B7-D5B0C59BD774}" type="pres">
      <dgm:prSet presAssocID="{F094FA68-33AD-48AC-89DA-A1A708E65CA4}" presName="rootConnector1" presStyleLbl="node1" presStyleIdx="0" presStyleCnt="0"/>
      <dgm:spPr/>
    </dgm:pt>
    <dgm:pt modelId="{368E1117-0315-486F-BF8C-803AE3649AC6}" type="pres">
      <dgm:prSet presAssocID="{F094FA68-33AD-48AC-89DA-A1A708E65CA4}" presName="hierChild2" presStyleCnt="0"/>
      <dgm:spPr/>
    </dgm:pt>
    <dgm:pt modelId="{25569423-2C86-4D8E-8A43-1A4352CDEFF6}" type="pres">
      <dgm:prSet presAssocID="{B4046B26-027C-4FA7-8A11-0F105D79DCE8}" presName="Name37" presStyleLbl="parChTrans1D2" presStyleIdx="1" presStyleCnt="2"/>
      <dgm:spPr/>
    </dgm:pt>
    <dgm:pt modelId="{06DC6418-BB42-48DB-958B-609204563E3B}" type="pres">
      <dgm:prSet presAssocID="{8352DDE0-9AB8-4B99-8955-8416781733F1}" presName="hierRoot2" presStyleCnt="0">
        <dgm:presLayoutVars>
          <dgm:hierBranch val="init"/>
        </dgm:presLayoutVars>
      </dgm:prSet>
      <dgm:spPr/>
    </dgm:pt>
    <dgm:pt modelId="{C801AAB3-05C7-4114-9996-79E23F38A56B}" type="pres">
      <dgm:prSet presAssocID="{8352DDE0-9AB8-4B99-8955-8416781733F1}" presName="rootComposite" presStyleCnt="0"/>
      <dgm:spPr/>
    </dgm:pt>
    <dgm:pt modelId="{3CFB5692-50F4-485A-91CA-B0A575A1762B}" type="pres">
      <dgm:prSet presAssocID="{8352DDE0-9AB8-4B99-8955-8416781733F1}" presName="rootText" presStyleLbl="node2" presStyleIdx="1" presStyleCnt="2">
        <dgm:presLayoutVars>
          <dgm:chPref val="3"/>
        </dgm:presLayoutVars>
      </dgm:prSet>
      <dgm:spPr/>
    </dgm:pt>
    <dgm:pt modelId="{80B90FB8-6915-4827-94F6-EEF73C9F33F4}" type="pres">
      <dgm:prSet presAssocID="{8352DDE0-9AB8-4B99-8955-8416781733F1}" presName="rootConnector" presStyleLbl="node2" presStyleIdx="1" presStyleCnt="2"/>
      <dgm:spPr/>
    </dgm:pt>
    <dgm:pt modelId="{543E06BA-27B3-4519-8FFC-3134F4E1061F}" type="pres">
      <dgm:prSet presAssocID="{8352DDE0-9AB8-4B99-8955-8416781733F1}" presName="hierChild4" presStyleCnt="0"/>
      <dgm:spPr/>
    </dgm:pt>
    <dgm:pt modelId="{5ED7FFA1-3A3B-4A04-BFC1-E3AB64F86EBC}" type="pres">
      <dgm:prSet presAssocID="{8352DDE0-9AB8-4B99-8955-8416781733F1}" presName="hierChild5" presStyleCnt="0"/>
      <dgm:spPr/>
    </dgm:pt>
    <dgm:pt modelId="{E5020951-029C-46F9-B735-C9AB84D60C63}" type="pres">
      <dgm:prSet presAssocID="{F094FA68-33AD-48AC-89DA-A1A708E65CA4}" presName="hierChild3" presStyleCnt="0"/>
      <dgm:spPr/>
    </dgm:pt>
  </dgm:ptLst>
  <dgm:cxnLst>
    <dgm:cxn modelId="{E5CE1300-9D55-4B33-AC07-C4AEC38D986B}" type="presOf" srcId="{AECDB737-41A9-4FF5-9AA1-755BFD5481F9}" destId="{F851476E-C6FE-4AC6-9712-2D34795815B7}" srcOrd="1" destOrd="0" presId="urn:microsoft.com/office/officeart/2005/8/layout/orgChart1"/>
    <dgm:cxn modelId="{E53B1B14-A00D-44B5-AAD2-6BE03A49D77B}" type="presOf" srcId="{AECDB737-41A9-4FF5-9AA1-755BFD5481F9}" destId="{3D35FA33-6ECB-4FB1-B8B5-895EA3EC96A3}" srcOrd="0" destOrd="0" presId="urn:microsoft.com/office/officeart/2005/8/layout/orgChart1"/>
    <dgm:cxn modelId="{C22C8B28-6660-496B-A947-8452AEE24C62}" type="presOf" srcId="{8352DDE0-9AB8-4B99-8955-8416781733F1}" destId="{80B90FB8-6915-4827-94F6-EEF73C9F33F4}" srcOrd="1" destOrd="0" presId="urn:microsoft.com/office/officeart/2005/8/layout/orgChart1"/>
    <dgm:cxn modelId="{7958922A-9D07-455C-ADDF-EE26118F498D}" type="presOf" srcId="{1D9E8DFD-37C1-4E19-AE03-0AAE739DA6AA}" destId="{67D73461-2E52-46DF-8742-D470D43BD49E}" srcOrd="0" destOrd="0" presId="urn:microsoft.com/office/officeart/2005/8/layout/orgChart1"/>
    <dgm:cxn modelId="{BDBE5731-AA1D-4BCE-AFA8-1552991FA65A}" type="presOf" srcId="{40BA2CFC-E07B-47C3-A6CD-67440A3FD19A}" destId="{01DA6984-8EDC-4C25-9867-8918D0168237}" srcOrd="0" destOrd="0" presId="urn:microsoft.com/office/officeart/2005/8/layout/orgChart1"/>
    <dgm:cxn modelId="{3812585F-72AC-401A-96AE-07662F19144D}" srcId="{196CF355-75DA-4BB7-B220-D0528E4080E3}" destId="{F094FA68-33AD-48AC-89DA-A1A708E65CA4}" srcOrd="1" destOrd="0" parTransId="{5E3AAC28-CB5A-4C89-B76E-EB12031AE36B}" sibTransId="{4266F042-3807-497D-A2EC-C2992B79F8DA}"/>
    <dgm:cxn modelId="{6747D24D-74DE-479F-9690-1AFF94EACC8D}" type="presOf" srcId="{F094FA68-33AD-48AC-89DA-A1A708E65CA4}" destId="{14DBABAF-F4DD-4BF7-A7B7-D5B0C59BD774}" srcOrd="1" destOrd="0" presId="urn:microsoft.com/office/officeart/2005/8/layout/orgChart1"/>
    <dgm:cxn modelId="{E57F037A-5DB9-43F4-9494-1ABA5675A49E}" type="presOf" srcId="{40BA2CFC-E07B-47C3-A6CD-67440A3FD19A}" destId="{605FE337-4D0B-414B-B77F-0852CBA6DB06}" srcOrd="1" destOrd="0" presId="urn:microsoft.com/office/officeart/2005/8/layout/orgChart1"/>
    <dgm:cxn modelId="{24530C7F-B59E-4261-92E7-72E39FE4533F}" type="presOf" srcId="{8352DDE0-9AB8-4B99-8955-8416781733F1}" destId="{3CFB5692-50F4-485A-91CA-B0A575A1762B}" srcOrd="0" destOrd="0" presId="urn:microsoft.com/office/officeart/2005/8/layout/orgChart1"/>
    <dgm:cxn modelId="{141A709F-4923-4243-A6A1-1B98E5428740}" srcId="{196CF355-75DA-4BB7-B220-D0528E4080E3}" destId="{AECDB737-41A9-4FF5-9AA1-755BFD5481F9}" srcOrd="0" destOrd="0" parTransId="{667259DD-184C-4BE4-ACEB-0EE6F865C623}" sibTransId="{90D2C74E-B2B4-488A-84DC-4547F5A1ADCA}"/>
    <dgm:cxn modelId="{C32B65DD-D773-4AE7-9B73-ADA85472F8D8}" type="presOf" srcId="{B4046B26-027C-4FA7-8A11-0F105D79DCE8}" destId="{25569423-2C86-4D8E-8A43-1A4352CDEFF6}" srcOrd="0" destOrd="0" presId="urn:microsoft.com/office/officeart/2005/8/layout/orgChart1"/>
    <dgm:cxn modelId="{B807DAE3-B6D1-45F2-BA36-DAE6978BA441}" type="presOf" srcId="{196CF355-75DA-4BB7-B220-D0528E4080E3}" destId="{DCCE86D5-9108-43FF-B923-6351BD2F7A9E}" srcOrd="0" destOrd="0" presId="urn:microsoft.com/office/officeart/2005/8/layout/orgChart1"/>
    <dgm:cxn modelId="{EC08D5F4-4D1C-4167-AB27-6C62F0889797}" srcId="{AECDB737-41A9-4FF5-9AA1-755BFD5481F9}" destId="{40BA2CFC-E07B-47C3-A6CD-67440A3FD19A}" srcOrd="0" destOrd="0" parTransId="{1D9E8DFD-37C1-4E19-AE03-0AAE739DA6AA}" sibTransId="{832D77F2-1BD7-41BA-BC62-56DC7C3ADDF0}"/>
    <dgm:cxn modelId="{F4D709F5-934E-4E61-8995-46D92ABF87A3}" srcId="{F094FA68-33AD-48AC-89DA-A1A708E65CA4}" destId="{8352DDE0-9AB8-4B99-8955-8416781733F1}" srcOrd="0" destOrd="0" parTransId="{B4046B26-027C-4FA7-8A11-0F105D79DCE8}" sibTransId="{FC787C9A-894C-4DB2-9306-98E2518919AA}"/>
    <dgm:cxn modelId="{DE830EFD-59A0-43B0-A3C3-C3C9319912CC}" type="presOf" srcId="{F094FA68-33AD-48AC-89DA-A1A708E65CA4}" destId="{4D79069D-513F-4EE6-B347-50E72F271F93}" srcOrd="0" destOrd="0" presId="urn:microsoft.com/office/officeart/2005/8/layout/orgChart1"/>
    <dgm:cxn modelId="{CE2E171E-E311-424A-A394-024D1F5B6AEC}" type="presParOf" srcId="{DCCE86D5-9108-43FF-B923-6351BD2F7A9E}" destId="{C76F28EF-934B-4C77-AD22-EE92D6B25B4F}" srcOrd="0" destOrd="0" presId="urn:microsoft.com/office/officeart/2005/8/layout/orgChart1"/>
    <dgm:cxn modelId="{A1739013-9AE9-466A-9D29-93B4AC4582B1}" type="presParOf" srcId="{C76F28EF-934B-4C77-AD22-EE92D6B25B4F}" destId="{94DC5477-CC4E-4610-B7F8-1E33BB8805E6}" srcOrd="0" destOrd="0" presId="urn:microsoft.com/office/officeart/2005/8/layout/orgChart1"/>
    <dgm:cxn modelId="{B00170FA-DFC1-4AB5-9C3A-7C61A0ABE867}" type="presParOf" srcId="{94DC5477-CC4E-4610-B7F8-1E33BB8805E6}" destId="{3D35FA33-6ECB-4FB1-B8B5-895EA3EC96A3}" srcOrd="0" destOrd="0" presId="urn:microsoft.com/office/officeart/2005/8/layout/orgChart1"/>
    <dgm:cxn modelId="{B615299B-C0F9-404C-960E-FBFF849FD044}" type="presParOf" srcId="{94DC5477-CC4E-4610-B7F8-1E33BB8805E6}" destId="{F851476E-C6FE-4AC6-9712-2D34795815B7}" srcOrd="1" destOrd="0" presId="urn:microsoft.com/office/officeart/2005/8/layout/orgChart1"/>
    <dgm:cxn modelId="{2D0CE454-41AD-4D42-BF0E-A30BD2190AF9}" type="presParOf" srcId="{C76F28EF-934B-4C77-AD22-EE92D6B25B4F}" destId="{AAAAD214-9E4D-43D4-884C-7B341651ADAF}" srcOrd="1" destOrd="0" presId="urn:microsoft.com/office/officeart/2005/8/layout/orgChart1"/>
    <dgm:cxn modelId="{7881CDE1-6044-49F8-BC86-00A568359673}" type="presParOf" srcId="{AAAAD214-9E4D-43D4-884C-7B341651ADAF}" destId="{67D73461-2E52-46DF-8742-D470D43BD49E}" srcOrd="0" destOrd="0" presId="urn:microsoft.com/office/officeart/2005/8/layout/orgChart1"/>
    <dgm:cxn modelId="{C219BA00-C815-4FF7-9386-8BFED4FDD15D}" type="presParOf" srcId="{AAAAD214-9E4D-43D4-884C-7B341651ADAF}" destId="{660E632F-8608-4669-8C5A-B38074D9C49C}" srcOrd="1" destOrd="0" presId="urn:microsoft.com/office/officeart/2005/8/layout/orgChart1"/>
    <dgm:cxn modelId="{2A0CA1E7-44E9-421E-8B58-7C4DF3095E16}" type="presParOf" srcId="{660E632F-8608-4669-8C5A-B38074D9C49C}" destId="{024E832D-919A-42BC-9210-60F2EA02A143}" srcOrd="0" destOrd="0" presId="urn:microsoft.com/office/officeart/2005/8/layout/orgChart1"/>
    <dgm:cxn modelId="{8034E743-6D22-493C-A042-751682BF34BA}" type="presParOf" srcId="{024E832D-919A-42BC-9210-60F2EA02A143}" destId="{01DA6984-8EDC-4C25-9867-8918D0168237}" srcOrd="0" destOrd="0" presId="urn:microsoft.com/office/officeart/2005/8/layout/orgChart1"/>
    <dgm:cxn modelId="{DB3647A2-5B13-4208-8EE7-1347E75687FA}" type="presParOf" srcId="{024E832D-919A-42BC-9210-60F2EA02A143}" destId="{605FE337-4D0B-414B-B77F-0852CBA6DB06}" srcOrd="1" destOrd="0" presId="urn:microsoft.com/office/officeart/2005/8/layout/orgChart1"/>
    <dgm:cxn modelId="{77507F9C-1E26-49BB-8D00-8B72287164B0}" type="presParOf" srcId="{660E632F-8608-4669-8C5A-B38074D9C49C}" destId="{72A9080B-414A-42FF-8D03-48E2F206FD1E}" srcOrd="1" destOrd="0" presId="urn:microsoft.com/office/officeart/2005/8/layout/orgChart1"/>
    <dgm:cxn modelId="{04E1151A-B20F-425A-A3CB-4000F5C56070}" type="presParOf" srcId="{660E632F-8608-4669-8C5A-B38074D9C49C}" destId="{38CBC16F-654F-4F61-B47A-65D8E03F844F}" srcOrd="2" destOrd="0" presId="urn:microsoft.com/office/officeart/2005/8/layout/orgChart1"/>
    <dgm:cxn modelId="{EF291D57-84F0-4166-B0AB-57D87CCB56A2}" type="presParOf" srcId="{C76F28EF-934B-4C77-AD22-EE92D6B25B4F}" destId="{5B7BE054-51EA-4BB0-8490-61124182530E}" srcOrd="2" destOrd="0" presId="urn:microsoft.com/office/officeart/2005/8/layout/orgChart1"/>
    <dgm:cxn modelId="{EE94FA0F-83D6-4CB4-B22A-2E33A3693031}" type="presParOf" srcId="{DCCE86D5-9108-43FF-B923-6351BD2F7A9E}" destId="{B37D5634-83FC-4DF5-948A-F23E5B71244D}" srcOrd="1" destOrd="0" presId="urn:microsoft.com/office/officeart/2005/8/layout/orgChart1"/>
    <dgm:cxn modelId="{3CAC0197-0342-4CBB-8182-AFA62A4074C4}" type="presParOf" srcId="{B37D5634-83FC-4DF5-948A-F23E5B71244D}" destId="{0E1CC8D7-218C-44D2-B79B-79B28844B967}" srcOrd="0" destOrd="0" presId="urn:microsoft.com/office/officeart/2005/8/layout/orgChart1"/>
    <dgm:cxn modelId="{270B451F-A76A-4639-ACF9-DDFA166E657E}" type="presParOf" srcId="{0E1CC8D7-218C-44D2-B79B-79B28844B967}" destId="{4D79069D-513F-4EE6-B347-50E72F271F93}" srcOrd="0" destOrd="0" presId="urn:microsoft.com/office/officeart/2005/8/layout/orgChart1"/>
    <dgm:cxn modelId="{1071364D-6D8A-4A9A-B86B-DE6F31F35D64}" type="presParOf" srcId="{0E1CC8D7-218C-44D2-B79B-79B28844B967}" destId="{14DBABAF-F4DD-4BF7-A7B7-D5B0C59BD774}" srcOrd="1" destOrd="0" presId="urn:microsoft.com/office/officeart/2005/8/layout/orgChart1"/>
    <dgm:cxn modelId="{E5D8BD9C-E2CD-4759-80B1-51C9D25F9869}" type="presParOf" srcId="{B37D5634-83FC-4DF5-948A-F23E5B71244D}" destId="{368E1117-0315-486F-BF8C-803AE3649AC6}" srcOrd="1" destOrd="0" presId="urn:microsoft.com/office/officeart/2005/8/layout/orgChart1"/>
    <dgm:cxn modelId="{3AB56613-7AFB-411A-B4AE-45FC70D78D41}" type="presParOf" srcId="{368E1117-0315-486F-BF8C-803AE3649AC6}" destId="{25569423-2C86-4D8E-8A43-1A4352CDEFF6}" srcOrd="0" destOrd="0" presId="urn:microsoft.com/office/officeart/2005/8/layout/orgChart1"/>
    <dgm:cxn modelId="{92A0CEBB-B865-4B0A-8CBD-89EEF6C48EE4}" type="presParOf" srcId="{368E1117-0315-486F-BF8C-803AE3649AC6}" destId="{06DC6418-BB42-48DB-958B-609204563E3B}" srcOrd="1" destOrd="0" presId="urn:microsoft.com/office/officeart/2005/8/layout/orgChart1"/>
    <dgm:cxn modelId="{6A4C6D8A-ED12-4269-ABF3-28FA1DBA9749}" type="presParOf" srcId="{06DC6418-BB42-48DB-958B-609204563E3B}" destId="{C801AAB3-05C7-4114-9996-79E23F38A56B}" srcOrd="0" destOrd="0" presId="urn:microsoft.com/office/officeart/2005/8/layout/orgChart1"/>
    <dgm:cxn modelId="{EF7F8ECC-A141-484F-AA95-2E3429909F41}" type="presParOf" srcId="{C801AAB3-05C7-4114-9996-79E23F38A56B}" destId="{3CFB5692-50F4-485A-91CA-B0A575A1762B}" srcOrd="0" destOrd="0" presId="urn:microsoft.com/office/officeart/2005/8/layout/orgChart1"/>
    <dgm:cxn modelId="{7B46BEB1-07A9-41B1-AD46-5787C681FDE7}" type="presParOf" srcId="{C801AAB3-05C7-4114-9996-79E23F38A56B}" destId="{80B90FB8-6915-4827-94F6-EEF73C9F33F4}" srcOrd="1" destOrd="0" presId="urn:microsoft.com/office/officeart/2005/8/layout/orgChart1"/>
    <dgm:cxn modelId="{3B1A4EB8-90D1-4576-951E-5265E346B833}" type="presParOf" srcId="{06DC6418-BB42-48DB-958B-609204563E3B}" destId="{543E06BA-27B3-4519-8FFC-3134F4E1061F}" srcOrd="1" destOrd="0" presId="urn:microsoft.com/office/officeart/2005/8/layout/orgChart1"/>
    <dgm:cxn modelId="{6C59E37C-D6A3-4546-9A24-BFFB78C69D7F}" type="presParOf" srcId="{06DC6418-BB42-48DB-958B-609204563E3B}" destId="{5ED7FFA1-3A3B-4A04-BFC1-E3AB64F86EBC}" srcOrd="2" destOrd="0" presId="urn:microsoft.com/office/officeart/2005/8/layout/orgChart1"/>
    <dgm:cxn modelId="{C21C600E-02A1-4428-8029-6554CC4795DF}" type="presParOf" srcId="{B37D5634-83FC-4DF5-948A-F23E5B71244D}" destId="{E5020951-029C-46F9-B735-C9AB84D60C63}" srcOrd="2" destOrd="0" presId="urn:microsoft.com/office/officeart/2005/8/layout/orgChart1"/>
  </dgm:cxnLst>
  <dgm:bg>
    <a:noFill/>
  </dgm:bg>
  <dgm:whole/>
  <dgm:extLst>
    <a:ext uri="http://schemas.microsoft.com/office/drawing/2008/diagram">
      <dsp:dataModelExt xmlns:dsp="http://schemas.microsoft.com/office/drawing/2008/diagram" relId="rId3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3307C4C-F41C-4CEB-A0DD-673486E5F478}">
      <dsp:nvSpPr>
        <dsp:cNvPr id="0" name=""/>
        <dsp:cNvSpPr/>
      </dsp:nvSpPr>
      <dsp:spPr>
        <a:xfrm>
          <a:off x="0" y="0"/>
          <a:ext cx="4472940" cy="1175370"/>
        </a:xfrm>
        <a:prstGeom prst="roundRect">
          <a:avLst>
            <a:gd name="adj" fmla="val 10000"/>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rtl="0">
            <a:lnSpc>
              <a:spcPct val="90000"/>
            </a:lnSpc>
            <a:spcBef>
              <a:spcPct val="0"/>
            </a:spcBef>
            <a:spcAft>
              <a:spcPct val="35000"/>
            </a:spcAft>
            <a:buNone/>
          </a:pPr>
          <a:r>
            <a:rPr lang="en-US" sz="1000" b="1" kern="1200"/>
            <a:t>What are </a:t>
          </a:r>
          <a:r>
            <a:rPr lang="en-US" sz="1000" b="1" i="1" kern="1200"/>
            <a:t>Community Disability Services</a:t>
          </a:r>
          <a:r>
            <a:rPr lang="en-US" sz="1000" b="1" kern="1200"/>
            <a:t>?</a:t>
          </a:r>
          <a:endParaRPr lang="en-US" sz="1000" kern="1200"/>
        </a:p>
        <a:p>
          <a:pPr marL="57150" lvl="1" indent="-57150" algn="l" defTabSz="355600" rtl="0">
            <a:lnSpc>
              <a:spcPct val="90000"/>
            </a:lnSpc>
            <a:spcBef>
              <a:spcPct val="0"/>
            </a:spcBef>
            <a:spcAft>
              <a:spcPct val="15000"/>
            </a:spcAft>
            <a:buChar char="•"/>
          </a:pPr>
          <a:r>
            <a:rPr lang="en-US" sz="800" kern="1200"/>
            <a:t>Community disability services are teams and programmes that support people with long-term physical, intellectual, sensory or neurodevelopmental disabilities to live as independently as possible within their local community. These services include specialist assessments, rehabilitation (such as occupational therapy, physiotherapy, and speech and language therapy), care coordination, personal budgets or direct payments, supported living, and advice for families and employers (NHS England, 2025).</a:t>
          </a:r>
        </a:p>
      </dsp:txBody>
      <dsp:txXfrm>
        <a:off x="1012125" y="0"/>
        <a:ext cx="3460814" cy="1175370"/>
      </dsp:txXfrm>
    </dsp:sp>
    <dsp:sp modelId="{4A30A0BE-E125-4411-B234-70343DC906A0}">
      <dsp:nvSpPr>
        <dsp:cNvPr id="0" name=""/>
        <dsp:cNvSpPr/>
      </dsp:nvSpPr>
      <dsp:spPr>
        <a:xfrm>
          <a:off x="117537" y="117537"/>
          <a:ext cx="894588" cy="940296"/>
        </a:xfrm>
        <a:prstGeom prst="roundRect">
          <a:avLst>
            <a:gd name="adj" fmla="val 10000"/>
          </a:avLst>
        </a:prstGeom>
        <a:blipFill rotWithShape="1">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05AC0E7-3F49-4A6D-AA39-4B2B5C285FCD}">
      <dsp:nvSpPr>
        <dsp:cNvPr id="0" name=""/>
        <dsp:cNvSpPr/>
      </dsp:nvSpPr>
      <dsp:spPr>
        <a:xfrm>
          <a:off x="0" y="1292907"/>
          <a:ext cx="4472940" cy="1175370"/>
        </a:xfrm>
        <a:prstGeom prst="roundRect">
          <a:avLst>
            <a:gd name="adj" fmla="val 10000"/>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t" anchorCtr="0">
          <a:noAutofit/>
        </a:bodyPr>
        <a:lstStyle/>
        <a:p>
          <a:pPr marL="0" lvl="0" indent="0" algn="l" defTabSz="444500" rtl="0">
            <a:lnSpc>
              <a:spcPct val="90000"/>
            </a:lnSpc>
            <a:spcBef>
              <a:spcPct val="0"/>
            </a:spcBef>
            <a:spcAft>
              <a:spcPct val="35000"/>
            </a:spcAft>
            <a:buNone/>
          </a:pPr>
          <a:r>
            <a:rPr lang="en-US" sz="1000" b="1" kern="1200"/>
            <a:t>Core goals</a:t>
          </a:r>
          <a:endParaRPr lang="en-US" sz="1000" kern="1200"/>
        </a:p>
        <a:p>
          <a:pPr marL="57150" lvl="1" indent="-57150" algn="l" defTabSz="355600" rtl="0">
            <a:lnSpc>
              <a:spcPct val="90000"/>
            </a:lnSpc>
            <a:spcBef>
              <a:spcPct val="0"/>
            </a:spcBef>
            <a:spcAft>
              <a:spcPct val="15000"/>
            </a:spcAft>
            <a:buChar char="•"/>
          </a:pPr>
          <a:r>
            <a:rPr lang="en-US" sz="800" kern="1200"/>
            <a:t>Maximise independence and participation</a:t>
          </a:r>
        </a:p>
        <a:p>
          <a:pPr marL="57150" lvl="1" indent="-57150" algn="l" defTabSz="355600" rtl="0">
            <a:lnSpc>
              <a:spcPct val="90000"/>
            </a:lnSpc>
            <a:spcBef>
              <a:spcPct val="0"/>
            </a:spcBef>
            <a:spcAft>
              <a:spcPct val="15000"/>
            </a:spcAft>
            <a:buChar char="•"/>
          </a:pPr>
          <a:r>
            <a:rPr lang="en-US" sz="800" kern="1200"/>
            <a:t>Prevent unnecessary hospital or institutional care</a:t>
          </a:r>
        </a:p>
        <a:p>
          <a:pPr marL="57150" lvl="1" indent="-57150" algn="l" defTabSz="355600" rtl="0">
            <a:lnSpc>
              <a:spcPct val="90000"/>
            </a:lnSpc>
            <a:spcBef>
              <a:spcPct val="0"/>
            </a:spcBef>
            <a:spcAft>
              <a:spcPct val="15000"/>
            </a:spcAft>
            <a:buChar char="•"/>
          </a:pPr>
          <a:r>
            <a:rPr lang="en-US" sz="800" kern="1200"/>
            <a:t>Deliver personalised, coordinated care close to home (Iemmi, 2017)</a:t>
          </a:r>
        </a:p>
      </dsp:txBody>
      <dsp:txXfrm>
        <a:off x="1012125" y="1292907"/>
        <a:ext cx="3460814" cy="1175370"/>
      </dsp:txXfrm>
    </dsp:sp>
    <dsp:sp modelId="{2692C3DB-6EE6-4DFC-98D5-11CA1C340F62}">
      <dsp:nvSpPr>
        <dsp:cNvPr id="0" name=""/>
        <dsp:cNvSpPr/>
      </dsp:nvSpPr>
      <dsp:spPr>
        <a:xfrm>
          <a:off x="117537" y="1410444"/>
          <a:ext cx="894588" cy="940296"/>
        </a:xfrm>
        <a:prstGeom prst="roundRect">
          <a:avLst>
            <a:gd name="adj" fmla="val 10000"/>
          </a:avLst>
        </a:prstGeom>
        <a:blipFill rotWithShape="1">
          <a:blip xmlns:r="http://schemas.openxmlformats.org/officeDocument/2006/relationships" r:embed="rId2"/>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F10BA8-293A-4F99-955D-881E08589BDF}">
      <dsp:nvSpPr>
        <dsp:cNvPr id="0" name=""/>
        <dsp:cNvSpPr/>
      </dsp:nvSpPr>
      <dsp:spPr>
        <a:xfrm>
          <a:off x="3929657" y="0"/>
          <a:ext cx="451842" cy="455477"/>
        </a:xfrm>
        <a:prstGeom prst="rightArrow">
          <a:avLst>
            <a:gd name="adj1" fmla="val 75000"/>
            <a:gd name="adj2" fmla="val 50000"/>
          </a:avLst>
        </a:prstGeom>
        <a:blipFill rotWithShape="0">
          <a:blip xmlns:r="http://schemas.openxmlformats.org/officeDocument/2006/relationships" r:embed="rId1"/>
          <a:stretch>
            <a:fillRect/>
          </a:stretch>
        </a:blip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E59EEF3-B704-4A26-B513-83D018B71AB3}">
      <dsp:nvSpPr>
        <dsp:cNvPr id="0" name=""/>
        <dsp:cNvSpPr/>
      </dsp:nvSpPr>
      <dsp:spPr>
        <a:xfrm>
          <a:off x="130" y="841"/>
          <a:ext cx="3929397" cy="455477"/>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b="1" kern="1200" dirty="0"/>
            <a:t>How the service functions today</a:t>
          </a:r>
          <a:endParaRPr lang="en-US" sz="1500" kern="1200" dirty="0"/>
        </a:p>
      </dsp:txBody>
      <dsp:txXfrm>
        <a:off x="22365" y="23076"/>
        <a:ext cx="3884927" cy="411007"/>
      </dsp:txXfrm>
    </dsp:sp>
    <dsp:sp modelId="{DD6FB9FA-6753-4774-95FA-EF3E6FDA4BAE}">
      <dsp:nvSpPr>
        <dsp:cNvPr id="0" name=""/>
        <dsp:cNvSpPr/>
      </dsp:nvSpPr>
      <dsp:spPr>
        <a:xfrm>
          <a:off x="1752600" y="501866"/>
          <a:ext cx="2628900" cy="455477"/>
        </a:xfrm>
        <a:prstGeom prst="rightArrow">
          <a:avLst>
            <a:gd name="adj1" fmla="val 75000"/>
            <a:gd name="adj2" fmla="val 50000"/>
          </a:avLst>
        </a:prstGeom>
        <a:solidFill>
          <a:schemeClr val="accent3">
            <a:tint val="40000"/>
            <a:alpha val="90000"/>
            <a:hueOff val="507285"/>
            <a:satOff val="25000"/>
            <a:lumOff val="445"/>
            <a:alphaOff val="0"/>
          </a:schemeClr>
        </a:solidFill>
        <a:ln w="12700" cap="flat" cmpd="sng" algn="ctr">
          <a:solidFill>
            <a:schemeClr val="accent3">
              <a:tint val="40000"/>
              <a:alpha val="90000"/>
              <a:hueOff val="507285"/>
              <a:satOff val="25000"/>
              <a:lumOff val="445"/>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rtl="0">
            <a:lnSpc>
              <a:spcPct val="90000"/>
            </a:lnSpc>
            <a:spcBef>
              <a:spcPct val="0"/>
            </a:spcBef>
            <a:spcAft>
              <a:spcPct val="15000"/>
            </a:spcAft>
            <a:buChar char="•"/>
          </a:pPr>
          <a:r>
            <a:rPr lang="en-US" sz="700" kern="1200" dirty="0"/>
            <a:t>NHS community teams, local authorities, independent &amp; voluntary sector (many providers). (NHS England, 2025).</a:t>
          </a:r>
        </a:p>
      </dsp:txBody>
      <dsp:txXfrm>
        <a:off x="1752600" y="558801"/>
        <a:ext cx="2458096" cy="341607"/>
      </dsp:txXfrm>
    </dsp:sp>
    <dsp:sp modelId="{7B44D2FD-47EC-4B9C-A6E6-244F902749E1}">
      <dsp:nvSpPr>
        <dsp:cNvPr id="0" name=""/>
        <dsp:cNvSpPr/>
      </dsp:nvSpPr>
      <dsp:spPr>
        <a:xfrm>
          <a:off x="0" y="501866"/>
          <a:ext cx="1752600" cy="455477"/>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b="1" kern="1200"/>
            <a:t>Providers:</a:t>
          </a:r>
          <a:r>
            <a:rPr lang="en-US" sz="1500" kern="1200"/>
            <a:t> </a:t>
          </a:r>
        </a:p>
      </dsp:txBody>
      <dsp:txXfrm>
        <a:off x="22235" y="524101"/>
        <a:ext cx="1708130" cy="411007"/>
      </dsp:txXfrm>
    </dsp:sp>
    <dsp:sp modelId="{9E934C67-3D2F-418B-9C4D-F28C78B53A92}">
      <dsp:nvSpPr>
        <dsp:cNvPr id="0" name=""/>
        <dsp:cNvSpPr/>
      </dsp:nvSpPr>
      <dsp:spPr>
        <a:xfrm>
          <a:off x="1752600" y="1002891"/>
          <a:ext cx="2628900" cy="455477"/>
        </a:xfrm>
        <a:prstGeom prst="rightArrow">
          <a:avLst>
            <a:gd name="adj1" fmla="val 75000"/>
            <a:gd name="adj2" fmla="val 50000"/>
          </a:avLst>
        </a:prstGeom>
        <a:solidFill>
          <a:schemeClr val="accent3">
            <a:tint val="40000"/>
            <a:alpha val="90000"/>
            <a:hueOff val="1014570"/>
            <a:satOff val="50000"/>
            <a:lumOff val="890"/>
            <a:alphaOff val="0"/>
          </a:schemeClr>
        </a:solidFill>
        <a:ln w="12700" cap="flat" cmpd="sng" algn="ctr">
          <a:solidFill>
            <a:schemeClr val="accent3">
              <a:tint val="40000"/>
              <a:alpha val="90000"/>
              <a:hueOff val="1014570"/>
              <a:satOff val="50000"/>
              <a:lumOff val="89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rtl="0">
            <a:lnSpc>
              <a:spcPct val="90000"/>
            </a:lnSpc>
            <a:spcBef>
              <a:spcPct val="0"/>
            </a:spcBef>
            <a:spcAft>
              <a:spcPct val="15000"/>
            </a:spcAft>
            <a:buChar char="•"/>
          </a:pPr>
          <a:r>
            <a:rPr lang="en-US" sz="700" kern="1200" dirty="0"/>
            <a:t>multidisciplinary (community/LD nurses, OT, physio, speech &amp; language, psychologists, support staff) (Lancashire &amp; South </a:t>
          </a:r>
          <a:r>
            <a:rPr lang="en-US" sz="700" kern="1200" dirty="0" err="1"/>
            <a:t>Cumbria</a:t>
          </a:r>
          <a:r>
            <a:rPr lang="en-US" sz="700" kern="1200" dirty="0"/>
            <a:t> NHS Foundation Trust, </a:t>
          </a:r>
          <a:r>
            <a:rPr lang="en-US" sz="700" kern="1200" dirty="0" err="1"/>
            <a:t>n.d.</a:t>
          </a:r>
          <a:r>
            <a:rPr lang="en-US" sz="700" kern="1200" dirty="0"/>
            <a:t>).</a:t>
          </a:r>
        </a:p>
      </dsp:txBody>
      <dsp:txXfrm>
        <a:off x="1752600" y="1059826"/>
        <a:ext cx="2458096" cy="341607"/>
      </dsp:txXfrm>
    </dsp:sp>
    <dsp:sp modelId="{6B574BA7-13FE-482D-B8E7-3DFFC18974D5}">
      <dsp:nvSpPr>
        <dsp:cNvPr id="0" name=""/>
        <dsp:cNvSpPr/>
      </dsp:nvSpPr>
      <dsp:spPr>
        <a:xfrm>
          <a:off x="0" y="1002891"/>
          <a:ext cx="1752600" cy="455477"/>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b="1" kern="1200"/>
            <a:t>Workforce:</a:t>
          </a:r>
          <a:r>
            <a:rPr lang="en-US" sz="1500" kern="1200"/>
            <a:t> </a:t>
          </a:r>
        </a:p>
      </dsp:txBody>
      <dsp:txXfrm>
        <a:off x="22235" y="1025126"/>
        <a:ext cx="1708130" cy="411007"/>
      </dsp:txXfrm>
    </dsp:sp>
    <dsp:sp modelId="{737DBB45-0B37-4EF4-A525-674285B4942F}">
      <dsp:nvSpPr>
        <dsp:cNvPr id="0" name=""/>
        <dsp:cNvSpPr/>
      </dsp:nvSpPr>
      <dsp:spPr>
        <a:xfrm>
          <a:off x="1752600" y="1503916"/>
          <a:ext cx="2628900" cy="455477"/>
        </a:xfrm>
        <a:prstGeom prst="rightArrow">
          <a:avLst>
            <a:gd name="adj1" fmla="val 75000"/>
            <a:gd name="adj2" fmla="val 50000"/>
          </a:avLst>
        </a:prstGeom>
        <a:solidFill>
          <a:schemeClr val="accent3">
            <a:tint val="40000"/>
            <a:alpha val="90000"/>
            <a:hueOff val="1521856"/>
            <a:satOff val="75000"/>
            <a:lumOff val="1334"/>
            <a:alphaOff val="0"/>
          </a:schemeClr>
        </a:solidFill>
        <a:ln w="12700" cap="flat" cmpd="sng" algn="ctr">
          <a:solidFill>
            <a:schemeClr val="accent3">
              <a:tint val="40000"/>
              <a:alpha val="90000"/>
              <a:hueOff val="1521856"/>
              <a:satOff val="75000"/>
              <a:lumOff val="1334"/>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rtl="0">
            <a:lnSpc>
              <a:spcPct val="90000"/>
            </a:lnSpc>
            <a:spcBef>
              <a:spcPct val="0"/>
            </a:spcBef>
            <a:spcAft>
              <a:spcPct val="15000"/>
            </a:spcAft>
            <a:buChar char="•"/>
          </a:pPr>
          <a:r>
            <a:rPr lang="en-US" sz="700" kern="1200"/>
            <a:t>referrals from GPs, hospitals, self-referral; single-point-of-access in some areas; personalised care plans and reasonable adjustments recorded in patient records. </a:t>
          </a:r>
        </a:p>
      </dsp:txBody>
      <dsp:txXfrm>
        <a:off x="1752600" y="1560851"/>
        <a:ext cx="2458096" cy="341607"/>
      </dsp:txXfrm>
    </dsp:sp>
    <dsp:sp modelId="{C2B75499-F93F-42B0-95B3-813304BAF725}">
      <dsp:nvSpPr>
        <dsp:cNvPr id="0" name=""/>
        <dsp:cNvSpPr/>
      </dsp:nvSpPr>
      <dsp:spPr>
        <a:xfrm>
          <a:off x="0" y="1503916"/>
          <a:ext cx="1752600" cy="455477"/>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b="1" kern="1200"/>
            <a:t>Pathways:</a:t>
          </a:r>
          <a:r>
            <a:rPr lang="en-US" sz="1500" kern="1200"/>
            <a:t> </a:t>
          </a:r>
        </a:p>
      </dsp:txBody>
      <dsp:txXfrm>
        <a:off x="22235" y="1526151"/>
        <a:ext cx="1708130" cy="411007"/>
      </dsp:txXfrm>
    </dsp:sp>
    <dsp:sp modelId="{D8997E67-56DF-4927-ADEE-403DD229EBED}">
      <dsp:nvSpPr>
        <dsp:cNvPr id="0" name=""/>
        <dsp:cNvSpPr/>
      </dsp:nvSpPr>
      <dsp:spPr>
        <a:xfrm>
          <a:off x="1752600" y="2004941"/>
          <a:ext cx="2628900" cy="455477"/>
        </a:xfrm>
        <a:prstGeom prst="rightArrow">
          <a:avLst>
            <a:gd name="adj1" fmla="val 75000"/>
            <a:gd name="adj2" fmla="val 50000"/>
          </a:avLst>
        </a:prstGeom>
        <a:solidFill>
          <a:schemeClr val="accent3">
            <a:tint val="40000"/>
            <a:alpha val="90000"/>
            <a:hueOff val="2029141"/>
            <a:satOff val="100000"/>
            <a:lumOff val="1779"/>
            <a:alphaOff val="0"/>
          </a:schemeClr>
        </a:solidFill>
        <a:ln w="12700" cap="flat" cmpd="sng" algn="ctr">
          <a:solidFill>
            <a:schemeClr val="accent3">
              <a:tint val="40000"/>
              <a:alpha val="90000"/>
              <a:hueOff val="2029141"/>
              <a:satOff val="100000"/>
              <a:lumOff val="1779"/>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445" tIns="4445" rIns="4445" bIns="4445" numCol="1" spcCol="1270" anchor="t" anchorCtr="0">
          <a:noAutofit/>
        </a:bodyPr>
        <a:lstStyle/>
        <a:p>
          <a:pPr marL="57150" lvl="1" indent="-57150" algn="l" defTabSz="311150" rtl="0">
            <a:lnSpc>
              <a:spcPct val="90000"/>
            </a:lnSpc>
            <a:spcBef>
              <a:spcPct val="0"/>
            </a:spcBef>
            <a:spcAft>
              <a:spcPct val="15000"/>
            </a:spcAft>
            <a:buChar char="•"/>
          </a:pPr>
          <a:r>
            <a:rPr lang="en-US" sz="700" kern="1200" dirty="0"/>
            <a:t>community-based rehabilitation (CBR) frameworks </a:t>
          </a:r>
          <a:r>
            <a:rPr lang="en-US" sz="700" kern="1200" dirty="0" err="1"/>
            <a:t>emphasise</a:t>
          </a:r>
          <a:r>
            <a:rPr lang="en-US" sz="700" kern="1200" dirty="0"/>
            <a:t> community participation, multi-sector action (health, education, livelihood) and local monitoring/evaluation (</a:t>
          </a:r>
          <a:r>
            <a:rPr lang="en-US" sz="700" kern="1200" dirty="0" err="1"/>
            <a:t>Iemmi</a:t>
          </a:r>
          <a:r>
            <a:rPr lang="en-US" sz="700" kern="1200"/>
            <a:t>, 2017).</a:t>
          </a:r>
        </a:p>
      </dsp:txBody>
      <dsp:txXfrm>
        <a:off x="1752600" y="2061876"/>
        <a:ext cx="2458096" cy="341607"/>
      </dsp:txXfrm>
    </dsp:sp>
    <dsp:sp modelId="{8851203A-B8DB-4D7D-BC57-1F53F0B8984C}">
      <dsp:nvSpPr>
        <dsp:cNvPr id="0" name=""/>
        <dsp:cNvSpPr/>
      </dsp:nvSpPr>
      <dsp:spPr>
        <a:xfrm>
          <a:off x="0" y="2004941"/>
          <a:ext cx="1752600" cy="455477"/>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28575" rIns="57150" bIns="28575" numCol="1" spcCol="1270" anchor="ctr" anchorCtr="0">
          <a:noAutofit/>
        </a:bodyPr>
        <a:lstStyle/>
        <a:p>
          <a:pPr marL="0" lvl="0" indent="0" algn="ctr" defTabSz="666750" rtl="0">
            <a:lnSpc>
              <a:spcPct val="90000"/>
            </a:lnSpc>
            <a:spcBef>
              <a:spcPct val="0"/>
            </a:spcBef>
            <a:spcAft>
              <a:spcPct val="35000"/>
            </a:spcAft>
            <a:buNone/>
          </a:pPr>
          <a:r>
            <a:rPr lang="en-US" sz="1500" b="1" kern="1200"/>
            <a:t>Evidence &amp; models:</a:t>
          </a:r>
          <a:r>
            <a:rPr lang="en-US" sz="1500" kern="1200"/>
            <a:t> </a:t>
          </a:r>
        </a:p>
      </dsp:txBody>
      <dsp:txXfrm>
        <a:off x="22235" y="2027176"/>
        <a:ext cx="1708130" cy="41100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3109BDB-B403-4E60-A7D6-48684C08255F}">
      <dsp:nvSpPr>
        <dsp:cNvPr id="0" name=""/>
        <dsp:cNvSpPr/>
      </dsp:nvSpPr>
      <dsp:spPr>
        <a:xfrm>
          <a:off x="0" y="690372"/>
          <a:ext cx="5059679" cy="920496"/>
        </a:xfrm>
        <a:prstGeom prst="notched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ADF3C9E-0080-46DE-AB12-A2AACF6D7A29}">
      <dsp:nvSpPr>
        <dsp:cNvPr id="0" name=""/>
        <dsp:cNvSpPr/>
      </dsp:nvSpPr>
      <dsp:spPr>
        <a:xfrm>
          <a:off x="2001" y="0"/>
          <a:ext cx="874944" cy="92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b" anchorCtr="1">
          <a:noAutofit/>
        </a:bodyPr>
        <a:lstStyle/>
        <a:p>
          <a:pPr marL="0" lvl="0" indent="0" algn="ctr" defTabSz="444500" rtl="0">
            <a:lnSpc>
              <a:spcPct val="90000"/>
            </a:lnSpc>
            <a:spcBef>
              <a:spcPct val="0"/>
            </a:spcBef>
            <a:spcAft>
              <a:spcPct val="35000"/>
            </a:spcAft>
            <a:buNone/>
          </a:pPr>
          <a:r>
            <a:rPr lang="en-US" sz="1000" kern="1200"/>
            <a:t>1950s </a:t>
          </a:r>
        </a:p>
        <a:p>
          <a:pPr marL="57150" lvl="1" indent="-57150" algn="ctr" defTabSz="355600" rtl="0">
            <a:lnSpc>
              <a:spcPct val="90000"/>
            </a:lnSpc>
            <a:spcBef>
              <a:spcPct val="0"/>
            </a:spcBef>
            <a:spcAft>
              <a:spcPct val="15000"/>
            </a:spcAft>
            <a:buChar char="•"/>
          </a:pPr>
          <a:r>
            <a:rPr lang="en-US" sz="800" kern="1200"/>
            <a:t>institutional care dominant</a:t>
          </a:r>
        </a:p>
      </dsp:txBody>
      <dsp:txXfrm>
        <a:off x="2001" y="0"/>
        <a:ext cx="874944" cy="920496"/>
      </dsp:txXfrm>
    </dsp:sp>
    <dsp:sp modelId="{6840FF75-5BDF-4008-AD53-928072F5EF3A}">
      <dsp:nvSpPr>
        <dsp:cNvPr id="0" name=""/>
        <dsp:cNvSpPr/>
      </dsp:nvSpPr>
      <dsp:spPr>
        <a:xfrm>
          <a:off x="324411" y="1035558"/>
          <a:ext cx="230124" cy="230124"/>
        </a:xfrm>
        <a:prstGeom prst="ellipse">
          <a:avLst/>
        </a:prstGeom>
        <a:blipFill rotWithShape="0">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96DBD5F6-6114-4F33-BBCC-7560F5A10B21}">
      <dsp:nvSpPr>
        <dsp:cNvPr id="0" name=""/>
        <dsp:cNvSpPr/>
      </dsp:nvSpPr>
      <dsp:spPr>
        <a:xfrm>
          <a:off x="920692" y="1380744"/>
          <a:ext cx="874944" cy="92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t" anchorCtr="1">
          <a:noAutofit/>
        </a:bodyPr>
        <a:lstStyle/>
        <a:p>
          <a:pPr marL="0" lvl="0" indent="0" algn="ctr" defTabSz="444500" rtl="0">
            <a:lnSpc>
              <a:spcPct val="90000"/>
            </a:lnSpc>
            <a:spcBef>
              <a:spcPct val="0"/>
            </a:spcBef>
            <a:spcAft>
              <a:spcPct val="35000"/>
            </a:spcAft>
            <a:buNone/>
          </a:pPr>
          <a:r>
            <a:rPr lang="en-US" sz="1000" kern="1200"/>
            <a:t>1970s–80s </a:t>
          </a:r>
        </a:p>
        <a:p>
          <a:pPr marL="57150" lvl="1" indent="-57150" algn="ctr" defTabSz="355600" rtl="0">
            <a:lnSpc>
              <a:spcPct val="90000"/>
            </a:lnSpc>
            <a:spcBef>
              <a:spcPct val="0"/>
            </a:spcBef>
            <a:spcAft>
              <a:spcPct val="15000"/>
            </a:spcAft>
            <a:buChar char="•"/>
          </a:pPr>
          <a:r>
            <a:rPr lang="en-US" sz="800" kern="1200"/>
            <a:t>criticism of long-stay hospitals </a:t>
          </a:r>
        </a:p>
        <a:p>
          <a:pPr marL="57150" lvl="1" indent="-57150" algn="ctr" defTabSz="355600" rtl="0">
            <a:lnSpc>
              <a:spcPct val="90000"/>
            </a:lnSpc>
            <a:spcBef>
              <a:spcPct val="0"/>
            </a:spcBef>
            <a:spcAft>
              <a:spcPct val="15000"/>
            </a:spcAft>
            <a:buChar char="•"/>
          </a:pPr>
          <a:r>
            <a:rPr lang="en-US" sz="800" kern="1200"/>
            <a:t>policy shift to "care in the community"</a:t>
          </a:r>
        </a:p>
      </dsp:txBody>
      <dsp:txXfrm>
        <a:off x="920692" y="1380744"/>
        <a:ext cx="874944" cy="920496"/>
      </dsp:txXfrm>
    </dsp:sp>
    <dsp:sp modelId="{A6776B36-2C60-4246-B0A1-CAA54A55108C}">
      <dsp:nvSpPr>
        <dsp:cNvPr id="0" name=""/>
        <dsp:cNvSpPr/>
      </dsp:nvSpPr>
      <dsp:spPr>
        <a:xfrm>
          <a:off x="1243102" y="1035558"/>
          <a:ext cx="230124" cy="230124"/>
        </a:xfrm>
        <a:prstGeom prst="ellipse">
          <a:avLst/>
        </a:prstGeom>
        <a:blipFill rotWithShape="0">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6D9668-58C0-486C-A698-D0AAEE8FA2F0}">
      <dsp:nvSpPr>
        <dsp:cNvPr id="0" name=""/>
        <dsp:cNvSpPr/>
      </dsp:nvSpPr>
      <dsp:spPr>
        <a:xfrm>
          <a:off x="1839383" y="0"/>
          <a:ext cx="874944" cy="92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b" anchorCtr="1">
          <a:noAutofit/>
        </a:bodyPr>
        <a:lstStyle/>
        <a:p>
          <a:pPr marL="0" lvl="0" indent="0" algn="ctr" defTabSz="444500" rtl="0">
            <a:lnSpc>
              <a:spcPct val="90000"/>
            </a:lnSpc>
            <a:spcBef>
              <a:spcPct val="0"/>
            </a:spcBef>
            <a:spcAft>
              <a:spcPct val="35000"/>
            </a:spcAft>
            <a:buNone/>
          </a:pPr>
          <a:r>
            <a:rPr lang="en-US" sz="1000" kern="1200"/>
            <a:t>1980s–2000s </a:t>
          </a:r>
        </a:p>
        <a:p>
          <a:pPr marL="57150" lvl="1" indent="-57150" algn="ctr" defTabSz="355600" rtl="0">
            <a:lnSpc>
              <a:spcPct val="90000"/>
            </a:lnSpc>
            <a:spcBef>
              <a:spcPct val="0"/>
            </a:spcBef>
            <a:spcAft>
              <a:spcPct val="15000"/>
            </a:spcAft>
            <a:buChar char="•"/>
          </a:pPr>
          <a:r>
            <a:rPr lang="en-US" sz="800" kern="1200"/>
            <a:t>deinstitutionalisation + rise of community-based rehab and personalisation</a:t>
          </a:r>
        </a:p>
      </dsp:txBody>
      <dsp:txXfrm>
        <a:off x="1839383" y="0"/>
        <a:ext cx="874944" cy="920496"/>
      </dsp:txXfrm>
    </dsp:sp>
    <dsp:sp modelId="{60342B5F-6FFA-46BA-A736-2E7546463385}">
      <dsp:nvSpPr>
        <dsp:cNvPr id="0" name=""/>
        <dsp:cNvSpPr/>
      </dsp:nvSpPr>
      <dsp:spPr>
        <a:xfrm>
          <a:off x="2161793" y="1035558"/>
          <a:ext cx="230124" cy="230124"/>
        </a:xfrm>
        <a:prstGeom prst="ellipse">
          <a:avLst/>
        </a:prstGeom>
        <a:blipFill rotWithShape="0">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7D06635-1D08-47D1-94C4-C6366B027F6E}">
      <dsp:nvSpPr>
        <dsp:cNvPr id="0" name=""/>
        <dsp:cNvSpPr/>
      </dsp:nvSpPr>
      <dsp:spPr>
        <a:xfrm>
          <a:off x="2758075" y="1380744"/>
          <a:ext cx="874944" cy="92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t" anchorCtr="1">
          <a:noAutofit/>
        </a:bodyPr>
        <a:lstStyle/>
        <a:p>
          <a:pPr marL="0" lvl="0" indent="0" algn="ctr" defTabSz="444500" rtl="0">
            <a:lnSpc>
              <a:spcPct val="90000"/>
            </a:lnSpc>
            <a:spcBef>
              <a:spcPct val="0"/>
            </a:spcBef>
            <a:spcAft>
              <a:spcPct val="35000"/>
            </a:spcAft>
            <a:buNone/>
          </a:pPr>
          <a:r>
            <a:rPr lang="en-US" sz="1000" kern="1200"/>
            <a:t>2010s–2020s </a:t>
          </a:r>
        </a:p>
        <a:p>
          <a:pPr marL="57150" lvl="1" indent="-57150" algn="ctr" defTabSz="355600" rtl="0">
            <a:lnSpc>
              <a:spcPct val="90000"/>
            </a:lnSpc>
            <a:spcBef>
              <a:spcPct val="0"/>
            </a:spcBef>
            <a:spcAft>
              <a:spcPct val="15000"/>
            </a:spcAft>
            <a:buChar char="•"/>
          </a:pPr>
          <a:r>
            <a:rPr lang="en-US" sz="800" kern="1200"/>
            <a:t>integration with health, personal budgets, ICB commissioning reforms</a:t>
          </a:r>
        </a:p>
      </dsp:txBody>
      <dsp:txXfrm>
        <a:off x="2758075" y="1380744"/>
        <a:ext cx="874944" cy="920496"/>
      </dsp:txXfrm>
    </dsp:sp>
    <dsp:sp modelId="{A2089064-E50B-412C-9205-D7870A6DDBBF}">
      <dsp:nvSpPr>
        <dsp:cNvPr id="0" name=""/>
        <dsp:cNvSpPr/>
      </dsp:nvSpPr>
      <dsp:spPr>
        <a:xfrm>
          <a:off x="3080485" y="1035558"/>
          <a:ext cx="230124" cy="230124"/>
        </a:xfrm>
        <a:prstGeom prst="ellipse">
          <a:avLst/>
        </a:prstGeom>
        <a:blipFill rotWithShape="0">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655B2A3-5783-475D-8874-F31A780AEF2B}">
      <dsp:nvSpPr>
        <dsp:cNvPr id="0" name=""/>
        <dsp:cNvSpPr/>
      </dsp:nvSpPr>
      <dsp:spPr>
        <a:xfrm>
          <a:off x="3676766" y="0"/>
          <a:ext cx="874944" cy="92049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1120" tIns="71120" rIns="71120" bIns="71120" numCol="1" spcCol="1270" anchor="b" anchorCtr="1">
          <a:noAutofit/>
        </a:bodyPr>
        <a:lstStyle/>
        <a:p>
          <a:pPr marL="0" lvl="0" indent="0" algn="ctr" defTabSz="444500" rtl="0">
            <a:lnSpc>
              <a:spcPct val="90000"/>
            </a:lnSpc>
            <a:spcBef>
              <a:spcPct val="0"/>
            </a:spcBef>
            <a:spcAft>
              <a:spcPct val="35000"/>
            </a:spcAft>
            <a:buNone/>
          </a:pPr>
          <a:r>
            <a:rPr lang="en-US" sz="1000" kern="1200"/>
            <a:t>2020s </a:t>
          </a:r>
        </a:p>
        <a:p>
          <a:pPr marL="57150" lvl="1" indent="-57150" algn="ctr" defTabSz="355600" rtl="0">
            <a:lnSpc>
              <a:spcPct val="90000"/>
            </a:lnSpc>
            <a:spcBef>
              <a:spcPct val="0"/>
            </a:spcBef>
            <a:spcAft>
              <a:spcPct val="15000"/>
            </a:spcAft>
            <a:buChar char="•"/>
          </a:pPr>
          <a:r>
            <a:rPr lang="en-US" sz="800" kern="1200"/>
            <a:t>renewed focus on standardising and data for community services</a:t>
          </a:r>
        </a:p>
      </dsp:txBody>
      <dsp:txXfrm>
        <a:off x="3676766" y="0"/>
        <a:ext cx="874944" cy="920496"/>
      </dsp:txXfrm>
    </dsp:sp>
    <dsp:sp modelId="{ED8E6EDD-CEB6-4242-8414-652DD6EEBE44}">
      <dsp:nvSpPr>
        <dsp:cNvPr id="0" name=""/>
        <dsp:cNvSpPr/>
      </dsp:nvSpPr>
      <dsp:spPr>
        <a:xfrm>
          <a:off x="3999176" y="1035558"/>
          <a:ext cx="230124" cy="230124"/>
        </a:xfrm>
        <a:prstGeom prst="ellipse">
          <a:avLst/>
        </a:prstGeom>
        <a:blipFill rotWithShape="0">
          <a:blip xmlns:r="http://schemas.openxmlformats.org/officeDocument/2006/relationships" r:embed="rId1"/>
          <a:stretch>
            <a:fillRect/>
          </a:stretch>
        </a:blipFill>
        <a:ln w="12700" cap="flat" cmpd="sng" algn="ctr">
          <a:solidFill>
            <a:schemeClr val="accent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569423-2C86-4D8E-8A43-1A4352CDEFF6}">
      <dsp:nvSpPr>
        <dsp:cNvPr id="0" name=""/>
        <dsp:cNvSpPr/>
      </dsp:nvSpPr>
      <dsp:spPr>
        <a:xfrm>
          <a:off x="2943051" y="1024306"/>
          <a:ext cx="91440" cy="366927"/>
        </a:xfrm>
        <a:custGeom>
          <a:avLst/>
          <a:gdLst/>
          <a:ahLst/>
          <a:cxnLst/>
          <a:rect l="0" t="0" r="0" b="0"/>
          <a:pathLst>
            <a:path>
              <a:moveTo>
                <a:pt x="45720" y="0"/>
              </a:moveTo>
              <a:lnTo>
                <a:pt x="45720" y="36692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7D73461-2E52-46DF-8742-D470D43BD49E}">
      <dsp:nvSpPr>
        <dsp:cNvPr id="0" name=""/>
        <dsp:cNvSpPr/>
      </dsp:nvSpPr>
      <dsp:spPr>
        <a:xfrm>
          <a:off x="828848" y="1024306"/>
          <a:ext cx="91440" cy="366927"/>
        </a:xfrm>
        <a:custGeom>
          <a:avLst/>
          <a:gdLst/>
          <a:ahLst/>
          <a:cxnLst/>
          <a:rect l="0" t="0" r="0" b="0"/>
          <a:pathLst>
            <a:path>
              <a:moveTo>
                <a:pt x="45720" y="0"/>
              </a:moveTo>
              <a:lnTo>
                <a:pt x="45720" y="36692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D35FA33-6ECB-4FB1-B8B5-895EA3EC96A3}">
      <dsp:nvSpPr>
        <dsp:cNvPr id="0" name=""/>
        <dsp:cNvSpPr/>
      </dsp:nvSpPr>
      <dsp:spPr>
        <a:xfrm>
          <a:off x="931" y="150668"/>
          <a:ext cx="1747274" cy="873637"/>
        </a:xfrm>
        <a:prstGeom prst="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rtl="0">
            <a:lnSpc>
              <a:spcPct val="90000"/>
            </a:lnSpc>
            <a:spcBef>
              <a:spcPct val="0"/>
            </a:spcBef>
            <a:spcAft>
              <a:spcPct val="35000"/>
            </a:spcAft>
            <a:buNone/>
          </a:pPr>
          <a:r>
            <a:rPr lang="en-US" sz="700" b="1" kern="1200"/>
            <a:t>1. Funding and commissioning complexity</a:t>
          </a:r>
          <a:endParaRPr lang="en-US" sz="700" kern="1200"/>
        </a:p>
      </dsp:txBody>
      <dsp:txXfrm>
        <a:off x="931" y="150668"/>
        <a:ext cx="1747274" cy="873637"/>
      </dsp:txXfrm>
    </dsp:sp>
    <dsp:sp modelId="{01DA6984-8EDC-4C25-9867-8918D0168237}">
      <dsp:nvSpPr>
        <dsp:cNvPr id="0" name=""/>
        <dsp:cNvSpPr/>
      </dsp:nvSpPr>
      <dsp:spPr>
        <a:xfrm>
          <a:off x="931" y="1391233"/>
          <a:ext cx="1747274" cy="873637"/>
        </a:xfrm>
        <a:prstGeom prst="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rtl="0">
            <a:lnSpc>
              <a:spcPct val="90000"/>
            </a:lnSpc>
            <a:spcBef>
              <a:spcPct val="0"/>
            </a:spcBef>
            <a:spcAft>
              <a:spcPct val="35000"/>
            </a:spcAft>
            <a:buNone/>
          </a:pPr>
          <a:r>
            <a:rPr lang="en-US" sz="700" kern="1200"/>
            <a:t>Community disability services are funded through a combination of NHS, local authority, and voluntary sector resources. This mixed funding system leads to variation in service availability and eligibility across regions, resulting in inequalities in access to care (The King’s Fund, 2023).</a:t>
          </a:r>
        </a:p>
      </dsp:txBody>
      <dsp:txXfrm>
        <a:off x="931" y="1391233"/>
        <a:ext cx="1747274" cy="873637"/>
      </dsp:txXfrm>
    </dsp:sp>
    <dsp:sp modelId="{4D79069D-513F-4EE6-B347-50E72F271F93}">
      <dsp:nvSpPr>
        <dsp:cNvPr id="0" name=""/>
        <dsp:cNvSpPr/>
      </dsp:nvSpPr>
      <dsp:spPr>
        <a:xfrm>
          <a:off x="2115133" y="150668"/>
          <a:ext cx="1747274" cy="873637"/>
        </a:xfrm>
        <a:prstGeom prst="rect">
          <a:avLst/>
        </a:prstGeom>
        <a:solidFill>
          <a:schemeClr val="tx2"/>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rtl="0">
            <a:lnSpc>
              <a:spcPct val="90000"/>
            </a:lnSpc>
            <a:spcBef>
              <a:spcPct val="0"/>
            </a:spcBef>
            <a:spcAft>
              <a:spcPct val="35000"/>
            </a:spcAft>
            <a:buNone/>
          </a:pPr>
          <a:r>
            <a:rPr lang="en-US" sz="700" b="1" kern="1200"/>
            <a:t>2. Workforce capacity and skills shortages</a:t>
          </a:r>
          <a:endParaRPr lang="en-US" sz="700" kern="1200"/>
        </a:p>
      </dsp:txBody>
      <dsp:txXfrm>
        <a:off x="2115133" y="150668"/>
        <a:ext cx="1747274" cy="873637"/>
      </dsp:txXfrm>
    </dsp:sp>
    <dsp:sp modelId="{3CFB5692-50F4-485A-91CA-B0A575A1762B}">
      <dsp:nvSpPr>
        <dsp:cNvPr id="0" name=""/>
        <dsp:cNvSpPr/>
      </dsp:nvSpPr>
      <dsp:spPr>
        <a:xfrm>
          <a:off x="2115133" y="1391233"/>
          <a:ext cx="1747274" cy="873637"/>
        </a:xfrm>
        <a:prstGeom prst="rect">
          <a:avLst/>
        </a:prstGeom>
        <a:solidFill>
          <a:srgbClr val="009999"/>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rtl="0">
            <a:lnSpc>
              <a:spcPct val="90000"/>
            </a:lnSpc>
            <a:spcBef>
              <a:spcPct val="0"/>
            </a:spcBef>
            <a:spcAft>
              <a:spcPct val="35000"/>
            </a:spcAft>
            <a:buNone/>
          </a:pPr>
          <a:r>
            <a:rPr lang="en-US" sz="700" kern="1200"/>
            <a:t>Services rely on specialist professionals and support staff, but workforce shortages, recruitment difficulties, and limited training opportunities place pressure on service delivery. NHS England (2025) identifies workforce sustainability as a key challenge to delivering consistent and high-quality community disability care.</a:t>
          </a:r>
        </a:p>
      </dsp:txBody>
      <dsp:txXfrm>
        <a:off x="2115133" y="1391233"/>
        <a:ext cx="1747274" cy="873637"/>
      </dsp:txXfrm>
    </dsp:sp>
  </dsp:spTree>
</dsp:drawing>
</file>

<file path=word/diagrams/layout1.xml><?xml version="1.0" encoding="utf-8"?>
<dgm:layoutDef xmlns:dgm="http://schemas.openxmlformats.org/drawingml/2006/diagram" xmlns:a="http://schemas.openxmlformats.org/drawingml/2006/main" uniqueId="urn:microsoft.com/office/officeart/2005/8/layout/vList4">
  <dgm:title val=""/>
  <dgm:desc val=""/>
  <dgm:catLst>
    <dgm:cat type="list" pri="13000"/>
    <dgm:cat type="picture" pri="26000"/>
    <dgm:cat type="pictureconvert" pri="26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resizeHandles val="exact"/>
    </dgm:varLst>
    <dgm:alg type="lin">
      <dgm:param type="linDir" val="fromT"/>
      <dgm:param type="vertAlign" val="t"/>
    </dgm:alg>
    <dgm:shape xmlns:r="http://schemas.openxmlformats.org/officeDocument/2006/relationships" r:blip="">
      <dgm:adjLst/>
    </dgm:shape>
    <dgm:presOf/>
    <dgm:constrLst>
      <dgm:constr type="w" for="ch" forName="comp" refType="w"/>
      <dgm:constr type="h" for="ch" forName="comp" refType="h"/>
      <dgm:constr type="h" for="ch" forName="spacer" refType="h" refFor="ch" refForName="comp" op="equ" fact="0.1"/>
      <dgm:constr type="primFontSz" for="des" forName="text" op="equ" val="65"/>
    </dgm:constrLst>
    <dgm:ruleLst/>
    <dgm:forEach name="Name0" axis="ch" ptType="node">
      <dgm:layoutNode name="comp" styleLbl="node1">
        <dgm:alg type="composite"/>
        <dgm:shape xmlns:r="http://schemas.openxmlformats.org/officeDocument/2006/relationships" r:blip="">
          <dgm:adjLst/>
        </dgm:shape>
        <dgm:presOf/>
        <dgm:choose name="Name1">
          <dgm:if name="Name2" func="var" arg="dir" op="equ" val="norm">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l" for="ch" forName="img" refType="h" refFor="ch" refForName="box" fact="0.1"/>
              <dgm:constr type="h" for="ch" forName="text" refType="h"/>
              <dgm:constr type="l" for="ch" forName="text" refType="r" refFor="ch" refForName="img"/>
              <dgm:constr type="r" for="ch" forName="text" refType="w"/>
            </dgm:constrLst>
          </dgm:if>
          <dgm:else name="Name3">
            <dgm:constrLst>
              <dgm:constr type="h" for="ch" forName="box" refType="h"/>
              <dgm:constr type="w" for="ch" forName="box" refType="w"/>
              <dgm:constr type="w" for="ch" forName="img" refType="w" refFor="ch" refForName="box" fact="0.2"/>
              <dgm:constr type="h" for="ch" forName="img" refType="h" refFor="ch" refForName="box" fact="0.8"/>
              <dgm:constr type="t" for="ch" forName="img" refType="h" refFor="ch" refForName="box" fact="0.1"/>
              <dgm:constr type="r" for="ch" forName="img" refType="w" refFor="ch" refForName="box"/>
              <dgm:constr type="rOff" for="ch" forName="img" refType="h" refFor="ch" refForName="box" fact="-0.1"/>
              <dgm:constr type="h" for="ch" forName="text" refType="h"/>
              <dgm:constr type="r" for="ch" forName="text" refType="l" refFor="ch" refForName="img"/>
              <dgm:constr type="l" for="ch" forName="text"/>
            </dgm:constrLst>
          </dgm:else>
        </dgm:choose>
        <dgm:ruleLst/>
        <dgm:layoutNode name="box" styleLbl="node1">
          <dgm:alg type="sp"/>
          <dgm:shape xmlns:r="http://schemas.openxmlformats.org/officeDocument/2006/relationships" type="roundRect" r:blip="">
            <dgm:adjLst>
              <dgm:adj idx="1" val="0.1"/>
            </dgm:adjLst>
          </dgm:shape>
          <dgm:presOf axis="desOrSelf" ptType="node"/>
          <dgm:constrLst/>
          <dgm:ruleLst/>
        </dgm:layoutNode>
        <dgm:layoutNode name="img" styleLbl="fgImgPlace1">
          <dgm:alg type="sp"/>
          <dgm:shape xmlns:r="http://schemas.openxmlformats.org/officeDocument/2006/relationships" type="roundRect" r:blip="" blipPhldr="1">
            <dgm:adjLst>
              <dgm:adj idx="1" val="0.1"/>
            </dgm:adjLst>
          </dgm:shape>
          <dgm:presOf/>
          <dgm:constrLst/>
          <dgm:ruleLst/>
        </dgm:layoutNode>
        <dgm:layoutNode name="text">
          <dgm:varLst>
            <dgm:bulletEnabled val="1"/>
          </dgm:varLst>
          <dgm:alg type="tx">
            <dgm:param type="parTxLTRAlign" val="l"/>
            <dgm:param type="parTxRTLAlign" val="r"/>
          </dgm:alg>
          <dgm:shape xmlns:r="http://schemas.openxmlformats.org/officeDocument/2006/relationships" type="rect" r:blip="" hideGeom="1">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name="Name4" axis="followSib" ptType="sibTrans" cnt="1">
        <dgm:layoutNode name="spacer">
          <dgm:alg type="sp"/>
          <dgm:shape xmlns:r="http://schemas.openxmlformats.org/officeDocument/2006/relationships" r:blip="">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6</Pages>
  <Words>1287</Words>
  <Characters>7339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Chesney Haroon (2505431)</cp:lastModifiedBy>
  <cp:revision>53</cp:revision>
  <dcterms:created xsi:type="dcterms:W3CDTF">2026-02-06T13:16:00Z</dcterms:created>
  <dcterms:modified xsi:type="dcterms:W3CDTF">2026-02-20T15:07:00Z</dcterms:modified>
</cp:coreProperties>
</file>