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372880" w14:textId="77777777" w:rsidR="00274659" w:rsidRPr="003A32C8" w:rsidRDefault="00B84DC9" w:rsidP="003A32C8">
      <w:pPr>
        <w:spacing w:line="360" w:lineRule="auto"/>
        <w:jc w:val="both"/>
        <w:rPr>
          <w:rFonts w:ascii="Arial" w:eastAsia="Arial" w:hAnsi="Arial" w:cs="Arial"/>
          <w:sz w:val="28"/>
          <w:szCs w:val="28"/>
          <w:lang w:val="en-GB"/>
        </w:rPr>
      </w:pPr>
      <w:r w:rsidRPr="003A32C8">
        <w:rPr>
          <w:rFonts w:ascii="Arial" w:eastAsia="Arial" w:hAnsi="Arial" w:cs="Arial"/>
          <w:sz w:val="28"/>
          <w:szCs w:val="28"/>
          <w:u w:val="single"/>
          <w:lang w:val="en-GB"/>
        </w:rPr>
        <w:t>Well-being, care and healthy living (ECEY5009/C)</w:t>
      </w:r>
    </w:p>
    <w:p w14:paraId="7B14411E" w14:textId="77777777" w:rsidR="003029CB" w:rsidRPr="003A32C8" w:rsidRDefault="003029CB" w:rsidP="003A32C8">
      <w:pPr>
        <w:spacing w:line="360" w:lineRule="auto"/>
        <w:rPr>
          <w:rFonts w:ascii="Arial" w:eastAsia="Times New Roman" w:hAnsi="Arial" w:cs="Arial"/>
          <w:b/>
          <w:bCs/>
          <w:sz w:val="28"/>
          <w:szCs w:val="28"/>
          <w:lang w:val="en-GB" w:eastAsia="en-GB"/>
        </w:rPr>
      </w:pPr>
      <w:r w:rsidRPr="003A32C8">
        <w:rPr>
          <w:rFonts w:ascii="Arial" w:eastAsia="Times New Roman" w:hAnsi="Arial" w:cs="Arial"/>
          <w:b/>
          <w:bCs/>
          <w:sz w:val="28"/>
          <w:szCs w:val="28"/>
          <w:lang w:val="en-GB" w:eastAsia="en-GB"/>
        </w:rPr>
        <w:t>Introduction and Definition: Childhood Obesity</w:t>
      </w:r>
    </w:p>
    <w:p w14:paraId="5313168E" w14:textId="77777777" w:rsidR="003029CB" w:rsidRPr="003A32C8" w:rsidRDefault="003029CB"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Good morning, my name is Nurul. Today, I will be discussing a significant issue affecting the health and well-being of children in the UK and Wales: childhood obesity. Childhood obesity is defined as a condition where a child is significantly overweight for their age and height. This is often measured using the Body Mass Index (BMI), a tool that calculates weight relative to height. Children with a BMI above the 95th percentile for their age and gender are classified as obese. The rising prevalence of obesity in children is a cause for concern, with substantial implications for their physical health, emotional well-being, and social interactions (Public Health Wales, 2023; WHO, 2024). Understanding and addressing childhood obesity is particularly critical in early years education, as these formative years are pivotal in establishing lifelong health habits and behaviours.</w:t>
      </w:r>
    </w:p>
    <w:p w14:paraId="1E552CC4" w14:textId="77777777" w:rsidR="003029CB" w:rsidRPr="003A32C8" w:rsidRDefault="003029CB" w:rsidP="003A32C8">
      <w:pPr>
        <w:spacing w:line="360" w:lineRule="auto"/>
        <w:rPr>
          <w:rFonts w:ascii="Arial" w:eastAsia="Times New Roman" w:hAnsi="Arial" w:cs="Arial"/>
          <w:b/>
          <w:bCs/>
          <w:sz w:val="28"/>
          <w:szCs w:val="28"/>
          <w:lang w:val="en-GB" w:eastAsia="en-GB"/>
        </w:rPr>
      </w:pPr>
      <w:r w:rsidRPr="003A32C8">
        <w:rPr>
          <w:rFonts w:ascii="Arial" w:eastAsia="Times New Roman" w:hAnsi="Arial" w:cs="Arial"/>
          <w:b/>
          <w:bCs/>
          <w:sz w:val="28"/>
          <w:szCs w:val="28"/>
          <w:lang w:val="en-GB" w:eastAsia="en-GB"/>
        </w:rPr>
        <w:t>Why is Childhood Obesity Significant?</w:t>
      </w:r>
    </w:p>
    <w:p w14:paraId="44A31340" w14:textId="77777777" w:rsidR="003029CB" w:rsidRPr="003A32C8" w:rsidRDefault="003029CB" w:rsidP="003A32C8">
      <w:pPr>
        <w:spacing w:line="360" w:lineRule="auto"/>
        <w:rPr>
          <w:rFonts w:ascii="Arial" w:eastAsia="Times New Roman" w:hAnsi="Arial" w:cs="Arial"/>
          <w:b/>
          <w:bCs/>
          <w:sz w:val="28"/>
          <w:szCs w:val="28"/>
          <w:lang w:val="en-GB" w:eastAsia="en-GB"/>
        </w:rPr>
      </w:pPr>
      <w:r w:rsidRPr="003A32C8">
        <w:rPr>
          <w:rFonts w:ascii="Arial" w:eastAsia="Times New Roman" w:hAnsi="Arial" w:cs="Arial"/>
          <w:b/>
          <w:bCs/>
          <w:sz w:val="28"/>
          <w:szCs w:val="28"/>
          <w:lang w:val="en-GB" w:eastAsia="en-GB"/>
        </w:rPr>
        <w:t>Health Impact</w:t>
      </w:r>
    </w:p>
    <w:p w14:paraId="1FE9698B" w14:textId="77777777" w:rsidR="007A6089" w:rsidRPr="007A6089" w:rsidRDefault="007A6089" w:rsidP="007A6089">
      <w:pPr>
        <w:spacing w:line="360" w:lineRule="auto"/>
        <w:rPr>
          <w:rFonts w:ascii="Arial" w:eastAsia="Times New Roman" w:hAnsi="Arial" w:cs="Arial"/>
          <w:sz w:val="28"/>
          <w:szCs w:val="28"/>
          <w:lang w:val="en-GB" w:eastAsia="en-GB"/>
        </w:rPr>
      </w:pPr>
      <w:r w:rsidRPr="007A6089">
        <w:rPr>
          <w:rFonts w:ascii="Arial" w:eastAsia="Times New Roman" w:hAnsi="Arial" w:cs="Arial"/>
          <w:sz w:val="28"/>
          <w:szCs w:val="28"/>
          <w:lang w:val="en-GB" w:eastAsia="en-GB"/>
        </w:rPr>
        <w:t>Childhood obesity has both immediate and long-term health consequences. In the short term, obese children are more likely to experience breathing difficulties, joint problems, and early signs of cardiovascular disease, such as high blood pressure and high cholesterol. These health issues are particularly concerning in early years education, where the focus is on laying the foundation for a healthy life. If not addressed during these formative years, obesity can severely limit a child's potential for healthy development, affecting not just their physical health but also their academic performance and overall quality of life (Royal College of Paediatrics and Child Health, 2021).</w:t>
      </w:r>
    </w:p>
    <w:p w14:paraId="5882C685" w14:textId="77777777" w:rsidR="007A6089" w:rsidRPr="007A6089" w:rsidRDefault="007A6089" w:rsidP="007A6089">
      <w:pPr>
        <w:spacing w:line="360" w:lineRule="auto"/>
        <w:rPr>
          <w:rFonts w:ascii="Arial" w:eastAsia="Times New Roman" w:hAnsi="Arial" w:cs="Arial"/>
          <w:sz w:val="28"/>
          <w:szCs w:val="28"/>
          <w:lang w:val="en-GB" w:eastAsia="en-GB"/>
        </w:rPr>
      </w:pPr>
    </w:p>
    <w:p w14:paraId="2C06D208" w14:textId="77777777" w:rsidR="007A6089" w:rsidRPr="007A6089" w:rsidRDefault="007A6089" w:rsidP="007A6089">
      <w:pPr>
        <w:spacing w:line="360" w:lineRule="auto"/>
        <w:rPr>
          <w:rFonts w:ascii="Arial" w:eastAsia="Times New Roman" w:hAnsi="Arial" w:cs="Arial"/>
          <w:sz w:val="28"/>
          <w:szCs w:val="28"/>
          <w:lang w:val="en-GB" w:eastAsia="en-GB"/>
        </w:rPr>
      </w:pPr>
      <w:r w:rsidRPr="007A6089">
        <w:rPr>
          <w:rFonts w:ascii="Arial" w:eastAsia="Times New Roman" w:hAnsi="Arial" w:cs="Arial"/>
          <w:sz w:val="28"/>
          <w:szCs w:val="28"/>
          <w:lang w:val="en-GB" w:eastAsia="en-GB"/>
        </w:rPr>
        <w:t>In the long term, childhood obesity increases the risk of developing type 2 diabetes, coronary heart disease, and certain cancers. The Senedd (2024) report underscores that obesity is recognised as one of the most significant public health challenges in Wales, contributing to a wide range of chronic diseases, including those increasingly seen in younger populations. This issue extends beyond individual health, presenting broader implications for public health by affecting people's ability to work and their overall quality of life.</w:t>
      </w:r>
    </w:p>
    <w:p w14:paraId="1CB43E19" w14:textId="77777777" w:rsidR="007A6089" w:rsidRPr="007A6089" w:rsidRDefault="007A6089" w:rsidP="007A6089">
      <w:pPr>
        <w:spacing w:line="360" w:lineRule="auto"/>
        <w:rPr>
          <w:rFonts w:ascii="Arial" w:eastAsia="Times New Roman" w:hAnsi="Arial" w:cs="Arial"/>
          <w:sz w:val="28"/>
          <w:szCs w:val="28"/>
          <w:lang w:val="en-GB" w:eastAsia="en-GB"/>
        </w:rPr>
      </w:pPr>
    </w:p>
    <w:p w14:paraId="776161CB" w14:textId="6DF1A773" w:rsidR="007A6089" w:rsidRDefault="007A6089" w:rsidP="007A6089">
      <w:pPr>
        <w:spacing w:line="360" w:lineRule="auto"/>
        <w:rPr>
          <w:rFonts w:ascii="Arial" w:eastAsia="Times New Roman" w:hAnsi="Arial" w:cs="Arial"/>
          <w:sz w:val="28"/>
          <w:szCs w:val="28"/>
          <w:lang w:val="en-GB" w:eastAsia="en-GB"/>
        </w:rPr>
      </w:pPr>
      <w:r w:rsidRPr="007A6089">
        <w:rPr>
          <w:rFonts w:ascii="Arial" w:eastAsia="Times New Roman" w:hAnsi="Arial" w:cs="Arial"/>
          <w:sz w:val="28"/>
          <w:szCs w:val="28"/>
          <w:lang w:val="en-GB" w:eastAsia="en-GB"/>
        </w:rPr>
        <w:t xml:space="preserve">Bone (2024) further highlights the severity of this issue by revealing that a third of adults in Wales live with obesity, demonstrating the significant long-term impact that childhood obesity can have if not addressed early. The Lancet Diabetes &amp; Endocrinology (2021) notes that childhood obesity rates have risen substantially in the UK, with a marked increase in prevalence during the COVID-19 pandemic. This is particularly concerning because children with obesity are more likely to continue being obese into adulthood, increasing their risk of non-communicable diseases such as diabetes and cardiovascular disease at a younger age than their healthy-weight peers. Furthermore, </w:t>
      </w:r>
      <w:proofErr w:type="spellStart"/>
      <w:r w:rsidRPr="007A6089">
        <w:rPr>
          <w:rFonts w:ascii="Arial" w:eastAsia="Times New Roman" w:hAnsi="Arial" w:cs="Arial"/>
          <w:sz w:val="28"/>
          <w:szCs w:val="28"/>
          <w:lang w:val="en-GB" w:eastAsia="en-GB"/>
        </w:rPr>
        <w:t>Michalopoulou</w:t>
      </w:r>
      <w:proofErr w:type="spellEnd"/>
      <w:r w:rsidRPr="007A6089">
        <w:rPr>
          <w:rFonts w:ascii="Arial" w:eastAsia="Times New Roman" w:hAnsi="Arial" w:cs="Arial"/>
          <w:sz w:val="28"/>
          <w:szCs w:val="28"/>
          <w:lang w:val="en-GB" w:eastAsia="en-GB"/>
        </w:rPr>
        <w:t xml:space="preserve"> </w:t>
      </w:r>
      <w:r w:rsidRPr="007A6089">
        <w:rPr>
          <w:rFonts w:ascii="Arial" w:eastAsia="Times New Roman" w:hAnsi="Arial" w:cs="Arial"/>
          <w:i/>
          <w:iCs/>
          <w:sz w:val="28"/>
          <w:szCs w:val="28"/>
          <w:lang w:val="en-GB" w:eastAsia="en-GB"/>
        </w:rPr>
        <w:t>et al.</w:t>
      </w:r>
      <w:r w:rsidRPr="007A6089">
        <w:rPr>
          <w:rFonts w:ascii="Arial" w:eastAsia="Times New Roman" w:hAnsi="Arial" w:cs="Arial"/>
          <w:i/>
          <w:iCs/>
          <w:sz w:val="28"/>
          <w:szCs w:val="28"/>
          <w:lang w:val="en-GB" w:eastAsia="en-GB"/>
        </w:rPr>
        <w:t>,</w:t>
      </w:r>
      <w:r w:rsidRPr="007A6089">
        <w:rPr>
          <w:rFonts w:ascii="Arial" w:eastAsia="Times New Roman" w:hAnsi="Arial" w:cs="Arial"/>
          <w:sz w:val="28"/>
          <w:szCs w:val="28"/>
          <w:lang w:val="en-GB" w:eastAsia="en-GB"/>
        </w:rPr>
        <w:t xml:space="preserve"> (2024) emphasize that while some early childhood interventions show promise in reducing obesity-related outcomes, the current evidence base is limited, highlighting the need for more robust evaluations. These findings stress the importance of early intervention, given the strong tracking of obesity from childhood into adulthood.</w:t>
      </w:r>
    </w:p>
    <w:p w14:paraId="556E9E43" w14:textId="7D2E618D" w:rsidR="003029CB" w:rsidRPr="003A32C8" w:rsidRDefault="003029CB" w:rsidP="007A6089">
      <w:pPr>
        <w:spacing w:line="360" w:lineRule="auto"/>
        <w:rPr>
          <w:rFonts w:ascii="Arial" w:eastAsia="Times New Roman" w:hAnsi="Arial" w:cs="Arial"/>
          <w:b/>
          <w:bCs/>
          <w:sz w:val="28"/>
          <w:szCs w:val="28"/>
          <w:lang w:val="en-GB" w:eastAsia="en-GB"/>
        </w:rPr>
      </w:pPr>
      <w:r w:rsidRPr="003A32C8">
        <w:rPr>
          <w:rFonts w:ascii="Arial" w:eastAsia="Times New Roman" w:hAnsi="Arial" w:cs="Arial"/>
          <w:b/>
          <w:bCs/>
          <w:sz w:val="28"/>
          <w:szCs w:val="28"/>
          <w:lang w:val="en-GB" w:eastAsia="en-GB"/>
        </w:rPr>
        <w:t>Emotional and Well-being Impact</w:t>
      </w:r>
    </w:p>
    <w:p w14:paraId="0FBA4563" w14:textId="77777777" w:rsidR="003029CB" w:rsidRPr="003A32C8" w:rsidRDefault="003029CB"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The impact of obesity extends beyond physical health. Obese children often suffer from low self-esteem and are at a higher risk of developing mental health issues, including anxiety and depression. The emotional burden of obesity can lead to social isolation and difficulty forming relationships, further exacerbating mental health challenges (Public Health Wales, 2023). In early years education, where social and emotional development is a primary focus, these impacts are particularly detrimental. Children struggling with obesity may find it harder to engage with peers and participate fully in classroom activities, which can hinder their overall development.</w:t>
      </w:r>
    </w:p>
    <w:p w14:paraId="7804A0A8" w14:textId="77777777" w:rsidR="003029CB" w:rsidRPr="003A32C8" w:rsidRDefault="003029CB"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The Senedd (2024) report also discusses the widespread stigma and discrimination faced by individuals with obesity, which can impede prevention efforts and exacerbate mental health issues. Stigma related to obesity can lead to an increased risk of anxiety, depression, and social isolation, further highlighting the complex and interrelated consequences of obesity on a child’s well-being.</w:t>
      </w:r>
    </w:p>
    <w:p w14:paraId="649447FD" w14:textId="77777777" w:rsidR="003029CB" w:rsidRPr="003A32C8" w:rsidRDefault="003029CB" w:rsidP="003A32C8">
      <w:pPr>
        <w:spacing w:line="360" w:lineRule="auto"/>
        <w:rPr>
          <w:rFonts w:ascii="Arial" w:eastAsia="Times New Roman" w:hAnsi="Arial" w:cs="Arial"/>
          <w:b/>
          <w:bCs/>
          <w:sz w:val="28"/>
          <w:szCs w:val="28"/>
          <w:lang w:val="en-GB" w:eastAsia="en-GB"/>
        </w:rPr>
      </w:pPr>
      <w:r w:rsidRPr="003A32C8">
        <w:rPr>
          <w:rFonts w:ascii="Arial" w:eastAsia="Times New Roman" w:hAnsi="Arial" w:cs="Arial"/>
          <w:b/>
          <w:bCs/>
          <w:sz w:val="28"/>
          <w:szCs w:val="28"/>
          <w:lang w:val="en-GB" w:eastAsia="en-GB"/>
        </w:rPr>
        <w:t>Social Consequences</w:t>
      </w:r>
    </w:p>
    <w:p w14:paraId="279A9199" w14:textId="77777777" w:rsidR="003029CB" w:rsidRPr="003A32C8" w:rsidRDefault="003029CB"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Socially, obese children are often subjected to bullying and stigmatization, which can lead to further isolation and emotional distress. Studies have shown that children with obesity are more likely to face peer rejection and have fewer friends, impacting their social development and overall well-being (Children's Commissioner for Wales, 2024). In early years settings, where peer relationships are crucial for social learning, the social consequences of obesity can be particularly harmful, affecting a child's ability to form healthy relationships and engage in cooperative learning activities.</w:t>
      </w:r>
    </w:p>
    <w:p w14:paraId="6FD06881" w14:textId="77777777" w:rsidR="003029CB" w:rsidRPr="003A32C8" w:rsidRDefault="003029CB"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The Senedd (2024) report highlights that obesity rates are significantly higher in disadvantaged communities, pointing to the critical role that socioeconomic factors play in obesity prevalence. This disparity underscores the need for a broader societal approach to address the root causes of obesity, beyond just individual behaviour. In Wales, addressing these social determinants of health is essential to creating equitable opportunities for all children to develop healthy lifestyles from an early age.</w:t>
      </w:r>
    </w:p>
    <w:p w14:paraId="29461979" w14:textId="77777777" w:rsidR="003029CB" w:rsidRPr="003A32C8" w:rsidRDefault="003029CB" w:rsidP="003A32C8">
      <w:pPr>
        <w:spacing w:line="360" w:lineRule="auto"/>
        <w:rPr>
          <w:rFonts w:ascii="Arial" w:eastAsia="Times New Roman" w:hAnsi="Arial" w:cs="Arial"/>
          <w:b/>
          <w:bCs/>
          <w:sz w:val="28"/>
          <w:szCs w:val="28"/>
          <w:lang w:val="en-GB" w:eastAsia="en-GB"/>
        </w:rPr>
      </w:pPr>
      <w:r w:rsidRPr="003A32C8">
        <w:rPr>
          <w:rFonts w:ascii="Arial" w:eastAsia="Times New Roman" w:hAnsi="Arial" w:cs="Arial"/>
          <w:b/>
          <w:bCs/>
          <w:sz w:val="28"/>
          <w:szCs w:val="28"/>
          <w:lang w:val="en-GB" w:eastAsia="en-GB"/>
        </w:rPr>
        <w:t>Who Tells Us This?</w:t>
      </w:r>
    </w:p>
    <w:p w14:paraId="014BED22" w14:textId="77777777" w:rsidR="003029CB" w:rsidRPr="003A32C8" w:rsidRDefault="003029CB" w:rsidP="003A32C8">
      <w:pPr>
        <w:spacing w:line="360" w:lineRule="auto"/>
        <w:rPr>
          <w:rFonts w:ascii="Arial" w:eastAsia="Times New Roman" w:hAnsi="Arial" w:cs="Arial"/>
          <w:b/>
          <w:bCs/>
          <w:sz w:val="28"/>
          <w:szCs w:val="28"/>
          <w:lang w:val="en-GB" w:eastAsia="en-GB"/>
        </w:rPr>
      </w:pPr>
      <w:r w:rsidRPr="003A32C8">
        <w:rPr>
          <w:rFonts w:ascii="Arial" w:eastAsia="Times New Roman" w:hAnsi="Arial" w:cs="Arial"/>
          <w:b/>
          <w:bCs/>
          <w:sz w:val="28"/>
          <w:szCs w:val="28"/>
          <w:lang w:val="en-GB" w:eastAsia="en-GB"/>
        </w:rPr>
        <w:t>Research and Experts</w:t>
      </w:r>
    </w:p>
    <w:p w14:paraId="58D4F157" w14:textId="77777777" w:rsidR="003029CB" w:rsidRPr="003A32C8" w:rsidRDefault="003029CB"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The significance of childhood obesity is well-documented by health organisations and experts. Childhood obesity has been identified as one of the most serious public health challenges of the 21st century (The Lancet Diabetes &amp; Endocrinology, 2021). The World Health Organization (WHO) also highlights obesity as a major risk factor for chronic diseases, emphasising the need for early intervention to prevent its long-term effects (WHO, 2024). These sources provide a global perspective that reinforces the urgency of addressing childhood obesity within the specific context of Wales, where public health challenges are compounded by local socio-economic factors.</w:t>
      </w:r>
    </w:p>
    <w:p w14:paraId="7C3B7516" w14:textId="77777777" w:rsidR="003029CB" w:rsidRPr="003A32C8" w:rsidRDefault="003029CB" w:rsidP="003A32C8">
      <w:pPr>
        <w:spacing w:line="360" w:lineRule="auto"/>
        <w:rPr>
          <w:rFonts w:ascii="Arial" w:eastAsia="Times New Roman" w:hAnsi="Arial" w:cs="Arial"/>
          <w:b/>
          <w:bCs/>
          <w:sz w:val="28"/>
          <w:szCs w:val="28"/>
          <w:lang w:val="en-GB" w:eastAsia="en-GB"/>
        </w:rPr>
      </w:pPr>
      <w:r w:rsidRPr="003A32C8">
        <w:rPr>
          <w:rFonts w:ascii="Arial" w:eastAsia="Times New Roman" w:hAnsi="Arial" w:cs="Arial"/>
          <w:b/>
          <w:bCs/>
          <w:sz w:val="28"/>
          <w:szCs w:val="28"/>
          <w:lang w:val="en-GB" w:eastAsia="en-GB"/>
        </w:rPr>
        <w:t>Government Guidelines</w:t>
      </w:r>
    </w:p>
    <w:p w14:paraId="1007DA89" w14:textId="77777777" w:rsidR="003029CB" w:rsidRPr="003A32C8" w:rsidRDefault="003029CB"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In Wales, the Welsh Government has implemented several guidelines and initiatives to combat childhood obesity. The "Healthy Weight: Healthy Wales" strategy outlines a comprehensive approach to promote healthy living, with a focus on early intervention in childhood (Welsh Government, 2024a). This strategy is designed as a 10-year plan using a holistic, systems-based approach that aims to make healthy choices more accessible and sustainable by shaping environments that encourage positive lifestyle changes (Welsh Government, 2022a). These government efforts are particularly relevant in early years education, where creating supportive environments can have a significant impact on long-term health outcomes.</w:t>
      </w:r>
    </w:p>
    <w:p w14:paraId="185771E5" w14:textId="77777777" w:rsidR="003029CB" w:rsidRPr="003A32C8" w:rsidRDefault="003029CB"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The "Healthy Weight: Healthy Wales" strategy is also supported by "The Food (Promotion and Placement) (Wales) Regulations 2024," which aims to regulate the promotion and placement of unhealthy food items in retail settings. This regulation is a key component of the government's efforts to create an environment that supports healthy choices by limiting the exposure of children to unhealthy foods (Welsh Government, 2024b). Additionally, the Children's Commissioner for Wales has advocated for increased awareness and education on the importance of healthy eating and physical activity among children (Children's Commissioner for Wales, 2024). These policies are particularly impactful in early years settings, where the regulation of food environments can directly influence children's dietary habits and preferences.</w:t>
      </w:r>
    </w:p>
    <w:p w14:paraId="6DB9138A" w14:textId="77777777" w:rsidR="003029CB" w:rsidRPr="003A32C8" w:rsidRDefault="003029CB" w:rsidP="003A32C8">
      <w:pPr>
        <w:spacing w:line="360" w:lineRule="auto"/>
        <w:rPr>
          <w:rFonts w:ascii="Arial" w:eastAsia="Times New Roman" w:hAnsi="Arial" w:cs="Arial"/>
          <w:b/>
          <w:bCs/>
          <w:sz w:val="28"/>
          <w:szCs w:val="28"/>
          <w:lang w:val="en-GB" w:eastAsia="en-GB"/>
        </w:rPr>
      </w:pPr>
      <w:r w:rsidRPr="003A32C8">
        <w:rPr>
          <w:rFonts w:ascii="Arial" w:eastAsia="Times New Roman" w:hAnsi="Arial" w:cs="Arial"/>
          <w:b/>
          <w:bCs/>
          <w:sz w:val="28"/>
          <w:szCs w:val="28"/>
          <w:lang w:val="en-GB" w:eastAsia="en-GB"/>
        </w:rPr>
        <w:t>Application to Early Years</w:t>
      </w:r>
    </w:p>
    <w:p w14:paraId="702F7B8F" w14:textId="77777777" w:rsidR="003029CB" w:rsidRPr="003A32C8" w:rsidRDefault="003029CB" w:rsidP="003A32C8">
      <w:pPr>
        <w:spacing w:line="360" w:lineRule="auto"/>
        <w:rPr>
          <w:rFonts w:ascii="Arial" w:eastAsia="Times New Roman" w:hAnsi="Arial" w:cs="Arial"/>
          <w:b/>
          <w:bCs/>
          <w:sz w:val="28"/>
          <w:szCs w:val="28"/>
          <w:lang w:val="en-GB" w:eastAsia="en-GB"/>
        </w:rPr>
      </w:pPr>
      <w:r w:rsidRPr="003A32C8">
        <w:rPr>
          <w:rFonts w:ascii="Arial" w:eastAsia="Times New Roman" w:hAnsi="Arial" w:cs="Arial"/>
          <w:b/>
          <w:bCs/>
          <w:sz w:val="28"/>
          <w:szCs w:val="28"/>
          <w:lang w:val="en-GB" w:eastAsia="en-GB"/>
        </w:rPr>
        <w:t>Nutritional Education</w:t>
      </w:r>
    </w:p>
    <w:p w14:paraId="68A4027A" w14:textId="77777777" w:rsidR="003029CB" w:rsidRPr="003A32C8" w:rsidRDefault="003029CB"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One of the most effective ways to combat childhood obesity is through nutritional education. Early years settings can play a critical role in teaching children about healthy eating habits. Programs such as "Eat Well, Play Well" have been successful in promoting balanced diets among young children by integrating nutritional lessons into daily activities (Public Health Wales, 2023). These programs not only educate children but also engage parents and caregivers, ensuring that healthy eating habits are reinforced at home (Barnardo’s, 2024). The relevance of these programs to early years education lies in their ability to influence children's food choices during a critical period of growth and development, thereby laying the foundation for lifelong healthy habits.</w:t>
      </w:r>
    </w:p>
    <w:p w14:paraId="76FFE0F4" w14:textId="2ADC29F1" w:rsidR="003029CB" w:rsidRPr="003A32C8" w:rsidRDefault="003029CB"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The "Food and Fun" School Holiday Enrichment Programme is another key initiative that provides children with access to nutritious meals during the school holidays, alongside opportunities to participate in physical activities and learn about healthy lifestyles (WLGA, 2024</w:t>
      </w:r>
      <w:r w:rsidR="007C3F3D" w:rsidRPr="003A32C8">
        <w:rPr>
          <w:rFonts w:ascii="Arial" w:eastAsia="Times New Roman" w:hAnsi="Arial" w:cs="Arial"/>
          <w:sz w:val="28"/>
          <w:szCs w:val="28"/>
          <w:lang w:val="en-GB" w:eastAsia="en-GB"/>
        </w:rPr>
        <w:t>a; 2024b</w:t>
      </w:r>
      <w:r w:rsidRPr="003A32C8">
        <w:rPr>
          <w:rFonts w:ascii="Arial" w:eastAsia="Times New Roman" w:hAnsi="Arial" w:cs="Arial"/>
          <w:sz w:val="28"/>
          <w:szCs w:val="28"/>
          <w:lang w:val="en-GB" w:eastAsia="en-GB"/>
        </w:rPr>
        <w:t>). This programme is particularly important in supporting children from disadvantaged backgrounds, who may be more at risk of food insecurity and less likely to have access to healthy meals outside of the school term (Public Health Wales, 2024). For early years settings, such initiatives are crucial as they address both immediate nutritional needs and broader educational goals, helping to reduce inequalities that can affect children's health and learning outcomes.</w:t>
      </w:r>
    </w:p>
    <w:p w14:paraId="5165DA4A" w14:textId="77777777" w:rsidR="003029CB" w:rsidRPr="003A32C8" w:rsidRDefault="003029CB" w:rsidP="003A32C8">
      <w:pPr>
        <w:spacing w:line="360" w:lineRule="auto"/>
        <w:rPr>
          <w:rFonts w:ascii="Arial" w:eastAsia="Times New Roman" w:hAnsi="Arial" w:cs="Arial"/>
          <w:sz w:val="28"/>
          <w:szCs w:val="28"/>
          <w:lang w:val="en-GB" w:eastAsia="en-GB"/>
        </w:rPr>
      </w:pPr>
      <w:proofErr w:type="spellStart"/>
      <w:r w:rsidRPr="003A32C8">
        <w:rPr>
          <w:rFonts w:ascii="Arial" w:eastAsia="Times New Roman" w:hAnsi="Arial" w:cs="Arial"/>
          <w:sz w:val="28"/>
          <w:szCs w:val="28"/>
          <w:lang w:val="en-GB" w:eastAsia="en-GB"/>
        </w:rPr>
        <w:t>Michalopoulou</w:t>
      </w:r>
      <w:proofErr w:type="spellEnd"/>
      <w:r w:rsidRPr="003A32C8">
        <w:rPr>
          <w:rFonts w:ascii="Arial" w:eastAsia="Times New Roman" w:hAnsi="Arial" w:cs="Arial"/>
          <w:sz w:val="28"/>
          <w:szCs w:val="28"/>
          <w:lang w:val="en-GB" w:eastAsia="en-GB"/>
        </w:rPr>
        <w:t xml:space="preserve"> et al. (2024) emphasise the importance of evaluating these educational programs through rigorous methods, as current evidence suggests the need for larger, more comprehensive studies to determine their long-term effectiveness. This underscores the importance of ongoing research and policy evaluation to ensure that interventions in early years settings are effective in preventing obesity and promoting overall health.</w:t>
      </w:r>
    </w:p>
    <w:p w14:paraId="4B742738" w14:textId="77777777" w:rsidR="003029CB" w:rsidRPr="003A32C8" w:rsidRDefault="003029CB" w:rsidP="003A32C8">
      <w:pPr>
        <w:spacing w:line="360" w:lineRule="auto"/>
        <w:rPr>
          <w:rFonts w:ascii="Arial" w:eastAsia="Times New Roman" w:hAnsi="Arial" w:cs="Arial"/>
          <w:b/>
          <w:bCs/>
          <w:sz w:val="28"/>
          <w:szCs w:val="28"/>
          <w:lang w:val="en-GB" w:eastAsia="en-GB"/>
        </w:rPr>
      </w:pPr>
      <w:r w:rsidRPr="003A32C8">
        <w:rPr>
          <w:rFonts w:ascii="Arial" w:eastAsia="Times New Roman" w:hAnsi="Arial" w:cs="Arial"/>
          <w:b/>
          <w:bCs/>
          <w:sz w:val="28"/>
          <w:szCs w:val="28"/>
          <w:lang w:val="en-GB" w:eastAsia="en-GB"/>
        </w:rPr>
        <w:t>Promoting Physical Education (PE) and Play-Based Learning</w:t>
      </w:r>
    </w:p>
    <w:p w14:paraId="42115D1F" w14:textId="77777777" w:rsidR="003029CB" w:rsidRPr="003A32C8" w:rsidRDefault="003029CB"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Physical activity is crucial in preventing obesity and promoting overall health. According to Lynch (2019), regular physical activity enhances not only physical fitness but also cognitive functions such as attention, memory, and concentration, which are vital for academic success. Integrating physical education and play-based learning into daily routines helps children develop a love for movement and exercise. This approach also fosters social and emotional skills, such as teamwork, resilience, and self-regulation, which are essential for holistic development (Lynch, 2019). In early years settings, promoting physical activity is particularly important as it helps establish positive attitudes towards exercise that can persist into adulthood.</w:t>
      </w:r>
    </w:p>
    <w:p w14:paraId="2F2E3692" w14:textId="77777777" w:rsidR="003029CB" w:rsidRPr="003A32C8" w:rsidRDefault="003029CB"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 xml:space="preserve">Initiatives like the "Active Start" program encourage outdoor play and physical activities tailored to young children, promoting both physical fitness and social skills (Welsh Government, 2024a). The findings by </w:t>
      </w:r>
      <w:proofErr w:type="spellStart"/>
      <w:r w:rsidRPr="003A32C8">
        <w:rPr>
          <w:rFonts w:ascii="Arial" w:eastAsia="Times New Roman" w:hAnsi="Arial" w:cs="Arial"/>
          <w:sz w:val="28"/>
          <w:szCs w:val="28"/>
          <w:lang w:val="en-GB" w:eastAsia="en-GB"/>
        </w:rPr>
        <w:t>Michalopoulou</w:t>
      </w:r>
      <w:proofErr w:type="spellEnd"/>
      <w:r w:rsidRPr="003A32C8">
        <w:rPr>
          <w:rFonts w:ascii="Arial" w:eastAsia="Times New Roman" w:hAnsi="Arial" w:cs="Arial"/>
          <w:sz w:val="28"/>
          <w:szCs w:val="28"/>
          <w:lang w:val="en-GB" w:eastAsia="en-GB"/>
        </w:rPr>
        <w:t xml:space="preserve"> et al. (2024) support the implementation of multicomponent interventions that combine physical activity with nutritional education, although they highlight the necessity for more robust, large-scale evaluations to draw definitive conclusions about their effectiveness. The application of these findings to early years settings is critical, as these are the environments where foundational skills and habits are developed, directly influencing children's long-term health trajectories.</w:t>
      </w:r>
    </w:p>
    <w:p w14:paraId="1AF03D62" w14:textId="77777777" w:rsidR="003029CB" w:rsidRPr="003A32C8" w:rsidRDefault="003029CB" w:rsidP="003A32C8">
      <w:pPr>
        <w:spacing w:line="360" w:lineRule="auto"/>
        <w:rPr>
          <w:rFonts w:ascii="Arial" w:eastAsia="Times New Roman" w:hAnsi="Arial" w:cs="Arial"/>
          <w:b/>
          <w:bCs/>
          <w:sz w:val="28"/>
          <w:szCs w:val="28"/>
          <w:lang w:val="en-GB" w:eastAsia="en-GB"/>
        </w:rPr>
      </w:pPr>
      <w:r w:rsidRPr="003A32C8">
        <w:rPr>
          <w:rFonts w:ascii="Arial" w:eastAsia="Times New Roman" w:hAnsi="Arial" w:cs="Arial"/>
          <w:b/>
          <w:bCs/>
          <w:sz w:val="28"/>
          <w:szCs w:val="28"/>
          <w:lang w:val="en-GB" w:eastAsia="en-GB"/>
        </w:rPr>
        <w:t>Parental Involvement</w:t>
      </w:r>
    </w:p>
    <w:p w14:paraId="0D6F90E0" w14:textId="77777777" w:rsidR="003029CB" w:rsidRPr="003A32C8" w:rsidRDefault="003029CB"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Parental involvement is another key factor in addressing childhood obesity. Workshops and information sessions for parents can provide valuable strategies for promoting healthy lifestyles at home. Programs that involve parents in meal planning, physical activities, and setting healthy routines have shown to be effective in reducing obesity rates among children (Barnardo’s, 2024). The "Change4Life" campaign by Public Health England, which is also supported in Wales, offers resources and advice to help families make healthier choices (Public Health England, 2023). In early years settings, involving parents is crucial as it ensures that healthy habits taught in the classroom are reinforced at home, creating a consistent and supportive environment for the child.</w:t>
      </w:r>
    </w:p>
    <w:p w14:paraId="0C15A4AA" w14:textId="3B9B2B6D" w:rsidR="003029CB" w:rsidRPr="003A32C8" w:rsidRDefault="003029CB"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 xml:space="preserve">Furthermore, the Cardiff and Vale University Health Board's launch of the "Nutrition for Your Little One" (NYLO) and "Active Families, Active Lives" (AFAL) programs </w:t>
      </w:r>
      <w:proofErr w:type="gramStart"/>
      <w:r w:rsidRPr="003A32C8">
        <w:rPr>
          <w:rFonts w:ascii="Arial" w:eastAsia="Times New Roman" w:hAnsi="Arial" w:cs="Arial"/>
          <w:sz w:val="28"/>
          <w:szCs w:val="28"/>
          <w:lang w:val="en-GB" w:eastAsia="en-GB"/>
        </w:rPr>
        <w:t>highlights</w:t>
      </w:r>
      <w:proofErr w:type="gramEnd"/>
      <w:r w:rsidRPr="003A32C8">
        <w:rPr>
          <w:rFonts w:ascii="Arial" w:eastAsia="Times New Roman" w:hAnsi="Arial" w:cs="Arial"/>
          <w:sz w:val="28"/>
          <w:szCs w:val="28"/>
          <w:lang w:val="en-GB" w:eastAsia="en-GB"/>
        </w:rPr>
        <w:t xml:space="preserve"> the importance of early intervention and support for families. These programs, aligned with the Welsh Government's Healthy Weight Healthy Wales strategy, provide comprehensive support and advice to families, children, and young people on topics such as food, activity, sleep, and stress management (</w:t>
      </w:r>
      <w:r w:rsidR="007C3F3D" w:rsidRPr="003A32C8">
        <w:rPr>
          <w:rFonts w:ascii="Arial" w:eastAsia="Times New Roman" w:hAnsi="Arial" w:cs="Arial"/>
          <w:sz w:val="28"/>
          <w:szCs w:val="28"/>
          <w:lang w:val="en-GB" w:eastAsia="en-GB"/>
        </w:rPr>
        <w:t>Welsh Government</w:t>
      </w:r>
      <w:r w:rsidRPr="003A32C8">
        <w:rPr>
          <w:rFonts w:ascii="Arial" w:eastAsia="Times New Roman" w:hAnsi="Arial" w:cs="Arial"/>
          <w:sz w:val="28"/>
          <w:szCs w:val="28"/>
          <w:lang w:val="en-GB" w:eastAsia="en-GB"/>
        </w:rPr>
        <w:t>, 2022</w:t>
      </w:r>
      <w:r w:rsidR="007C3F3D" w:rsidRPr="003A32C8">
        <w:rPr>
          <w:rFonts w:ascii="Arial" w:eastAsia="Times New Roman" w:hAnsi="Arial" w:cs="Arial"/>
          <w:sz w:val="28"/>
          <w:szCs w:val="28"/>
          <w:lang w:val="en-GB" w:eastAsia="en-GB"/>
        </w:rPr>
        <w:t>b</w:t>
      </w:r>
      <w:r w:rsidRPr="003A32C8">
        <w:rPr>
          <w:rFonts w:ascii="Arial" w:eastAsia="Times New Roman" w:hAnsi="Arial" w:cs="Arial"/>
          <w:sz w:val="28"/>
          <w:szCs w:val="28"/>
          <w:lang w:val="en-GB" w:eastAsia="en-GB"/>
        </w:rPr>
        <w:t>). By equipping families with the skills and knowledge needed to support healthier lifestyles, these services aim to foster long-term health and well-being, helping children develop positive relationships with food and exercise from an early age (NHS, 2022). These parental involvement initiatives, including referrals to specialised services where needed, underscore the critical role of families in combating childhood obesity. Compassionate, non-judgmental support for children and their families is essential to ensure that children can thrive and enjoy the benefits of good health, ultimately growing into adults who care for themselves and maintain healthy lifestyles (NHS, 2022).</w:t>
      </w:r>
    </w:p>
    <w:p w14:paraId="355AC595" w14:textId="77777777" w:rsidR="003029CB" w:rsidRPr="003A32C8" w:rsidRDefault="003029CB" w:rsidP="003A32C8">
      <w:pPr>
        <w:spacing w:line="360" w:lineRule="auto"/>
        <w:rPr>
          <w:rFonts w:ascii="Arial" w:eastAsia="Times New Roman" w:hAnsi="Arial" w:cs="Arial"/>
          <w:b/>
          <w:bCs/>
          <w:sz w:val="28"/>
          <w:szCs w:val="28"/>
          <w:lang w:val="en-GB" w:eastAsia="en-GB"/>
        </w:rPr>
      </w:pPr>
      <w:r w:rsidRPr="003A32C8">
        <w:rPr>
          <w:rFonts w:ascii="Arial" w:eastAsia="Times New Roman" w:hAnsi="Arial" w:cs="Arial"/>
          <w:b/>
          <w:bCs/>
          <w:sz w:val="28"/>
          <w:szCs w:val="28"/>
          <w:lang w:val="en-GB" w:eastAsia="en-GB"/>
        </w:rPr>
        <w:t>Conclusion</w:t>
      </w:r>
    </w:p>
    <w:p w14:paraId="765AA4F7" w14:textId="77777777" w:rsidR="003029CB" w:rsidRPr="003A32C8" w:rsidRDefault="003029CB"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In conclusion, childhood obesity is a pressing issue that requires immediate attention and action. The health, emotional, and social impacts of obesity can have lifelong consequences, making it imperative to address this issue early. With a third of adults in Wales currently living with obesity (Bone, 2024), it is evident that without early intervention, the problem only escalates, leading to serious health and societal consequences. The significance of addressing childhood obesity in early years settings cannot be overstated, as these are the formative years where lifelong habits and attitudes towards health are established.</w:t>
      </w:r>
    </w:p>
    <w:p w14:paraId="0E778EA5" w14:textId="77777777" w:rsidR="003029CB" w:rsidRPr="003A32C8" w:rsidRDefault="003029CB"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By implementing nutritional education, promoting physical activity, involving parents, and adhering to supportive policies, we can create a healthier future for our children. These strategies are not just about preventing obesity but about fostering an environment where all children can thrive. I urge all stakeholders, from educators to policymakers, to prioritise the fight against childhood obesity to ensure the well-being and success of the next generation. Ongoing research and policy development, such as those highlighted in the Welsh Government's "Healthy Weight: Healthy Wales" strategy, will be critical in ensuring that our efforts are effective and sustainable.</w:t>
      </w:r>
    </w:p>
    <w:p w14:paraId="1DD01AA0" w14:textId="77777777" w:rsidR="00D21758" w:rsidRPr="003A32C8" w:rsidRDefault="00D21758" w:rsidP="003A32C8">
      <w:pPr>
        <w:spacing w:line="360" w:lineRule="auto"/>
        <w:rPr>
          <w:rFonts w:ascii="Arial" w:eastAsia="Times New Roman" w:hAnsi="Arial" w:cs="Arial"/>
          <w:sz w:val="28"/>
          <w:szCs w:val="28"/>
          <w:lang w:val="en-GB" w:eastAsia="en-GB"/>
        </w:rPr>
      </w:pPr>
    </w:p>
    <w:p w14:paraId="5317988C" w14:textId="42F5205B" w:rsidR="00D21758" w:rsidRPr="003A32C8" w:rsidRDefault="00D21758"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br w:type="page"/>
      </w:r>
    </w:p>
    <w:p w14:paraId="50E712C8" w14:textId="77777777" w:rsidR="00D90688" w:rsidRPr="003A32C8" w:rsidRDefault="00D90688" w:rsidP="003A32C8">
      <w:pPr>
        <w:spacing w:line="360" w:lineRule="auto"/>
        <w:rPr>
          <w:rFonts w:ascii="Arial" w:eastAsia="Times New Roman" w:hAnsi="Arial" w:cs="Arial"/>
          <w:sz w:val="28"/>
          <w:szCs w:val="28"/>
          <w:lang w:val="en-GB" w:eastAsia="en-GB"/>
        </w:rPr>
      </w:pPr>
    </w:p>
    <w:p w14:paraId="6BB1D799" w14:textId="0B38C28C" w:rsidR="0059765A" w:rsidRPr="003A32C8" w:rsidRDefault="0059765A" w:rsidP="003A32C8">
      <w:pPr>
        <w:spacing w:line="360" w:lineRule="auto"/>
        <w:rPr>
          <w:rFonts w:ascii="Arial" w:eastAsia="Times New Roman" w:hAnsi="Arial" w:cs="Arial"/>
          <w:sz w:val="28"/>
          <w:szCs w:val="28"/>
          <w:lang w:val="en-GB" w:eastAsia="en-GB"/>
        </w:rPr>
      </w:pPr>
    </w:p>
    <w:p w14:paraId="20A8F1C9" w14:textId="77777777" w:rsidR="0059765A" w:rsidRPr="003A32C8" w:rsidRDefault="00AF5646" w:rsidP="003A32C8">
      <w:pPr>
        <w:spacing w:line="360" w:lineRule="auto"/>
        <w:rPr>
          <w:rFonts w:ascii="Arial" w:eastAsia="Times New Roman" w:hAnsi="Arial" w:cs="Arial"/>
          <w:sz w:val="28"/>
          <w:szCs w:val="28"/>
          <w:lang w:val="en-GB" w:eastAsia="en-GB"/>
        </w:rPr>
      </w:pPr>
      <w:r w:rsidRPr="00AF5646">
        <w:rPr>
          <w:rFonts w:ascii="Arial" w:eastAsia="Times New Roman" w:hAnsi="Arial" w:cs="Arial"/>
          <w:noProof/>
          <w:sz w:val="28"/>
          <w:szCs w:val="28"/>
          <w:lang w:val="en-GB" w:eastAsia="en-GB"/>
        </w:rPr>
        <w:pict w14:anchorId="3FAB1FA4">
          <v:rect id="_x0000_i1025" alt="" style="width:451.3pt;height:.05pt;mso-width-percent:0;mso-height-percent:0;mso-width-percent:0;mso-height-percent:0" o:hralign="center" o:hrstd="t" o:hr="t" fillcolor="#a0a0a0" stroked="f"/>
        </w:pict>
      </w:r>
    </w:p>
    <w:p w14:paraId="0C506066" w14:textId="77777777" w:rsidR="0059765A" w:rsidRPr="003A32C8" w:rsidRDefault="0059765A" w:rsidP="003A32C8">
      <w:pPr>
        <w:spacing w:line="360" w:lineRule="auto"/>
        <w:rPr>
          <w:rFonts w:ascii="Arial" w:eastAsia="Times New Roman" w:hAnsi="Arial" w:cs="Arial"/>
          <w:b/>
          <w:bCs/>
          <w:sz w:val="28"/>
          <w:szCs w:val="28"/>
          <w:lang w:val="en-GB" w:eastAsia="en-GB"/>
        </w:rPr>
      </w:pPr>
      <w:r w:rsidRPr="003A32C8">
        <w:rPr>
          <w:rFonts w:ascii="Arial" w:eastAsia="Times New Roman" w:hAnsi="Arial" w:cs="Arial"/>
          <w:b/>
          <w:bCs/>
          <w:sz w:val="28"/>
          <w:szCs w:val="28"/>
          <w:lang w:val="en-GB" w:eastAsia="en-GB"/>
        </w:rPr>
        <w:t>Reference List</w:t>
      </w:r>
    </w:p>
    <w:p w14:paraId="028EDB43" w14:textId="77777777" w:rsidR="0059765A" w:rsidRPr="003A32C8" w:rsidRDefault="0059765A"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Barnardo’s (2024) Promoting a Healthy Lifestyle in Early Childhood. Available at: </w:t>
      </w:r>
      <w:hyperlink r:id="rId7" w:tgtFrame="_new" w:history="1">
        <w:r w:rsidRPr="003A32C8">
          <w:rPr>
            <w:rStyle w:val="Hyperlink"/>
            <w:rFonts w:ascii="Arial" w:eastAsia="Times New Roman" w:hAnsi="Arial" w:cs="Arial"/>
            <w:sz w:val="28"/>
            <w:szCs w:val="28"/>
            <w:lang w:val="en-GB" w:eastAsia="en-GB"/>
          </w:rPr>
          <w:t>https://families.barnardos.org.uk/pre-school/healthy-lifestyles</w:t>
        </w:r>
      </w:hyperlink>
      <w:r w:rsidRPr="003A32C8">
        <w:rPr>
          <w:rFonts w:ascii="Arial" w:eastAsia="Times New Roman" w:hAnsi="Arial" w:cs="Arial"/>
          <w:sz w:val="28"/>
          <w:szCs w:val="28"/>
          <w:lang w:val="en-GB" w:eastAsia="en-GB"/>
        </w:rPr>
        <w:t> (Accessed: 3 August 2024).</w:t>
      </w:r>
    </w:p>
    <w:p w14:paraId="48BD8DD8" w14:textId="5E70846E" w:rsidR="00E600FD" w:rsidRPr="003A32C8" w:rsidRDefault="00E600FD"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eastAsia="en-GB"/>
        </w:rPr>
        <w:t xml:space="preserve">Bone, N. (2024) </w:t>
      </w:r>
      <w:r w:rsidRPr="003A32C8">
        <w:rPr>
          <w:rFonts w:ascii="Arial" w:eastAsia="Times New Roman" w:hAnsi="Arial" w:cs="Arial"/>
          <w:i/>
          <w:iCs/>
          <w:sz w:val="28"/>
          <w:szCs w:val="28"/>
          <w:lang w:eastAsia="en-GB"/>
        </w:rPr>
        <w:t>A third of adults in Wales live with obesity, according to new analysis</w:t>
      </w:r>
      <w:r w:rsidR="00EC7F9E" w:rsidRPr="003A32C8">
        <w:rPr>
          <w:rFonts w:ascii="Arial" w:eastAsia="Times New Roman" w:hAnsi="Arial" w:cs="Arial"/>
          <w:i/>
          <w:iCs/>
          <w:sz w:val="28"/>
          <w:szCs w:val="28"/>
          <w:lang w:eastAsia="en-GB"/>
        </w:rPr>
        <w:t>.</w:t>
      </w:r>
      <w:r w:rsidRPr="003A32C8">
        <w:rPr>
          <w:rFonts w:ascii="Arial" w:eastAsia="Times New Roman" w:hAnsi="Arial" w:cs="Arial"/>
          <w:sz w:val="28"/>
          <w:szCs w:val="28"/>
          <w:lang w:eastAsia="en-GB"/>
        </w:rPr>
        <w:t xml:space="preserve"> Available at: </w:t>
      </w:r>
      <w:hyperlink r:id="rId8" w:tgtFrame="_new" w:history="1">
        <w:r w:rsidRPr="003A32C8">
          <w:rPr>
            <w:rStyle w:val="Hyperlink"/>
            <w:rFonts w:ascii="Arial" w:eastAsia="Times New Roman" w:hAnsi="Arial" w:cs="Arial"/>
            <w:sz w:val="28"/>
            <w:szCs w:val="28"/>
            <w:lang w:eastAsia="en-GB"/>
          </w:rPr>
          <w:t>https://www.nesta.org.uk/blog/a-third-of-adults-in-wales-live-with-obesity-according-to-new-analysis/</w:t>
        </w:r>
      </w:hyperlink>
      <w:r w:rsidRPr="003A32C8">
        <w:rPr>
          <w:rFonts w:ascii="Arial" w:eastAsia="Times New Roman" w:hAnsi="Arial" w:cs="Arial"/>
          <w:sz w:val="28"/>
          <w:szCs w:val="28"/>
          <w:lang w:eastAsia="en-GB"/>
        </w:rPr>
        <w:t> (Accessed: 12 August 2024).</w:t>
      </w:r>
    </w:p>
    <w:p w14:paraId="3D7E4147" w14:textId="05DF9AC2" w:rsidR="0059765A" w:rsidRPr="003A32C8" w:rsidRDefault="0059765A"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Children's Commissioner for Wales (2024) Childhood Obesity Report. Available at: </w:t>
      </w:r>
      <w:hyperlink r:id="rId9" w:history="1">
        <w:r w:rsidR="00227BAE" w:rsidRPr="003A32C8">
          <w:rPr>
            <w:rStyle w:val="Hyperlink"/>
            <w:rFonts w:ascii="Arial" w:eastAsia="Times New Roman" w:hAnsi="Arial" w:cs="Arial"/>
            <w:sz w:val="28"/>
            <w:szCs w:val="28"/>
            <w:lang w:val="en-GB" w:eastAsia="en-GB"/>
          </w:rPr>
          <w:t>https://business.senedd.w</w:t>
        </w:r>
        <w:r w:rsidR="00227BAE" w:rsidRPr="003A32C8">
          <w:rPr>
            <w:rStyle w:val="Hyperlink"/>
            <w:rFonts w:ascii="Arial" w:eastAsia="Times New Roman" w:hAnsi="Arial" w:cs="Arial"/>
            <w:sz w:val="28"/>
            <w:szCs w:val="28"/>
            <w:lang w:val="en-GB" w:eastAsia="en-GB"/>
          </w:rPr>
          <w:t>a</w:t>
        </w:r>
        <w:r w:rsidR="00227BAE" w:rsidRPr="003A32C8">
          <w:rPr>
            <w:rStyle w:val="Hyperlink"/>
            <w:rFonts w:ascii="Arial" w:eastAsia="Times New Roman" w:hAnsi="Arial" w:cs="Arial"/>
            <w:sz w:val="28"/>
            <w:szCs w:val="28"/>
            <w:lang w:val="en-GB" w:eastAsia="en-GB"/>
          </w:rPr>
          <w:t>les/documents/s152441/OB13%20-%20Childrens%20Commissioner%20for%20Wales.pdf</w:t>
        </w:r>
      </w:hyperlink>
      <w:r w:rsidR="00227BAE" w:rsidRPr="003A32C8">
        <w:rPr>
          <w:rFonts w:ascii="Arial" w:eastAsia="Times New Roman" w:hAnsi="Arial" w:cs="Arial"/>
          <w:sz w:val="28"/>
          <w:szCs w:val="28"/>
          <w:lang w:val="en-GB" w:eastAsia="en-GB"/>
        </w:rPr>
        <w:t xml:space="preserve">. </w:t>
      </w:r>
      <w:r w:rsidRPr="003A32C8">
        <w:rPr>
          <w:rFonts w:ascii="Arial" w:eastAsia="Times New Roman" w:hAnsi="Arial" w:cs="Arial"/>
          <w:sz w:val="28"/>
          <w:szCs w:val="28"/>
          <w:lang w:val="en-GB" w:eastAsia="en-GB"/>
        </w:rPr>
        <w:t>(Accessed: 3 August 2024).</w:t>
      </w:r>
    </w:p>
    <w:p w14:paraId="2F9B1384" w14:textId="77777777" w:rsidR="0059765A" w:rsidRPr="003A32C8" w:rsidRDefault="0059765A"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Lynch, T. (2019). Physical Education and Wellbeing: Global and Holistic Approaches to Child Health. London: Palgrave Macmillan.</w:t>
      </w:r>
    </w:p>
    <w:p w14:paraId="6B488DCF" w14:textId="77777777" w:rsidR="0059765A" w:rsidRPr="003A32C8" w:rsidRDefault="0059765A"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Public Heath Wales (2023) Child Measurement Programme for Wales. Available at: </w:t>
      </w:r>
      <w:hyperlink r:id="rId10" w:tgtFrame="_new" w:history="1">
        <w:r w:rsidRPr="003A32C8">
          <w:rPr>
            <w:rStyle w:val="Hyperlink"/>
            <w:rFonts w:ascii="Arial" w:eastAsia="Times New Roman" w:hAnsi="Arial" w:cs="Arial"/>
            <w:sz w:val="28"/>
            <w:szCs w:val="28"/>
            <w:lang w:val="en-GB" w:eastAsia="en-GB"/>
          </w:rPr>
          <w:t>https://phw.nhs.wales/services-and-teams/child-measurement-programme/</w:t>
        </w:r>
      </w:hyperlink>
      <w:r w:rsidRPr="003A32C8">
        <w:rPr>
          <w:rFonts w:ascii="Arial" w:eastAsia="Times New Roman" w:hAnsi="Arial" w:cs="Arial"/>
          <w:sz w:val="28"/>
          <w:szCs w:val="28"/>
          <w:lang w:val="en-GB" w:eastAsia="en-GB"/>
        </w:rPr>
        <w:t> (Accessed: 3 August 2024).</w:t>
      </w:r>
    </w:p>
    <w:p w14:paraId="0ACE3268" w14:textId="2ADB1CE9" w:rsidR="00A63568" w:rsidRPr="003A32C8" w:rsidRDefault="00A63568"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 xml:space="preserve">Public Health Wales (2024) </w:t>
      </w:r>
      <w:r w:rsidRPr="003A32C8">
        <w:rPr>
          <w:rFonts w:ascii="Arial" w:eastAsia="Times New Roman" w:hAnsi="Arial" w:cs="Arial"/>
          <w:sz w:val="28"/>
          <w:szCs w:val="28"/>
          <w:lang w:eastAsia="en-GB"/>
        </w:rPr>
        <w:t xml:space="preserve">Opportunities for improving </w:t>
      </w:r>
      <w:r w:rsidR="00D90688" w:rsidRPr="003A32C8">
        <w:rPr>
          <w:rFonts w:ascii="Arial" w:eastAsia="Times New Roman" w:hAnsi="Arial" w:cs="Arial"/>
          <w:sz w:val="28"/>
          <w:szCs w:val="28"/>
          <w:lang w:eastAsia="en-GB"/>
        </w:rPr>
        <w:t>children’s</w:t>
      </w:r>
      <w:r w:rsidRPr="003A32C8">
        <w:rPr>
          <w:rFonts w:ascii="Arial" w:eastAsia="Times New Roman" w:hAnsi="Arial" w:cs="Arial"/>
          <w:sz w:val="28"/>
          <w:szCs w:val="28"/>
          <w:lang w:eastAsia="en-GB"/>
        </w:rPr>
        <w:t xml:space="preserve"> health in Wales. The potential of school food. Available at: </w:t>
      </w:r>
      <w:hyperlink r:id="rId11" w:history="1">
        <w:r w:rsidRPr="003A32C8">
          <w:rPr>
            <w:rStyle w:val="Hyperlink"/>
            <w:rFonts w:ascii="Arial" w:eastAsia="Times New Roman" w:hAnsi="Arial" w:cs="Arial"/>
            <w:sz w:val="28"/>
            <w:szCs w:val="28"/>
            <w:lang w:eastAsia="en-GB"/>
          </w:rPr>
          <w:t>https://phw.nhs.wales/news/public-health-wales-launches-dedicated-workstream-to-maximise</w:t>
        </w:r>
        <w:r w:rsidRPr="003A32C8">
          <w:rPr>
            <w:rStyle w:val="Hyperlink"/>
            <w:rFonts w:ascii="Arial" w:eastAsia="Times New Roman" w:hAnsi="Arial" w:cs="Arial"/>
            <w:sz w:val="28"/>
            <w:szCs w:val="28"/>
            <w:lang w:eastAsia="en-GB"/>
          </w:rPr>
          <w:t>-</w:t>
        </w:r>
        <w:r w:rsidRPr="003A32C8">
          <w:rPr>
            <w:rStyle w:val="Hyperlink"/>
            <w:rFonts w:ascii="Arial" w:eastAsia="Times New Roman" w:hAnsi="Arial" w:cs="Arial"/>
            <w:sz w:val="28"/>
            <w:szCs w:val="28"/>
            <w:lang w:eastAsia="en-GB"/>
          </w:rPr>
          <w:t>impact-of-school-food-on-child-health/opportunities-for-improving-childrens-health-in-wales-the-potential-of-school-food/</w:t>
        </w:r>
      </w:hyperlink>
      <w:r w:rsidRPr="003A32C8">
        <w:rPr>
          <w:rFonts w:ascii="Arial" w:eastAsia="Times New Roman" w:hAnsi="Arial" w:cs="Arial"/>
          <w:sz w:val="28"/>
          <w:szCs w:val="28"/>
          <w:lang w:eastAsia="en-GB"/>
        </w:rPr>
        <w:t>. Accessed: 12 August 2024).</w:t>
      </w:r>
    </w:p>
    <w:p w14:paraId="59753CC0" w14:textId="77777777" w:rsidR="0059765A" w:rsidRPr="003A32C8" w:rsidRDefault="0059765A"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Public Health England (2023) Change4Life: Helping Families Eat Well and Move More. Available at: </w:t>
      </w:r>
      <w:hyperlink r:id="rId12" w:tgtFrame="_new" w:history="1">
        <w:r w:rsidRPr="003A32C8">
          <w:rPr>
            <w:rStyle w:val="Hyperlink"/>
            <w:rFonts w:ascii="Arial" w:eastAsia="Times New Roman" w:hAnsi="Arial" w:cs="Arial"/>
            <w:sz w:val="28"/>
            <w:szCs w:val="28"/>
            <w:lang w:val="en-GB" w:eastAsia="en-GB"/>
          </w:rPr>
          <w:t>https://www.nhs.uk/change4life</w:t>
        </w:r>
      </w:hyperlink>
      <w:r w:rsidRPr="003A32C8">
        <w:rPr>
          <w:rFonts w:ascii="Arial" w:eastAsia="Times New Roman" w:hAnsi="Arial" w:cs="Arial"/>
          <w:sz w:val="28"/>
          <w:szCs w:val="28"/>
          <w:lang w:val="en-GB" w:eastAsia="en-GB"/>
        </w:rPr>
        <w:t> (Accessed: 3 August 2024).</w:t>
      </w:r>
    </w:p>
    <w:p w14:paraId="01A88A04" w14:textId="77777777" w:rsidR="0059765A" w:rsidRPr="003A32C8" w:rsidRDefault="0059765A"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Senedd (2024) The Rise in Obesity: Some Food for Thought. Available at: </w:t>
      </w:r>
      <w:hyperlink r:id="rId13" w:tgtFrame="_new" w:history="1">
        <w:r w:rsidRPr="003A32C8">
          <w:rPr>
            <w:rStyle w:val="Hyperlink"/>
            <w:rFonts w:ascii="Arial" w:eastAsia="Times New Roman" w:hAnsi="Arial" w:cs="Arial"/>
            <w:sz w:val="28"/>
            <w:szCs w:val="28"/>
            <w:lang w:val="en-GB" w:eastAsia="en-GB"/>
          </w:rPr>
          <w:t>https://research.senedd.wales/research-articles/the-rise-in-obesity-some-food-for-thought/</w:t>
        </w:r>
      </w:hyperlink>
      <w:r w:rsidRPr="003A32C8">
        <w:rPr>
          <w:rFonts w:ascii="Arial" w:eastAsia="Times New Roman" w:hAnsi="Arial" w:cs="Arial"/>
          <w:sz w:val="28"/>
          <w:szCs w:val="28"/>
          <w:lang w:val="en-GB" w:eastAsia="en-GB"/>
        </w:rPr>
        <w:t> (Accessed: 4 August 2024).</w:t>
      </w:r>
    </w:p>
    <w:p w14:paraId="39C35D06" w14:textId="77777777" w:rsidR="0059765A" w:rsidRPr="003A32C8" w:rsidRDefault="0059765A"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 xml:space="preserve">The Lancet Diabetes &amp; Endocrinology (2021) ‘The Obesity Pandemic: An Urgent Need for Action’, The Lancet Diabetes &amp; Endocrinology, 9(11), pp. 793-794. </w:t>
      </w:r>
      <w:proofErr w:type="spellStart"/>
      <w:r w:rsidRPr="003A32C8">
        <w:rPr>
          <w:rFonts w:ascii="Arial" w:eastAsia="Times New Roman" w:hAnsi="Arial" w:cs="Arial"/>
          <w:sz w:val="28"/>
          <w:szCs w:val="28"/>
          <w:lang w:val="en-GB" w:eastAsia="en-GB"/>
        </w:rPr>
        <w:t>doi</w:t>
      </w:r>
      <w:proofErr w:type="spellEnd"/>
      <w:r w:rsidRPr="003A32C8">
        <w:rPr>
          <w:rFonts w:ascii="Arial" w:eastAsia="Times New Roman" w:hAnsi="Arial" w:cs="Arial"/>
          <w:sz w:val="28"/>
          <w:szCs w:val="28"/>
          <w:lang w:val="en-GB" w:eastAsia="en-GB"/>
        </w:rPr>
        <w:t>: 10.1016/S2213-8587(21)00314-4. Available at: </w:t>
      </w:r>
      <w:hyperlink r:id="rId14" w:anchor="coronavirus-linkback-header" w:tgtFrame="_new" w:history="1">
        <w:r w:rsidRPr="003A32C8">
          <w:rPr>
            <w:rStyle w:val="Hyperlink"/>
            <w:rFonts w:ascii="Arial" w:eastAsia="Times New Roman" w:hAnsi="Arial" w:cs="Arial"/>
            <w:sz w:val="28"/>
            <w:szCs w:val="28"/>
            <w:lang w:val="en-GB" w:eastAsia="en-GB"/>
          </w:rPr>
          <w:t>https://www.thelancet.com/jo</w:t>
        </w:r>
        <w:r w:rsidRPr="003A32C8">
          <w:rPr>
            <w:rStyle w:val="Hyperlink"/>
            <w:rFonts w:ascii="Arial" w:eastAsia="Times New Roman" w:hAnsi="Arial" w:cs="Arial"/>
            <w:sz w:val="28"/>
            <w:szCs w:val="28"/>
            <w:lang w:val="en-GB" w:eastAsia="en-GB"/>
          </w:rPr>
          <w:t>u</w:t>
        </w:r>
        <w:r w:rsidRPr="003A32C8">
          <w:rPr>
            <w:rStyle w:val="Hyperlink"/>
            <w:rFonts w:ascii="Arial" w:eastAsia="Times New Roman" w:hAnsi="Arial" w:cs="Arial"/>
            <w:sz w:val="28"/>
            <w:szCs w:val="28"/>
            <w:lang w:val="en-GB" w:eastAsia="en-GB"/>
          </w:rPr>
          <w:t>rnals/landia/article/PIIS2213-8587(21)00314-4/fulltext#coronavirus-linkback-header</w:t>
        </w:r>
      </w:hyperlink>
      <w:r w:rsidRPr="003A32C8">
        <w:rPr>
          <w:rFonts w:ascii="Arial" w:eastAsia="Times New Roman" w:hAnsi="Arial" w:cs="Arial"/>
          <w:sz w:val="28"/>
          <w:szCs w:val="28"/>
          <w:lang w:val="en-GB" w:eastAsia="en-GB"/>
        </w:rPr>
        <w:t> (Accessed: 4 August 2024).</w:t>
      </w:r>
    </w:p>
    <w:p w14:paraId="16D4710C" w14:textId="77777777" w:rsidR="0059765A" w:rsidRPr="003A32C8" w:rsidRDefault="0059765A"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Welsh Government (2024a) Healthy Weight: Healthy Wales. Available at: </w:t>
      </w:r>
      <w:hyperlink r:id="rId15" w:tgtFrame="_new" w:history="1">
        <w:r w:rsidRPr="003A32C8">
          <w:rPr>
            <w:rStyle w:val="Hyperlink"/>
            <w:rFonts w:ascii="Arial" w:eastAsia="Times New Roman" w:hAnsi="Arial" w:cs="Arial"/>
            <w:sz w:val="28"/>
            <w:szCs w:val="28"/>
            <w:lang w:val="en-GB" w:eastAsia="en-GB"/>
          </w:rPr>
          <w:t>https://www.gov.wales/healthy-weight-healthy-wales</w:t>
        </w:r>
      </w:hyperlink>
      <w:r w:rsidRPr="003A32C8">
        <w:rPr>
          <w:rFonts w:ascii="Arial" w:eastAsia="Times New Roman" w:hAnsi="Arial" w:cs="Arial"/>
          <w:sz w:val="28"/>
          <w:szCs w:val="28"/>
          <w:lang w:val="en-GB" w:eastAsia="en-GB"/>
        </w:rPr>
        <w:t> (Accessed: 4 August 2024).</w:t>
      </w:r>
    </w:p>
    <w:p w14:paraId="6F018B56" w14:textId="77777777" w:rsidR="0059765A" w:rsidRPr="003A32C8" w:rsidRDefault="0059765A"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Welsh Government (2024b) The Food (Promotion and Placement) (Wales) Regulations 2024. Available at: </w:t>
      </w:r>
      <w:hyperlink r:id="rId16" w:tgtFrame="_new" w:history="1">
        <w:r w:rsidRPr="003A32C8">
          <w:rPr>
            <w:rStyle w:val="Hyperlink"/>
            <w:rFonts w:ascii="Arial" w:eastAsia="Times New Roman" w:hAnsi="Arial" w:cs="Arial"/>
            <w:sz w:val="28"/>
            <w:szCs w:val="28"/>
            <w:lang w:val="en-GB" w:eastAsia="en-GB"/>
          </w:rPr>
          <w:t>https://www.gov.wales/food-promotion-and-placement-wales-regulations-2024</w:t>
        </w:r>
      </w:hyperlink>
      <w:r w:rsidRPr="003A32C8">
        <w:rPr>
          <w:rFonts w:ascii="Arial" w:eastAsia="Times New Roman" w:hAnsi="Arial" w:cs="Arial"/>
          <w:sz w:val="28"/>
          <w:szCs w:val="28"/>
          <w:lang w:val="en-GB" w:eastAsia="en-GB"/>
        </w:rPr>
        <w:t> (Accessed: 4 August 2024).</w:t>
      </w:r>
    </w:p>
    <w:p w14:paraId="587F618F" w14:textId="467DF057" w:rsidR="00350612" w:rsidRPr="003A32C8" w:rsidRDefault="00C05171" w:rsidP="003A32C8">
      <w:pPr>
        <w:pStyle w:val="Heading1"/>
        <w:shd w:val="clear" w:color="auto" w:fill="FFFFFF"/>
        <w:spacing w:before="0" w:after="375" w:line="360" w:lineRule="auto"/>
        <w:rPr>
          <w:rFonts w:ascii="Arial" w:eastAsia="Times New Roman" w:hAnsi="Arial" w:cs="Arial"/>
          <w:color w:val="auto"/>
          <w:sz w:val="28"/>
          <w:szCs w:val="28"/>
          <w:lang w:val="en-GB" w:eastAsia="en-GB"/>
        </w:rPr>
      </w:pPr>
      <w:r w:rsidRPr="003A32C8">
        <w:rPr>
          <w:rFonts w:ascii="Arial" w:eastAsia="Times New Roman" w:hAnsi="Arial" w:cs="Arial"/>
          <w:color w:val="auto"/>
          <w:sz w:val="28"/>
          <w:szCs w:val="28"/>
          <w:lang w:val="en-GB" w:eastAsia="en-GB"/>
        </w:rPr>
        <w:t>Welsh Government (2022</w:t>
      </w:r>
      <w:r w:rsidR="00350612" w:rsidRPr="003A32C8">
        <w:rPr>
          <w:rFonts w:ascii="Arial" w:eastAsia="Times New Roman" w:hAnsi="Arial" w:cs="Arial"/>
          <w:color w:val="auto"/>
          <w:sz w:val="28"/>
          <w:szCs w:val="28"/>
          <w:lang w:val="en-GB" w:eastAsia="en-GB"/>
        </w:rPr>
        <w:t>a</w:t>
      </w:r>
      <w:r w:rsidRPr="003A32C8">
        <w:rPr>
          <w:rFonts w:ascii="Arial" w:eastAsia="Times New Roman" w:hAnsi="Arial" w:cs="Arial"/>
          <w:color w:val="auto"/>
          <w:sz w:val="28"/>
          <w:szCs w:val="28"/>
          <w:lang w:val="en-GB" w:eastAsia="en-GB"/>
        </w:rPr>
        <w:t xml:space="preserve">) </w:t>
      </w:r>
      <w:r w:rsidRPr="003A32C8">
        <w:rPr>
          <w:rFonts w:ascii="Arial" w:hAnsi="Arial" w:cs="Arial"/>
          <w:i/>
          <w:iCs/>
          <w:color w:val="auto"/>
          <w:sz w:val="28"/>
          <w:szCs w:val="28"/>
        </w:rPr>
        <w:t>£13m boost for new plan to reduce and prevent obesity in Wales.</w:t>
      </w:r>
      <w:r w:rsidRPr="003A32C8">
        <w:rPr>
          <w:rFonts w:ascii="Arial" w:hAnsi="Arial" w:cs="Arial"/>
          <w:color w:val="auto"/>
          <w:sz w:val="28"/>
          <w:szCs w:val="28"/>
        </w:rPr>
        <w:t xml:space="preserve"> Available at:</w:t>
      </w:r>
      <w:r w:rsidRPr="003A32C8">
        <w:rPr>
          <w:rFonts w:ascii="Arial" w:eastAsia="Times New Roman" w:hAnsi="Arial" w:cs="Arial"/>
          <w:sz w:val="28"/>
          <w:szCs w:val="28"/>
          <w:lang w:val="en-GB" w:eastAsia="en-GB"/>
        </w:rPr>
        <w:t xml:space="preserve"> </w:t>
      </w:r>
      <w:hyperlink r:id="rId17" w:history="1">
        <w:r w:rsidRPr="003A32C8">
          <w:rPr>
            <w:rStyle w:val="Hyperlink"/>
            <w:rFonts w:ascii="Arial" w:eastAsia="Times New Roman" w:hAnsi="Arial" w:cs="Arial"/>
            <w:sz w:val="28"/>
            <w:szCs w:val="28"/>
            <w:lang w:val="en-GB" w:eastAsia="en-GB"/>
          </w:rPr>
          <w:t>https://www.gov.wales/13m-boost-new-plan-reduce-and-prevent-obesity-wales</w:t>
        </w:r>
      </w:hyperlink>
      <w:r w:rsidRPr="003A32C8">
        <w:rPr>
          <w:rFonts w:ascii="Arial" w:eastAsia="Times New Roman" w:hAnsi="Arial" w:cs="Arial"/>
          <w:sz w:val="28"/>
          <w:szCs w:val="28"/>
          <w:lang w:val="en-GB" w:eastAsia="en-GB"/>
        </w:rPr>
        <w:t xml:space="preserve">. </w:t>
      </w:r>
      <w:r w:rsidRPr="003A32C8">
        <w:rPr>
          <w:rFonts w:ascii="Arial" w:eastAsia="Times New Roman" w:hAnsi="Arial" w:cs="Arial"/>
          <w:color w:val="auto"/>
          <w:sz w:val="28"/>
          <w:szCs w:val="28"/>
          <w:lang w:val="en-GB" w:eastAsia="en-GB"/>
        </w:rPr>
        <w:t>(Accessed: 12 August 2024)</w:t>
      </w:r>
    </w:p>
    <w:p w14:paraId="2DDE72DF" w14:textId="04766635" w:rsidR="00350612" w:rsidRPr="003A32C8" w:rsidRDefault="00350612" w:rsidP="003A32C8">
      <w:pPr>
        <w:spacing w:line="360" w:lineRule="auto"/>
        <w:rPr>
          <w:rFonts w:ascii="Arial" w:hAnsi="Arial" w:cs="Arial"/>
          <w:sz w:val="28"/>
          <w:szCs w:val="28"/>
          <w:lang w:val="en-GB" w:eastAsia="en-GB"/>
        </w:rPr>
      </w:pPr>
      <w:r w:rsidRPr="003A32C8">
        <w:rPr>
          <w:rFonts w:ascii="Arial" w:hAnsi="Arial" w:cs="Arial"/>
          <w:sz w:val="28"/>
          <w:szCs w:val="28"/>
          <w:lang w:val="en-GB" w:eastAsia="en-GB"/>
        </w:rPr>
        <w:t xml:space="preserve">Welsh </w:t>
      </w:r>
      <w:r w:rsidR="00227BAE" w:rsidRPr="003A32C8">
        <w:rPr>
          <w:rFonts w:ascii="Arial" w:hAnsi="Arial" w:cs="Arial"/>
          <w:sz w:val="28"/>
          <w:szCs w:val="28"/>
          <w:lang w:val="en-GB" w:eastAsia="en-GB"/>
        </w:rPr>
        <w:t>G</w:t>
      </w:r>
      <w:r w:rsidRPr="003A32C8">
        <w:rPr>
          <w:rFonts w:ascii="Arial" w:hAnsi="Arial" w:cs="Arial"/>
          <w:sz w:val="28"/>
          <w:szCs w:val="28"/>
          <w:lang w:val="en-GB" w:eastAsia="en-GB"/>
        </w:rPr>
        <w:t xml:space="preserve">overnment (2022b) </w:t>
      </w:r>
      <w:r w:rsidRPr="003A32C8">
        <w:rPr>
          <w:rFonts w:ascii="Arial" w:hAnsi="Arial" w:cs="Arial"/>
          <w:i/>
          <w:iCs/>
          <w:sz w:val="28"/>
          <w:szCs w:val="28"/>
          <w:lang w:val="en-GB" w:eastAsia="en-GB"/>
        </w:rPr>
        <w:t>Healthy Weight Healthy Wales Strategy: evaluability assessment</w:t>
      </w:r>
      <w:r w:rsidRPr="003A32C8">
        <w:rPr>
          <w:rFonts w:ascii="Arial" w:hAnsi="Arial" w:cs="Arial"/>
          <w:sz w:val="28"/>
          <w:szCs w:val="28"/>
          <w:lang w:val="en-GB" w:eastAsia="en-GB"/>
        </w:rPr>
        <w:t xml:space="preserve">. Available at: </w:t>
      </w:r>
      <w:hyperlink r:id="rId18" w:history="1">
        <w:r w:rsidRPr="003A32C8">
          <w:rPr>
            <w:rStyle w:val="Hyperlink"/>
            <w:rFonts w:ascii="Arial" w:hAnsi="Arial" w:cs="Arial"/>
            <w:sz w:val="28"/>
            <w:szCs w:val="28"/>
            <w:lang w:val="en-GB" w:eastAsia="en-GB"/>
          </w:rPr>
          <w:t>https://www.gov.wales/healthy-weight-healthy-wales-strategy-evaluability-assessment</w:t>
        </w:r>
      </w:hyperlink>
      <w:r w:rsidRPr="003A32C8">
        <w:rPr>
          <w:rFonts w:ascii="Arial" w:hAnsi="Arial" w:cs="Arial"/>
          <w:sz w:val="28"/>
          <w:szCs w:val="28"/>
          <w:lang w:val="en-GB" w:eastAsia="en-GB"/>
        </w:rPr>
        <w:t>. (Accessed: 12 August 2024).</w:t>
      </w:r>
    </w:p>
    <w:p w14:paraId="472FD93C" w14:textId="669B1394" w:rsidR="0059765A" w:rsidRPr="003A32C8" w:rsidRDefault="0059765A"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World Health Organization (WHO) (2023)</w:t>
      </w:r>
      <w:r w:rsidR="007C3F3D" w:rsidRPr="003A32C8">
        <w:rPr>
          <w:rFonts w:ascii="Arial" w:eastAsia="Times New Roman" w:hAnsi="Arial" w:cs="Arial"/>
          <w:sz w:val="28"/>
          <w:szCs w:val="28"/>
          <w:lang w:val="en-GB" w:eastAsia="en-GB"/>
        </w:rPr>
        <w:t xml:space="preserve"> </w:t>
      </w:r>
      <w:r w:rsidR="007C3F3D" w:rsidRPr="003A32C8">
        <w:rPr>
          <w:rFonts w:ascii="Arial" w:eastAsia="Times New Roman" w:hAnsi="Arial" w:cs="Arial"/>
          <w:i/>
          <w:iCs/>
          <w:sz w:val="28"/>
          <w:szCs w:val="28"/>
          <w:lang w:val="en-GB" w:eastAsia="en-GB"/>
        </w:rPr>
        <w:t>Nurturing care framework progress report 2018-2023: reflections and looking forward</w:t>
      </w:r>
      <w:r w:rsidRPr="003A32C8">
        <w:rPr>
          <w:rFonts w:ascii="Arial" w:eastAsia="Times New Roman" w:hAnsi="Arial" w:cs="Arial"/>
          <w:sz w:val="28"/>
          <w:szCs w:val="28"/>
          <w:lang w:val="en-GB" w:eastAsia="en-GB"/>
        </w:rPr>
        <w:t>. Available at: </w:t>
      </w:r>
      <w:hyperlink r:id="rId19" w:tgtFrame="_new" w:history="1">
        <w:r w:rsidRPr="003A32C8">
          <w:rPr>
            <w:rStyle w:val="Hyperlink"/>
            <w:rFonts w:ascii="Arial" w:eastAsia="Times New Roman" w:hAnsi="Arial" w:cs="Arial"/>
            <w:sz w:val="28"/>
            <w:szCs w:val="28"/>
            <w:lang w:val="en-GB" w:eastAsia="en-GB"/>
          </w:rPr>
          <w:t>https://www.who.int/publications/i/item</w:t>
        </w:r>
        <w:r w:rsidRPr="003A32C8">
          <w:rPr>
            <w:rStyle w:val="Hyperlink"/>
            <w:rFonts w:ascii="Arial" w:eastAsia="Times New Roman" w:hAnsi="Arial" w:cs="Arial"/>
            <w:sz w:val="28"/>
            <w:szCs w:val="28"/>
            <w:lang w:val="en-GB" w:eastAsia="en-GB"/>
          </w:rPr>
          <w:t>/</w:t>
        </w:r>
        <w:r w:rsidRPr="003A32C8">
          <w:rPr>
            <w:rStyle w:val="Hyperlink"/>
            <w:rFonts w:ascii="Arial" w:eastAsia="Times New Roman" w:hAnsi="Arial" w:cs="Arial"/>
            <w:sz w:val="28"/>
            <w:szCs w:val="28"/>
            <w:lang w:val="en-GB" w:eastAsia="en-GB"/>
          </w:rPr>
          <w:t>9789240074460</w:t>
        </w:r>
      </w:hyperlink>
      <w:r w:rsidRPr="003A32C8">
        <w:rPr>
          <w:rFonts w:ascii="Arial" w:eastAsia="Times New Roman" w:hAnsi="Arial" w:cs="Arial"/>
          <w:sz w:val="28"/>
          <w:szCs w:val="28"/>
          <w:lang w:val="en-GB" w:eastAsia="en-GB"/>
        </w:rPr>
        <w:t> (Accessed: 1 August 2024).</w:t>
      </w:r>
    </w:p>
    <w:p w14:paraId="11ADA778" w14:textId="77777777" w:rsidR="0059765A" w:rsidRPr="003A32C8" w:rsidRDefault="0059765A"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World Health Organization (WHO) (2024) Constitution. Available at: </w:t>
      </w:r>
      <w:hyperlink r:id="rId20" w:tgtFrame="_new" w:history="1">
        <w:r w:rsidRPr="003A32C8">
          <w:rPr>
            <w:rStyle w:val="Hyperlink"/>
            <w:rFonts w:ascii="Arial" w:eastAsia="Times New Roman" w:hAnsi="Arial" w:cs="Arial"/>
            <w:sz w:val="28"/>
            <w:szCs w:val="28"/>
            <w:lang w:val="en-GB" w:eastAsia="en-GB"/>
          </w:rPr>
          <w:t>https://www.who.int/about/governance/c</w:t>
        </w:r>
        <w:r w:rsidRPr="003A32C8">
          <w:rPr>
            <w:rStyle w:val="Hyperlink"/>
            <w:rFonts w:ascii="Arial" w:eastAsia="Times New Roman" w:hAnsi="Arial" w:cs="Arial"/>
            <w:sz w:val="28"/>
            <w:szCs w:val="28"/>
            <w:lang w:val="en-GB" w:eastAsia="en-GB"/>
          </w:rPr>
          <w:t>o</w:t>
        </w:r>
        <w:r w:rsidRPr="003A32C8">
          <w:rPr>
            <w:rStyle w:val="Hyperlink"/>
            <w:rFonts w:ascii="Arial" w:eastAsia="Times New Roman" w:hAnsi="Arial" w:cs="Arial"/>
            <w:sz w:val="28"/>
            <w:szCs w:val="28"/>
            <w:lang w:val="en-GB" w:eastAsia="en-GB"/>
          </w:rPr>
          <w:t>nstitution</w:t>
        </w:r>
      </w:hyperlink>
      <w:r w:rsidRPr="003A32C8">
        <w:rPr>
          <w:rFonts w:ascii="Arial" w:eastAsia="Times New Roman" w:hAnsi="Arial" w:cs="Arial"/>
          <w:sz w:val="28"/>
          <w:szCs w:val="28"/>
          <w:lang w:val="en-GB" w:eastAsia="en-GB"/>
        </w:rPr>
        <w:t> (Accessed: 1 August 2024)</w:t>
      </w:r>
    </w:p>
    <w:p w14:paraId="4B926B90" w14:textId="480E8D33" w:rsidR="0059765A" w:rsidRPr="003A32C8" w:rsidRDefault="0059765A" w:rsidP="003A32C8">
      <w:pPr>
        <w:spacing w:line="360" w:lineRule="auto"/>
        <w:rPr>
          <w:rFonts w:ascii="Arial" w:eastAsia="Times New Roman" w:hAnsi="Arial" w:cs="Arial"/>
          <w:sz w:val="28"/>
          <w:szCs w:val="28"/>
          <w:lang w:val="en-GB" w:eastAsia="en-GB"/>
        </w:rPr>
      </w:pPr>
      <w:r w:rsidRPr="003A32C8">
        <w:rPr>
          <w:rFonts w:ascii="Arial" w:eastAsia="Times New Roman" w:hAnsi="Arial" w:cs="Arial"/>
          <w:sz w:val="28"/>
          <w:szCs w:val="28"/>
          <w:lang w:val="en-GB" w:eastAsia="en-GB"/>
        </w:rPr>
        <w:t xml:space="preserve">WLGA </w:t>
      </w:r>
      <w:r w:rsidR="007C3F3D" w:rsidRPr="003A32C8">
        <w:rPr>
          <w:rFonts w:ascii="Arial" w:eastAsia="Times New Roman" w:hAnsi="Arial" w:cs="Arial"/>
          <w:sz w:val="28"/>
          <w:szCs w:val="28"/>
          <w:lang w:val="en-GB" w:eastAsia="en-GB"/>
        </w:rPr>
        <w:t>(</w:t>
      </w:r>
      <w:r w:rsidRPr="003A32C8">
        <w:rPr>
          <w:rFonts w:ascii="Arial" w:eastAsia="Times New Roman" w:hAnsi="Arial" w:cs="Arial"/>
          <w:sz w:val="28"/>
          <w:szCs w:val="28"/>
          <w:lang w:val="en-GB" w:eastAsia="en-GB"/>
        </w:rPr>
        <w:t>2024</w:t>
      </w:r>
      <w:r w:rsidR="007C3F3D" w:rsidRPr="003A32C8">
        <w:rPr>
          <w:rFonts w:ascii="Arial" w:eastAsia="Times New Roman" w:hAnsi="Arial" w:cs="Arial"/>
          <w:sz w:val="28"/>
          <w:szCs w:val="28"/>
          <w:lang w:val="en-GB" w:eastAsia="en-GB"/>
        </w:rPr>
        <w:t>)</w:t>
      </w:r>
      <w:r w:rsidRPr="003A32C8">
        <w:rPr>
          <w:rFonts w:ascii="Arial" w:eastAsia="Times New Roman" w:hAnsi="Arial" w:cs="Arial"/>
          <w:sz w:val="28"/>
          <w:szCs w:val="28"/>
          <w:lang w:val="en-GB" w:eastAsia="en-GB"/>
        </w:rPr>
        <w:t xml:space="preserve"> </w:t>
      </w:r>
      <w:r w:rsidR="007C3F3D" w:rsidRPr="003A32C8">
        <w:rPr>
          <w:rFonts w:ascii="Arial" w:eastAsia="Times New Roman" w:hAnsi="Arial" w:cs="Arial"/>
          <w:i/>
          <w:iCs/>
          <w:sz w:val="28"/>
          <w:szCs w:val="28"/>
          <w:lang w:val="en-GB" w:eastAsia="en-GB"/>
        </w:rPr>
        <w:t>H</w:t>
      </w:r>
      <w:r w:rsidRPr="003A32C8">
        <w:rPr>
          <w:rFonts w:ascii="Arial" w:eastAsia="Times New Roman" w:hAnsi="Arial" w:cs="Arial"/>
          <w:i/>
          <w:iCs/>
          <w:sz w:val="28"/>
          <w:szCs w:val="28"/>
          <w:lang w:val="en-GB" w:eastAsia="en-GB"/>
        </w:rPr>
        <w:t>ealthy eating in schools</w:t>
      </w:r>
      <w:r w:rsidR="007C3F3D" w:rsidRPr="003A32C8">
        <w:rPr>
          <w:rFonts w:ascii="Arial" w:eastAsia="Times New Roman" w:hAnsi="Arial" w:cs="Arial"/>
          <w:i/>
          <w:iCs/>
          <w:sz w:val="28"/>
          <w:szCs w:val="28"/>
          <w:lang w:val="en-GB" w:eastAsia="en-GB"/>
        </w:rPr>
        <w:t>.</w:t>
      </w:r>
      <w:r w:rsidR="007C3F3D" w:rsidRPr="003A32C8">
        <w:rPr>
          <w:rFonts w:ascii="Arial" w:eastAsia="Times New Roman" w:hAnsi="Arial" w:cs="Arial"/>
          <w:sz w:val="28"/>
          <w:szCs w:val="28"/>
          <w:lang w:val="en-GB" w:eastAsia="en-GB"/>
        </w:rPr>
        <w:t xml:space="preserve"> Available at:</w:t>
      </w:r>
      <w:r w:rsidRPr="003A32C8">
        <w:rPr>
          <w:rFonts w:ascii="Arial" w:eastAsia="Times New Roman" w:hAnsi="Arial" w:cs="Arial"/>
          <w:sz w:val="28"/>
          <w:szCs w:val="28"/>
          <w:lang w:val="en-GB" w:eastAsia="en-GB"/>
        </w:rPr>
        <w:t xml:space="preserve"> </w:t>
      </w:r>
      <w:hyperlink r:id="rId21" w:history="1">
        <w:r w:rsidRPr="003A32C8">
          <w:rPr>
            <w:rStyle w:val="Hyperlink"/>
            <w:rFonts w:ascii="Arial" w:eastAsia="Times New Roman" w:hAnsi="Arial" w:cs="Arial"/>
            <w:sz w:val="28"/>
            <w:szCs w:val="28"/>
            <w:lang w:val="en-GB" w:eastAsia="en-GB"/>
          </w:rPr>
          <w:t>https://ww</w:t>
        </w:r>
        <w:r w:rsidRPr="003A32C8">
          <w:rPr>
            <w:rStyle w:val="Hyperlink"/>
            <w:rFonts w:ascii="Arial" w:eastAsia="Times New Roman" w:hAnsi="Arial" w:cs="Arial"/>
            <w:sz w:val="28"/>
            <w:szCs w:val="28"/>
            <w:lang w:val="en-GB" w:eastAsia="en-GB"/>
          </w:rPr>
          <w:t>w</w:t>
        </w:r>
        <w:r w:rsidRPr="003A32C8">
          <w:rPr>
            <w:rStyle w:val="Hyperlink"/>
            <w:rFonts w:ascii="Arial" w:eastAsia="Times New Roman" w:hAnsi="Arial" w:cs="Arial"/>
            <w:sz w:val="28"/>
            <w:szCs w:val="28"/>
            <w:lang w:val="en-GB" w:eastAsia="en-GB"/>
          </w:rPr>
          <w:t>.wlga.wales/healthy-eating-in-schools</w:t>
        </w:r>
      </w:hyperlink>
      <w:r w:rsidRPr="003A32C8">
        <w:rPr>
          <w:rFonts w:ascii="Arial" w:eastAsia="Times New Roman" w:hAnsi="Arial" w:cs="Arial"/>
          <w:sz w:val="28"/>
          <w:szCs w:val="28"/>
          <w:lang w:val="en-GB" w:eastAsia="en-GB"/>
        </w:rPr>
        <w:t>. (Accessed: 12 August 2024)</w:t>
      </w:r>
      <w:r w:rsidRPr="003A32C8">
        <w:rPr>
          <w:rFonts w:ascii="Arial" w:eastAsia="Times New Roman" w:hAnsi="Arial" w:cs="Arial"/>
          <w:sz w:val="28"/>
          <w:szCs w:val="28"/>
          <w:lang w:val="en-GB" w:eastAsia="en-GB"/>
        </w:rPr>
        <w:br/>
      </w:r>
    </w:p>
    <w:p w14:paraId="02CE2A21" w14:textId="29D76815" w:rsidR="0059765A" w:rsidRPr="003A32C8" w:rsidRDefault="0059765A" w:rsidP="003A32C8">
      <w:pPr>
        <w:spacing w:line="360" w:lineRule="auto"/>
        <w:rPr>
          <w:rFonts w:ascii="Arial" w:eastAsia="Times New Roman" w:hAnsi="Arial" w:cs="Arial"/>
          <w:sz w:val="28"/>
          <w:szCs w:val="28"/>
          <w:lang w:eastAsia="en-GB"/>
        </w:rPr>
      </w:pPr>
      <w:r w:rsidRPr="003A32C8">
        <w:rPr>
          <w:rFonts w:ascii="Arial" w:eastAsia="Times New Roman" w:hAnsi="Arial" w:cs="Arial"/>
          <w:sz w:val="28"/>
          <w:szCs w:val="28"/>
          <w:lang w:eastAsia="en-GB"/>
        </w:rPr>
        <w:t>WLGA (2024)</w:t>
      </w:r>
      <w:r w:rsidRPr="003A32C8">
        <w:rPr>
          <w:rFonts w:ascii="Arial" w:eastAsia="Times New Roman" w:hAnsi="Arial" w:cs="Arial"/>
          <w:i/>
          <w:iCs/>
          <w:sz w:val="28"/>
          <w:szCs w:val="28"/>
          <w:lang w:eastAsia="en-GB"/>
        </w:rPr>
        <w:t xml:space="preserve"> </w:t>
      </w:r>
      <w:r w:rsidR="007C3F3D" w:rsidRPr="003A32C8">
        <w:rPr>
          <w:rFonts w:ascii="Arial" w:eastAsia="Times New Roman" w:hAnsi="Arial" w:cs="Arial"/>
          <w:i/>
          <w:iCs/>
          <w:sz w:val="28"/>
          <w:szCs w:val="28"/>
          <w:lang w:eastAsia="en-GB"/>
        </w:rPr>
        <w:t xml:space="preserve">'Food and Fun’ School Holiday Enrichment </w:t>
      </w:r>
      <w:proofErr w:type="spellStart"/>
      <w:r w:rsidR="007C3F3D" w:rsidRPr="003A32C8">
        <w:rPr>
          <w:rFonts w:ascii="Arial" w:eastAsia="Times New Roman" w:hAnsi="Arial" w:cs="Arial"/>
          <w:i/>
          <w:iCs/>
          <w:sz w:val="28"/>
          <w:szCs w:val="28"/>
          <w:lang w:eastAsia="en-GB"/>
        </w:rPr>
        <w:t>Programme</w:t>
      </w:r>
      <w:proofErr w:type="spellEnd"/>
      <w:r w:rsidRPr="003A32C8">
        <w:rPr>
          <w:rFonts w:ascii="Arial" w:eastAsia="Times New Roman" w:hAnsi="Arial" w:cs="Arial"/>
          <w:sz w:val="28"/>
          <w:szCs w:val="28"/>
          <w:lang w:eastAsia="en-GB"/>
        </w:rPr>
        <w:t>. Available at: </w:t>
      </w:r>
      <w:hyperlink r:id="rId22" w:tgtFrame="_new" w:history="1">
        <w:r w:rsidRPr="003A32C8">
          <w:rPr>
            <w:rStyle w:val="Hyperlink"/>
            <w:rFonts w:ascii="Arial" w:eastAsia="Times New Roman" w:hAnsi="Arial" w:cs="Arial"/>
            <w:sz w:val="28"/>
            <w:szCs w:val="28"/>
            <w:lang w:eastAsia="en-GB"/>
          </w:rPr>
          <w:t>https://www.wlga.wales/fo</w:t>
        </w:r>
        <w:r w:rsidRPr="003A32C8">
          <w:rPr>
            <w:rStyle w:val="Hyperlink"/>
            <w:rFonts w:ascii="Arial" w:eastAsia="Times New Roman" w:hAnsi="Arial" w:cs="Arial"/>
            <w:sz w:val="28"/>
            <w:szCs w:val="28"/>
            <w:lang w:eastAsia="en-GB"/>
          </w:rPr>
          <w:t>o</w:t>
        </w:r>
        <w:r w:rsidRPr="003A32C8">
          <w:rPr>
            <w:rStyle w:val="Hyperlink"/>
            <w:rFonts w:ascii="Arial" w:eastAsia="Times New Roman" w:hAnsi="Arial" w:cs="Arial"/>
            <w:sz w:val="28"/>
            <w:szCs w:val="28"/>
            <w:lang w:eastAsia="en-GB"/>
          </w:rPr>
          <w:t>d-and-fun-sch</w:t>
        </w:r>
        <w:r w:rsidRPr="003A32C8">
          <w:rPr>
            <w:rStyle w:val="Hyperlink"/>
            <w:rFonts w:ascii="Arial" w:eastAsia="Times New Roman" w:hAnsi="Arial" w:cs="Arial"/>
            <w:sz w:val="28"/>
            <w:szCs w:val="28"/>
            <w:lang w:eastAsia="en-GB"/>
          </w:rPr>
          <w:t>o</w:t>
        </w:r>
        <w:r w:rsidRPr="003A32C8">
          <w:rPr>
            <w:rStyle w:val="Hyperlink"/>
            <w:rFonts w:ascii="Arial" w:eastAsia="Times New Roman" w:hAnsi="Arial" w:cs="Arial"/>
            <w:sz w:val="28"/>
            <w:szCs w:val="28"/>
            <w:lang w:eastAsia="en-GB"/>
          </w:rPr>
          <w:t>ol-holiday-enrichment-programme</w:t>
        </w:r>
      </w:hyperlink>
      <w:r w:rsidRPr="003A32C8">
        <w:rPr>
          <w:rFonts w:ascii="Arial" w:eastAsia="Times New Roman" w:hAnsi="Arial" w:cs="Arial"/>
          <w:sz w:val="28"/>
          <w:szCs w:val="28"/>
          <w:lang w:eastAsia="en-GB"/>
        </w:rPr>
        <w:t> (Accessed: 5 August 2024).</w:t>
      </w:r>
    </w:p>
    <w:p w14:paraId="71D7FD9E" w14:textId="06297D21" w:rsidR="00350612" w:rsidRPr="003A32C8" w:rsidRDefault="00387303" w:rsidP="003A32C8">
      <w:pPr>
        <w:spacing w:line="360" w:lineRule="auto"/>
        <w:rPr>
          <w:rFonts w:ascii="Arial" w:eastAsia="Times New Roman" w:hAnsi="Arial" w:cs="Arial"/>
          <w:sz w:val="28"/>
          <w:szCs w:val="28"/>
          <w:lang w:eastAsia="en-GB"/>
        </w:rPr>
      </w:pPr>
      <w:r w:rsidRPr="003A32C8">
        <w:rPr>
          <w:rFonts w:ascii="Arial" w:eastAsia="Times New Roman" w:hAnsi="Arial" w:cs="Arial"/>
          <w:sz w:val="28"/>
          <w:szCs w:val="28"/>
          <w:lang w:eastAsia="en-GB"/>
        </w:rPr>
        <w:t xml:space="preserve">NHS (2022) New weight management and early years prevention services launched to support children and young people's health. Available at: </w:t>
      </w:r>
      <w:hyperlink r:id="rId23" w:history="1">
        <w:r w:rsidR="00350612" w:rsidRPr="003A32C8">
          <w:rPr>
            <w:rStyle w:val="Hyperlink"/>
            <w:rFonts w:ascii="Arial" w:eastAsia="Times New Roman" w:hAnsi="Arial" w:cs="Arial"/>
            <w:sz w:val="28"/>
            <w:szCs w:val="28"/>
            <w:lang w:eastAsia="en-GB"/>
          </w:rPr>
          <w:t>https://cavuhb.nhs.wales/news/latest-n</w:t>
        </w:r>
        <w:r w:rsidR="00350612" w:rsidRPr="003A32C8">
          <w:rPr>
            <w:rStyle w:val="Hyperlink"/>
            <w:rFonts w:ascii="Arial" w:eastAsia="Times New Roman" w:hAnsi="Arial" w:cs="Arial"/>
            <w:sz w:val="28"/>
            <w:szCs w:val="28"/>
            <w:lang w:eastAsia="en-GB"/>
          </w:rPr>
          <w:t>e</w:t>
        </w:r>
        <w:r w:rsidR="00350612" w:rsidRPr="003A32C8">
          <w:rPr>
            <w:rStyle w:val="Hyperlink"/>
            <w:rFonts w:ascii="Arial" w:eastAsia="Times New Roman" w:hAnsi="Arial" w:cs="Arial"/>
            <w:sz w:val="28"/>
            <w:szCs w:val="28"/>
            <w:lang w:eastAsia="en-GB"/>
          </w:rPr>
          <w:t>ws/new-weight-management-and-early-years-prevention-services-launched-to-support-children-and-young-peoples-health/</w:t>
        </w:r>
      </w:hyperlink>
      <w:r w:rsidRPr="003A32C8">
        <w:rPr>
          <w:rFonts w:ascii="Arial" w:eastAsia="Times New Roman" w:hAnsi="Arial" w:cs="Arial"/>
          <w:sz w:val="28"/>
          <w:szCs w:val="28"/>
          <w:lang w:eastAsia="en-GB"/>
        </w:rPr>
        <w:t>. (Accessed: 12 August 2024).</w:t>
      </w:r>
    </w:p>
    <w:p w14:paraId="26C11AE3" w14:textId="0D3F0D47" w:rsidR="00541273" w:rsidRDefault="0065616A" w:rsidP="003A32C8">
      <w:pPr>
        <w:spacing w:line="360" w:lineRule="auto"/>
        <w:rPr>
          <w:rFonts w:ascii="-webkit-standard" w:hAnsi="-webkit-standard"/>
          <w:color w:val="000000"/>
          <w:sz w:val="28"/>
          <w:szCs w:val="28"/>
        </w:rPr>
      </w:pPr>
      <w:proofErr w:type="spellStart"/>
      <w:r w:rsidRPr="003A32C8">
        <w:rPr>
          <w:rFonts w:ascii="-webkit-standard" w:hAnsi="-webkit-standard"/>
          <w:color w:val="000000"/>
          <w:sz w:val="28"/>
          <w:szCs w:val="28"/>
        </w:rPr>
        <w:t>Michalopoulou</w:t>
      </w:r>
      <w:proofErr w:type="spellEnd"/>
      <w:r w:rsidRPr="003A32C8">
        <w:rPr>
          <w:rFonts w:ascii="-webkit-standard" w:hAnsi="-webkit-standard"/>
          <w:color w:val="000000"/>
          <w:sz w:val="28"/>
          <w:szCs w:val="28"/>
        </w:rPr>
        <w:t xml:space="preserve"> S, </w:t>
      </w:r>
      <w:proofErr w:type="spellStart"/>
      <w:r w:rsidRPr="003A32C8">
        <w:rPr>
          <w:rFonts w:ascii="-webkit-standard" w:hAnsi="-webkit-standard"/>
          <w:color w:val="000000"/>
          <w:sz w:val="28"/>
          <w:szCs w:val="28"/>
        </w:rPr>
        <w:t>Sifaki</w:t>
      </w:r>
      <w:proofErr w:type="spellEnd"/>
      <w:r w:rsidRPr="003A32C8">
        <w:rPr>
          <w:rFonts w:ascii="-webkit-standard" w:hAnsi="-webkit-standard"/>
          <w:color w:val="000000"/>
          <w:sz w:val="28"/>
          <w:szCs w:val="28"/>
        </w:rPr>
        <w:t> M, Packer J, et al. Assessing the impact of obesity interventions in the early years: a systematic review of UK-based studies. BMJ Open 2024;</w:t>
      </w:r>
      <w:proofErr w:type="gramStart"/>
      <w:r w:rsidRPr="003A32C8">
        <w:rPr>
          <w:rFonts w:ascii="-webkit-standard" w:hAnsi="-webkit-standard"/>
          <w:color w:val="000000"/>
          <w:sz w:val="28"/>
          <w:szCs w:val="28"/>
        </w:rPr>
        <w:t>14:e</w:t>
      </w:r>
      <w:proofErr w:type="gramEnd"/>
      <w:r w:rsidRPr="003A32C8">
        <w:rPr>
          <w:rFonts w:ascii="-webkit-standard" w:hAnsi="-webkit-standard"/>
          <w:color w:val="000000"/>
          <w:sz w:val="28"/>
          <w:szCs w:val="28"/>
        </w:rPr>
        <w:t>076479. doi:10.1136/ bmjopen-2023-076479</w:t>
      </w:r>
    </w:p>
    <w:p w14:paraId="551C1113" w14:textId="53942803" w:rsidR="00496697" w:rsidRPr="00496697" w:rsidRDefault="00496697" w:rsidP="003A32C8">
      <w:pPr>
        <w:spacing w:line="360" w:lineRule="auto"/>
        <w:rPr>
          <w:rFonts w:ascii="Arial" w:eastAsia="Times New Roman" w:hAnsi="Arial" w:cs="Arial"/>
          <w:sz w:val="28"/>
          <w:szCs w:val="28"/>
          <w:lang w:eastAsia="en-GB"/>
        </w:rPr>
      </w:pPr>
      <w:r w:rsidRPr="00496697">
        <w:rPr>
          <w:rFonts w:ascii="Arial" w:eastAsia="Times New Roman" w:hAnsi="Arial" w:cs="Arial"/>
          <w:sz w:val="28"/>
          <w:szCs w:val="28"/>
          <w:lang w:eastAsia="en-GB"/>
        </w:rPr>
        <w:t xml:space="preserve">Royal College of </w:t>
      </w:r>
      <w:proofErr w:type="spellStart"/>
      <w:r w:rsidRPr="00496697">
        <w:rPr>
          <w:rFonts w:ascii="Arial" w:eastAsia="Times New Roman" w:hAnsi="Arial" w:cs="Arial"/>
          <w:sz w:val="28"/>
          <w:szCs w:val="28"/>
          <w:lang w:eastAsia="en-GB"/>
        </w:rPr>
        <w:t>Paediatrics</w:t>
      </w:r>
      <w:proofErr w:type="spellEnd"/>
      <w:r w:rsidRPr="00496697">
        <w:rPr>
          <w:rFonts w:ascii="Arial" w:eastAsia="Times New Roman" w:hAnsi="Arial" w:cs="Arial"/>
          <w:sz w:val="28"/>
          <w:szCs w:val="28"/>
          <w:lang w:eastAsia="en-GB"/>
        </w:rPr>
        <w:t xml:space="preserve"> and Child Health</w:t>
      </w:r>
      <w:r>
        <w:rPr>
          <w:rFonts w:ascii="Arial" w:eastAsia="Times New Roman" w:hAnsi="Arial" w:cs="Arial"/>
          <w:sz w:val="28"/>
          <w:szCs w:val="28"/>
          <w:lang w:eastAsia="en-GB"/>
        </w:rPr>
        <w:t xml:space="preserve"> (2021) </w:t>
      </w:r>
      <w:r w:rsidRPr="00496697">
        <w:rPr>
          <w:rFonts w:ascii="Arial" w:eastAsia="Times New Roman" w:hAnsi="Arial" w:cs="Arial"/>
          <w:i/>
          <w:iCs/>
          <w:sz w:val="28"/>
          <w:szCs w:val="28"/>
          <w:lang w:eastAsia="en-GB"/>
        </w:rPr>
        <w:t>Healthy weight</w:t>
      </w:r>
      <w:r w:rsidRPr="00496697">
        <w:rPr>
          <w:rFonts w:ascii="Arial" w:eastAsia="Times New Roman" w:hAnsi="Arial" w:cs="Arial"/>
          <w:i/>
          <w:iCs/>
          <w:sz w:val="28"/>
          <w:szCs w:val="28"/>
          <w:lang w:eastAsia="en-GB"/>
        </w:rPr>
        <w:t>.</w:t>
      </w:r>
      <w:r>
        <w:rPr>
          <w:rFonts w:ascii="Arial" w:eastAsia="Times New Roman" w:hAnsi="Arial" w:cs="Arial"/>
          <w:sz w:val="28"/>
          <w:szCs w:val="28"/>
          <w:lang w:eastAsia="en-GB"/>
        </w:rPr>
        <w:t xml:space="preserve"> Available </w:t>
      </w:r>
      <w:proofErr w:type="spellStart"/>
      <w:r>
        <w:rPr>
          <w:rFonts w:ascii="Arial" w:eastAsia="Times New Roman" w:hAnsi="Arial" w:cs="Arial"/>
          <w:sz w:val="28"/>
          <w:szCs w:val="28"/>
          <w:lang w:eastAsia="en-GB"/>
        </w:rPr>
        <w:t>at:</w:t>
      </w:r>
      <w:proofErr w:type="spellEnd"/>
      <w:r>
        <w:rPr>
          <w:rFonts w:ascii="Arial" w:eastAsia="Times New Roman" w:hAnsi="Arial" w:cs="Arial"/>
          <w:sz w:val="28"/>
          <w:szCs w:val="28"/>
          <w:lang w:eastAsia="en-GB"/>
        </w:rPr>
        <w:t xml:space="preserve"> </w:t>
      </w:r>
      <w:hyperlink r:id="rId24" w:history="1">
        <w:r w:rsidRPr="00675563">
          <w:rPr>
            <w:rStyle w:val="Hyperlink"/>
            <w:rFonts w:ascii="Arial" w:eastAsia="Times New Roman" w:hAnsi="Arial" w:cs="Arial"/>
            <w:sz w:val="28"/>
            <w:szCs w:val="28"/>
            <w:lang w:eastAsia="en-GB"/>
          </w:rPr>
          <w:t>https://stateofchildhealth.rcpch.ac.uk/evidence/prevention-of-ill-health/healthy-weight/#:~:text=Obesity%20increases%20the%20risk%20of,pressure%3B%20diabetes%20and%20some%20cancers.&amp;text=Obese%20children%20are%20much%20more,lead%20to%20significant%20health%20risks</w:t>
        </w:r>
      </w:hyperlink>
      <w:r w:rsidRPr="00496697">
        <w:rPr>
          <w:rFonts w:ascii="Arial" w:eastAsia="Times New Roman" w:hAnsi="Arial" w:cs="Arial"/>
          <w:sz w:val="28"/>
          <w:szCs w:val="28"/>
          <w:lang w:eastAsia="en-GB"/>
        </w:rPr>
        <w:t>.</w:t>
      </w:r>
      <w:r>
        <w:rPr>
          <w:rFonts w:ascii="Arial" w:eastAsia="Times New Roman" w:hAnsi="Arial" w:cs="Arial"/>
          <w:sz w:val="28"/>
          <w:szCs w:val="28"/>
          <w:lang w:eastAsia="en-GB"/>
        </w:rPr>
        <w:t xml:space="preserve"> (Accessed: 12 August 2024).</w:t>
      </w:r>
    </w:p>
    <w:sectPr w:rsidR="00496697" w:rsidRPr="00496697">
      <w:headerReference w:type="default" r:id="rId25"/>
      <w:footerReference w:type="even" r:id="rId2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D789A2" w14:textId="77777777" w:rsidR="00AF5646" w:rsidRDefault="00AF5646">
      <w:pPr>
        <w:spacing w:after="0" w:line="240" w:lineRule="auto"/>
      </w:pPr>
      <w:r>
        <w:separator/>
      </w:r>
    </w:p>
  </w:endnote>
  <w:endnote w:type="continuationSeparator" w:id="0">
    <w:p w14:paraId="5CCDC3FE" w14:textId="77777777" w:rsidR="00AF5646" w:rsidRDefault="00AF5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B58C6" w14:textId="2FF80484" w:rsidR="00B302E4" w:rsidRDefault="00B302E4" w:rsidP="004E7C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550BAFFD" w14:textId="77777777" w:rsidR="00B302E4" w:rsidRDefault="00B302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25150736"/>
      <w:docPartObj>
        <w:docPartGallery w:val="Page Numbers (Bottom of Page)"/>
        <w:docPartUnique/>
      </w:docPartObj>
    </w:sdtPr>
    <w:sdtContent>
      <w:p w14:paraId="79B9533A" w14:textId="7670A451" w:rsidR="00B302E4" w:rsidRDefault="00B302E4" w:rsidP="004E7C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60A775A8" w14:paraId="17D78134" w14:textId="77777777" w:rsidTr="60A775A8">
      <w:trPr>
        <w:trHeight w:val="300"/>
      </w:trPr>
      <w:tc>
        <w:tcPr>
          <w:tcW w:w="3120" w:type="dxa"/>
        </w:tcPr>
        <w:p w14:paraId="74D27D09" w14:textId="634FEA00" w:rsidR="60A775A8" w:rsidRDefault="60A775A8" w:rsidP="60A775A8">
          <w:pPr>
            <w:pStyle w:val="Header"/>
            <w:ind w:left="-115"/>
          </w:pPr>
        </w:p>
      </w:tc>
      <w:tc>
        <w:tcPr>
          <w:tcW w:w="3120" w:type="dxa"/>
        </w:tcPr>
        <w:p w14:paraId="50C4F31B" w14:textId="719A903E" w:rsidR="60A775A8" w:rsidRDefault="60A775A8" w:rsidP="60A775A8">
          <w:pPr>
            <w:pStyle w:val="Header"/>
            <w:jc w:val="center"/>
          </w:pPr>
        </w:p>
      </w:tc>
      <w:tc>
        <w:tcPr>
          <w:tcW w:w="3120" w:type="dxa"/>
        </w:tcPr>
        <w:p w14:paraId="41AD23EF" w14:textId="20782C4E" w:rsidR="60A775A8" w:rsidRDefault="60A775A8" w:rsidP="60A775A8">
          <w:pPr>
            <w:pStyle w:val="Header"/>
            <w:ind w:right="-115"/>
            <w:jc w:val="right"/>
          </w:pPr>
        </w:p>
      </w:tc>
    </w:tr>
  </w:tbl>
  <w:p w14:paraId="6779DEBE" w14:textId="06C161F1" w:rsidR="60A775A8" w:rsidRDefault="60A775A8" w:rsidP="60A77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758D2F" w14:textId="77777777" w:rsidR="00AF5646" w:rsidRDefault="00AF5646">
      <w:pPr>
        <w:spacing w:after="0" w:line="240" w:lineRule="auto"/>
      </w:pPr>
      <w:r>
        <w:separator/>
      </w:r>
    </w:p>
  </w:footnote>
  <w:footnote w:type="continuationSeparator" w:id="0">
    <w:p w14:paraId="0175E4E7" w14:textId="77777777" w:rsidR="00AF5646" w:rsidRDefault="00AF56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0A775A8" w14:paraId="3C3CB01B" w14:textId="77777777" w:rsidTr="60A775A8">
      <w:trPr>
        <w:trHeight w:val="300"/>
      </w:trPr>
      <w:tc>
        <w:tcPr>
          <w:tcW w:w="3120" w:type="dxa"/>
        </w:tcPr>
        <w:p w14:paraId="0D570317" w14:textId="4C756E4D" w:rsidR="60A775A8" w:rsidRDefault="60A775A8" w:rsidP="60A775A8">
          <w:pPr>
            <w:pStyle w:val="Header"/>
            <w:ind w:left="-115"/>
          </w:pPr>
          <w:r>
            <w:t>2307239</w:t>
          </w:r>
        </w:p>
      </w:tc>
      <w:tc>
        <w:tcPr>
          <w:tcW w:w="3120" w:type="dxa"/>
        </w:tcPr>
        <w:p w14:paraId="4B58A09E" w14:textId="7AE461FA" w:rsidR="60A775A8" w:rsidRDefault="00B302E4" w:rsidP="60A775A8">
          <w:pPr>
            <w:pStyle w:val="Header"/>
            <w:jc w:val="center"/>
          </w:pPr>
          <w:r>
            <w:t>Module Code</w:t>
          </w:r>
        </w:p>
      </w:tc>
      <w:tc>
        <w:tcPr>
          <w:tcW w:w="3120" w:type="dxa"/>
        </w:tcPr>
        <w:p w14:paraId="4EA0A332" w14:textId="69BEB56E" w:rsidR="60A775A8" w:rsidRDefault="60A775A8" w:rsidP="60A775A8">
          <w:pPr>
            <w:pStyle w:val="Header"/>
            <w:ind w:right="-115"/>
            <w:jc w:val="right"/>
          </w:pPr>
          <w:r>
            <w:t>Word Count</w:t>
          </w:r>
        </w:p>
      </w:tc>
    </w:tr>
  </w:tbl>
  <w:p w14:paraId="403141D5" w14:textId="6905C367" w:rsidR="60A775A8" w:rsidRDefault="60A775A8" w:rsidP="60A77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C7B9C"/>
    <w:multiLevelType w:val="multilevel"/>
    <w:tmpl w:val="B84E3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76558"/>
    <w:multiLevelType w:val="multilevel"/>
    <w:tmpl w:val="38C67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C44F5D"/>
    <w:multiLevelType w:val="hybridMultilevel"/>
    <w:tmpl w:val="B9DCB050"/>
    <w:lvl w:ilvl="0" w:tplc="A8A0896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279EE"/>
    <w:multiLevelType w:val="multilevel"/>
    <w:tmpl w:val="F5A2F7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DC2BF1"/>
    <w:multiLevelType w:val="multilevel"/>
    <w:tmpl w:val="CFFA4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DD39A4"/>
    <w:multiLevelType w:val="multilevel"/>
    <w:tmpl w:val="2004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E96BBB"/>
    <w:multiLevelType w:val="multilevel"/>
    <w:tmpl w:val="42680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2D3AEF"/>
    <w:multiLevelType w:val="multilevel"/>
    <w:tmpl w:val="63B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5F1329"/>
    <w:multiLevelType w:val="hybridMultilevel"/>
    <w:tmpl w:val="D9004E34"/>
    <w:lvl w:ilvl="0" w:tplc="FBF6CAA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AF7DF0"/>
    <w:multiLevelType w:val="hybridMultilevel"/>
    <w:tmpl w:val="55C26876"/>
    <w:lvl w:ilvl="0" w:tplc="446A2A0C">
      <w:start w:val="16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EA470A"/>
    <w:multiLevelType w:val="hybridMultilevel"/>
    <w:tmpl w:val="256E5310"/>
    <w:lvl w:ilvl="0" w:tplc="238045C8">
      <w:start w:val="1"/>
      <w:numFmt w:val="bullet"/>
      <w:lvlText w:val=""/>
      <w:lvlJc w:val="left"/>
      <w:pPr>
        <w:tabs>
          <w:tab w:val="num" w:pos="720"/>
        </w:tabs>
        <w:ind w:left="720" w:hanging="360"/>
      </w:pPr>
      <w:rPr>
        <w:rFonts w:ascii="Symbol" w:hAnsi="Symbol" w:hint="default"/>
      </w:rPr>
    </w:lvl>
    <w:lvl w:ilvl="1" w:tplc="8766C1F6" w:tentative="1">
      <w:start w:val="1"/>
      <w:numFmt w:val="bullet"/>
      <w:lvlText w:val=""/>
      <w:lvlJc w:val="left"/>
      <w:pPr>
        <w:tabs>
          <w:tab w:val="num" w:pos="1440"/>
        </w:tabs>
        <w:ind w:left="1440" w:hanging="360"/>
      </w:pPr>
      <w:rPr>
        <w:rFonts w:ascii="Symbol" w:hAnsi="Symbol" w:hint="default"/>
      </w:rPr>
    </w:lvl>
    <w:lvl w:ilvl="2" w:tplc="A208AE4C" w:tentative="1">
      <w:start w:val="1"/>
      <w:numFmt w:val="bullet"/>
      <w:lvlText w:val=""/>
      <w:lvlJc w:val="left"/>
      <w:pPr>
        <w:tabs>
          <w:tab w:val="num" w:pos="2160"/>
        </w:tabs>
        <w:ind w:left="2160" w:hanging="360"/>
      </w:pPr>
      <w:rPr>
        <w:rFonts w:ascii="Symbol" w:hAnsi="Symbol" w:hint="default"/>
      </w:rPr>
    </w:lvl>
    <w:lvl w:ilvl="3" w:tplc="39AE4BD2" w:tentative="1">
      <w:start w:val="1"/>
      <w:numFmt w:val="bullet"/>
      <w:lvlText w:val=""/>
      <w:lvlJc w:val="left"/>
      <w:pPr>
        <w:tabs>
          <w:tab w:val="num" w:pos="2880"/>
        </w:tabs>
        <w:ind w:left="2880" w:hanging="360"/>
      </w:pPr>
      <w:rPr>
        <w:rFonts w:ascii="Symbol" w:hAnsi="Symbol" w:hint="default"/>
      </w:rPr>
    </w:lvl>
    <w:lvl w:ilvl="4" w:tplc="115A1F6C" w:tentative="1">
      <w:start w:val="1"/>
      <w:numFmt w:val="bullet"/>
      <w:lvlText w:val=""/>
      <w:lvlJc w:val="left"/>
      <w:pPr>
        <w:tabs>
          <w:tab w:val="num" w:pos="3600"/>
        </w:tabs>
        <w:ind w:left="3600" w:hanging="360"/>
      </w:pPr>
      <w:rPr>
        <w:rFonts w:ascii="Symbol" w:hAnsi="Symbol" w:hint="default"/>
      </w:rPr>
    </w:lvl>
    <w:lvl w:ilvl="5" w:tplc="B5C4B0D0" w:tentative="1">
      <w:start w:val="1"/>
      <w:numFmt w:val="bullet"/>
      <w:lvlText w:val=""/>
      <w:lvlJc w:val="left"/>
      <w:pPr>
        <w:tabs>
          <w:tab w:val="num" w:pos="4320"/>
        </w:tabs>
        <w:ind w:left="4320" w:hanging="360"/>
      </w:pPr>
      <w:rPr>
        <w:rFonts w:ascii="Symbol" w:hAnsi="Symbol" w:hint="default"/>
      </w:rPr>
    </w:lvl>
    <w:lvl w:ilvl="6" w:tplc="A558B318" w:tentative="1">
      <w:start w:val="1"/>
      <w:numFmt w:val="bullet"/>
      <w:lvlText w:val=""/>
      <w:lvlJc w:val="left"/>
      <w:pPr>
        <w:tabs>
          <w:tab w:val="num" w:pos="5040"/>
        </w:tabs>
        <w:ind w:left="5040" w:hanging="360"/>
      </w:pPr>
      <w:rPr>
        <w:rFonts w:ascii="Symbol" w:hAnsi="Symbol" w:hint="default"/>
      </w:rPr>
    </w:lvl>
    <w:lvl w:ilvl="7" w:tplc="54EC6E82" w:tentative="1">
      <w:start w:val="1"/>
      <w:numFmt w:val="bullet"/>
      <w:lvlText w:val=""/>
      <w:lvlJc w:val="left"/>
      <w:pPr>
        <w:tabs>
          <w:tab w:val="num" w:pos="5760"/>
        </w:tabs>
        <w:ind w:left="5760" w:hanging="360"/>
      </w:pPr>
      <w:rPr>
        <w:rFonts w:ascii="Symbol" w:hAnsi="Symbol" w:hint="default"/>
      </w:rPr>
    </w:lvl>
    <w:lvl w:ilvl="8" w:tplc="C97C3224"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CA064FA"/>
    <w:multiLevelType w:val="hybridMultilevel"/>
    <w:tmpl w:val="0E6CB02E"/>
    <w:lvl w:ilvl="0" w:tplc="8B9EA266">
      <w:start w:val="1"/>
      <w:numFmt w:val="bullet"/>
      <w:lvlText w:val="•"/>
      <w:lvlJc w:val="left"/>
      <w:pPr>
        <w:tabs>
          <w:tab w:val="num" w:pos="720"/>
        </w:tabs>
        <w:ind w:left="720" w:hanging="360"/>
      </w:pPr>
      <w:rPr>
        <w:rFonts w:ascii="Arial" w:hAnsi="Arial" w:hint="default"/>
      </w:rPr>
    </w:lvl>
    <w:lvl w:ilvl="1" w:tplc="AAE6D7DA" w:tentative="1">
      <w:start w:val="1"/>
      <w:numFmt w:val="bullet"/>
      <w:lvlText w:val="•"/>
      <w:lvlJc w:val="left"/>
      <w:pPr>
        <w:tabs>
          <w:tab w:val="num" w:pos="1440"/>
        </w:tabs>
        <w:ind w:left="1440" w:hanging="360"/>
      </w:pPr>
      <w:rPr>
        <w:rFonts w:ascii="Arial" w:hAnsi="Arial" w:hint="default"/>
      </w:rPr>
    </w:lvl>
    <w:lvl w:ilvl="2" w:tplc="6066ACBE" w:tentative="1">
      <w:start w:val="1"/>
      <w:numFmt w:val="bullet"/>
      <w:lvlText w:val="•"/>
      <w:lvlJc w:val="left"/>
      <w:pPr>
        <w:tabs>
          <w:tab w:val="num" w:pos="2160"/>
        </w:tabs>
        <w:ind w:left="2160" w:hanging="360"/>
      </w:pPr>
      <w:rPr>
        <w:rFonts w:ascii="Arial" w:hAnsi="Arial" w:hint="default"/>
      </w:rPr>
    </w:lvl>
    <w:lvl w:ilvl="3" w:tplc="A3242300" w:tentative="1">
      <w:start w:val="1"/>
      <w:numFmt w:val="bullet"/>
      <w:lvlText w:val="•"/>
      <w:lvlJc w:val="left"/>
      <w:pPr>
        <w:tabs>
          <w:tab w:val="num" w:pos="2880"/>
        </w:tabs>
        <w:ind w:left="2880" w:hanging="360"/>
      </w:pPr>
      <w:rPr>
        <w:rFonts w:ascii="Arial" w:hAnsi="Arial" w:hint="default"/>
      </w:rPr>
    </w:lvl>
    <w:lvl w:ilvl="4" w:tplc="213EB890" w:tentative="1">
      <w:start w:val="1"/>
      <w:numFmt w:val="bullet"/>
      <w:lvlText w:val="•"/>
      <w:lvlJc w:val="left"/>
      <w:pPr>
        <w:tabs>
          <w:tab w:val="num" w:pos="3600"/>
        </w:tabs>
        <w:ind w:left="3600" w:hanging="360"/>
      </w:pPr>
      <w:rPr>
        <w:rFonts w:ascii="Arial" w:hAnsi="Arial" w:hint="default"/>
      </w:rPr>
    </w:lvl>
    <w:lvl w:ilvl="5" w:tplc="0B74D7C6" w:tentative="1">
      <w:start w:val="1"/>
      <w:numFmt w:val="bullet"/>
      <w:lvlText w:val="•"/>
      <w:lvlJc w:val="left"/>
      <w:pPr>
        <w:tabs>
          <w:tab w:val="num" w:pos="4320"/>
        </w:tabs>
        <w:ind w:left="4320" w:hanging="360"/>
      </w:pPr>
      <w:rPr>
        <w:rFonts w:ascii="Arial" w:hAnsi="Arial" w:hint="default"/>
      </w:rPr>
    </w:lvl>
    <w:lvl w:ilvl="6" w:tplc="5F28FF4A" w:tentative="1">
      <w:start w:val="1"/>
      <w:numFmt w:val="bullet"/>
      <w:lvlText w:val="•"/>
      <w:lvlJc w:val="left"/>
      <w:pPr>
        <w:tabs>
          <w:tab w:val="num" w:pos="5040"/>
        </w:tabs>
        <w:ind w:left="5040" w:hanging="360"/>
      </w:pPr>
      <w:rPr>
        <w:rFonts w:ascii="Arial" w:hAnsi="Arial" w:hint="default"/>
      </w:rPr>
    </w:lvl>
    <w:lvl w:ilvl="7" w:tplc="5972C012" w:tentative="1">
      <w:start w:val="1"/>
      <w:numFmt w:val="bullet"/>
      <w:lvlText w:val="•"/>
      <w:lvlJc w:val="left"/>
      <w:pPr>
        <w:tabs>
          <w:tab w:val="num" w:pos="5760"/>
        </w:tabs>
        <w:ind w:left="5760" w:hanging="360"/>
      </w:pPr>
      <w:rPr>
        <w:rFonts w:ascii="Arial" w:hAnsi="Arial" w:hint="default"/>
      </w:rPr>
    </w:lvl>
    <w:lvl w:ilvl="8" w:tplc="0DBC451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DE93A97"/>
    <w:multiLevelType w:val="multilevel"/>
    <w:tmpl w:val="CFE407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EC6710"/>
    <w:multiLevelType w:val="multilevel"/>
    <w:tmpl w:val="1E5AA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9E77CA"/>
    <w:multiLevelType w:val="multilevel"/>
    <w:tmpl w:val="AAD09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CA51CC"/>
    <w:multiLevelType w:val="multilevel"/>
    <w:tmpl w:val="AA4E1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121E0F"/>
    <w:multiLevelType w:val="multilevel"/>
    <w:tmpl w:val="96FCD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F868AC"/>
    <w:multiLevelType w:val="hybridMultilevel"/>
    <w:tmpl w:val="9878D654"/>
    <w:lvl w:ilvl="0" w:tplc="E30A8F38">
      <w:start w:val="1"/>
      <w:numFmt w:val="bullet"/>
      <w:lvlText w:val="•"/>
      <w:lvlJc w:val="left"/>
      <w:pPr>
        <w:tabs>
          <w:tab w:val="num" w:pos="720"/>
        </w:tabs>
        <w:ind w:left="720" w:hanging="360"/>
      </w:pPr>
      <w:rPr>
        <w:rFonts w:ascii="Arial" w:hAnsi="Arial" w:hint="default"/>
      </w:rPr>
    </w:lvl>
    <w:lvl w:ilvl="1" w:tplc="F3ACC36E" w:tentative="1">
      <w:start w:val="1"/>
      <w:numFmt w:val="bullet"/>
      <w:lvlText w:val="•"/>
      <w:lvlJc w:val="left"/>
      <w:pPr>
        <w:tabs>
          <w:tab w:val="num" w:pos="1440"/>
        </w:tabs>
        <w:ind w:left="1440" w:hanging="360"/>
      </w:pPr>
      <w:rPr>
        <w:rFonts w:ascii="Arial" w:hAnsi="Arial" w:hint="default"/>
      </w:rPr>
    </w:lvl>
    <w:lvl w:ilvl="2" w:tplc="C95C6C66" w:tentative="1">
      <w:start w:val="1"/>
      <w:numFmt w:val="bullet"/>
      <w:lvlText w:val="•"/>
      <w:lvlJc w:val="left"/>
      <w:pPr>
        <w:tabs>
          <w:tab w:val="num" w:pos="2160"/>
        </w:tabs>
        <w:ind w:left="2160" w:hanging="360"/>
      </w:pPr>
      <w:rPr>
        <w:rFonts w:ascii="Arial" w:hAnsi="Arial" w:hint="default"/>
      </w:rPr>
    </w:lvl>
    <w:lvl w:ilvl="3" w:tplc="FB2EBA1C" w:tentative="1">
      <w:start w:val="1"/>
      <w:numFmt w:val="bullet"/>
      <w:lvlText w:val="•"/>
      <w:lvlJc w:val="left"/>
      <w:pPr>
        <w:tabs>
          <w:tab w:val="num" w:pos="2880"/>
        </w:tabs>
        <w:ind w:left="2880" w:hanging="360"/>
      </w:pPr>
      <w:rPr>
        <w:rFonts w:ascii="Arial" w:hAnsi="Arial" w:hint="default"/>
      </w:rPr>
    </w:lvl>
    <w:lvl w:ilvl="4" w:tplc="3808F23E" w:tentative="1">
      <w:start w:val="1"/>
      <w:numFmt w:val="bullet"/>
      <w:lvlText w:val="•"/>
      <w:lvlJc w:val="left"/>
      <w:pPr>
        <w:tabs>
          <w:tab w:val="num" w:pos="3600"/>
        </w:tabs>
        <w:ind w:left="3600" w:hanging="360"/>
      </w:pPr>
      <w:rPr>
        <w:rFonts w:ascii="Arial" w:hAnsi="Arial" w:hint="default"/>
      </w:rPr>
    </w:lvl>
    <w:lvl w:ilvl="5" w:tplc="DEA28ECA" w:tentative="1">
      <w:start w:val="1"/>
      <w:numFmt w:val="bullet"/>
      <w:lvlText w:val="•"/>
      <w:lvlJc w:val="left"/>
      <w:pPr>
        <w:tabs>
          <w:tab w:val="num" w:pos="4320"/>
        </w:tabs>
        <w:ind w:left="4320" w:hanging="360"/>
      </w:pPr>
      <w:rPr>
        <w:rFonts w:ascii="Arial" w:hAnsi="Arial" w:hint="default"/>
      </w:rPr>
    </w:lvl>
    <w:lvl w:ilvl="6" w:tplc="4208A4CC" w:tentative="1">
      <w:start w:val="1"/>
      <w:numFmt w:val="bullet"/>
      <w:lvlText w:val="•"/>
      <w:lvlJc w:val="left"/>
      <w:pPr>
        <w:tabs>
          <w:tab w:val="num" w:pos="5040"/>
        </w:tabs>
        <w:ind w:left="5040" w:hanging="360"/>
      </w:pPr>
      <w:rPr>
        <w:rFonts w:ascii="Arial" w:hAnsi="Arial" w:hint="default"/>
      </w:rPr>
    </w:lvl>
    <w:lvl w:ilvl="7" w:tplc="D2F493EE" w:tentative="1">
      <w:start w:val="1"/>
      <w:numFmt w:val="bullet"/>
      <w:lvlText w:val="•"/>
      <w:lvlJc w:val="left"/>
      <w:pPr>
        <w:tabs>
          <w:tab w:val="num" w:pos="5760"/>
        </w:tabs>
        <w:ind w:left="5760" w:hanging="360"/>
      </w:pPr>
      <w:rPr>
        <w:rFonts w:ascii="Arial" w:hAnsi="Arial" w:hint="default"/>
      </w:rPr>
    </w:lvl>
    <w:lvl w:ilvl="8" w:tplc="81C8334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D941E91"/>
    <w:multiLevelType w:val="multilevel"/>
    <w:tmpl w:val="9EE89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E00234"/>
    <w:multiLevelType w:val="multilevel"/>
    <w:tmpl w:val="784EDB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F752AC"/>
    <w:multiLevelType w:val="multilevel"/>
    <w:tmpl w:val="3554364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Arial"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366CD1"/>
    <w:multiLevelType w:val="multilevel"/>
    <w:tmpl w:val="D8AE3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5770D7"/>
    <w:multiLevelType w:val="hybridMultilevel"/>
    <w:tmpl w:val="577ED478"/>
    <w:lvl w:ilvl="0" w:tplc="ABD6C100">
      <w:start w:val="1"/>
      <w:numFmt w:val="bullet"/>
      <w:lvlText w:val="•"/>
      <w:lvlJc w:val="left"/>
      <w:pPr>
        <w:tabs>
          <w:tab w:val="num" w:pos="720"/>
        </w:tabs>
        <w:ind w:left="720" w:hanging="360"/>
      </w:pPr>
      <w:rPr>
        <w:rFonts w:ascii="Arial" w:hAnsi="Arial" w:hint="default"/>
      </w:rPr>
    </w:lvl>
    <w:lvl w:ilvl="1" w:tplc="D62AACF2" w:tentative="1">
      <w:start w:val="1"/>
      <w:numFmt w:val="bullet"/>
      <w:lvlText w:val="•"/>
      <w:lvlJc w:val="left"/>
      <w:pPr>
        <w:tabs>
          <w:tab w:val="num" w:pos="1440"/>
        </w:tabs>
        <w:ind w:left="1440" w:hanging="360"/>
      </w:pPr>
      <w:rPr>
        <w:rFonts w:ascii="Arial" w:hAnsi="Arial" w:hint="default"/>
      </w:rPr>
    </w:lvl>
    <w:lvl w:ilvl="2" w:tplc="54022A4E" w:tentative="1">
      <w:start w:val="1"/>
      <w:numFmt w:val="bullet"/>
      <w:lvlText w:val="•"/>
      <w:lvlJc w:val="left"/>
      <w:pPr>
        <w:tabs>
          <w:tab w:val="num" w:pos="2160"/>
        </w:tabs>
        <w:ind w:left="2160" w:hanging="360"/>
      </w:pPr>
      <w:rPr>
        <w:rFonts w:ascii="Arial" w:hAnsi="Arial" w:hint="default"/>
      </w:rPr>
    </w:lvl>
    <w:lvl w:ilvl="3" w:tplc="447241B8" w:tentative="1">
      <w:start w:val="1"/>
      <w:numFmt w:val="bullet"/>
      <w:lvlText w:val="•"/>
      <w:lvlJc w:val="left"/>
      <w:pPr>
        <w:tabs>
          <w:tab w:val="num" w:pos="2880"/>
        </w:tabs>
        <w:ind w:left="2880" w:hanging="360"/>
      </w:pPr>
      <w:rPr>
        <w:rFonts w:ascii="Arial" w:hAnsi="Arial" w:hint="default"/>
      </w:rPr>
    </w:lvl>
    <w:lvl w:ilvl="4" w:tplc="C07E1A5C" w:tentative="1">
      <w:start w:val="1"/>
      <w:numFmt w:val="bullet"/>
      <w:lvlText w:val="•"/>
      <w:lvlJc w:val="left"/>
      <w:pPr>
        <w:tabs>
          <w:tab w:val="num" w:pos="3600"/>
        </w:tabs>
        <w:ind w:left="3600" w:hanging="360"/>
      </w:pPr>
      <w:rPr>
        <w:rFonts w:ascii="Arial" w:hAnsi="Arial" w:hint="default"/>
      </w:rPr>
    </w:lvl>
    <w:lvl w:ilvl="5" w:tplc="8AF43148" w:tentative="1">
      <w:start w:val="1"/>
      <w:numFmt w:val="bullet"/>
      <w:lvlText w:val="•"/>
      <w:lvlJc w:val="left"/>
      <w:pPr>
        <w:tabs>
          <w:tab w:val="num" w:pos="4320"/>
        </w:tabs>
        <w:ind w:left="4320" w:hanging="360"/>
      </w:pPr>
      <w:rPr>
        <w:rFonts w:ascii="Arial" w:hAnsi="Arial" w:hint="default"/>
      </w:rPr>
    </w:lvl>
    <w:lvl w:ilvl="6" w:tplc="22E4F03C" w:tentative="1">
      <w:start w:val="1"/>
      <w:numFmt w:val="bullet"/>
      <w:lvlText w:val="•"/>
      <w:lvlJc w:val="left"/>
      <w:pPr>
        <w:tabs>
          <w:tab w:val="num" w:pos="5040"/>
        </w:tabs>
        <w:ind w:left="5040" w:hanging="360"/>
      </w:pPr>
      <w:rPr>
        <w:rFonts w:ascii="Arial" w:hAnsi="Arial" w:hint="default"/>
      </w:rPr>
    </w:lvl>
    <w:lvl w:ilvl="7" w:tplc="EC5E8ACE" w:tentative="1">
      <w:start w:val="1"/>
      <w:numFmt w:val="bullet"/>
      <w:lvlText w:val="•"/>
      <w:lvlJc w:val="left"/>
      <w:pPr>
        <w:tabs>
          <w:tab w:val="num" w:pos="5760"/>
        </w:tabs>
        <w:ind w:left="5760" w:hanging="360"/>
      </w:pPr>
      <w:rPr>
        <w:rFonts w:ascii="Arial" w:hAnsi="Arial" w:hint="default"/>
      </w:rPr>
    </w:lvl>
    <w:lvl w:ilvl="8" w:tplc="6FB6F3E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83C7065"/>
    <w:multiLevelType w:val="hybridMultilevel"/>
    <w:tmpl w:val="5E9CF9E6"/>
    <w:lvl w:ilvl="0" w:tplc="9FE6EC04">
      <w:start w:val="1"/>
      <w:numFmt w:val="bullet"/>
      <w:lvlText w:val="•"/>
      <w:lvlJc w:val="left"/>
      <w:pPr>
        <w:tabs>
          <w:tab w:val="num" w:pos="720"/>
        </w:tabs>
        <w:ind w:left="720" w:hanging="360"/>
      </w:pPr>
      <w:rPr>
        <w:rFonts w:ascii="Arial" w:hAnsi="Arial" w:hint="default"/>
      </w:rPr>
    </w:lvl>
    <w:lvl w:ilvl="1" w:tplc="DAC2BCF0" w:tentative="1">
      <w:start w:val="1"/>
      <w:numFmt w:val="bullet"/>
      <w:lvlText w:val="•"/>
      <w:lvlJc w:val="left"/>
      <w:pPr>
        <w:tabs>
          <w:tab w:val="num" w:pos="1440"/>
        </w:tabs>
        <w:ind w:left="1440" w:hanging="360"/>
      </w:pPr>
      <w:rPr>
        <w:rFonts w:ascii="Arial" w:hAnsi="Arial" w:hint="default"/>
      </w:rPr>
    </w:lvl>
    <w:lvl w:ilvl="2" w:tplc="CE10C670" w:tentative="1">
      <w:start w:val="1"/>
      <w:numFmt w:val="bullet"/>
      <w:lvlText w:val="•"/>
      <w:lvlJc w:val="left"/>
      <w:pPr>
        <w:tabs>
          <w:tab w:val="num" w:pos="2160"/>
        </w:tabs>
        <w:ind w:left="2160" w:hanging="360"/>
      </w:pPr>
      <w:rPr>
        <w:rFonts w:ascii="Arial" w:hAnsi="Arial" w:hint="default"/>
      </w:rPr>
    </w:lvl>
    <w:lvl w:ilvl="3" w:tplc="5AF8491E" w:tentative="1">
      <w:start w:val="1"/>
      <w:numFmt w:val="bullet"/>
      <w:lvlText w:val="•"/>
      <w:lvlJc w:val="left"/>
      <w:pPr>
        <w:tabs>
          <w:tab w:val="num" w:pos="2880"/>
        </w:tabs>
        <w:ind w:left="2880" w:hanging="360"/>
      </w:pPr>
      <w:rPr>
        <w:rFonts w:ascii="Arial" w:hAnsi="Arial" w:hint="default"/>
      </w:rPr>
    </w:lvl>
    <w:lvl w:ilvl="4" w:tplc="80387384" w:tentative="1">
      <w:start w:val="1"/>
      <w:numFmt w:val="bullet"/>
      <w:lvlText w:val="•"/>
      <w:lvlJc w:val="left"/>
      <w:pPr>
        <w:tabs>
          <w:tab w:val="num" w:pos="3600"/>
        </w:tabs>
        <w:ind w:left="3600" w:hanging="360"/>
      </w:pPr>
      <w:rPr>
        <w:rFonts w:ascii="Arial" w:hAnsi="Arial" w:hint="default"/>
      </w:rPr>
    </w:lvl>
    <w:lvl w:ilvl="5" w:tplc="2DA2144C" w:tentative="1">
      <w:start w:val="1"/>
      <w:numFmt w:val="bullet"/>
      <w:lvlText w:val="•"/>
      <w:lvlJc w:val="left"/>
      <w:pPr>
        <w:tabs>
          <w:tab w:val="num" w:pos="4320"/>
        </w:tabs>
        <w:ind w:left="4320" w:hanging="360"/>
      </w:pPr>
      <w:rPr>
        <w:rFonts w:ascii="Arial" w:hAnsi="Arial" w:hint="default"/>
      </w:rPr>
    </w:lvl>
    <w:lvl w:ilvl="6" w:tplc="1A184F28" w:tentative="1">
      <w:start w:val="1"/>
      <w:numFmt w:val="bullet"/>
      <w:lvlText w:val="•"/>
      <w:lvlJc w:val="left"/>
      <w:pPr>
        <w:tabs>
          <w:tab w:val="num" w:pos="5040"/>
        </w:tabs>
        <w:ind w:left="5040" w:hanging="360"/>
      </w:pPr>
      <w:rPr>
        <w:rFonts w:ascii="Arial" w:hAnsi="Arial" w:hint="default"/>
      </w:rPr>
    </w:lvl>
    <w:lvl w:ilvl="7" w:tplc="138E8EC0" w:tentative="1">
      <w:start w:val="1"/>
      <w:numFmt w:val="bullet"/>
      <w:lvlText w:val="•"/>
      <w:lvlJc w:val="left"/>
      <w:pPr>
        <w:tabs>
          <w:tab w:val="num" w:pos="5760"/>
        </w:tabs>
        <w:ind w:left="5760" w:hanging="360"/>
      </w:pPr>
      <w:rPr>
        <w:rFonts w:ascii="Arial" w:hAnsi="Arial" w:hint="default"/>
      </w:rPr>
    </w:lvl>
    <w:lvl w:ilvl="8" w:tplc="FB04672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E2A6590"/>
    <w:multiLevelType w:val="hybridMultilevel"/>
    <w:tmpl w:val="2DC2DAE2"/>
    <w:lvl w:ilvl="0" w:tplc="AC78E81E">
      <w:start w:val="1"/>
      <w:numFmt w:val="bullet"/>
      <w:lvlText w:val="•"/>
      <w:lvlJc w:val="left"/>
      <w:pPr>
        <w:tabs>
          <w:tab w:val="num" w:pos="720"/>
        </w:tabs>
        <w:ind w:left="720" w:hanging="360"/>
      </w:pPr>
      <w:rPr>
        <w:rFonts w:ascii="Arial" w:hAnsi="Arial" w:hint="default"/>
      </w:rPr>
    </w:lvl>
    <w:lvl w:ilvl="1" w:tplc="84CCFABA" w:tentative="1">
      <w:start w:val="1"/>
      <w:numFmt w:val="bullet"/>
      <w:lvlText w:val="•"/>
      <w:lvlJc w:val="left"/>
      <w:pPr>
        <w:tabs>
          <w:tab w:val="num" w:pos="1440"/>
        </w:tabs>
        <w:ind w:left="1440" w:hanging="360"/>
      </w:pPr>
      <w:rPr>
        <w:rFonts w:ascii="Arial" w:hAnsi="Arial" w:hint="default"/>
      </w:rPr>
    </w:lvl>
    <w:lvl w:ilvl="2" w:tplc="7420756A" w:tentative="1">
      <w:start w:val="1"/>
      <w:numFmt w:val="bullet"/>
      <w:lvlText w:val="•"/>
      <w:lvlJc w:val="left"/>
      <w:pPr>
        <w:tabs>
          <w:tab w:val="num" w:pos="2160"/>
        </w:tabs>
        <w:ind w:left="2160" w:hanging="360"/>
      </w:pPr>
      <w:rPr>
        <w:rFonts w:ascii="Arial" w:hAnsi="Arial" w:hint="default"/>
      </w:rPr>
    </w:lvl>
    <w:lvl w:ilvl="3" w:tplc="C01EC8F2" w:tentative="1">
      <w:start w:val="1"/>
      <w:numFmt w:val="bullet"/>
      <w:lvlText w:val="•"/>
      <w:lvlJc w:val="left"/>
      <w:pPr>
        <w:tabs>
          <w:tab w:val="num" w:pos="2880"/>
        </w:tabs>
        <w:ind w:left="2880" w:hanging="360"/>
      </w:pPr>
      <w:rPr>
        <w:rFonts w:ascii="Arial" w:hAnsi="Arial" w:hint="default"/>
      </w:rPr>
    </w:lvl>
    <w:lvl w:ilvl="4" w:tplc="8ED60B82" w:tentative="1">
      <w:start w:val="1"/>
      <w:numFmt w:val="bullet"/>
      <w:lvlText w:val="•"/>
      <w:lvlJc w:val="left"/>
      <w:pPr>
        <w:tabs>
          <w:tab w:val="num" w:pos="3600"/>
        </w:tabs>
        <w:ind w:left="3600" w:hanging="360"/>
      </w:pPr>
      <w:rPr>
        <w:rFonts w:ascii="Arial" w:hAnsi="Arial" w:hint="default"/>
      </w:rPr>
    </w:lvl>
    <w:lvl w:ilvl="5" w:tplc="B5D6591C" w:tentative="1">
      <w:start w:val="1"/>
      <w:numFmt w:val="bullet"/>
      <w:lvlText w:val="•"/>
      <w:lvlJc w:val="left"/>
      <w:pPr>
        <w:tabs>
          <w:tab w:val="num" w:pos="4320"/>
        </w:tabs>
        <w:ind w:left="4320" w:hanging="360"/>
      </w:pPr>
      <w:rPr>
        <w:rFonts w:ascii="Arial" w:hAnsi="Arial" w:hint="default"/>
      </w:rPr>
    </w:lvl>
    <w:lvl w:ilvl="6" w:tplc="EBB89692" w:tentative="1">
      <w:start w:val="1"/>
      <w:numFmt w:val="bullet"/>
      <w:lvlText w:val="•"/>
      <w:lvlJc w:val="left"/>
      <w:pPr>
        <w:tabs>
          <w:tab w:val="num" w:pos="5040"/>
        </w:tabs>
        <w:ind w:left="5040" w:hanging="360"/>
      </w:pPr>
      <w:rPr>
        <w:rFonts w:ascii="Arial" w:hAnsi="Arial" w:hint="default"/>
      </w:rPr>
    </w:lvl>
    <w:lvl w:ilvl="7" w:tplc="04EC2E92" w:tentative="1">
      <w:start w:val="1"/>
      <w:numFmt w:val="bullet"/>
      <w:lvlText w:val="•"/>
      <w:lvlJc w:val="left"/>
      <w:pPr>
        <w:tabs>
          <w:tab w:val="num" w:pos="5760"/>
        </w:tabs>
        <w:ind w:left="5760" w:hanging="360"/>
      </w:pPr>
      <w:rPr>
        <w:rFonts w:ascii="Arial" w:hAnsi="Arial" w:hint="default"/>
      </w:rPr>
    </w:lvl>
    <w:lvl w:ilvl="8" w:tplc="DC84560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EDC0808"/>
    <w:multiLevelType w:val="multilevel"/>
    <w:tmpl w:val="95F42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8191431">
    <w:abstractNumId w:val="9"/>
  </w:num>
  <w:num w:numId="2" w16cid:durableId="218907555">
    <w:abstractNumId w:val="10"/>
  </w:num>
  <w:num w:numId="3" w16cid:durableId="1017931095">
    <w:abstractNumId w:val="22"/>
  </w:num>
  <w:num w:numId="4" w16cid:durableId="824514627">
    <w:abstractNumId w:val="14"/>
  </w:num>
  <w:num w:numId="5" w16cid:durableId="1961060491">
    <w:abstractNumId w:val="21"/>
  </w:num>
  <w:num w:numId="6" w16cid:durableId="499541124">
    <w:abstractNumId w:val="19"/>
  </w:num>
  <w:num w:numId="7" w16cid:durableId="335229436">
    <w:abstractNumId w:val="19"/>
    <w:lvlOverride w:ilvl="2">
      <w:lvl w:ilvl="2">
        <w:numFmt w:val="decimal"/>
        <w:lvlText w:val="%3."/>
        <w:lvlJc w:val="left"/>
      </w:lvl>
    </w:lvlOverride>
  </w:num>
  <w:num w:numId="8" w16cid:durableId="1087070087">
    <w:abstractNumId w:val="20"/>
  </w:num>
  <w:num w:numId="9" w16cid:durableId="946739462">
    <w:abstractNumId w:val="0"/>
  </w:num>
  <w:num w:numId="10" w16cid:durableId="24445708">
    <w:abstractNumId w:val="12"/>
  </w:num>
  <w:num w:numId="11" w16cid:durableId="228922635">
    <w:abstractNumId w:val="3"/>
  </w:num>
  <w:num w:numId="12" w16cid:durableId="838160608">
    <w:abstractNumId w:val="23"/>
  </w:num>
  <w:num w:numId="13" w16cid:durableId="23020386">
    <w:abstractNumId w:val="17"/>
  </w:num>
  <w:num w:numId="14" w16cid:durableId="1085808937">
    <w:abstractNumId w:val="24"/>
  </w:num>
  <w:num w:numId="15" w16cid:durableId="1017465765">
    <w:abstractNumId w:val="11"/>
  </w:num>
  <w:num w:numId="16" w16cid:durableId="627200718">
    <w:abstractNumId w:val="8"/>
  </w:num>
  <w:num w:numId="17" w16cid:durableId="386608302">
    <w:abstractNumId w:val="2"/>
  </w:num>
  <w:num w:numId="18" w16cid:durableId="656227957">
    <w:abstractNumId w:val="4"/>
  </w:num>
  <w:num w:numId="19" w16cid:durableId="1766682781">
    <w:abstractNumId w:val="7"/>
  </w:num>
  <w:num w:numId="20" w16cid:durableId="1709142157">
    <w:abstractNumId w:val="25"/>
  </w:num>
  <w:num w:numId="21" w16cid:durableId="968241481">
    <w:abstractNumId w:val="6"/>
  </w:num>
  <w:num w:numId="22" w16cid:durableId="1469474542">
    <w:abstractNumId w:val="1"/>
  </w:num>
  <w:num w:numId="23" w16cid:durableId="448281794">
    <w:abstractNumId w:val="15"/>
  </w:num>
  <w:num w:numId="24" w16cid:durableId="216668604">
    <w:abstractNumId w:val="5"/>
  </w:num>
  <w:num w:numId="25" w16cid:durableId="1896381857">
    <w:abstractNumId w:val="18"/>
  </w:num>
  <w:num w:numId="26" w16cid:durableId="1798453209">
    <w:abstractNumId w:val="13"/>
  </w:num>
  <w:num w:numId="27" w16cid:durableId="190475349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37B03"/>
    <w:rsid w:val="0001722A"/>
    <w:rsid w:val="00060C46"/>
    <w:rsid w:val="00084E7E"/>
    <w:rsid w:val="000B34A3"/>
    <w:rsid w:val="000B5703"/>
    <w:rsid w:val="00101933"/>
    <w:rsid w:val="00125179"/>
    <w:rsid w:val="001B78C4"/>
    <w:rsid w:val="00227BAE"/>
    <w:rsid w:val="00255FAD"/>
    <w:rsid w:val="00274659"/>
    <w:rsid w:val="002A67F3"/>
    <w:rsid w:val="002B10BF"/>
    <w:rsid w:val="002B7656"/>
    <w:rsid w:val="002D6FF5"/>
    <w:rsid w:val="002E35D3"/>
    <w:rsid w:val="002F1C65"/>
    <w:rsid w:val="003029CB"/>
    <w:rsid w:val="003039D4"/>
    <w:rsid w:val="00303F19"/>
    <w:rsid w:val="00350612"/>
    <w:rsid w:val="00356A3F"/>
    <w:rsid w:val="00375013"/>
    <w:rsid w:val="00386648"/>
    <w:rsid w:val="00387303"/>
    <w:rsid w:val="003A32C8"/>
    <w:rsid w:val="003D7A25"/>
    <w:rsid w:val="003E3601"/>
    <w:rsid w:val="003E5DA2"/>
    <w:rsid w:val="00403296"/>
    <w:rsid w:val="004524D4"/>
    <w:rsid w:val="00496697"/>
    <w:rsid w:val="004E4907"/>
    <w:rsid w:val="00532CAF"/>
    <w:rsid w:val="00541273"/>
    <w:rsid w:val="00551237"/>
    <w:rsid w:val="005778B3"/>
    <w:rsid w:val="00594F56"/>
    <w:rsid w:val="0059765A"/>
    <w:rsid w:val="005D6041"/>
    <w:rsid w:val="00605FEA"/>
    <w:rsid w:val="00626F07"/>
    <w:rsid w:val="00653FF6"/>
    <w:rsid w:val="0065616A"/>
    <w:rsid w:val="006963DE"/>
    <w:rsid w:val="006B18D7"/>
    <w:rsid w:val="006C4F08"/>
    <w:rsid w:val="006D6E57"/>
    <w:rsid w:val="006E06FC"/>
    <w:rsid w:val="00705A4E"/>
    <w:rsid w:val="00732BF4"/>
    <w:rsid w:val="007536A6"/>
    <w:rsid w:val="007824D3"/>
    <w:rsid w:val="007A6089"/>
    <w:rsid w:val="007C371B"/>
    <w:rsid w:val="007C3F3D"/>
    <w:rsid w:val="007E5369"/>
    <w:rsid w:val="007E6119"/>
    <w:rsid w:val="00835809"/>
    <w:rsid w:val="00836AF1"/>
    <w:rsid w:val="00842D85"/>
    <w:rsid w:val="00843B24"/>
    <w:rsid w:val="00844957"/>
    <w:rsid w:val="00896824"/>
    <w:rsid w:val="008A61C0"/>
    <w:rsid w:val="008B2B1C"/>
    <w:rsid w:val="008B62FE"/>
    <w:rsid w:val="008C393D"/>
    <w:rsid w:val="008F41DA"/>
    <w:rsid w:val="008F44C7"/>
    <w:rsid w:val="0091586D"/>
    <w:rsid w:val="00934279"/>
    <w:rsid w:val="009413BB"/>
    <w:rsid w:val="009577A6"/>
    <w:rsid w:val="009721C7"/>
    <w:rsid w:val="009A2803"/>
    <w:rsid w:val="009A33F7"/>
    <w:rsid w:val="009A411F"/>
    <w:rsid w:val="009A6E98"/>
    <w:rsid w:val="009B7BA3"/>
    <w:rsid w:val="009C51A7"/>
    <w:rsid w:val="00A03EE5"/>
    <w:rsid w:val="00A06AE7"/>
    <w:rsid w:val="00A17767"/>
    <w:rsid w:val="00A2248A"/>
    <w:rsid w:val="00A56CB5"/>
    <w:rsid w:val="00A57559"/>
    <w:rsid w:val="00A63568"/>
    <w:rsid w:val="00A70A4F"/>
    <w:rsid w:val="00A772DE"/>
    <w:rsid w:val="00A80C07"/>
    <w:rsid w:val="00A96AC6"/>
    <w:rsid w:val="00AA271B"/>
    <w:rsid w:val="00AC29A9"/>
    <w:rsid w:val="00AD3984"/>
    <w:rsid w:val="00AD6CE7"/>
    <w:rsid w:val="00AE2D06"/>
    <w:rsid w:val="00AF2DD1"/>
    <w:rsid w:val="00AF5646"/>
    <w:rsid w:val="00B05798"/>
    <w:rsid w:val="00B05CCB"/>
    <w:rsid w:val="00B2048B"/>
    <w:rsid w:val="00B302E4"/>
    <w:rsid w:val="00B5562A"/>
    <w:rsid w:val="00B64D7F"/>
    <w:rsid w:val="00B84DC9"/>
    <w:rsid w:val="00B90EB1"/>
    <w:rsid w:val="00B9468C"/>
    <w:rsid w:val="00B964D1"/>
    <w:rsid w:val="00BD1490"/>
    <w:rsid w:val="00BD6CC9"/>
    <w:rsid w:val="00C05171"/>
    <w:rsid w:val="00C263D5"/>
    <w:rsid w:val="00C41BDA"/>
    <w:rsid w:val="00C8001A"/>
    <w:rsid w:val="00CB5C1F"/>
    <w:rsid w:val="00CD2645"/>
    <w:rsid w:val="00D20F8E"/>
    <w:rsid w:val="00D21758"/>
    <w:rsid w:val="00D21B78"/>
    <w:rsid w:val="00D21C31"/>
    <w:rsid w:val="00D57944"/>
    <w:rsid w:val="00D90688"/>
    <w:rsid w:val="00DB5805"/>
    <w:rsid w:val="00DC0EEE"/>
    <w:rsid w:val="00E11DBD"/>
    <w:rsid w:val="00E2174E"/>
    <w:rsid w:val="00E600FD"/>
    <w:rsid w:val="00E926E7"/>
    <w:rsid w:val="00EA60E1"/>
    <w:rsid w:val="00EB0960"/>
    <w:rsid w:val="00EC72D7"/>
    <w:rsid w:val="00EC7F9E"/>
    <w:rsid w:val="00EF151D"/>
    <w:rsid w:val="00EF5F08"/>
    <w:rsid w:val="00F72E97"/>
    <w:rsid w:val="00FB5AD7"/>
    <w:rsid w:val="00FB795D"/>
    <w:rsid w:val="00FD443B"/>
    <w:rsid w:val="00FF3C86"/>
    <w:rsid w:val="162F46CA"/>
    <w:rsid w:val="42D83440"/>
    <w:rsid w:val="53837B03"/>
    <w:rsid w:val="5B015775"/>
    <w:rsid w:val="5D6FD4E6"/>
    <w:rsid w:val="60A77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37B03"/>
  <w15:chartTrackingRefBased/>
  <w15:docId w15:val="{3AD0A3F0-6B4F-4A84-9706-A2E567470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42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3F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C51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C51A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ageNumber">
    <w:name w:val="page number"/>
    <w:basedOn w:val="DefaultParagraphFont"/>
    <w:uiPriority w:val="99"/>
    <w:semiHidden/>
    <w:unhideWhenUsed/>
    <w:rsid w:val="00B302E4"/>
  </w:style>
  <w:style w:type="paragraph" w:styleId="ListParagraph">
    <w:name w:val="List Paragraph"/>
    <w:basedOn w:val="Normal"/>
    <w:uiPriority w:val="34"/>
    <w:qFormat/>
    <w:rsid w:val="00A03EE5"/>
    <w:pPr>
      <w:ind w:left="720"/>
      <w:contextualSpacing/>
    </w:pPr>
  </w:style>
  <w:style w:type="character" w:styleId="Hyperlink">
    <w:name w:val="Hyperlink"/>
    <w:basedOn w:val="DefaultParagraphFont"/>
    <w:uiPriority w:val="99"/>
    <w:unhideWhenUsed/>
    <w:rsid w:val="00B90EB1"/>
    <w:rPr>
      <w:color w:val="0563C1" w:themeColor="hyperlink"/>
      <w:u w:val="single"/>
    </w:rPr>
  </w:style>
  <w:style w:type="character" w:styleId="UnresolvedMention">
    <w:name w:val="Unresolved Mention"/>
    <w:basedOn w:val="DefaultParagraphFont"/>
    <w:uiPriority w:val="99"/>
    <w:semiHidden/>
    <w:unhideWhenUsed/>
    <w:rsid w:val="00B90EB1"/>
    <w:rPr>
      <w:color w:val="605E5C"/>
      <w:shd w:val="clear" w:color="auto" w:fill="E1DFDD"/>
    </w:rPr>
  </w:style>
  <w:style w:type="character" w:customStyle="1" w:styleId="Heading1Char">
    <w:name w:val="Heading 1 Char"/>
    <w:basedOn w:val="DefaultParagraphFont"/>
    <w:link w:val="Heading1"/>
    <w:uiPriority w:val="9"/>
    <w:rsid w:val="00934279"/>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D57944"/>
    <w:rPr>
      <w:color w:val="954F72" w:themeColor="followedHyperlink"/>
      <w:u w:val="single"/>
    </w:rPr>
  </w:style>
  <w:style w:type="character" w:customStyle="1" w:styleId="Heading3Char">
    <w:name w:val="Heading 3 Char"/>
    <w:basedOn w:val="DefaultParagraphFont"/>
    <w:link w:val="Heading3"/>
    <w:uiPriority w:val="9"/>
    <w:semiHidden/>
    <w:rsid w:val="009C51A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C51A7"/>
    <w:rPr>
      <w:rFonts w:asciiTheme="majorHAnsi" w:eastAsiaTheme="majorEastAsia" w:hAnsiTheme="majorHAnsi" w:cstheme="majorBidi"/>
      <w:i/>
      <w:iCs/>
      <w:color w:val="2F5496" w:themeColor="accent1" w:themeShade="BF"/>
    </w:rPr>
  </w:style>
  <w:style w:type="paragraph" w:customStyle="1" w:styleId="paragraph">
    <w:name w:val="paragraph"/>
    <w:basedOn w:val="Normal"/>
    <w:rsid w:val="00594F5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594F56"/>
  </w:style>
  <w:style w:type="paragraph" w:styleId="NormalWeb">
    <w:name w:val="Normal (Web)"/>
    <w:basedOn w:val="Normal"/>
    <w:uiPriority w:val="99"/>
    <w:semiHidden/>
    <w:unhideWhenUsed/>
    <w:rsid w:val="006963DE"/>
    <w:rPr>
      <w:rFonts w:ascii="Times New Roman" w:hAnsi="Times New Roman" w:cs="Times New Roman"/>
      <w:sz w:val="24"/>
      <w:szCs w:val="24"/>
    </w:rPr>
  </w:style>
  <w:style w:type="character" w:customStyle="1" w:styleId="Heading2Char">
    <w:name w:val="Heading 2 Char"/>
    <w:basedOn w:val="DefaultParagraphFont"/>
    <w:link w:val="Heading2"/>
    <w:uiPriority w:val="9"/>
    <w:rsid w:val="007C3F3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1127">
      <w:bodyDiv w:val="1"/>
      <w:marLeft w:val="0"/>
      <w:marRight w:val="0"/>
      <w:marTop w:val="0"/>
      <w:marBottom w:val="0"/>
      <w:divBdr>
        <w:top w:val="none" w:sz="0" w:space="0" w:color="auto"/>
        <w:left w:val="none" w:sz="0" w:space="0" w:color="auto"/>
        <w:bottom w:val="none" w:sz="0" w:space="0" w:color="auto"/>
        <w:right w:val="none" w:sz="0" w:space="0" w:color="auto"/>
      </w:divBdr>
      <w:divsChild>
        <w:div w:id="1833328045">
          <w:marLeft w:val="360"/>
          <w:marRight w:val="0"/>
          <w:marTop w:val="200"/>
          <w:marBottom w:val="0"/>
          <w:divBdr>
            <w:top w:val="none" w:sz="0" w:space="0" w:color="auto"/>
            <w:left w:val="none" w:sz="0" w:space="0" w:color="auto"/>
            <w:bottom w:val="none" w:sz="0" w:space="0" w:color="auto"/>
            <w:right w:val="none" w:sz="0" w:space="0" w:color="auto"/>
          </w:divBdr>
        </w:div>
        <w:div w:id="904725562">
          <w:marLeft w:val="360"/>
          <w:marRight w:val="0"/>
          <w:marTop w:val="200"/>
          <w:marBottom w:val="0"/>
          <w:divBdr>
            <w:top w:val="none" w:sz="0" w:space="0" w:color="auto"/>
            <w:left w:val="none" w:sz="0" w:space="0" w:color="auto"/>
            <w:bottom w:val="none" w:sz="0" w:space="0" w:color="auto"/>
            <w:right w:val="none" w:sz="0" w:space="0" w:color="auto"/>
          </w:divBdr>
        </w:div>
        <w:div w:id="928002758">
          <w:marLeft w:val="360"/>
          <w:marRight w:val="0"/>
          <w:marTop w:val="200"/>
          <w:marBottom w:val="0"/>
          <w:divBdr>
            <w:top w:val="none" w:sz="0" w:space="0" w:color="auto"/>
            <w:left w:val="none" w:sz="0" w:space="0" w:color="auto"/>
            <w:bottom w:val="none" w:sz="0" w:space="0" w:color="auto"/>
            <w:right w:val="none" w:sz="0" w:space="0" w:color="auto"/>
          </w:divBdr>
        </w:div>
        <w:div w:id="1695109262">
          <w:marLeft w:val="360"/>
          <w:marRight w:val="0"/>
          <w:marTop w:val="200"/>
          <w:marBottom w:val="0"/>
          <w:divBdr>
            <w:top w:val="none" w:sz="0" w:space="0" w:color="auto"/>
            <w:left w:val="none" w:sz="0" w:space="0" w:color="auto"/>
            <w:bottom w:val="none" w:sz="0" w:space="0" w:color="auto"/>
            <w:right w:val="none" w:sz="0" w:space="0" w:color="auto"/>
          </w:divBdr>
        </w:div>
        <w:div w:id="1312832114">
          <w:marLeft w:val="360"/>
          <w:marRight w:val="0"/>
          <w:marTop w:val="200"/>
          <w:marBottom w:val="0"/>
          <w:divBdr>
            <w:top w:val="none" w:sz="0" w:space="0" w:color="auto"/>
            <w:left w:val="none" w:sz="0" w:space="0" w:color="auto"/>
            <w:bottom w:val="none" w:sz="0" w:space="0" w:color="auto"/>
            <w:right w:val="none" w:sz="0" w:space="0" w:color="auto"/>
          </w:divBdr>
        </w:div>
        <w:div w:id="605160006">
          <w:marLeft w:val="360"/>
          <w:marRight w:val="0"/>
          <w:marTop w:val="200"/>
          <w:marBottom w:val="0"/>
          <w:divBdr>
            <w:top w:val="none" w:sz="0" w:space="0" w:color="auto"/>
            <w:left w:val="none" w:sz="0" w:space="0" w:color="auto"/>
            <w:bottom w:val="none" w:sz="0" w:space="0" w:color="auto"/>
            <w:right w:val="none" w:sz="0" w:space="0" w:color="auto"/>
          </w:divBdr>
        </w:div>
        <w:div w:id="2077703124">
          <w:marLeft w:val="360"/>
          <w:marRight w:val="0"/>
          <w:marTop w:val="200"/>
          <w:marBottom w:val="0"/>
          <w:divBdr>
            <w:top w:val="none" w:sz="0" w:space="0" w:color="auto"/>
            <w:left w:val="none" w:sz="0" w:space="0" w:color="auto"/>
            <w:bottom w:val="none" w:sz="0" w:space="0" w:color="auto"/>
            <w:right w:val="none" w:sz="0" w:space="0" w:color="auto"/>
          </w:divBdr>
        </w:div>
        <w:div w:id="1762294111">
          <w:marLeft w:val="360"/>
          <w:marRight w:val="0"/>
          <w:marTop w:val="200"/>
          <w:marBottom w:val="0"/>
          <w:divBdr>
            <w:top w:val="none" w:sz="0" w:space="0" w:color="auto"/>
            <w:left w:val="none" w:sz="0" w:space="0" w:color="auto"/>
            <w:bottom w:val="none" w:sz="0" w:space="0" w:color="auto"/>
            <w:right w:val="none" w:sz="0" w:space="0" w:color="auto"/>
          </w:divBdr>
        </w:div>
        <w:div w:id="193351178">
          <w:marLeft w:val="360"/>
          <w:marRight w:val="0"/>
          <w:marTop w:val="200"/>
          <w:marBottom w:val="0"/>
          <w:divBdr>
            <w:top w:val="none" w:sz="0" w:space="0" w:color="auto"/>
            <w:left w:val="none" w:sz="0" w:space="0" w:color="auto"/>
            <w:bottom w:val="none" w:sz="0" w:space="0" w:color="auto"/>
            <w:right w:val="none" w:sz="0" w:space="0" w:color="auto"/>
          </w:divBdr>
        </w:div>
      </w:divsChild>
    </w:div>
    <w:div w:id="73556300">
      <w:bodyDiv w:val="1"/>
      <w:marLeft w:val="0"/>
      <w:marRight w:val="0"/>
      <w:marTop w:val="0"/>
      <w:marBottom w:val="0"/>
      <w:divBdr>
        <w:top w:val="none" w:sz="0" w:space="0" w:color="auto"/>
        <w:left w:val="none" w:sz="0" w:space="0" w:color="auto"/>
        <w:bottom w:val="none" w:sz="0" w:space="0" w:color="auto"/>
        <w:right w:val="none" w:sz="0" w:space="0" w:color="auto"/>
      </w:divBdr>
    </w:div>
    <w:div w:id="98767271">
      <w:bodyDiv w:val="1"/>
      <w:marLeft w:val="0"/>
      <w:marRight w:val="0"/>
      <w:marTop w:val="0"/>
      <w:marBottom w:val="0"/>
      <w:divBdr>
        <w:top w:val="none" w:sz="0" w:space="0" w:color="auto"/>
        <w:left w:val="none" w:sz="0" w:space="0" w:color="auto"/>
        <w:bottom w:val="none" w:sz="0" w:space="0" w:color="auto"/>
        <w:right w:val="none" w:sz="0" w:space="0" w:color="auto"/>
      </w:divBdr>
    </w:div>
    <w:div w:id="114836327">
      <w:bodyDiv w:val="1"/>
      <w:marLeft w:val="0"/>
      <w:marRight w:val="0"/>
      <w:marTop w:val="0"/>
      <w:marBottom w:val="0"/>
      <w:divBdr>
        <w:top w:val="none" w:sz="0" w:space="0" w:color="auto"/>
        <w:left w:val="none" w:sz="0" w:space="0" w:color="auto"/>
        <w:bottom w:val="none" w:sz="0" w:space="0" w:color="auto"/>
        <w:right w:val="none" w:sz="0" w:space="0" w:color="auto"/>
      </w:divBdr>
    </w:div>
    <w:div w:id="168561839">
      <w:bodyDiv w:val="1"/>
      <w:marLeft w:val="0"/>
      <w:marRight w:val="0"/>
      <w:marTop w:val="0"/>
      <w:marBottom w:val="0"/>
      <w:divBdr>
        <w:top w:val="none" w:sz="0" w:space="0" w:color="auto"/>
        <w:left w:val="none" w:sz="0" w:space="0" w:color="auto"/>
        <w:bottom w:val="none" w:sz="0" w:space="0" w:color="auto"/>
        <w:right w:val="none" w:sz="0" w:space="0" w:color="auto"/>
      </w:divBdr>
    </w:div>
    <w:div w:id="184828272">
      <w:bodyDiv w:val="1"/>
      <w:marLeft w:val="0"/>
      <w:marRight w:val="0"/>
      <w:marTop w:val="0"/>
      <w:marBottom w:val="0"/>
      <w:divBdr>
        <w:top w:val="none" w:sz="0" w:space="0" w:color="auto"/>
        <w:left w:val="none" w:sz="0" w:space="0" w:color="auto"/>
        <w:bottom w:val="none" w:sz="0" w:space="0" w:color="auto"/>
        <w:right w:val="none" w:sz="0" w:space="0" w:color="auto"/>
      </w:divBdr>
    </w:div>
    <w:div w:id="198055440">
      <w:bodyDiv w:val="1"/>
      <w:marLeft w:val="0"/>
      <w:marRight w:val="0"/>
      <w:marTop w:val="0"/>
      <w:marBottom w:val="0"/>
      <w:divBdr>
        <w:top w:val="none" w:sz="0" w:space="0" w:color="auto"/>
        <w:left w:val="none" w:sz="0" w:space="0" w:color="auto"/>
        <w:bottom w:val="none" w:sz="0" w:space="0" w:color="auto"/>
        <w:right w:val="none" w:sz="0" w:space="0" w:color="auto"/>
      </w:divBdr>
      <w:divsChild>
        <w:div w:id="994383804">
          <w:marLeft w:val="360"/>
          <w:marRight w:val="0"/>
          <w:marTop w:val="200"/>
          <w:marBottom w:val="0"/>
          <w:divBdr>
            <w:top w:val="none" w:sz="0" w:space="0" w:color="auto"/>
            <w:left w:val="none" w:sz="0" w:space="0" w:color="auto"/>
            <w:bottom w:val="none" w:sz="0" w:space="0" w:color="auto"/>
            <w:right w:val="none" w:sz="0" w:space="0" w:color="auto"/>
          </w:divBdr>
        </w:div>
      </w:divsChild>
    </w:div>
    <w:div w:id="238248296">
      <w:bodyDiv w:val="1"/>
      <w:marLeft w:val="0"/>
      <w:marRight w:val="0"/>
      <w:marTop w:val="0"/>
      <w:marBottom w:val="0"/>
      <w:divBdr>
        <w:top w:val="none" w:sz="0" w:space="0" w:color="auto"/>
        <w:left w:val="none" w:sz="0" w:space="0" w:color="auto"/>
        <w:bottom w:val="none" w:sz="0" w:space="0" w:color="auto"/>
        <w:right w:val="none" w:sz="0" w:space="0" w:color="auto"/>
      </w:divBdr>
    </w:div>
    <w:div w:id="252906329">
      <w:bodyDiv w:val="1"/>
      <w:marLeft w:val="0"/>
      <w:marRight w:val="0"/>
      <w:marTop w:val="0"/>
      <w:marBottom w:val="0"/>
      <w:divBdr>
        <w:top w:val="none" w:sz="0" w:space="0" w:color="auto"/>
        <w:left w:val="none" w:sz="0" w:space="0" w:color="auto"/>
        <w:bottom w:val="none" w:sz="0" w:space="0" w:color="auto"/>
        <w:right w:val="none" w:sz="0" w:space="0" w:color="auto"/>
      </w:divBdr>
      <w:divsChild>
        <w:div w:id="154497837">
          <w:marLeft w:val="0"/>
          <w:marRight w:val="0"/>
          <w:marTop w:val="0"/>
          <w:marBottom w:val="0"/>
          <w:divBdr>
            <w:top w:val="none" w:sz="0" w:space="0" w:color="auto"/>
            <w:left w:val="none" w:sz="0" w:space="0" w:color="auto"/>
            <w:bottom w:val="none" w:sz="0" w:space="0" w:color="auto"/>
            <w:right w:val="none" w:sz="0" w:space="0" w:color="auto"/>
          </w:divBdr>
        </w:div>
        <w:div w:id="608895650">
          <w:marLeft w:val="0"/>
          <w:marRight w:val="0"/>
          <w:marTop w:val="0"/>
          <w:marBottom w:val="0"/>
          <w:divBdr>
            <w:top w:val="none" w:sz="0" w:space="0" w:color="auto"/>
            <w:left w:val="none" w:sz="0" w:space="0" w:color="auto"/>
            <w:bottom w:val="none" w:sz="0" w:space="0" w:color="auto"/>
            <w:right w:val="none" w:sz="0" w:space="0" w:color="auto"/>
          </w:divBdr>
        </w:div>
      </w:divsChild>
    </w:div>
    <w:div w:id="289172415">
      <w:bodyDiv w:val="1"/>
      <w:marLeft w:val="0"/>
      <w:marRight w:val="0"/>
      <w:marTop w:val="0"/>
      <w:marBottom w:val="0"/>
      <w:divBdr>
        <w:top w:val="none" w:sz="0" w:space="0" w:color="auto"/>
        <w:left w:val="none" w:sz="0" w:space="0" w:color="auto"/>
        <w:bottom w:val="none" w:sz="0" w:space="0" w:color="auto"/>
        <w:right w:val="none" w:sz="0" w:space="0" w:color="auto"/>
      </w:divBdr>
    </w:div>
    <w:div w:id="304091558">
      <w:bodyDiv w:val="1"/>
      <w:marLeft w:val="0"/>
      <w:marRight w:val="0"/>
      <w:marTop w:val="0"/>
      <w:marBottom w:val="0"/>
      <w:divBdr>
        <w:top w:val="none" w:sz="0" w:space="0" w:color="auto"/>
        <w:left w:val="none" w:sz="0" w:space="0" w:color="auto"/>
        <w:bottom w:val="none" w:sz="0" w:space="0" w:color="auto"/>
        <w:right w:val="none" w:sz="0" w:space="0" w:color="auto"/>
      </w:divBdr>
    </w:div>
    <w:div w:id="311370019">
      <w:bodyDiv w:val="1"/>
      <w:marLeft w:val="0"/>
      <w:marRight w:val="0"/>
      <w:marTop w:val="0"/>
      <w:marBottom w:val="0"/>
      <w:divBdr>
        <w:top w:val="none" w:sz="0" w:space="0" w:color="auto"/>
        <w:left w:val="none" w:sz="0" w:space="0" w:color="auto"/>
        <w:bottom w:val="none" w:sz="0" w:space="0" w:color="auto"/>
        <w:right w:val="none" w:sz="0" w:space="0" w:color="auto"/>
      </w:divBdr>
    </w:div>
    <w:div w:id="368382659">
      <w:bodyDiv w:val="1"/>
      <w:marLeft w:val="0"/>
      <w:marRight w:val="0"/>
      <w:marTop w:val="0"/>
      <w:marBottom w:val="0"/>
      <w:divBdr>
        <w:top w:val="none" w:sz="0" w:space="0" w:color="auto"/>
        <w:left w:val="none" w:sz="0" w:space="0" w:color="auto"/>
        <w:bottom w:val="none" w:sz="0" w:space="0" w:color="auto"/>
        <w:right w:val="none" w:sz="0" w:space="0" w:color="auto"/>
      </w:divBdr>
    </w:div>
    <w:div w:id="385448629">
      <w:bodyDiv w:val="1"/>
      <w:marLeft w:val="0"/>
      <w:marRight w:val="0"/>
      <w:marTop w:val="0"/>
      <w:marBottom w:val="0"/>
      <w:divBdr>
        <w:top w:val="none" w:sz="0" w:space="0" w:color="auto"/>
        <w:left w:val="none" w:sz="0" w:space="0" w:color="auto"/>
        <w:bottom w:val="none" w:sz="0" w:space="0" w:color="auto"/>
        <w:right w:val="none" w:sz="0" w:space="0" w:color="auto"/>
      </w:divBdr>
    </w:div>
    <w:div w:id="442573758">
      <w:bodyDiv w:val="1"/>
      <w:marLeft w:val="0"/>
      <w:marRight w:val="0"/>
      <w:marTop w:val="0"/>
      <w:marBottom w:val="0"/>
      <w:divBdr>
        <w:top w:val="none" w:sz="0" w:space="0" w:color="auto"/>
        <w:left w:val="none" w:sz="0" w:space="0" w:color="auto"/>
        <w:bottom w:val="none" w:sz="0" w:space="0" w:color="auto"/>
        <w:right w:val="none" w:sz="0" w:space="0" w:color="auto"/>
      </w:divBdr>
    </w:div>
    <w:div w:id="484859533">
      <w:bodyDiv w:val="1"/>
      <w:marLeft w:val="0"/>
      <w:marRight w:val="0"/>
      <w:marTop w:val="0"/>
      <w:marBottom w:val="0"/>
      <w:divBdr>
        <w:top w:val="none" w:sz="0" w:space="0" w:color="auto"/>
        <w:left w:val="none" w:sz="0" w:space="0" w:color="auto"/>
        <w:bottom w:val="none" w:sz="0" w:space="0" w:color="auto"/>
        <w:right w:val="none" w:sz="0" w:space="0" w:color="auto"/>
      </w:divBdr>
    </w:div>
    <w:div w:id="485709692">
      <w:bodyDiv w:val="1"/>
      <w:marLeft w:val="0"/>
      <w:marRight w:val="0"/>
      <w:marTop w:val="0"/>
      <w:marBottom w:val="0"/>
      <w:divBdr>
        <w:top w:val="none" w:sz="0" w:space="0" w:color="auto"/>
        <w:left w:val="none" w:sz="0" w:space="0" w:color="auto"/>
        <w:bottom w:val="none" w:sz="0" w:space="0" w:color="auto"/>
        <w:right w:val="none" w:sz="0" w:space="0" w:color="auto"/>
      </w:divBdr>
    </w:div>
    <w:div w:id="508254989">
      <w:bodyDiv w:val="1"/>
      <w:marLeft w:val="0"/>
      <w:marRight w:val="0"/>
      <w:marTop w:val="0"/>
      <w:marBottom w:val="0"/>
      <w:divBdr>
        <w:top w:val="none" w:sz="0" w:space="0" w:color="auto"/>
        <w:left w:val="none" w:sz="0" w:space="0" w:color="auto"/>
        <w:bottom w:val="none" w:sz="0" w:space="0" w:color="auto"/>
        <w:right w:val="none" w:sz="0" w:space="0" w:color="auto"/>
      </w:divBdr>
    </w:div>
    <w:div w:id="532039448">
      <w:bodyDiv w:val="1"/>
      <w:marLeft w:val="0"/>
      <w:marRight w:val="0"/>
      <w:marTop w:val="0"/>
      <w:marBottom w:val="0"/>
      <w:divBdr>
        <w:top w:val="none" w:sz="0" w:space="0" w:color="auto"/>
        <w:left w:val="none" w:sz="0" w:space="0" w:color="auto"/>
        <w:bottom w:val="none" w:sz="0" w:space="0" w:color="auto"/>
        <w:right w:val="none" w:sz="0" w:space="0" w:color="auto"/>
      </w:divBdr>
    </w:div>
    <w:div w:id="550921183">
      <w:bodyDiv w:val="1"/>
      <w:marLeft w:val="0"/>
      <w:marRight w:val="0"/>
      <w:marTop w:val="0"/>
      <w:marBottom w:val="0"/>
      <w:divBdr>
        <w:top w:val="none" w:sz="0" w:space="0" w:color="auto"/>
        <w:left w:val="none" w:sz="0" w:space="0" w:color="auto"/>
        <w:bottom w:val="none" w:sz="0" w:space="0" w:color="auto"/>
        <w:right w:val="none" w:sz="0" w:space="0" w:color="auto"/>
      </w:divBdr>
    </w:div>
    <w:div w:id="554967716">
      <w:bodyDiv w:val="1"/>
      <w:marLeft w:val="0"/>
      <w:marRight w:val="0"/>
      <w:marTop w:val="0"/>
      <w:marBottom w:val="0"/>
      <w:divBdr>
        <w:top w:val="none" w:sz="0" w:space="0" w:color="auto"/>
        <w:left w:val="none" w:sz="0" w:space="0" w:color="auto"/>
        <w:bottom w:val="none" w:sz="0" w:space="0" w:color="auto"/>
        <w:right w:val="none" w:sz="0" w:space="0" w:color="auto"/>
      </w:divBdr>
    </w:div>
    <w:div w:id="562983777">
      <w:bodyDiv w:val="1"/>
      <w:marLeft w:val="0"/>
      <w:marRight w:val="0"/>
      <w:marTop w:val="0"/>
      <w:marBottom w:val="0"/>
      <w:divBdr>
        <w:top w:val="none" w:sz="0" w:space="0" w:color="auto"/>
        <w:left w:val="none" w:sz="0" w:space="0" w:color="auto"/>
        <w:bottom w:val="none" w:sz="0" w:space="0" w:color="auto"/>
        <w:right w:val="none" w:sz="0" w:space="0" w:color="auto"/>
      </w:divBdr>
    </w:div>
    <w:div w:id="568151706">
      <w:bodyDiv w:val="1"/>
      <w:marLeft w:val="0"/>
      <w:marRight w:val="0"/>
      <w:marTop w:val="0"/>
      <w:marBottom w:val="0"/>
      <w:divBdr>
        <w:top w:val="none" w:sz="0" w:space="0" w:color="auto"/>
        <w:left w:val="none" w:sz="0" w:space="0" w:color="auto"/>
        <w:bottom w:val="none" w:sz="0" w:space="0" w:color="auto"/>
        <w:right w:val="none" w:sz="0" w:space="0" w:color="auto"/>
      </w:divBdr>
    </w:div>
    <w:div w:id="594677238">
      <w:bodyDiv w:val="1"/>
      <w:marLeft w:val="0"/>
      <w:marRight w:val="0"/>
      <w:marTop w:val="0"/>
      <w:marBottom w:val="0"/>
      <w:divBdr>
        <w:top w:val="none" w:sz="0" w:space="0" w:color="auto"/>
        <w:left w:val="none" w:sz="0" w:space="0" w:color="auto"/>
        <w:bottom w:val="none" w:sz="0" w:space="0" w:color="auto"/>
        <w:right w:val="none" w:sz="0" w:space="0" w:color="auto"/>
      </w:divBdr>
    </w:div>
    <w:div w:id="683558189">
      <w:bodyDiv w:val="1"/>
      <w:marLeft w:val="0"/>
      <w:marRight w:val="0"/>
      <w:marTop w:val="0"/>
      <w:marBottom w:val="0"/>
      <w:divBdr>
        <w:top w:val="none" w:sz="0" w:space="0" w:color="auto"/>
        <w:left w:val="none" w:sz="0" w:space="0" w:color="auto"/>
        <w:bottom w:val="none" w:sz="0" w:space="0" w:color="auto"/>
        <w:right w:val="none" w:sz="0" w:space="0" w:color="auto"/>
      </w:divBdr>
    </w:div>
    <w:div w:id="684477006">
      <w:bodyDiv w:val="1"/>
      <w:marLeft w:val="0"/>
      <w:marRight w:val="0"/>
      <w:marTop w:val="0"/>
      <w:marBottom w:val="0"/>
      <w:divBdr>
        <w:top w:val="none" w:sz="0" w:space="0" w:color="auto"/>
        <w:left w:val="none" w:sz="0" w:space="0" w:color="auto"/>
        <w:bottom w:val="none" w:sz="0" w:space="0" w:color="auto"/>
        <w:right w:val="none" w:sz="0" w:space="0" w:color="auto"/>
      </w:divBdr>
    </w:div>
    <w:div w:id="715011954">
      <w:bodyDiv w:val="1"/>
      <w:marLeft w:val="0"/>
      <w:marRight w:val="0"/>
      <w:marTop w:val="0"/>
      <w:marBottom w:val="0"/>
      <w:divBdr>
        <w:top w:val="none" w:sz="0" w:space="0" w:color="auto"/>
        <w:left w:val="none" w:sz="0" w:space="0" w:color="auto"/>
        <w:bottom w:val="none" w:sz="0" w:space="0" w:color="auto"/>
        <w:right w:val="none" w:sz="0" w:space="0" w:color="auto"/>
      </w:divBdr>
    </w:div>
    <w:div w:id="742720608">
      <w:bodyDiv w:val="1"/>
      <w:marLeft w:val="0"/>
      <w:marRight w:val="0"/>
      <w:marTop w:val="0"/>
      <w:marBottom w:val="0"/>
      <w:divBdr>
        <w:top w:val="none" w:sz="0" w:space="0" w:color="auto"/>
        <w:left w:val="none" w:sz="0" w:space="0" w:color="auto"/>
        <w:bottom w:val="none" w:sz="0" w:space="0" w:color="auto"/>
        <w:right w:val="none" w:sz="0" w:space="0" w:color="auto"/>
      </w:divBdr>
    </w:div>
    <w:div w:id="748844275">
      <w:bodyDiv w:val="1"/>
      <w:marLeft w:val="0"/>
      <w:marRight w:val="0"/>
      <w:marTop w:val="0"/>
      <w:marBottom w:val="0"/>
      <w:divBdr>
        <w:top w:val="none" w:sz="0" w:space="0" w:color="auto"/>
        <w:left w:val="none" w:sz="0" w:space="0" w:color="auto"/>
        <w:bottom w:val="none" w:sz="0" w:space="0" w:color="auto"/>
        <w:right w:val="none" w:sz="0" w:space="0" w:color="auto"/>
      </w:divBdr>
    </w:div>
    <w:div w:id="774180659">
      <w:bodyDiv w:val="1"/>
      <w:marLeft w:val="0"/>
      <w:marRight w:val="0"/>
      <w:marTop w:val="0"/>
      <w:marBottom w:val="0"/>
      <w:divBdr>
        <w:top w:val="none" w:sz="0" w:space="0" w:color="auto"/>
        <w:left w:val="none" w:sz="0" w:space="0" w:color="auto"/>
        <w:bottom w:val="none" w:sz="0" w:space="0" w:color="auto"/>
        <w:right w:val="none" w:sz="0" w:space="0" w:color="auto"/>
      </w:divBdr>
    </w:div>
    <w:div w:id="791098058">
      <w:bodyDiv w:val="1"/>
      <w:marLeft w:val="0"/>
      <w:marRight w:val="0"/>
      <w:marTop w:val="0"/>
      <w:marBottom w:val="0"/>
      <w:divBdr>
        <w:top w:val="none" w:sz="0" w:space="0" w:color="auto"/>
        <w:left w:val="none" w:sz="0" w:space="0" w:color="auto"/>
        <w:bottom w:val="none" w:sz="0" w:space="0" w:color="auto"/>
        <w:right w:val="none" w:sz="0" w:space="0" w:color="auto"/>
      </w:divBdr>
    </w:div>
    <w:div w:id="795754906">
      <w:bodyDiv w:val="1"/>
      <w:marLeft w:val="0"/>
      <w:marRight w:val="0"/>
      <w:marTop w:val="0"/>
      <w:marBottom w:val="0"/>
      <w:divBdr>
        <w:top w:val="none" w:sz="0" w:space="0" w:color="auto"/>
        <w:left w:val="none" w:sz="0" w:space="0" w:color="auto"/>
        <w:bottom w:val="none" w:sz="0" w:space="0" w:color="auto"/>
        <w:right w:val="none" w:sz="0" w:space="0" w:color="auto"/>
      </w:divBdr>
    </w:div>
    <w:div w:id="804928933">
      <w:bodyDiv w:val="1"/>
      <w:marLeft w:val="0"/>
      <w:marRight w:val="0"/>
      <w:marTop w:val="0"/>
      <w:marBottom w:val="0"/>
      <w:divBdr>
        <w:top w:val="none" w:sz="0" w:space="0" w:color="auto"/>
        <w:left w:val="none" w:sz="0" w:space="0" w:color="auto"/>
        <w:bottom w:val="none" w:sz="0" w:space="0" w:color="auto"/>
        <w:right w:val="none" w:sz="0" w:space="0" w:color="auto"/>
      </w:divBdr>
    </w:div>
    <w:div w:id="837844016">
      <w:bodyDiv w:val="1"/>
      <w:marLeft w:val="0"/>
      <w:marRight w:val="0"/>
      <w:marTop w:val="0"/>
      <w:marBottom w:val="0"/>
      <w:divBdr>
        <w:top w:val="none" w:sz="0" w:space="0" w:color="auto"/>
        <w:left w:val="none" w:sz="0" w:space="0" w:color="auto"/>
        <w:bottom w:val="none" w:sz="0" w:space="0" w:color="auto"/>
        <w:right w:val="none" w:sz="0" w:space="0" w:color="auto"/>
      </w:divBdr>
    </w:div>
    <w:div w:id="862325201">
      <w:bodyDiv w:val="1"/>
      <w:marLeft w:val="0"/>
      <w:marRight w:val="0"/>
      <w:marTop w:val="0"/>
      <w:marBottom w:val="0"/>
      <w:divBdr>
        <w:top w:val="none" w:sz="0" w:space="0" w:color="auto"/>
        <w:left w:val="none" w:sz="0" w:space="0" w:color="auto"/>
        <w:bottom w:val="none" w:sz="0" w:space="0" w:color="auto"/>
        <w:right w:val="none" w:sz="0" w:space="0" w:color="auto"/>
      </w:divBdr>
    </w:div>
    <w:div w:id="863174959">
      <w:bodyDiv w:val="1"/>
      <w:marLeft w:val="0"/>
      <w:marRight w:val="0"/>
      <w:marTop w:val="0"/>
      <w:marBottom w:val="0"/>
      <w:divBdr>
        <w:top w:val="none" w:sz="0" w:space="0" w:color="auto"/>
        <w:left w:val="none" w:sz="0" w:space="0" w:color="auto"/>
        <w:bottom w:val="none" w:sz="0" w:space="0" w:color="auto"/>
        <w:right w:val="none" w:sz="0" w:space="0" w:color="auto"/>
      </w:divBdr>
    </w:div>
    <w:div w:id="902982094">
      <w:bodyDiv w:val="1"/>
      <w:marLeft w:val="0"/>
      <w:marRight w:val="0"/>
      <w:marTop w:val="0"/>
      <w:marBottom w:val="0"/>
      <w:divBdr>
        <w:top w:val="none" w:sz="0" w:space="0" w:color="auto"/>
        <w:left w:val="none" w:sz="0" w:space="0" w:color="auto"/>
        <w:bottom w:val="none" w:sz="0" w:space="0" w:color="auto"/>
        <w:right w:val="none" w:sz="0" w:space="0" w:color="auto"/>
      </w:divBdr>
    </w:div>
    <w:div w:id="950748388">
      <w:bodyDiv w:val="1"/>
      <w:marLeft w:val="0"/>
      <w:marRight w:val="0"/>
      <w:marTop w:val="0"/>
      <w:marBottom w:val="0"/>
      <w:divBdr>
        <w:top w:val="none" w:sz="0" w:space="0" w:color="auto"/>
        <w:left w:val="none" w:sz="0" w:space="0" w:color="auto"/>
        <w:bottom w:val="none" w:sz="0" w:space="0" w:color="auto"/>
        <w:right w:val="none" w:sz="0" w:space="0" w:color="auto"/>
      </w:divBdr>
      <w:divsChild>
        <w:div w:id="221136550">
          <w:marLeft w:val="360"/>
          <w:marRight w:val="0"/>
          <w:marTop w:val="200"/>
          <w:marBottom w:val="0"/>
          <w:divBdr>
            <w:top w:val="none" w:sz="0" w:space="0" w:color="auto"/>
            <w:left w:val="none" w:sz="0" w:space="0" w:color="auto"/>
            <w:bottom w:val="none" w:sz="0" w:space="0" w:color="auto"/>
            <w:right w:val="none" w:sz="0" w:space="0" w:color="auto"/>
          </w:divBdr>
        </w:div>
        <w:div w:id="1833445648">
          <w:marLeft w:val="360"/>
          <w:marRight w:val="0"/>
          <w:marTop w:val="200"/>
          <w:marBottom w:val="0"/>
          <w:divBdr>
            <w:top w:val="none" w:sz="0" w:space="0" w:color="auto"/>
            <w:left w:val="none" w:sz="0" w:space="0" w:color="auto"/>
            <w:bottom w:val="none" w:sz="0" w:space="0" w:color="auto"/>
            <w:right w:val="none" w:sz="0" w:space="0" w:color="auto"/>
          </w:divBdr>
        </w:div>
        <w:div w:id="126361790">
          <w:marLeft w:val="360"/>
          <w:marRight w:val="0"/>
          <w:marTop w:val="200"/>
          <w:marBottom w:val="0"/>
          <w:divBdr>
            <w:top w:val="none" w:sz="0" w:space="0" w:color="auto"/>
            <w:left w:val="none" w:sz="0" w:space="0" w:color="auto"/>
            <w:bottom w:val="none" w:sz="0" w:space="0" w:color="auto"/>
            <w:right w:val="none" w:sz="0" w:space="0" w:color="auto"/>
          </w:divBdr>
        </w:div>
        <w:div w:id="2038963383">
          <w:marLeft w:val="360"/>
          <w:marRight w:val="0"/>
          <w:marTop w:val="200"/>
          <w:marBottom w:val="0"/>
          <w:divBdr>
            <w:top w:val="none" w:sz="0" w:space="0" w:color="auto"/>
            <w:left w:val="none" w:sz="0" w:space="0" w:color="auto"/>
            <w:bottom w:val="none" w:sz="0" w:space="0" w:color="auto"/>
            <w:right w:val="none" w:sz="0" w:space="0" w:color="auto"/>
          </w:divBdr>
        </w:div>
        <w:div w:id="638653248">
          <w:marLeft w:val="360"/>
          <w:marRight w:val="0"/>
          <w:marTop w:val="200"/>
          <w:marBottom w:val="0"/>
          <w:divBdr>
            <w:top w:val="none" w:sz="0" w:space="0" w:color="auto"/>
            <w:left w:val="none" w:sz="0" w:space="0" w:color="auto"/>
            <w:bottom w:val="none" w:sz="0" w:space="0" w:color="auto"/>
            <w:right w:val="none" w:sz="0" w:space="0" w:color="auto"/>
          </w:divBdr>
        </w:div>
        <w:div w:id="955791709">
          <w:marLeft w:val="360"/>
          <w:marRight w:val="0"/>
          <w:marTop w:val="200"/>
          <w:marBottom w:val="0"/>
          <w:divBdr>
            <w:top w:val="none" w:sz="0" w:space="0" w:color="auto"/>
            <w:left w:val="none" w:sz="0" w:space="0" w:color="auto"/>
            <w:bottom w:val="none" w:sz="0" w:space="0" w:color="auto"/>
            <w:right w:val="none" w:sz="0" w:space="0" w:color="auto"/>
          </w:divBdr>
        </w:div>
        <w:div w:id="609747155">
          <w:marLeft w:val="360"/>
          <w:marRight w:val="0"/>
          <w:marTop w:val="200"/>
          <w:marBottom w:val="0"/>
          <w:divBdr>
            <w:top w:val="none" w:sz="0" w:space="0" w:color="auto"/>
            <w:left w:val="none" w:sz="0" w:space="0" w:color="auto"/>
            <w:bottom w:val="none" w:sz="0" w:space="0" w:color="auto"/>
            <w:right w:val="none" w:sz="0" w:space="0" w:color="auto"/>
          </w:divBdr>
        </w:div>
        <w:div w:id="572936732">
          <w:marLeft w:val="360"/>
          <w:marRight w:val="0"/>
          <w:marTop w:val="200"/>
          <w:marBottom w:val="0"/>
          <w:divBdr>
            <w:top w:val="none" w:sz="0" w:space="0" w:color="auto"/>
            <w:left w:val="none" w:sz="0" w:space="0" w:color="auto"/>
            <w:bottom w:val="none" w:sz="0" w:space="0" w:color="auto"/>
            <w:right w:val="none" w:sz="0" w:space="0" w:color="auto"/>
          </w:divBdr>
        </w:div>
        <w:div w:id="781336989">
          <w:marLeft w:val="360"/>
          <w:marRight w:val="0"/>
          <w:marTop w:val="200"/>
          <w:marBottom w:val="0"/>
          <w:divBdr>
            <w:top w:val="none" w:sz="0" w:space="0" w:color="auto"/>
            <w:left w:val="none" w:sz="0" w:space="0" w:color="auto"/>
            <w:bottom w:val="none" w:sz="0" w:space="0" w:color="auto"/>
            <w:right w:val="none" w:sz="0" w:space="0" w:color="auto"/>
          </w:divBdr>
        </w:div>
      </w:divsChild>
    </w:div>
    <w:div w:id="1074936470">
      <w:bodyDiv w:val="1"/>
      <w:marLeft w:val="0"/>
      <w:marRight w:val="0"/>
      <w:marTop w:val="0"/>
      <w:marBottom w:val="0"/>
      <w:divBdr>
        <w:top w:val="none" w:sz="0" w:space="0" w:color="auto"/>
        <w:left w:val="none" w:sz="0" w:space="0" w:color="auto"/>
        <w:bottom w:val="none" w:sz="0" w:space="0" w:color="auto"/>
        <w:right w:val="none" w:sz="0" w:space="0" w:color="auto"/>
      </w:divBdr>
    </w:div>
    <w:div w:id="1093014871">
      <w:bodyDiv w:val="1"/>
      <w:marLeft w:val="0"/>
      <w:marRight w:val="0"/>
      <w:marTop w:val="0"/>
      <w:marBottom w:val="0"/>
      <w:divBdr>
        <w:top w:val="none" w:sz="0" w:space="0" w:color="auto"/>
        <w:left w:val="none" w:sz="0" w:space="0" w:color="auto"/>
        <w:bottom w:val="none" w:sz="0" w:space="0" w:color="auto"/>
        <w:right w:val="none" w:sz="0" w:space="0" w:color="auto"/>
      </w:divBdr>
    </w:div>
    <w:div w:id="1104110166">
      <w:bodyDiv w:val="1"/>
      <w:marLeft w:val="0"/>
      <w:marRight w:val="0"/>
      <w:marTop w:val="0"/>
      <w:marBottom w:val="0"/>
      <w:divBdr>
        <w:top w:val="none" w:sz="0" w:space="0" w:color="auto"/>
        <w:left w:val="none" w:sz="0" w:space="0" w:color="auto"/>
        <w:bottom w:val="none" w:sz="0" w:space="0" w:color="auto"/>
        <w:right w:val="none" w:sz="0" w:space="0" w:color="auto"/>
      </w:divBdr>
      <w:divsChild>
        <w:div w:id="848180604">
          <w:marLeft w:val="0"/>
          <w:marRight w:val="0"/>
          <w:marTop w:val="0"/>
          <w:marBottom w:val="0"/>
          <w:divBdr>
            <w:top w:val="none" w:sz="0" w:space="0" w:color="auto"/>
            <w:left w:val="none" w:sz="0" w:space="0" w:color="auto"/>
            <w:bottom w:val="none" w:sz="0" w:space="0" w:color="auto"/>
            <w:right w:val="none" w:sz="0" w:space="0" w:color="auto"/>
          </w:divBdr>
        </w:div>
        <w:div w:id="2061244272">
          <w:marLeft w:val="0"/>
          <w:marRight w:val="0"/>
          <w:marTop w:val="0"/>
          <w:marBottom w:val="0"/>
          <w:divBdr>
            <w:top w:val="none" w:sz="0" w:space="0" w:color="auto"/>
            <w:left w:val="none" w:sz="0" w:space="0" w:color="auto"/>
            <w:bottom w:val="none" w:sz="0" w:space="0" w:color="auto"/>
            <w:right w:val="none" w:sz="0" w:space="0" w:color="auto"/>
          </w:divBdr>
        </w:div>
      </w:divsChild>
    </w:div>
    <w:div w:id="1112632399">
      <w:bodyDiv w:val="1"/>
      <w:marLeft w:val="0"/>
      <w:marRight w:val="0"/>
      <w:marTop w:val="0"/>
      <w:marBottom w:val="0"/>
      <w:divBdr>
        <w:top w:val="none" w:sz="0" w:space="0" w:color="auto"/>
        <w:left w:val="none" w:sz="0" w:space="0" w:color="auto"/>
        <w:bottom w:val="none" w:sz="0" w:space="0" w:color="auto"/>
        <w:right w:val="none" w:sz="0" w:space="0" w:color="auto"/>
      </w:divBdr>
    </w:div>
    <w:div w:id="1131171109">
      <w:bodyDiv w:val="1"/>
      <w:marLeft w:val="0"/>
      <w:marRight w:val="0"/>
      <w:marTop w:val="0"/>
      <w:marBottom w:val="0"/>
      <w:divBdr>
        <w:top w:val="none" w:sz="0" w:space="0" w:color="auto"/>
        <w:left w:val="none" w:sz="0" w:space="0" w:color="auto"/>
        <w:bottom w:val="none" w:sz="0" w:space="0" w:color="auto"/>
        <w:right w:val="none" w:sz="0" w:space="0" w:color="auto"/>
      </w:divBdr>
    </w:div>
    <w:div w:id="1146051923">
      <w:bodyDiv w:val="1"/>
      <w:marLeft w:val="0"/>
      <w:marRight w:val="0"/>
      <w:marTop w:val="0"/>
      <w:marBottom w:val="0"/>
      <w:divBdr>
        <w:top w:val="none" w:sz="0" w:space="0" w:color="auto"/>
        <w:left w:val="none" w:sz="0" w:space="0" w:color="auto"/>
        <w:bottom w:val="none" w:sz="0" w:space="0" w:color="auto"/>
        <w:right w:val="none" w:sz="0" w:space="0" w:color="auto"/>
      </w:divBdr>
    </w:div>
    <w:div w:id="1170828986">
      <w:bodyDiv w:val="1"/>
      <w:marLeft w:val="0"/>
      <w:marRight w:val="0"/>
      <w:marTop w:val="0"/>
      <w:marBottom w:val="0"/>
      <w:divBdr>
        <w:top w:val="none" w:sz="0" w:space="0" w:color="auto"/>
        <w:left w:val="none" w:sz="0" w:space="0" w:color="auto"/>
        <w:bottom w:val="none" w:sz="0" w:space="0" w:color="auto"/>
        <w:right w:val="none" w:sz="0" w:space="0" w:color="auto"/>
      </w:divBdr>
    </w:div>
    <w:div w:id="1198810434">
      <w:bodyDiv w:val="1"/>
      <w:marLeft w:val="0"/>
      <w:marRight w:val="0"/>
      <w:marTop w:val="0"/>
      <w:marBottom w:val="0"/>
      <w:divBdr>
        <w:top w:val="none" w:sz="0" w:space="0" w:color="auto"/>
        <w:left w:val="none" w:sz="0" w:space="0" w:color="auto"/>
        <w:bottom w:val="none" w:sz="0" w:space="0" w:color="auto"/>
        <w:right w:val="none" w:sz="0" w:space="0" w:color="auto"/>
      </w:divBdr>
    </w:div>
    <w:div w:id="1239364077">
      <w:bodyDiv w:val="1"/>
      <w:marLeft w:val="0"/>
      <w:marRight w:val="0"/>
      <w:marTop w:val="0"/>
      <w:marBottom w:val="0"/>
      <w:divBdr>
        <w:top w:val="none" w:sz="0" w:space="0" w:color="auto"/>
        <w:left w:val="none" w:sz="0" w:space="0" w:color="auto"/>
        <w:bottom w:val="none" w:sz="0" w:space="0" w:color="auto"/>
        <w:right w:val="none" w:sz="0" w:space="0" w:color="auto"/>
      </w:divBdr>
    </w:div>
    <w:div w:id="1323582989">
      <w:bodyDiv w:val="1"/>
      <w:marLeft w:val="0"/>
      <w:marRight w:val="0"/>
      <w:marTop w:val="0"/>
      <w:marBottom w:val="0"/>
      <w:divBdr>
        <w:top w:val="none" w:sz="0" w:space="0" w:color="auto"/>
        <w:left w:val="none" w:sz="0" w:space="0" w:color="auto"/>
        <w:bottom w:val="none" w:sz="0" w:space="0" w:color="auto"/>
        <w:right w:val="none" w:sz="0" w:space="0" w:color="auto"/>
      </w:divBdr>
    </w:div>
    <w:div w:id="1332949556">
      <w:bodyDiv w:val="1"/>
      <w:marLeft w:val="0"/>
      <w:marRight w:val="0"/>
      <w:marTop w:val="0"/>
      <w:marBottom w:val="0"/>
      <w:divBdr>
        <w:top w:val="none" w:sz="0" w:space="0" w:color="auto"/>
        <w:left w:val="none" w:sz="0" w:space="0" w:color="auto"/>
        <w:bottom w:val="none" w:sz="0" w:space="0" w:color="auto"/>
        <w:right w:val="none" w:sz="0" w:space="0" w:color="auto"/>
      </w:divBdr>
      <w:divsChild>
        <w:div w:id="688870491">
          <w:marLeft w:val="0"/>
          <w:marRight w:val="0"/>
          <w:marTop w:val="0"/>
          <w:marBottom w:val="0"/>
          <w:divBdr>
            <w:top w:val="none" w:sz="0" w:space="0" w:color="auto"/>
            <w:left w:val="none" w:sz="0" w:space="0" w:color="auto"/>
            <w:bottom w:val="none" w:sz="0" w:space="0" w:color="auto"/>
            <w:right w:val="none" w:sz="0" w:space="0" w:color="auto"/>
          </w:divBdr>
        </w:div>
        <w:div w:id="1105928350">
          <w:marLeft w:val="0"/>
          <w:marRight w:val="0"/>
          <w:marTop w:val="0"/>
          <w:marBottom w:val="0"/>
          <w:divBdr>
            <w:top w:val="none" w:sz="0" w:space="0" w:color="auto"/>
            <w:left w:val="none" w:sz="0" w:space="0" w:color="auto"/>
            <w:bottom w:val="none" w:sz="0" w:space="0" w:color="auto"/>
            <w:right w:val="none" w:sz="0" w:space="0" w:color="auto"/>
          </w:divBdr>
        </w:div>
      </w:divsChild>
    </w:div>
    <w:div w:id="1335568147">
      <w:bodyDiv w:val="1"/>
      <w:marLeft w:val="0"/>
      <w:marRight w:val="0"/>
      <w:marTop w:val="0"/>
      <w:marBottom w:val="0"/>
      <w:divBdr>
        <w:top w:val="none" w:sz="0" w:space="0" w:color="auto"/>
        <w:left w:val="none" w:sz="0" w:space="0" w:color="auto"/>
        <w:bottom w:val="none" w:sz="0" w:space="0" w:color="auto"/>
        <w:right w:val="none" w:sz="0" w:space="0" w:color="auto"/>
      </w:divBdr>
    </w:div>
    <w:div w:id="1387795640">
      <w:bodyDiv w:val="1"/>
      <w:marLeft w:val="0"/>
      <w:marRight w:val="0"/>
      <w:marTop w:val="0"/>
      <w:marBottom w:val="0"/>
      <w:divBdr>
        <w:top w:val="none" w:sz="0" w:space="0" w:color="auto"/>
        <w:left w:val="none" w:sz="0" w:space="0" w:color="auto"/>
        <w:bottom w:val="none" w:sz="0" w:space="0" w:color="auto"/>
        <w:right w:val="none" w:sz="0" w:space="0" w:color="auto"/>
      </w:divBdr>
    </w:div>
    <w:div w:id="1435978386">
      <w:bodyDiv w:val="1"/>
      <w:marLeft w:val="0"/>
      <w:marRight w:val="0"/>
      <w:marTop w:val="0"/>
      <w:marBottom w:val="0"/>
      <w:divBdr>
        <w:top w:val="none" w:sz="0" w:space="0" w:color="auto"/>
        <w:left w:val="none" w:sz="0" w:space="0" w:color="auto"/>
        <w:bottom w:val="none" w:sz="0" w:space="0" w:color="auto"/>
        <w:right w:val="none" w:sz="0" w:space="0" w:color="auto"/>
      </w:divBdr>
    </w:div>
    <w:div w:id="1452892888">
      <w:bodyDiv w:val="1"/>
      <w:marLeft w:val="0"/>
      <w:marRight w:val="0"/>
      <w:marTop w:val="0"/>
      <w:marBottom w:val="0"/>
      <w:divBdr>
        <w:top w:val="none" w:sz="0" w:space="0" w:color="auto"/>
        <w:left w:val="none" w:sz="0" w:space="0" w:color="auto"/>
        <w:bottom w:val="none" w:sz="0" w:space="0" w:color="auto"/>
        <w:right w:val="none" w:sz="0" w:space="0" w:color="auto"/>
      </w:divBdr>
    </w:div>
    <w:div w:id="1514761199">
      <w:bodyDiv w:val="1"/>
      <w:marLeft w:val="0"/>
      <w:marRight w:val="0"/>
      <w:marTop w:val="0"/>
      <w:marBottom w:val="0"/>
      <w:divBdr>
        <w:top w:val="none" w:sz="0" w:space="0" w:color="auto"/>
        <w:left w:val="none" w:sz="0" w:space="0" w:color="auto"/>
        <w:bottom w:val="none" w:sz="0" w:space="0" w:color="auto"/>
        <w:right w:val="none" w:sz="0" w:space="0" w:color="auto"/>
      </w:divBdr>
    </w:div>
    <w:div w:id="1532569959">
      <w:bodyDiv w:val="1"/>
      <w:marLeft w:val="0"/>
      <w:marRight w:val="0"/>
      <w:marTop w:val="0"/>
      <w:marBottom w:val="0"/>
      <w:divBdr>
        <w:top w:val="none" w:sz="0" w:space="0" w:color="auto"/>
        <w:left w:val="none" w:sz="0" w:space="0" w:color="auto"/>
        <w:bottom w:val="none" w:sz="0" w:space="0" w:color="auto"/>
        <w:right w:val="none" w:sz="0" w:space="0" w:color="auto"/>
      </w:divBdr>
      <w:divsChild>
        <w:div w:id="1234009174">
          <w:marLeft w:val="403"/>
          <w:marRight w:val="0"/>
          <w:marTop w:val="200"/>
          <w:marBottom w:val="0"/>
          <w:divBdr>
            <w:top w:val="none" w:sz="0" w:space="0" w:color="auto"/>
            <w:left w:val="none" w:sz="0" w:space="0" w:color="auto"/>
            <w:bottom w:val="none" w:sz="0" w:space="0" w:color="auto"/>
            <w:right w:val="none" w:sz="0" w:space="0" w:color="auto"/>
          </w:divBdr>
        </w:div>
        <w:div w:id="483278926">
          <w:marLeft w:val="403"/>
          <w:marRight w:val="0"/>
          <w:marTop w:val="200"/>
          <w:marBottom w:val="0"/>
          <w:divBdr>
            <w:top w:val="none" w:sz="0" w:space="0" w:color="auto"/>
            <w:left w:val="none" w:sz="0" w:space="0" w:color="auto"/>
            <w:bottom w:val="none" w:sz="0" w:space="0" w:color="auto"/>
            <w:right w:val="none" w:sz="0" w:space="0" w:color="auto"/>
          </w:divBdr>
        </w:div>
        <w:div w:id="1203177272">
          <w:marLeft w:val="403"/>
          <w:marRight w:val="0"/>
          <w:marTop w:val="200"/>
          <w:marBottom w:val="0"/>
          <w:divBdr>
            <w:top w:val="none" w:sz="0" w:space="0" w:color="auto"/>
            <w:left w:val="none" w:sz="0" w:space="0" w:color="auto"/>
            <w:bottom w:val="none" w:sz="0" w:space="0" w:color="auto"/>
            <w:right w:val="none" w:sz="0" w:space="0" w:color="auto"/>
          </w:divBdr>
        </w:div>
        <w:div w:id="1952934665">
          <w:marLeft w:val="403"/>
          <w:marRight w:val="0"/>
          <w:marTop w:val="200"/>
          <w:marBottom w:val="0"/>
          <w:divBdr>
            <w:top w:val="none" w:sz="0" w:space="0" w:color="auto"/>
            <w:left w:val="none" w:sz="0" w:space="0" w:color="auto"/>
            <w:bottom w:val="none" w:sz="0" w:space="0" w:color="auto"/>
            <w:right w:val="none" w:sz="0" w:space="0" w:color="auto"/>
          </w:divBdr>
        </w:div>
      </w:divsChild>
    </w:div>
    <w:div w:id="1535846381">
      <w:bodyDiv w:val="1"/>
      <w:marLeft w:val="0"/>
      <w:marRight w:val="0"/>
      <w:marTop w:val="0"/>
      <w:marBottom w:val="0"/>
      <w:divBdr>
        <w:top w:val="none" w:sz="0" w:space="0" w:color="auto"/>
        <w:left w:val="none" w:sz="0" w:space="0" w:color="auto"/>
        <w:bottom w:val="none" w:sz="0" w:space="0" w:color="auto"/>
        <w:right w:val="none" w:sz="0" w:space="0" w:color="auto"/>
      </w:divBdr>
    </w:div>
    <w:div w:id="1564481900">
      <w:bodyDiv w:val="1"/>
      <w:marLeft w:val="0"/>
      <w:marRight w:val="0"/>
      <w:marTop w:val="0"/>
      <w:marBottom w:val="0"/>
      <w:divBdr>
        <w:top w:val="none" w:sz="0" w:space="0" w:color="auto"/>
        <w:left w:val="none" w:sz="0" w:space="0" w:color="auto"/>
        <w:bottom w:val="none" w:sz="0" w:space="0" w:color="auto"/>
        <w:right w:val="none" w:sz="0" w:space="0" w:color="auto"/>
      </w:divBdr>
    </w:div>
    <w:div w:id="1575429398">
      <w:bodyDiv w:val="1"/>
      <w:marLeft w:val="0"/>
      <w:marRight w:val="0"/>
      <w:marTop w:val="0"/>
      <w:marBottom w:val="0"/>
      <w:divBdr>
        <w:top w:val="none" w:sz="0" w:space="0" w:color="auto"/>
        <w:left w:val="none" w:sz="0" w:space="0" w:color="auto"/>
        <w:bottom w:val="none" w:sz="0" w:space="0" w:color="auto"/>
        <w:right w:val="none" w:sz="0" w:space="0" w:color="auto"/>
      </w:divBdr>
    </w:div>
    <w:div w:id="1645044842">
      <w:bodyDiv w:val="1"/>
      <w:marLeft w:val="0"/>
      <w:marRight w:val="0"/>
      <w:marTop w:val="0"/>
      <w:marBottom w:val="0"/>
      <w:divBdr>
        <w:top w:val="none" w:sz="0" w:space="0" w:color="auto"/>
        <w:left w:val="none" w:sz="0" w:space="0" w:color="auto"/>
        <w:bottom w:val="none" w:sz="0" w:space="0" w:color="auto"/>
        <w:right w:val="none" w:sz="0" w:space="0" w:color="auto"/>
      </w:divBdr>
    </w:div>
    <w:div w:id="1656450785">
      <w:bodyDiv w:val="1"/>
      <w:marLeft w:val="0"/>
      <w:marRight w:val="0"/>
      <w:marTop w:val="0"/>
      <w:marBottom w:val="0"/>
      <w:divBdr>
        <w:top w:val="none" w:sz="0" w:space="0" w:color="auto"/>
        <w:left w:val="none" w:sz="0" w:space="0" w:color="auto"/>
        <w:bottom w:val="none" w:sz="0" w:space="0" w:color="auto"/>
        <w:right w:val="none" w:sz="0" w:space="0" w:color="auto"/>
      </w:divBdr>
    </w:div>
    <w:div w:id="1700351874">
      <w:bodyDiv w:val="1"/>
      <w:marLeft w:val="0"/>
      <w:marRight w:val="0"/>
      <w:marTop w:val="0"/>
      <w:marBottom w:val="0"/>
      <w:divBdr>
        <w:top w:val="none" w:sz="0" w:space="0" w:color="auto"/>
        <w:left w:val="none" w:sz="0" w:space="0" w:color="auto"/>
        <w:bottom w:val="none" w:sz="0" w:space="0" w:color="auto"/>
        <w:right w:val="none" w:sz="0" w:space="0" w:color="auto"/>
      </w:divBdr>
    </w:div>
    <w:div w:id="1711569316">
      <w:bodyDiv w:val="1"/>
      <w:marLeft w:val="0"/>
      <w:marRight w:val="0"/>
      <w:marTop w:val="0"/>
      <w:marBottom w:val="0"/>
      <w:divBdr>
        <w:top w:val="none" w:sz="0" w:space="0" w:color="auto"/>
        <w:left w:val="none" w:sz="0" w:space="0" w:color="auto"/>
        <w:bottom w:val="none" w:sz="0" w:space="0" w:color="auto"/>
        <w:right w:val="none" w:sz="0" w:space="0" w:color="auto"/>
      </w:divBdr>
    </w:div>
    <w:div w:id="1734235335">
      <w:bodyDiv w:val="1"/>
      <w:marLeft w:val="0"/>
      <w:marRight w:val="0"/>
      <w:marTop w:val="0"/>
      <w:marBottom w:val="0"/>
      <w:divBdr>
        <w:top w:val="none" w:sz="0" w:space="0" w:color="auto"/>
        <w:left w:val="none" w:sz="0" w:space="0" w:color="auto"/>
        <w:bottom w:val="none" w:sz="0" w:space="0" w:color="auto"/>
        <w:right w:val="none" w:sz="0" w:space="0" w:color="auto"/>
      </w:divBdr>
    </w:div>
    <w:div w:id="1744258879">
      <w:bodyDiv w:val="1"/>
      <w:marLeft w:val="0"/>
      <w:marRight w:val="0"/>
      <w:marTop w:val="0"/>
      <w:marBottom w:val="0"/>
      <w:divBdr>
        <w:top w:val="none" w:sz="0" w:space="0" w:color="auto"/>
        <w:left w:val="none" w:sz="0" w:space="0" w:color="auto"/>
        <w:bottom w:val="none" w:sz="0" w:space="0" w:color="auto"/>
        <w:right w:val="none" w:sz="0" w:space="0" w:color="auto"/>
      </w:divBdr>
    </w:div>
    <w:div w:id="1851722240">
      <w:bodyDiv w:val="1"/>
      <w:marLeft w:val="0"/>
      <w:marRight w:val="0"/>
      <w:marTop w:val="0"/>
      <w:marBottom w:val="0"/>
      <w:divBdr>
        <w:top w:val="none" w:sz="0" w:space="0" w:color="auto"/>
        <w:left w:val="none" w:sz="0" w:space="0" w:color="auto"/>
        <w:bottom w:val="none" w:sz="0" w:space="0" w:color="auto"/>
        <w:right w:val="none" w:sz="0" w:space="0" w:color="auto"/>
      </w:divBdr>
    </w:div>
    <w:div w:id="1865249254">
      <w:bodyDiv w:val="1"/>
      <w:marLeft w:val="0"/>
      <w:marRight w:val="0"/>
      <w:marTop w:val="0"/>
      <w:marBottom w:val="0"/>
      <w:divBdr>
        <w:top w:val="none" w:sz="0" w:space="0" w:color="auto"/>
        <w:left w:val="none" w:sz="0" w:space="0" w:color="auto"/>
        <w:bottom w:val="none" w:sz="0" w:space="0" w:color="auto"/>
        <w:right w:val="none" w:sz="0" w:space="0" w:color="auto"/>
      </w:divBdr>
      <w:divsChild>
        <w:div w:id="122309561">
          <w:marLeft w:val="360"/>
          <w:marRight w:val="0"/>
          <w:marTop w:val="200"/>
          <w:marBottom w:val="0"/>
          <w:divBdr>
            <w:top w:val="none" w:sz="0" w:space="0" w:color="auto"/>
            <w:left w:val="none" w:sz="0" w:space="0" w:color="auto"/>
            <w:bottom w:val="none" w:sz="0" w:space="0" w:color="auto"/>
            <w:right w:val="none" w:sz="0" w:space="0" w:color="auto"/>
          </w:divBdr>
        </w:div>
        <w:div w:id="251397338">
          <w:marLeft w:val="360"/>
          <w:marRight w:val="0"/>
          <w:marTop w:val="200"/>
          <w:marBottom w:val="0"/>
          <w:divBdr>
            <w:top w:val="none" w:sz="0" w:space="0" w:color="auto"/>
            <w:left w:val="none" w:sz="0" w:space="0" w:color="auto"/>
            <w:bottom w:val="none" w:sz="0" w:space="0" w:color="auto"/>
            <w:right w:val="none" w:sz="0" w:space="0" w:color="auto"/>
          </w:divBdr>
        </w:div>
        <w:div w:id="2046059184">
          <w:marLeft w:val="360"/>
          <w:marRight w:val="0"/>
          <w:marTop w:val="200"/>
          <w:marBottom w:val="0"/>
          <w:divBdr>
            <w:top w:val="none" w:sz="0" w:space="0" w:color="auto"/>
            <w:left w:val="none" w:sz="0" w:space="0" w:color="auto"/>
            <w:bottom w:val="none" w:sz="0" w:space="0" w:color="auto"/>
            <w:right w:val="none" w:sz="0" w:space="0" w:color="auto"/>
          </w:divBdr>
        </w:div>
        <w:div w:id="1403328315">
          <w:marLeft w:val="360"/>
          <w:marRight w:val="0"/>
          <w:marTop w:val="200"/>
          <w:marBottom w:val="0"/>
          <w:divBdr>
            <w:top w:val="none" w:sz="0" w:space="0" w:color="auto"/>
            <w:left w:val="none" w:sz="0" w:space="0" w:color="auto"/>
            <w:bottom w:val="none" w:sz="0" w:space="0" w:color="auto"/>
            <w:right w:val="none" w:sz="0" w:space="0" w:color="auto"/>
          </w:divBdr>
        </w:div>
        <w:div w:id="516508996">
          <w:marLeft w:val="360"/>
          <w:marRight w:val="0"/>
          <w:marTop w:val="200"/>
          <w:marBottom w:val="0"/>
          <w:divBdr>
            <w:top w:val="none" w:sz="0" w:space="0" w:color="auto"/>
            <w:left w:val="none" w:sz="0" w:space="0" w:color="auto"/>
            <w:bottom w:val="none" w:sz="0" w:space="0" w:color="auto"/>
            <w:right w:val="none" w:sz="0" w:space="0" w:color="auto"/>
          </w:divBdr>
        </w:div>
        <w:div w:id="1610357578">
          <w:marLeft w:val="360"/>
          <w:marRight w:val="0"/>
          <w:marTop w:val="200"/>
          <w:marBottom w:val="0"/>
          <w:divBdr>
            <w:top w:val="none" w:sz="0" w:space="0" w:color="auto"/>
            <w:left w:val="none" w:sz="0" w:space="0" w:color="auto"/>
            <w:bottom w:val="none" w:sz="0" w:space="0" w:color="auto"/>
            <w:right w:val="none" w:sz="0" w:space="0" w:color="auto"/>
          </w:divBdr>
        </w:div>
      </w:divsChild>
    </w:div>
    <w:div w:id="1897470315">
      <w:bodyDiv w:val="1"/>
      <w:marLeft w:val="0"/>
      <w:marRight w:val="0"/>
      <w:marTop w:val="0"/>
      <w:marBottom w:val="0"/>
      <w:divBdr>
        <w:top w:val="none" w:sz="0" w:space="0" w:color="auto"/>
        <w:left w:val="none" w:sz="0" w:space="0" w:color="auto"/>
        <w:bottom w:val="none" w:sz="0" w:space="0" w:color="auto"/>
        <w:right w:val="none" w:sz="0" w:space="0" w:color="auto"/>
      </w:divBdr>
    </w:div>
    <w:div w:id="1920557282">
      <w:bodyDiv w:val="1"/>
      <w:marLeft w:val="0"/>
      <w:marRight w:val="0"/>
      <w:marTop w:val="0"/>
      <w:marBottom w:val="0"/>
      <w:divBdr>
        <w:top w:val="none" w:sz="0" w:space="0" w:color="auto"/>
        <w:left w:val="none" w:sz="0" w:space="0" w:color="auto"/>
        <w:bottom w:val="none" w:sz="0" w:space="0" w:color="auto"/>
        <w:right w:val="none" w:sz="0" w:space="0" w:color="auto"/>
      </w:divBdr>
    </w:div>
    <w:div w:id="1923757483">
      <w:bodyDiv w:val="1"/>
      <w:marLeft w:val="0"/>
      <w:marRight w:val="0"/>
      <w:marTop w:val="0"/>
      <w:marBottom w:val="0"/>
      <w:divBdr>
        <w:top w:val="none" w:sz="0" w:space="0" w:color="auto"/>
        <w:left w:val="none" w:sz="0" w:space="0" w:color="auto"/>
        <w:bottom w:val="none" w:sz="0" w:space="0" w:color="auto"/>
        <w:right w:val="none" w:sz="0" w:space="0" w:color="auto"/>
      </w:divBdr>
    </w:div>
    <w:div w:id="1988241915">
      <w:bodyDiv w:val="1"/>
      <w:marLeft w:val="0"/>
      <w:marRight w:val="0"/>
      <w:marTop w:val="0"/>
      <w:marBottom w:val="0"/>
      <w:divBdr>
        <w:top w:val="none" w:sz="0" w:space="0" w:color="auto"/>
        <w:left w:val="none" w:sz="0" w:space="0" w:color="auto"/>
        <w:bottom w:val="none" w:sz="0" w:space="0" w:color="auto"/>
        <w:right w:val="none" w:sz="0" w:space="0" w:color="auto"/>
      </w:divBdr>
    </w:div>
    <w:div w:id="2036419256">
      <w:bodyDiv w:val="1"/>
      <w:marLeft w:val="0"/>
      <w:marRight w:val="0"/>
      <w:marTop w:val="0"/>
      <w:marBottom w:val="0"/>
      <w:divBdr>
        <w:top w:val="none" w:sz="0" w:space="0" w:color="auto"/>
        <w:left w:val="none" w:sz="0" w:space="0" w:color="auto"/>
        <w:bottom w:val="none" w:sz="0" w:space="0" w:color="auto"/>
        <w:right w:val="none" w:sz="0" w:space="0" w:color="auto"/>
      </w:divBdr>
      <w:divsChild>
        <w:div w:id="1686788240">
          <w:marLeft w:val="0"/>
          <w:marRight w:val="0"/>
          <w:marTop w:val="0"/>
          <w:marBottom w:val="0"/>
          <w:divBdr>
            <w:top w:val="none" w:sz="0" w:space="0" w:color="auto"/>
            <w:left w:val="none" w:sz="0" w:space="0" w:color="auto"/>
            <w:bottom w:val="none" w:sz="0" w:space="0" w:color="auto"/>
            <w:right w:val="none" w:sz="0" w:space="0" w:color="auto"/>
          </w:divBdr>
        </w:div>
        <w:div w:id="635645988">
          <w:marLeft w:val="0"/>
          <w:marRight w:val="0"/>
          <w:marTop w:val="0"/>
          <w:marBottom w:val="0"/>
          <w:divBdr>
            <w:top w:val="none" w:sz="0" w:space="0" w:color="auto"/>
            <w:left w:val="none" w:sz="0" w:space="0" w:color="auto"/>
            <w:bottom w:val="none" w:sz="0" w:space="0" w:color="auto"/>
            <w:right w:val="none" w:sz="0" w:space="0" w:color="auto"/>
          </w:divBdr>
        </w:div>
      </w:divsChild>
    </w:div>
    <w:div w:id="2049136900">
      <w:bodyDiv w:val="1"/>
      <w:marLeft w:val="0"/>
      <w:marRight w:val="0"/>
      <w:marTop w:val="0"/>
      <w:marBottom w:val="0"/>
      <w:divBdr>
        <w:top w:val="none" w:sz="0" w:space="0" w:color="auto"/>
        <w:left w:val="none" w:sz="0" w:space="0" w:color="auto"/>
        <w:bottom w:val="none" w:sz="0" w:space="0" w:color="auto"/>
        <w:right w:val="none" w:sz="0" w:space="0" w:color="auto"/>
      </w:divBdr>
    </w:div>
    <w:div w:id="2101681398">
      <w:bodyDiv w:val="1"/>
      <w:marLeft w:val="0"/>
      <w:marRight w:val="0"/>
      <w:marTop w:val="0"/>
      <w:marBottom w:val="0"/>
      <w:divBdr>
        <w:top w:val="none" w:sz="0" w:space="0" w:color="auto"/>
        <w:left w:val="none" w:sz="0" w:space="0" w:color="auto"/>
        <w:bottom w:val="none" w:sz="0" w:space="0" w:color="auto"/>
        <w:right w:val="none" w:sz="0" w:space="0" w:color="auto"/>
      </w:divBdr>
    </w:div>
    <w:div w:id="211590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sta.org.uk/blog/a-third-of-adults-in-wales-live-with-obesity-according-to-new-analysis/" TargetMode="External"/><Relationship Id="rId13" Type="http://schemas.openxmlformats.org/officeDocument/2006/relationships/hyperlink" Target="https://research.senedd.wales/research-articles/the-rise-in-obesity-some-food-for-thought/" TargetMode="External"/><Relationship Id="rId18" Type="http://schemas.openxmlformats.org/officeDocument/2006/relationships/hyperlink" Target="https://www.gov.wales/healthy-weight-healthy-wales-strategy-evaluability-assessment"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wlga.wales/healthy-eating-in-schools" TargetMode="External"/><Relationship Id="rId7" Type="http://schemas.openxmlformats.org/officeDocument/2006/relationships/hyperlink" Target="https://families.barnardos.org.uk/pre-school/healthy-lifestyles" TargetMode="External"/><Relationship Id="rId12" Type="http://schemas.openxmlformats.org/officeDocument/2006/relationships/hyperlink" Target="https://www.nhs.uk/change4life" TargetMode="External"/><Relationship Id="rId17" Type="http://schemas.openxmlformats.org/officeDocument/2006/relationships/hyperlink" Target="https://www.gov.wales/13m-boost-new-plan-reduce-and-prevent-obesity-wale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wales/food-promotion-and-placement-wales-regulations-2024" TargetMode="External"/><Relationship Id="rId20" Type="http://schemas.openxmlformats.org/officeDocument/2006/relationships/hyperlink" Target="https://www.who.int/about/governance/constitutio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hw.nhs.wales/news/public-health-wales-launches-dedicated-workstream-to-maximise-impact-of-school-food-on-child-health/opportunities-for-improving-childrens-health-in-wales-the-potential-of-school-food/" TargetMode="External"/><Relationship Id="rId24" Type="http://schemas.openxmlformats.org/officeDocument/2006/relationships/hyperlink" Target="https://stateofchildhealth.rcpch.ac.uk/evidence/prevention-of-ill-health/healthy-weight/#:~:text=Obesity%20increases%20the%20risk%20of,pressure%3B%20diabetes%20and%20some%20cancers.&amp;text=Obese%20children%20are%20much%20more,lead%20to%20significant%20health%20risks" TargetMode="External"/><Relationship Id="rId5" Type="http://schemas.openxmlformats.org/officeDocument/2006/relationships/footnotes" Target="footnotes.xml"/><Relationship Id="rId15" Type="http://schemas.openxmlformats.org/officeDocument/2006/relationships/hyperlink" Target="https://www.gov.wales/healthy-weight-healthy-wales" TargetMode="External"/><Relationship Id="rId23" Type="http://schemas.openxmlformats.org/officeDocument/2006/relationships/hyperlink" Target="https://cavuhb.nhs.wales/news/latest-news/new-weight-management-and-early-years-prevention-services-launched-to-support-children-and-young-peoples-health/" TargetMode="External"/><Relationship Id="rId28" Type="http://schemas.openxmlformats.org/officeDocument/2006/relationships/fontTable" Target="fontTable.xml"/><Relationship Id="rId10" Type="http://schemas.openxmlformats.org/officeDocument/2006/relationships/hyperlink" Target="https://phw.nhs.wales/services-and-teams/child-measurement-programme/" TargetMode="External"/><Relationship Id="rId19" Type="http://schemas.openxmlformats.org/officeDocument/2006/relationships/hyperlink" Target="https://www.who.int/publications/i/item/9789240074460" TargetMode="External"/><Relationship Id="rId4" Type="http://schemas.openxmlformats.org/officeDocument/2006/relationships/webSettings" Target="webSettings.xml"/><Relationship Id="rId9" Type="http://schemas.openxmlformats.org/officeDocument/2006/relationships/hyperlink" Target="https://business.senedd.wales/documents/s152441/OB13%20-%20Childrens%20Commissioner%20for%20Wales.pdf" TargetMode="External"/><Relationship Id="rId14" Type="http://schemas.openxmlformats.org/officeDocument/2006/relationships/hyperlink" Target="https://www.thelancet.com/journals/landia/article/PIIS2213-8587(21)00314-4/fulltext" TargetMode="External"/><Relationship Id="rId22" Type="http://schemas.openxmlformats.org/officeDocument/2006/relationships/hyperlink" Target="https://www.wlga.wales/food-and-fun-school-holiday-enrichment-programme"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1</Pages>
  <Words>3137</Words>
  <Characters>17884</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 Subhan</dc:creator>
  <cp:keywords/>
  <dc:description/>
  <cp:lastModifiedBy>Nurul Subhan (2307239)</cp:lastModifiedBy>
  <cp:revision>5</cp:revision>
  <dcterms:created xsi:type="dcterms:W3CDTF">2024-08-14T08:06:00Z</dcterms:created>
  <dcterms:modified xsi:type="dcterms:W3CDTF">2024-08-16T12:35:00Z</dcterms:modified>
</cp:coreProperties>
</file>