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F812A" w14:textId="77777777" w:rsidR="00B24877" w:rsidRDefault="00B24877" w:rsidP="00B24877">
      <w:pPr>
        <w:jc w:val="center"/>
        <w:rPr>
          <w:rFonts w:ascii="Arial" w:hAnsi="Arial" w:cs="Arial"/>
          <w:sz w:val="44"/>
          <w:szCs w:val="44"/>
        </w:rPr>
      </w:pPr>
    </w:p>
    <w:p w14:paraId="67BF13C4" w14:textId="77777777" w:rsidR="00BB7A85" w:rsidRDefault="00BB7A85" w:rsidP="003C05F6">
      <w:pPr>
        <w:spacing w:line="360" w:lineRule="auto"/>
        <w:jc w:val="center"/>
        <w:rPr>
          <w:rFonts w:ascii="Arial" w:hAnsi="Arial" w:cs="Arial"/>
          <w:sz w:val="44"/>
          <w:szCs w:val="44"/>
        </w:rPr>
      </w:pPr>
    </w:p>
    <w:p w14:paraId="7277A5B0" w14:textId="77777777" w:rsidR="00BB7A85" w:rsidRDefault="00BB7A85" w:rsidP="003C05F6">
      <w:pPr>
        <w:spacing w:line="360" w:lineRule="auto"/>
        <w:jc w:val="center"/>
        <w:rPr>
          <w:rFonts w:ascii="Arial" w:hAnsi="Arial" w:cs="Arial"/>
          <w:sz w:val="44"/>
          <w:szCs w:val="44"/>
        </w:rPr>
      </w:pPr>
    </w:p>
    <w:p w14:paraId="0787D98A" w14:textId="77777777" w:rsidR="00973BE9" w:rsidRDefault="00973BE9" w:rsidP="003C05F6">
      <w:pPr>
        <w:spacing w:line="360" w:lineRule="auto"/>
        <w:jc w:val="center"/>
        <w:rPr>
          <w:rFonts w:ascii="Arial" w:hAnsi="Arial" w:cs="Arial"/>
          <w:sz w:val="44"/>
          <w:szCs w:val="44"/>
        </w:rPr>
      </w:pPr>
    </w:p>
    <w:p w14:paraId="1477DAED" w14:textId="6CD7DD0D" w:rsidR="003C05F6" w:rsidRDefault="006C6A94" w:rsidP="003C05F6">
      <w:pPr>
        <w:spacing w:line="360" w:lineRule="auto"/>
        <w:jc w:val="center"/>
        <w:rPr>
          <w:rFonts w:ascii="Arial" w:hAnsi="Arial" w:cs="Arial"/>
          <w:sz w:val="44"/>
          <w:szCs w:val="44"/>
        </w:rPr>
      </w:pPr>
      <w:r w:rsidRPr="006C6A94">
        <w:rPr>
          <w:rFonts w:ascii="Arial" w:hAnsi="Arial" w:cs="Arial"/>
          <w:sz w:val="44"/>
          <w:szCs w:val="44"/>
        </w:rPr>
        <w:t>Name: Anisah Bi</w:t>
      </w:r>
      <w:r>
        <w:rPr>
          <w:rFonts w:ascii="Arial" w:hAnsi="Arial" w:cs="Arial"/>
          <w:sz w:val="44"/>
          <w:szCs w:val="44"/>
        </w:rPr>
        <w:br/>
      </w:r>
      <w:r w:rsidRPr="006C6A94">
        <w:rPr>
          <w:rFonts w:ascii="Arial" w:hAnsi="Arial" w:cs="Arial"/>
          <w:sz w:val="44"/>
          <w:szCs w:val="44"/>
        </w:rPr>
        <w:t>Student Number: 2432005</w:t>
      </w:r>
      <w:r>
        <w:rPr>
          <w:rFonts w:ascii="Arial" w:hAnsi="Arial" w:cs="Arial"/>
          <w:sz w:val="44"/>
          <w:szCs w:val="44"/>
        </w:rPr>
        <w:br/>
      </w:r>
      <w:r w:rsidRPr="006C6A94">
        <w:rPr>
          <w:rFonts w:ascii="Arial" w:hAnsi="Arial" w:cs="Arial"/>
          <w:sz w:val="44"/>
          <w:szCs w:val="44"/>
        </w:rPr>
        <w:t>Module Code: LCHS4003</w:t>
      </w:r>
      <w:r>
        <w:rPr>
          <w:rFonts w:ascii="Arial" w:hAnsi="Arial" w:cs="Arial"/>
          <w:sz w:val="44"/>
          <w:szCs w:val="44"/>
        </w:rPr>
        <w:br/>
      </w:r>
      <w:r w:rsidR="00B24877">
        <w:rPr>
          <w:rFonts w:ascii="Arial" w:hAnsi="Arial" w:cs="Arial"/>
          <w:sz w:val="44"/>
          <w:szCs w:val="44"/>
        </w:rPr>
        <w:t xml:space="preserve">Module </w:t>
      </w:r>
      <w:r w:rsidRPr="006C6A94">
        <w:rPr>
          <w:rFonts w:ascii="Arial" w:hAnsi="Arial" w:cs="Arial"/>
          <w:sz w:val="44"/>
          <w:szCs w:val="44"/>
        </w:rPr>
        <w:t>Title: Introduction to Health and Social Care</w:t>
      </w:r>
      <w:r>
        <w:rPr>
          <w:rFonts w:ascii="Arial" w:hAnsi="Arial" w:cs="Arial"/>
          <w:sz w:val="44"/>
          <w:szCs w:val="44"/>
        </w:rPr>
        <w:br/>
      </w:r>
      <w:r w:rsidRPr="006C6A94">
        <w:rPr>
          <w:rFonts w:ascii="Arial" w:hAnsi="Arial" w:cs="Arial"/>
          <w:sz w:val="44"/>
          <w:szCs w:val="44"/>
        </w:rPr>
        <w:t xml:space="preserve">Lecturer: Azida Zainol </w:t>
      </w:r>
      <w:r>
        <w:rPr>
          <w:rFonts w:ascii="Arial" w:hAnsi="Arial" w:cs="Arial"/>
          <w:sz w:val="44"/>
          <w:szCs w:val="44"/>
        </w:rPr>
        <w:br/>
      </w:r>
      <w:r w:rsidRPr="006C6A94">
        <w:rPr>
          <w:rFonts w:ascii="Arial" w:hAnsi="Arial" w:cs="Arial"/>
          <w:sz w:val="44"/>
          <w:szCs w:val="44"/>
        </w:rPr>
        <w:t>Assignment Title: Component 2</w:t>
      </w:r>
    </w:p>
    <w:p w14:paraId="038C6241" w14:textId="28C7CFB3" w:rsidR="006C6A94" w:rsidRDefault="006C6A94" w:rsidP="003C05F6">
      <w:pPr>
        <w:spacing w:line="360" w:lineRule="auto"/>
        <w:jc w:val="center"/>
        <w:rPr>
          <w:rFonts w:ascii="Arial" w:hAnsi="Arial" w:cs="Arial"/>
          <w:sz w:val="44"/>
          <w:szCs w:val="44"/>
        </w:rPr>
      </w:pPr>
      <w:r w:rsidRPr="006C6A94">
        <w:rPr>
          <w:rFonts w:ascii="Arial" w:hAnsi="Arial" w:cs="Arial"/>
          <w:sz w:val="44"/>
          <w:szCs w:val="44"/>
        </w:rPr>
        <w:t>Written Assignment</w:t>
      </w:r>
      <w:r w:rsidR="008B3439">
        <w:rPr>
          <w:rFonts w:ascii="Arial" w:hAnsi="Arial" w:cs="Arial"/>
          <w:sz w:val="44"/>
          <w:szCs w:val="44"/>
        </w:rPr>
        <w:t xml:space="preserve"> – Case Study: Mrs Mann</w:t>
      </w:r>
      <w:r w:rsidR="00B60634">
        <w:rPr>
          <w:rFonts w:ascii="Arial" w:hAnsi="Arial" w:cs="Arial"/>
          <w:sz w:val="44"/>
          <w:szCs w:val="44"/>
        </w:rPr>
        <w:t>.</w:t>
      </w:r>
    </w:p>
    <w:p w14:paraId="02CE198B" w14:textId="7B85DE36" w:rsidR="006A0280" w:rsidRDefault="006A0280" w:rsidP="003C05F6">
      <w:pPr>
        <w:spacing w:line="360" w:lineRule="auto"/>
        <w:jc w:val="center"/>
        <w:rPr>
          <w:rFonts w:ascii="Arial" w:hAnsi="Arial" w:cs="Arial"/>
          <w:sz w:val="44"/>
          <w:szCs w:val="44"/>
        </w:rPr>
      </w:pPr>
      <w:r>
        <w:rPr>
          <w:rFonts w:ascii="Arial" w:hAnsi="Arial" w:cs="Arial"/>
          <w:sz w:val="44"/>
          <w:szCs w:val="44"/>
        </w:rPr>
        <w:t xml:space="preserve">Date of Submission: </w:t>
      </w:r>
      <w:r w:rsidR="00544AC1">
        <w:rPr>
          <w:rFonts w:ascii="Arial" w:hAnsi="Arial" w:cs="Arial"/>
          <w:sz w:val="44"/>
          <w:szCs w:val="44"/>
        </w:rPr>
        <w:t>21</w:t>
      </w:r>
      <w:r w:rsidR="00544AC1" w:rsidRPr="00544AC1">
        <w:rPr>
          <w:rFonts w:ascii="Arial" w:hAnsi="Arial" w:cs="Arial"/>
          <w:sz w:val="44"/>
          <w:szCs w:val="44"/>
          <w:vertAlign w:val="superscript"/>
        </w:rPr>
        <w:t>st</w:t>
      </w:r>
      <w:r w:rsidR="00544AC1">
        <w:rPr>
          <w:rFonts w:ascii="Arial" w:hAnsi="Arial" w:cs="Arial"/>
          <w:sz w:val="44"/>
          <w:szCs w:val="44"/>
        </w:rPr>
        <w:t xml:space="preserve"> November 2025.</w:t>
      </w:r>
    </w:p>
    <w:p w14:paraId="3F258FCE" w14:textId="77777777" w:rsidR="00D25D61" w:rsidRDefault="00D25D61">
      <w:pPr>
        <w:rPr>
          <w:rFonts w:ascii="Arial" w:hAnsi="Arial" w:cs="Arial"/>
          <w:sz w:val="44"/>
          <w:szCs w:val="44"/>
        </w:rPr>
      </w:pPr>
    </w:p>
    <w:p w14:paraId="76DC03DA" w14:textId="77777777" w:rsidR="00D25D61" w:rsidRDefault="00D25D61">
      <w:pPr>
        <w:rPr>
          <w:rFonts w:ascii="Arial" w:hAnsi="Arial" w:cs="Arial"/>
          <w:sz w:val="44"/>
          <w:szCs w:val="44"/>
        </w:rPr>
      </w:pPr>
    </w:p>
    <w:p w14:paraId="417D640B" w14:textId="77777777" w:rsidR="00D25D61" w:rsidRDefault="00D25D61">
      <w:pPr>
        <w:rPr>
          <w:rFonts w:ascii="Arial" w:hAnsi="Arial" w:cs="Arial"/>
          <w:sz w:val="44"/>
          <w:szCs w:val="44"/>
        </w:rPr>
      </w:pPr>
    </w:p>
    <w:p w14:paraId="7300383F" w14:textId="77777777" w:rsidR="009F2EBB" w:rsidRDefault="009F2EBB" w:rsidP="00BB6CDD">
      <w:pPr>
        <w:spacing w:line="360" w:lineRule="auto"/>
        <w:rPr>
          <w:rFonts w:ascii="Arial" w:hAnsi="Arial" w:cs="Arial"/>
          <w:sz w:val="44"/>
          <w:szCs w:val="44"/>
        </w:rPr>
      </w:pPr>
    </w:p>
    <w:p w14:paraId="703D12B4" w14:textId="025EF63E" w:rsidR="00926341" w:rsidRPr="006475B0" w:rsidRDefault="009F2EBB" w:rsidP="009F2EBB">
      <w:pPr>
        <w:spacing w:line="360" w:lineRule="auto"/>
        <w:jc w:val="both"/>
        <w:rPr>
          <w:rFonts w:ascii="Arial" w:hAnsi="Arial" w:cs="Arial"/>
          <w:sz w:val="22"/>
          <w:szCs w:val="22"/>
        </w:rPr>
      </w:pPr>
      <w:r w:rsidRPr="006475B0">
        <w:rPr>
          <w:rFonts w:ascii="Arial" w:hAnsi="Arial" w:cs="Arial"/>
          <w:sz w:val="22"/>
          <w:szCs w:val="22"/>
        </w:rPr>
        <w:lastRenderedPageBreak/>
        <w:t>T</w:t>
      </w:r>
      <w:r w:rsidR="00926341" w:rsidRPr="006475B0">
        <w:rPr>
          <w:rFonts w:ascii="Arial" w:hAnsi="Arial" w:cs="Arial"/>
          <w:sz w:val="22"/>
          <w:szCs w:val="22"/>
        </w:rPr>
        <w:t xml:space="preserve">his assignment </w:t>
      </w:r>
      <w:r w:rsidR="00D2043B" w:rsidRPr="006475B0">
        <w:rPr>
          <w:rFonts w:ascii="Arial" w:hAnsi="Arial" w:cs="Arial"/>
          <w:sz w:val="22"/>
          <w:szCs w:val="22"/>
        </w:rPr>
        <w:t>f</w:t>
      </w:r>
      <w:r w:rsidR="00E5147D" w:rsidRPr="006475B0">
        <w:rPr>
          <w:rFonts w:ascii="Arial" w:hAnsi="Arial" w:cs="Arial"/>
          <w:sz w:val="22"/>
          <w:szCs w:val="22"/>
        </w:rPr>
        <w:t>ocuses</w:t>
      </w:r>
      <w:r w:rsidR="00926341" w:rsidRPr="006475B0">
        <w:rPr>
          <w:rFonts w:ascii="Arial" w:hAnsi="Arial" w:cs="Arial"/>
          <w:sz w:val="22"/>
          <w:szCs w:val="22"/>
        </w:rPr>
        <w:t xml:space="preserve"> on the case study of Mrs Mann. Mrs Mann is a 72-year-old female, she has undergone hip replacement surgery and was recently discharged from hospital. Mrs Mann has a domiciliary care package in place to support her with her daily living needs; this consists of multiple visits daily from carers to support Mrs Mann with her mobility and personal care. Mrs Mann’s first language is Urdu; her daughter supports with interpreting regularly. The case study notes that an internal investigation has commenced as a result of recent concerns found in care records, inconsistency in paperwork as well as communicating leading to a delayed medication </w:t>
      </w:r>
      <w:r w:rsidR="00095776" w:rsidRPr="006475B0">
        <w:rPr>
          <w:rFonts w:ascii="Arial" w:hAnsi="Arial" w:cs="Arial"/>
          <w:sz w:val="22"/>
          <w:szCs w:val="22"/>
        </w:rPr>
        <w:t>adjustment.</w:t>
      </w:r>
      <w:r w:rsidR="00930A52" w:rsidRPr="006475B0">
        <w:rPr>
          <w:rFonts w:ascii="Arial" w:hAnsi="Arial" w:cs="Arial"/>
          <w:sz w:val="22"/>
          <w:szCs w:val="22"/>
        </w:rPr>
        <w:t xml:space="preserve"> T</w:t>
      </w:r>
      <w:r w:rsidR="00926341" w:rsidRPr="006475B0">
        <w:rPr>
          <w:rFonts w:ascii="Arial" w:hAnsi="Arial" w:cs="Arial"/>
          <w:sz w:val="22"/>
          <w:szCs w:val="22"/>
        </w:rPr>
        <w:t xml:space="preserve">he purpose of this report is to explore three key aspects in relation to Mrs Mann’s care that is: communication, administrative skills and collaborative working. </w:t>
      </w:r>
    </w:p>
    <w:p w14:paraId="24729E4D" w14:textId="77777777" w:rsidR="00E5147D" w:rsidRPr="006475B0" w:rsidRDefault="00E5147D" w:rsidP="009F2EBB">
      <w:pPr>
        <w:spacing w:line="360" w:lineRule="auto"/>
        <w:jc w:val="both"/>
        <w:rPr>
          <w:rFonts w:ascii="Arial" w:hAnsi="Arial" w:cs="Arial"/>
          <w:sz w:val="22"/>
          <w:szCs w:val="22"/>
        </w:rPr>
      </w:pPr>
    </w:p>
    <w:p w14:paraId="198EE741" w14:textId="242BDB54" w:rsidR="00926341" w:rsidRPr="006475B0" w:rsidRDefault="00926341" w:rsidP="009F2EBB">
      <w:pPr>
        <w:spacing w:line="360" w:lineRule="auto"/>
        <w:jc w:val="both"/>
        <w:rPr>
          <w:rFonts w:ascii="Arial" w:hAnsi="Arial" w:cs="Arial"/>
          <w:sz w:val="22"/>
          <w:szCs w:val="22"/>
        </w:rPr>
      </w:pPr>
      <w:r w:rsidRPr="006048BE">
        <w:rPr>
          <w:rFonts w:ascii="Arial" w:hAnsi="Arial" w:cs="Arial"/>
          <w:sz w:val="22"/>
          <w:szCs w:val="22"/>
        </w:rPr>
        <w:t xml:space="preserve">Within </w:t>
      </w:r>
      <w:r w:rsidRPr="006475B0">
        <w:rPr>
          <w:rFonts w:ascii="Arial" w:hAnsi="Arial" w:cs="Arial"/>
          <w:sz w:val="22"/>
          <w:szCs w:val="22"/>
        </w:rPr>
        <w:t xml:space="preserve">health and social care, effective communication is </w:t>
      </w:r>
      <w:r w:rsidR="002B17D5" w:rsidRPr="006475B0">
        <w:rPr>
          <w:rFonts w:ascii="Arial" w:hAnsi="Arial" w:cs="Arial"/>
          <w:sz w:val="22"/>
          <w:szCs w:val="22"/>
        </w:rPr>
        <w:t>crucial</w:t>
      </w:r>
      <w:r w:rsidRPr="006475B0">
        <w:rPr>
          <w:rFonts w:ascii="Arial" w:hAnsi="Arial" w:cs="Arial"/>
          <w:sz w:val="22"/>
          <w:szCs w:val="22"/>
        </w:rPr>
        <w:t xml:space="preserve"> to ensure mutual understanding</w:t>
      </w:r>
      <w:r w:rsidR="00845D26" w:rsidRPr="006475B0">
        <w:rPr>
          <w:rFonts w:ascii="Arial" w:hAnsi="Arial" w:cs="Arial"/>
          <w:sz w:val="22"/>
          <w:szCs w:val="22"/>
        </w:rPr>
        <w:t xml:space="preserve"> </w:t>
      </w:r>
      <w:r w:rsidRPr="006475B0">
        <w:rPr>
          <w:rFonts w:ascii="Arial" w:hAnsi="Arial" w:cs="Arial"/>
          <w:sz w:val="22"/>
          <w:szCs w:val="22"/>
        </w:rPr>
        <w:t>(Bach and Grant, 2015). The case study notes that Mrs Mann first language is Urdu, as her ability to communicate in English is limite</w:t>
      </w:r>
      <w:r w:rsidR="004A588C" w:rsidRPr="006475B0">
        <w:rPr>
          <w:rFonts w:ascii="Arial" w:hAnsi="Arial" w:cs="Arial"/>
          <w:sz w:val="22"/>
          <w:szCs w:val="22"/>
        </w:rPr>
        <w:t>d i</w:t>
      </w:r>
      <w:r w:rsidRPr="006475B0">
        <w:rPr>
          <w:rFonts w:ascii="Arial" w:hAnsi="Arial" w:cs="Arial"/>
          <w:sz w:val="22"/>
          <w:szCs w:val="22"/>
        </w:rPr>
        <w:t xml:space="preserve">t is important that Mrs Mann is supported with her communication. The Equality Act 2010 places a duty on services to ensure reasonable accommodations are made for individuals like Mrs Mann (Legislation.gov.uk, 2010). If professionals rely on family members to translate </w:t>
      </w:r>
      <w:r w:rsidR="00F07385" w:rsidRPr="006475B0">
        <w:rPr>
          <w:rFonts w:ascii="Arial" w:hAnsi="Arial" w:cs="Arial"/>
          <w:sz w:val="22"/>
          <w:szCs w:val="22"/>
        </w:rPr>
        <w:t>this</w:t>
      </w:r>
      <w:r w:rsidR="006273CF" w:rsidRPr="006475B0">
        <w:rPr>
          <w:rFonts w:ascii="Arial" w:hAnsi="Arial" w:cs="Arial"/>
          <w:sz w:val="22"/>
          <w:szCs w:val="22"/>
        </w:rPr>
        <w:t xml:space="preserve"> </w:t>
      </w:r>
      <w:r w:rsidR="00B23837" w:rsidRPr="006475B0">
        <w:rPr>
          <w:rFonts w:ascii="Arial" w:hAnsi="Arial" w:cs="Arial"/>
          <w:sz w:val="22"/>
          <w:szCs w:val="22"/>
        </w:rPr>
        <w:t>leads to</w:t>
      </w:r>
      <w:r w:rsidRPr="006475B0">
        <w:rPr>
          <w:rFonts w:ascii="Arial" w:hAnsi="Arial" w:cs="Arial"/>
          <w:sz w:val="22"/>
          <w:szCs w:val="22"/>
        </w:rPr>
        <w:t xml:space="preserve"> poor practice as </w:t>
      </w:r>
      <w:r w:rsidR="00B23837" w:rsidRPr="006475B0">
        <w:rPr>
          <w:rFonts w:ascii="Arial" w:hAnsi="Arial" w:cs="Arial"/>
          <w:sz w:val="22"/>
          <w:szCs w:val="22"/>
        </w:rPr>
        <w:t>information can be misunderstood</w:t>
      </w:r>
      <w:r w:rsidRPr="006475B0">
        <w:rPr>
          <w:rFonts w:ascii="Arial" w:hAnsi="Arial" w:cs="Arial"/>
          <w:sz w:val="22"/>
          <w:szCs w:val="22"/>
        </w:rPr>
        <w:t xml:space="preserve"> (Skills for Care, 2021).</w:t>
      </w:r>
    </w:p>
    <w:p w14:paraId="302764B1" w14:textId="77777777" w:rsidR="00E5147D" w:rsidRPr="006475B0" w:rsidRDefault="00E5147D" w:rsidP="009F2EBB">
      <w:pPr>
        <w:spacing w:line="360" w:lineRule="auto"/>
        <w:jc w:val="both"/>
        <w:rPr>
          <w:rFonts w:ascii="Arial" w:hAnsi="Arial" w:cs="Arial"/>
          <w:sz w:val="22"/>
          <w:szCs w:val="22"/>
        </w:rPr>
      </w:pPr>
    </w:p>
    <w:p w14:paraId="6518BDB6" w14:textId="10484328" w:rsidR="00321BD3" w:rsidRPr="006475B0" w:rsidRDefault="006273CF" w:rsidP="009F2EBB">
      <w:pPr>
        <w:spacing w:line="360" w:lineRule="auto"/>
        <w:jc w:val="both"/>
        <w:rPr>
          <w:rFonts w:ascii="Arial" w:hAnsi="Arial" w:cs="Arial"/>
          <w:sz w:val="22"/>
          <w:szCs w:val="22"/>
        </w:rPr>
      </w:pPr>
      <w:r w:rsidRPr="006475B0">
        <w:rPr>
          <w:rFonts w:ascii="Arial" w:hAnsi="Arial" w:cs="Arial"/>
          <w:sz w:val="22"/>
          <w:szCs w:val="22"/>
        </w:rPr>
        <w:t xml:space="preserve">Issues around communication found in the case study can be mitigated with communication techniques in written, non-verbal or verbal form (Thompson, 2018). </w:t>
      </w:r>
      <w:r w:rsidR="00BD5F51" w:rsidRPr="006475B0">
        <w:rPr>
          <w:rFonts w:ascii="Arial" w:hAnsi="Arial" w:cs="Arial"/>
          <w:sz w:val="22"/>
          <w:szCs w:val="22"/>
        </w:rPr>
        <w:t xml:space="preserve">An empowering approach </w:t>
      </w:r>
      <w:r w:rsidR="0035533D" w:rsidRPr="006475B0">
        <w:rPr>
          <w:rFonts w:ascii="Arial" w:hAnsi="Arial" w:cs="Arial"/>
          <w:sz w:val="22"/>
          <w:szCs w:val="22"/>
        </w:rPr>
        <w:t>can be implemented by supporting Mrs Mann in decision making with visual aids or simple language.</w:t>
      </w:r>
      <w:r w:rsidR="000F7C1C" w:rsidRPr="006475B0">
        <w:rPr>
          <w:rFonts w:ascii="Arial" w:hAnsi="Arial" w:cs="Arial"/>
          <w:sz w:val="22"/>
          <w:szCs w:val="22"/>
        </w:rPr>
        <w:t xml:space="preserve"> </w:t>
      </w:r>
      <w:r w:rsidRPr="006475B0">
        <w:rPr>
          <w:rFonts w:ascii="Arial" w:hAnsi="Arial" w:cs="Arial"/>
          <w:sz w:val="22"/>
          <w:szCs w:val="22"/>
        </w:rPr>
        <w:t>The NMC</w:t>
      </w:r>
      <w:r w:rsidR="00310A14" w:rsidRPr="006475B0">
        <w:rPr>
          <w:rFonts w:ascii="Arial" w:hAnsi="Arial" w:cs="Arial"/>
          <w:sz w:val="22"/>
          <w:szCs w:val="22"/>
        </w:rPr>
        <w:t xml:space="preserve"> </w:t>
      </w:r>
      <w:r w:rsidR="000A28E2" w:rsidRPr="006475B0">
        <w:rPr>
          <w:rFonts w:ascii="Arial" w:hAnsi="Arial" w:cs="Arial"/>
          <w:sz w:val="22"/>
          <w:szCs w:val="22"/>
        </w:rPr>
        <w:t>(</w:t>
      </w:r>
      <w:r w:rsidRPr="006475B0">
        <w:rPr>
          <w:rFonts w:ascii="Arial" w:hAnsi="Arial" w:cs="Arial"/>
          <w:sz w:val="22"/>
          <w:szCs w:val="22"/>
        </w:rPr>
        <w:t>2018</w:t>
      </w:r>
      <w:r w:rsidR="000A28E2" w:rsidRPr="006475B0">
        <w:rPr>
          <w:rFonts w:ascii="Arial" w:hAnsi="Arial" w:cs="Arial"/>
          <w:sz w:val="22"/>
          <w:szCs w:val="22"/>
        </w:rPr>
        <w:t>)</w:t>
      </w:r>
      <w:r w:rsidRPr="006475B0">
        <w:rPr>
          <w:rFonts w:ascii="Arial" w:hAnsi="Arial" w:cs="Arial"/>
          <w:sz w:val="22"/>
          <w:szCs w:val="22"/>
        </w:rPr>
        <w:t xml:space="preserve"> promotes the importance of effective communication </w:t>
      </w:r>
      <w:r w:rsidR="000A28E2" w:rsidRPr="006475B0">
        <w:rPr>
          <w:rFonts w:ascii="Arial" w:hAnsi="Arial" w:cs="Arial"/>
          <w:sz w:val="22"/>
          <w:szCs w:val="22"/>
        </w:rPr>
        <w:t xml:space="preserve">through collaborative working </w:t>
      </w:r>
      <w:r w:rsidRPr="006475B0">
        <w:rPr>
          <w:rFonts w:ascii="Arial" w:hAnsi="Arial" w:cs="Arial"/>
          <w:sz w:val="22"/>
          <w:szCs w:val="22"/>
        </w:rPr>
        <w:t>between nurses and carers</w:t>
      </w:r>
      <w:r w:rsidR="000A28E2" w:rsidRPr="006475B0">
        <w:rPr>
          <w:rFonts w:ascii="Arial" w:hAnsi="Arial" w:cs="Arial"/>
          <w:sz w:val="22"/>
          <w:szCs w:val="22"/>
        </w:rPr>
        <w:t xml:space="preserve"> by </w:t>
      </w:r>
      <w:r w:rsidRPr="006475B0">
        <w:rPr>
          <w:rFonts w:ascii="Arial" w:hAnsi="Arial" w:cs="Arial"/>
          <w:sz w:val="22"/>
          <w:szCs w:val="22"/>
        </w:rPr>
        <w:t>respecting individuals’ rights, dignity and wishes.</w:t>
      </w:r>
    </w:p>
    <w:p w14:paraId="11FFBE04" w14:textId="77777777" w:rsidR="00F63A34" w:rsidRPr="006475B0" w:rsidRDefault="00F63A34" w:rsidP="009F2EBB">
      <w:pPr>
        <w:spacing w:line="360" w:lineRule="auto"/>
        <w:jc w:val="both"/>
        <w:rPr>
          <w:rFonts w:ascii="Arial" w:hAnsi="Arial" w:cs="Arial"/>
          <w:sz w:val="22"/>
          <w:szCs w:val="22"/>
        </w:rPr>
      </w:pPr>
    </w:p>
    <w:p w14:paraId="2F4C6018" w14:textId="6E2D6BA7" w:rsidR="0011755E" w:rsidRPr="006475B0" w:rsidRDefault="006273CF" w:rsidP="009F2EBB">
      <w:pPr>
        <w:spacing w:line="360" w:lineRule="auto"/>
        <w:jc w:val="both"/>
        <w:rPr>
          <w:rFonts w:ascii="Arial" w:hAnsi="Arial" w:cs="Arial"/>
          <w:sz w:val="22"/>
          <w:szCs w:val="22"/>
        </w:rPr>
      </w:pPr>
      <w:r w:rsidRPr="006475B0">
        <w:rPr>
          <w:rFonts w:ascii="Arial" w:hAnsi="Arial" w:cs="Arial"/>
          <w:sz w:val="22"/>
          <w:szCs w:val="22"/>
        </w:rPr>
        <w:t xml:space="preserve">The case study </w:t>
      </w:r>
      <w:r w:rsidR="003B0E50" w:rsidRPr="006475B0">
        <w:rPr>
          <w:rFonts w:ascii="Arial" w:hAnsi="Arial" w:cs="Arial"/>
          <w:sz w:val="22"/>
          <w:szCs w:val="22"/>
        </w:rPr>
        <w:t>shows</w:t>
      </w:r>
      <w:r w:rsidRPr="006475B0">
        <w:rPr>
          <w:rFonts w:ascii="Arial" w:hAnsi="Arial" w:cs="Arial"/>
          <w:sz w:val="22"/>
          <w:szCs w:val="22"/>
        </w:rPr>
        <w:t xml:space="preserve"> inconsistent communication; this could have </w:t>
      </w:r>
      <w:r w:rsidR="003B0E50" w:rsidRPr="006475B0">
        <w:rPr>
          <w:rFonts w:ascii="Arial" w:hAnsi="Arial" w:cs="Arial"/>
          <w:sz w:val="22"/>
          <w:szCs w:val="22"/>
        </w:rPr>
        <w:t>contributed</w:t>
      </w:r>
      <w:r w:rsidRPr="006475B0">
        <w:rPr>
          <w:rFonts w:ascii="Arial" w:hAnsi="Arial" w:cs="Arial"/>
          <w:sz w:val="22"/>
          <w:szCs w:val="22"/>
        </w:rPr>
        <w:t xml:space="preserve"> to the delayed medication adjustment. Using Berlo’s SMCR model (1960) can help to provide an insightful understanding when </w:t>
      </w:r>
      <w:r w:rsidR="003B0E50" w:rsidRPr="006475B0">
        <w:rPr>
          <w:rFonts w:ascii="Arial" w:hAnsi="Arial" w:cs="Arial"/>
          <w:sz w:val="22"/>
          <w:szCs w:val="22"/>
        </w:rPr>
        <w:t>reviewing</w:t>
      </w:r>
      <w:r w:rsidRPr="006475B0">
        <w:rPr>
          <w:rFonts w:ascii="Arial" w:hAnsi="Arial" w:cs="Arial"/>
          <w:sz w:val="22"/>
          <w:szCs w:val="22"/>
        </w:rPr>
        <w:t xml:space="preserve"> failings in communication. The four components of the model are Source, Message, Channel and Receiver. Communication can fail when a component is interfered with, as information can be misunderstood due to language barriers.</w:t>
      </w:r>
    </w:p>
    <w:p w14:paraId="508CB8CF" w14:textId="77777777" w:rsidR="00E5147D" w:rsidRPr="006475B0" w:rsidRDefault="00E5147D" w:rsidP="009F2EBB">
      <w:pPr>
        <w:spacing w:line="360" w:lineRule="auto"/>
        <w:jc w:val="both"/>
        <w:rPr>
          <w:rFonts w:ascii="Arial" w:hAnsi="Arial" w:cs="Arial"/>
          <w:sz w:val="22"/>
          <w:szCs w:val="22"/>
        </w:rPr>
      </w:pPr>
    </w:p>
    <w:p w14:paraId="06A704B9" w14:textId="501CCB92" w:rsidR="00A90BBA" w:rsidRPr="006475B0" w:rsidRDefault="00A90BBA" w:rsidP="009F2EBB">
      <w:pPr>
        <w:spacing w:line="360" w:lineRule="auto"/>
        <w:jc w:val="both"/>
        <w:rPr>
          <w:rFonts w:ascii="Arial" w:hAnsi="Arial" w:cs="Arial"/>
          <w:sz w:val="22"/>
          <w:szCs w:val="22"/>
        </w:rPr>
      </w:pPr>
      <w:r w:rsidRPr="006475B0">
        <w:rPr>
          <w:rFonts w:ascii="Arial" w:hAnsi="Arial" w:cs="Arial"/>
          <w:sz w:val="22"/>
          <w:szCs w:val="22"/>
        </w:rPr>
        <w:lastRenderedPageBreak/>
        <w:t>Communication relies on cultural competence. The Health and Social Care Act 2012 emphasise the importance of inclusion and equality. Such learning can be implemented in Mrs Mann’s case with professionals understanding her culture, values and religious beliefs. This can be integrated within practice through cultural sensitivity training in the workplace (DHSC, 2018).</w:t>
      </w:r>
    </w:p>
    <w:p w14:paraId="699A7337" w14:textId="77777777" w:rsidR="00E5147D" w:rsidRPr="006475B0" w:rsidRDefault="00E5147D" w:rsidP="009F2EBB">
      <w:pPr>
        <w:spacing w:line="360" w:lineRule="auto"/>
        <w:jc w:val="both"/>
        <w:rPr>
          <w:rFonts w:ascii="Arial" w:hAnsi="Arial" w:cs="Arial"/>
          <w:sz w:val="22"/>
          <w:szCs w:val="22"/>
        </w:rPr>
      </w:pPr>
    </w:p>
    <w:p w14:paraId="4F72D683" w14:textId="1BC4F224" w:rsidR="00825C31" w:rsidRPr="006475B0" w:rsidRDefault="00825C31" w:rsidP="009F2EBB">
      <w:pPr>
        <w:spacing w:line="360" w:lineRule="auto"/>
        <w:jc w:val="both"/>
        <w:rPr>
          <w:rFonts w:ascii="Arial" w:hAnsi="Arial" w:cs="Arial"/>
          <w:sz w:val="22"/>
          <w:szCs w:val="22"/>
        </w:rPr>
      </w:pPr>
      <w:r w:rsidRPr="006475B0">
        <w:rPr>
          <w:rFonts w:ascii="Arial" w:hAnsi="Arial" w:cs="Arial"/>
          <w:sz w:val="22"/>
          <w:szCs w:val="22"/>
        </w:rPr>
        <w:t xml:space="preserve">Research has found that language barriers can impact the quality of care delivered (Ali and Watson, 2018). The use of interpreters in practice can support professionals to communicate with individuals from different ethnic backgrounds, languages </w:t>
      </w:r>
      <w:r w:rsidR="003F5EB9" w:rsidRPr="006475B0">
        <w:rPr>
          <w:rFonts w:ascii="Arial" w:hAnsi="Arial" w:cs="Arial"/>
          <w:sz w:val="22"/>
          <w:szCs w:val="22"/>
        </w:rPr>
        <w:t>or</w:t>
      </w:r>
      <w:r w:rsidRPr="006475B0">
        <w:rPr>
          <w:rFonts w:ascii="Arial" w:hAnsi="Arial" w:cs="Arial"/>
          <w:sz w:val="22"/>
          <w:szCs w:val="22"/>
        </w:rPr>
        <w:t xml:space="preserve"> abilities (Ali and Watson, 2018). In reference to the case study if professionals used an interpreter this would have allowed an accurate account of Mrs Mann’s views as using relatives to </w:t>
      </w:r>
      <w:r w:rsidR="004011CF" w:rsidRPr="006475B0">
        <w:rPr>
          <w:rFonts w:ascii="Arial" w:hAnsi="Arial" w:cs="Arial"/>
          <w:sz w:val="22"/>
          <w:szCs w:val="22"/>
        </w:rPr>
        <w:t>translate</w:t>
      </w:r>
      <w:r w:rsidRPr="006475B0">
        <w:rPr>
          <w:rFonts w:ascii="Arial" w:hAnsi="Arial" w:cs="Arial"/>
          <w:sz w:val="22"/>
          <w:szCs w:val="22"/>
        </w:rPr>
        <w:t xml:space="preserve"> can lead to unconscious or subconscious bias. </w:t>
      </w:r>
      <w:r w:rsidR="00395115" w:rsidRPr="006475B0">
        <w:rPr>
          <w:rFonts w:ascii="Arial" w:hAnsi="Arial" w:cs="Arial"/>
          <w:sz w:val="22"/>
          <w:szCs w:val="22"/>
        </w:rPr>
        <w:t>This</w:t>
      </w:r>
      <w:r w:rsidRPr="006475B0">
        <w:rPr>
          <w:rFonts w:ascii="Arial" w:hAnsi="Arial" w:cs="Arial"/>
          <w:sz w:val="22"/>
          <w:szCs w:val="22"/>
        </w:rPr>
        <w:t xml:space="preserve"> promotes equality, diversity and inclusivity</w:t>
      </w:r>
      <w:r w:rsidR="00CB3242" w:rsidRPr="006475B0">
        <w:rPr>
          <w:rFonts w:ascii="Arial" w:hAnsi="Arial" w:cs="Arial"/>
          <w:sz w:val="22"/>
          <w:szCs w:val="22"/>
        </w:rPr>
        <w:t xml:space="preserve">, thus removing </w:t>
      </w:r>
      <w:r w:rsidRPr="006475B0">
        <w:rPr>
          <w:rFonts w:ascii="Arial" w:hAnsi="Arial" w:cs="Arial"/>
          <w:sz w:val="22"/>
          <w:szCs w:val="22"/>
        </w:rPr>
        <w:t xml:space="preserve">discrimination and prejudice. However, on the other hand research also highlights limitations with the use of professional interpreters, for example, delays with arranging an interpreter, impacts on building a rapport with the service user </w:t>
      </w:r>
      <w:r w:rsidR="00086BEC" w:rsidRPr="006475B0">
        <w:rPr>
          <w:rFonts w:ascii="Arial" w:hAnsi="Arial" w:cs="Arial"/>
          <w:sz w:val="22"/>
          <w:szCs w:val="22"/>
        </w:rPr>
        <w:t>as</w:t>
      </w:r>
      <w:r w:rsidRPr="006475B0">
        <w:rPr>
          <w:rFonts w:ascii="Arial" w:hAnsi="Arial" w:cs="Arial"/>
          <w:sz w:val="22"/>
          <w:szCs w:val="22"/>
        </w:rPr>
        <w:t xml:space="preserve"> some service users may not find it comfortable to have an</w:t>
      </w:r>
      <w:r w:rsidR="0067365F" w:rsidRPr="006475B0">
        <w:rPr>
          <w:rFonts w:ascii="Arial" w:hAnsi="Arial" w:cs="Arial"/>
          <w:sz w:val="22"/>
          <w:szCs w:val="22"/>
        </w:rPr>
        <w:t xml:space="preserve">other </w:t>
      </w:r>
      <w:r w:rsidRPr="006475B0">
        <w:rPr>
          <w:rFonts w:ascii="Arial" w:hAnsi="Arial" w:cs="Arial"/>
          <w:sz w:val="22"/>
          <w:szCs w:val="22"/>
        </w:rPr>
        <w:t xml:space="preserve">professional present (Ali and Watson, 2018). To summarise, communication in care is integral in effectively building relationships with service users and delivering safe, person-centred care. It is important that professionals have an awareness of language barriers and cultural sensitivity, including how challenges can be overcome in care. Such practice must be in accordance with the Equality Act 2010 which protects characteristics such as disability, age, gender, race and bounds professionals to ensure communication is free from prejudice. This aligns with the discussion of Berlo’s SMCR Model (1960) which </w:t>
      </w:r>
      <w:r w:rsidR="00D83EC1" w:rsidRPr="006475B0">
        <w:rPr>
          <w:rFonts w:ascii="Arial" w:hAnsi="Arial" w:cs="Arial"/>
          <w:sz w:val="22"/>
          <w:szCs w:val="22"/>
        </w:rPr>
        <w:t>could have been</w:t>
      </w:r>
      <w:r w:rsidRPr="006475B0">
        <w:rPr>
          <w:rFonts w:ascii="Arial" w:hAnsi="Arial" w:cs="Arial"/>
          <w:sz w:val="22"/>
          <w:szCs w:val="22"/>
        </w:rPr>
        <w:t xml:space="preserve"> applied to implement effective communicate in Mrs Mann’s care.</w:t>
      </w:r>
    </w:p>
    <w:p w14:paraId="52456622" w14:textId="7148E3C6" w:rsidR="00E5147D" w:rsidRPr="006475B0" w:rsidRDefault="00E5147D" w:rsidP="009F2EBB">
      <w:pPr>
        <w:spacing w:line="360" w:lineRule="auto"/>
        <w:jc w:val="both"/>
        <w:rPr>
          <w:rFonts w:ascii="Arial" w:hAnsi="Arial" w:cs="Arial"/>
          <w:sz w:val="22"/>
          <w:szCs w:val="22"/>
        </w:rPr>
      </w:pPr>
    </w:p>
    <w:p w14:paraId="5F43EF9A" w14:textId="0B18177D" w:rsidR="00644089" w:rsidRPr="006475B0" w:rsidRDefault="00644089" w:rsidP="009F2EBB">
      <w:pPr>
        <w:spacing w:line="360" w:lineRule="auto"/>
        <w:jc w:val="both"/>
        <w:rPr>
          <w:rFonts w:ascii="Arial" w:hAnsi="Arial" w:cs="Arial"/>
          <w:sz w:val="22"/>
          <w:szCs w:val="22"/>
        </w:rPr>
      </w:pPr>
      <w:r w:rsidRPr="006048BE">
        <w:rPr>
          <w:rFonts w:ascii="Arial" w:hAnsi="Arial" w:cs="Arial"/>
          <w:sz w:val="22"/>
          <w:szCs w:val="22"/>
        </w:rPr>
        <w:t xml:space="preserve">Accurate </w:t>
      </w:r>
      <w:r w:rsidRPr="006475B0">
        <w:rPr>
          <w:rFonts w:ascii="Arial" w:hAnsi="Arial" w:cs="Arial"/>
          <w:sz w:val="22"/>
          <w:szCs w:val="22"/>
        </w:rPr>
        <w:t xml:space="preserve">documentation is integral in health and social care. This ensures accuracy and security in records that are stored. </w:t>
      </w:r>
      <w:r w:rsidR="00CB6234" w:rsidRPr="006475B0">
        <w:rPr>
          <w:rFonts w:ascii="Arial" w:hAnsi="Arial" w:cs="Arial"/>
          <w:sz w:val="22"/>
          <w:szCs w:val="22"/>
        </w:rPr>
        <w:t>The case study is</w:t>
      </w:r>
      <w:r w:rsidRPr="006475B0">
        <w:rPr>
          <w:rFonts w:ascii="Arial" w:hAnsi="Arial" w:cs="Arial"/>
          <w:sz w:val="22"/>
          <w:szCs w:val="22"/>
        </w:rPr>
        <w:t xml:space="preserve"> an example of poor record keeping as the </w:t>
      </w:r>
      <w:r w:rsidR="004D27B6" w:rsidRPr="006475B0">
        <w:rPr>
          <w:rFonts w:ascii="Arial" w:hAnsi="Arial" w:cs="Arial"/>
          <w:sz w:val="22"/>
          <w:szCs w:val="22"/>
        </w:rPr>
        <w:t>medication</w:t>
      </w:r>
      <w:r w:rsidRPr="006475B0">
        <w:rPr>
          <w:rFonts w:ascii="Arial" w:hAnsi="Arial" w:cs="Arial"/>
          <w:sz w:val="22"/>
          <w:szCs w:val="22"/>
        </w:rPr>
        <w:t xml:space="preserve"> change for Mrs Mann was delayed this could have had a detrimental impact to her health. To keep accurate records is a legal requirement, this ensures accountability, safe and effective communication (Brooker and Waugh 2020).</w:t>
      </w:r>
    </w:p>
    <w:p w14:paraId="084D751E" w14:textId="77777777" w:rsidR="00E5147D" w:rsidRPr="006475B0" w:rsidRDefault="00E5147D" w:rsidP="009F2EBB">
      <w:pPr>
        <w:spacing w:line="360" w:lineRule="auto"/>
        <w:jc w:val="both"/>
        <w:rPr>
          <w:rFonts w:ascii="Arial" w:hAnsi="Arial" w:cs="Arial"/>
          <w:sz w:val="22"/>
          <w:szCs w:val="22"/>
        </w:rPr>
      </w:pPr>
    </w:p>
    <w:p w14:paraId="00FBC213" w14:textId="744C49F0" w:rsidR="00644089" w:rsidRPr="006475B0" w:rsidRDefault="00644089" w:rsidP="009F2EBB">
      <w:pPr>
        <w:spacing w:line="360" w:lineRule="auto"/>
        <w:jc w:val="both"/>
        <w:rPr>
          <w:rFonts w:ascii="Arial" w:hAnsi="Arial" w:cs="Arial"/>
          <w:sz w:val="22"/>
          <w:szCs w:val="22"/>
        </w:rPr>
      </w:pPr>
      <w:r w:rsidRPr="006475B0">
        <w:rPr>
          <w:rFonts w:ascii="Arial" w:hAnsi="Arial" w:cs="Arial"/>
          <w:sz w:val="22"/>
          <w:szCs w:val="22"/>
        </w:rPr>
        <w:t xml:space="preserve">The importance of accurate documentation is underpinned by General Data Protection Regulation (GDPR) and the Data Protection Act 2018. Such legislation and policies guide professionals in health and social care to manage personal data, medical information, </w:t>
      </w:r>
      <w:r w:rsidR="00E70483" w:rsidRPr="006475B0">
        <w:rPr>
          <w:rFonts w:ascii="Arial" w:hAnsi="Arial" w:cs="Arial"/>
          <w:sz w:val="22"/>
          <w:szCs w:val="22"/>
        </w:rPr>
        <w:t>keep records</w:t>
      </w:r>
      <w:r w:rsidRPr="006475B0">
        <w:rPr>
          <w:rFonts w:ascii="Arial" w:hAnsi="Arial" w:cs="Arial"/>
          <w:sz w:val="22"/>
          <w:szCs w:val="22"/>
        </w:rPr>
        <w:t xml:space="preserve"> </w:t>
      </w:r>
      <w:r w:rsidR="00E70483" w:rsidRPr="006475B0">
        <w:rPr>
          <w:rFonts w:ascii="Arial" w:hAnsi="Arial" w:cs="Arial"/>
          <w:sz w:val="22"/>
          <w:szCs w:val="22"/>
        </w:rPr>
        <w:t>accurate and secure</w:t>
      </w:r>
      <w:r w:rsidRPr="006475B0">
        <w:rPr>
          <w:rFonts w:ascii="Arial" w:hAnsi="Arial" w:cs="Arial"/>
          <w:sz w:val="22"/>
          <w:szCs w:val="22"/>
        </w:rPr>
        <w:t xml:space="preserve">, including sharing information proportionately (Information </w:t>
      </w:r>
      <w:r w:rsidRPr="006475B0">
        <w:rPr>
          <w:rFonts w:ascii="Arial" w:hAnsi="Arial" w:cs="Arial"/>
          <w:sz w:val="22"/>
          <w:szCs w:val="22"/>
        </w:rPr>
        <w:lastRenderedPageBreak/>
        <w:t xml:space="preserve">Commissioner’s Office [ICO], 2021). </w:t>
      </w:r>
      <w:r w:rsidR="00E70483" w:rsidRPr="006475B0">
        <w:rPr>
          <w:rFonts w:ascii="Arial" w:hAnsi="Arial" w:cs="Arial"/>
          <w:sz w:val="22"/>
          <w:szCs w:val="22"/>
        </w:rPr>
        <w:t>The</w:t>
      </w:r>
      <w:r w:rsidRPr="006475B0">
        <w:rPr>
          <w:rFonts w:ascii="Arial" w:hAnsi="Arial" w:cs="Arial"/>
          <w:sz w:val="22"/>
          <w:szCs w:val="22"/>
        </w:rPr>
        <w:t xml:space="preserve"> delay in Mrs Mann’s medication being adjusted </w:t>
      </w:r>
      <w:r w:rsidR="00E70483" w:rsidRPr="006475B0">
        <w:rPr>
          <w:rFonts w:ascii="Arial" w:hAnsi="Arial" w:cs="Arial"/>
          <w:sz w:val="22"/>
          <w:szCs w:val="22"/>
        </w:rPr>
        <w:t>led to</w:t>
      </w:r>
      <w:r w:rsidRPr="006475B0">
        <w:rPr>
          <w:rFonts w:ascii="Arial" w:hAnsi="Arial" w:cs="Arial"/>
          <w:sz w:val="22"/>
          <w:szCs w:val="22"/>
        </w:rPr>
        <w:t xml:space="preserve"> an internal review. This infringes the Caldicott Principles (DHSC, 2016) as information was not shared appropriately or with direct consent as professionals relied on her daughter to interpret information. This could have been avoided if information was </w:t>
      </w:r>
      <w:r w:rsidR="007651A5" w:rsidRPr="006475B0">
        <w:rPr>
          <w:rFonts w:ascii="Arial" w:hAnsi="Arial" w:cs="Arial"/>
          <w:sz w:val="22"/>
          <w:szCs w:val="22"/>
        </w:rPr>
        <w:t>recorded</w:t>
      </w:r>
      <w:r w:rsidRPr="006475B0">
        <w:rPr>
          <w:rFonts w:ascii="Arial" w:hAnsi="Arial" w:cs="Arial"/>
          <w:sz w:val="22"/>
          <w:szCs w:val="22"/>
        </w:rPr>
        <w:t xml:space="preserve"> and shared appropriately in accordance with data protection laws.</w:t>
      </w:r>
    </w:p>
    <w:p w14:paraId="4E953557" w14:textId="77777777" w:rsidR="00722239" w:rsidRPr="006475B0" w:rsidRDefault="00722239" w:rsidP="009F2EBB">
      <w:pPr>
        <w:spacing w:line="360" w:lineRule="auto"/>
        <w:jc w:val="both"/>
        <w:rPr>
          <w:rFonts w:ascii="Arial" w:hAnsi="Arial" w:cs="Arial"/>
          <w:sz w:val="22"/>
          <w:szCs w:val="22"/>
        </w:rPr>
      </w:pPr>
    </w:p>
    <w:p w14:paraId="47055B03" w14:textId="0015B96A" w:rsidR="00D6021C" w:rsidRPr="006475B0" w:rsidRDefault="00F138E0" w:rsidP="009F2EBB">
      <w:pPr>
        <w:spacing w:line="360" w:lineRule="auto"/>
        <w:jc w:val="both"/>
        <w:rPr>
          <w:rFonts w:ascii="Arial" w:hAnsi="Arial" w:cs="Arial"/>
          <w:sz w:val="22"/>
          <w:szCs w:val="22"/>
        </w:rPr>
      </w:pPr>
      <w:r w:rsidRPr="006475B0">
        <w:rPr>
          <w:rFonts w:ascii="Arial" w:hAnsi="Arial" w:cs="Arial"/>
          <w:sz w:val="22"/>
          <w:szCs w:val="22"/>
        </w:rPr>
        <w:t xml:space="preserve">The importance of accurate documentation is not just pinned by law and policy, relevant frameworks such as the NMC </w:t>
      </w:r>
      <w:r w:rsidR="00274561" w:rsidRPr="006475B0">
        <w:rPr>
          <w:rFonts w:ascii="Arial" w:hAnsi="Arial" w:cs="Arial"/>
          <w:sz w:val="22"/>
          <w:szCs w:val="22"/>
        </w:rPr>
        <w:t>(</w:t>
      </w:r>
      <w:r w:rsidRPr="006475B0">
        <w:rPr>
          <w:rFonts w:ascii="Arial" w:hAnsi="Arial" w:cs="Arial"/>
          <w:sz w:val="22"/>
          <w:szCs w:val="22"/>
        </w:rPr>
        <w:t>2018</w:t>
      </w:r>
      <w:r w:rsidR="00274561" w:rsidRPr="006475B0">
        <w:rPr>
          <w:rFonts w:ascii="Arial" w:hAnsi="Arial" w:cs="Arial"/>
          <w:sz w:val="22"/>
          <w:szCs w:val="22"/>
        </w:rPr>
        <w:t>)</w:t>
      </w:r>
      <w:r w:rsidRPr="006475B0">
        <w:rPr>
          <w:rFonts w:ascii="Arial" w:hAnsi="Arial" w:cs="Arial"/>
          <w:sz w:val="22"/>
          <w:szCs w:val="22"/>
        </w:rPr>
        <w:t xml:space="preserve"> codes of conduct highlight the importance of accuracy in records as well as timely and consistent information sharing. If professionals had applied this in their practice when supporting Mrs Mann this would have ensured there was an accurate picture obtained of Mrs Mann’s health, allowing medication adjustments to be carried out in a timely and safe manner. This would have evidenced accurate documentation and reduced the risk of inadequate or inconsistent record keeping</w:t>
      </w:r>
      <w:r w:rsidR="0011244E" w:rsidRPr="006475B0">
        <w:rPr>
          <w:rFonts w:ascii="Arial" w:hAnsi="Arial" w:cs="Arial"/>
          <w:sz w:val="22"/>
          <w:szCs w:val="22"/>
        </w:rPr>
        <w:t>.</w:t>
      </w:r>
    </w:p>
    <w:p w14:paraId="31CC9798" w14:textId="77777777" w:rsidR="00722239" w:rsidRDefault="00722239" w:rsidP="009F2EBB">
      <w:pPr>
        <w:spacing w:line="360" w:lineRule="auto"/>
        <w:jc w:val="both"/>
        <w:rPr>
          <w:rFonts w:ascii="Arial" w:hAnsi="Arial" w:cs="Arial"/>
          <w:sz w:val="22"/>
          <w:szCs w:val="22"/>
        </w:rPr>
      </w:pPr>
    </w:p>
    <w:p w14:paraId="57CC520C" w14:textId="7D908D97" w:rsidR="005F71D7" w:rsidRPr="006475B0" w:rsidRDefault="005F71D7" w:rsidP="009F2EBB">
      <w:pPr>
        <w:spacing w:line="360" w:lineRule="auto"/>
        <w:jc w:val="both"/>
        <w:rPr>
          <w:rFonts w:ascii="Arial" w:hAnsi="Arial" w:cs="Arial"/>
          <w:sz w:val="22"/>
          <w:szCs w:val="22"/>
        </w:rPr>
      </w:pPr>
      <w:r>
        <w:rPr>
          <w:rFonts w:ascii="Arial" w:hAnsi="Arial" w:cs="Arial"/>
          <w:sz w:val="22"/>
          <w:szCs w:val="22"/>
        </w:rPr>
        <w:t xml:space="preserve">The Care Quality Commission (CQC) is an independent regulator of health and social care services (Rayner, 2022). CQC inspects services to ensure accurate records are kept in accordance with relevant laws and standards. In the event a service is not </w:t>
      </w:r>
      <w:r w:rsidR="003631F1">
        <w:rPr>
          <w:rFonts w:ascii="Arial" w:hAnsi="Arial" w:cs="Arial"/>
          <w:sz w:val="22"/>
          <w:szCs w:val="22"/>
        </w:rPr>
        <w:t xml:space="preserve">keeping accurate documentation this can lead to legal consequences. In relation to Mrs Mann’s case study if the internal review found significant harm was caused by poor documentation or missed communication with delayed </w:t>
      </w:r>
      <w:r w:rsidR="009E0CA9">
        <w:rPr>
          <w:rFonts w:ascii="Arial" w:hAnsi="Arial" w:cs="Arial"/>
          <w:sz w:val="22"/>
          <w:szCs w:val="22"/>
        </w:rPr>
        <w:t xml:space="preserve">medication adjustment the internal review could lead to a large scale enquiry or legal </w:t>
      </w:r>
      <w:r w:rsidR="00707D14">
        <w:rPr>
          <w:rFonts w:ascii="Arial" w:hAnsi="Arial" w:cs="Arial"/>
          <w:sz w:val="22"/>
          <w:szCs w:val="22"/>
        </w:rPr>
        <w:t>action.</w:t>
      </w:r>
    </w:p>
    <w:p w14:paraId="0A3EA133" w14:textId="7B6A9097" w:rsidR="007B3EA3" w:rsidRPr="006475B0" w:rsidRDefault="007B3EA3" w:rsidP="009F2EBB">
      <w:pPr>
        <w:spacing w:line="360" w:lineRule="auto"/>
        <w:jc w:val="both"/>
        <w:rPr>
          <w:rFonts w:ascii="Arial" w:hAnsi="Arial" w:cs="Arial"/>
          <w:sz w:val="22"/>
          <w:szCs w:val="22"/>
        </w:rPr>
      </w:pPr>
    </w:p>
    <w:p w14:paraId="142B2846" w14:textId="586924D4" w:rsidR="00CD6826" w:rsidRPr="006475B0" w:rsidRDefault="00CD6826" w:rsidP="009F2EBB">
      <w:pPr>
        <w:spacing w:line="360" w:lineRule="auto"/>
        <w:jc w:val="both"/>
        <w:rPr>
          <w:rFonts w:ascii="Arial" w:hAnsi="Arial" w:cs="Arial"/>
          <w:sz w:val="22"/>
          <w:szCs w:val="22"/>
        </w:rPr>
      </w:pPr>
      <w:r w:rsidRPr="006475B0">
        <w:rPr>
          <w:rFonts w:ascii="Arial" w:hAnsi="Arial" w:cs="Arial"/>
          <w:sz w:val="22"/>
          <w:szCs w:val="22"/>
        </w:rPr>
        <w:t>Good administrative skills in health and social care includes holding accurate records of service users, care documentation being completed in a timely manner, information being shared proportionately with other professionals, organisational policies and procedures being implemented</w:t>
      </w:r>
      <w:r w:rsidRPr="006475B0">
        <w:rPr>
          <w:rFonts w:ascii="Arial" w:hAnsi="Arial" w:cs="Arial"/>
          <w:color w:val="EE0000"/>
          <w:sz w:val="22"/>
          <w:szCs w:val="22"/>
        </w:rPr>
        <w:t xml:space="preserve"> </w:t>
      </w:r>
      <w:r w:rsidR="0057340A" w:rsidRPr="006475B0">
        <w:rPr>
          <w:rFonts w:ascii="Arial" w:hAnsi="Arial" w:cs="Arial"/>
          <w:sz w:val="22"/>
          <w:szCs w:val="22"/>
        </w:rPr>
        <w:t>(Lea, 2013)</w:t>
      </w:r>
      <w:r w:rsidRPr="006475B0">
        <w:rPr>
          <w:rFonts w:ascii="Arial" w:hAnsi="Arial" w:cs="Arial"/>
          <w:sz w:val="22"/>
          <w:szCs w:val="22"/>
        </w:rPr>
        <w:t>. In Mrs Mann’s care if professionals had consistently documented in her care records and communicated effectively with one another regarding her health this could have reduced the risk of further harm to Mrs Mann.</w:t>
      </w:r>
    </w:p>
    <w:p w14:paraId="0F85774E" w14:textId="77777777" w:rsidR="00722239" w:rsidRPr="006475B0" w:rsidRDefault="00722239" w:rsidP="009F2EBB">
      <w:pPr>
        <w:spacing w:line="360" w:lineRule="auto"/>
        <w:jc w:val="both"/>
        <w:rPr>
          <w:rFonts w:ascii="Arial" w:hAnsi="Arial" w:cs="Arial"/>
          <w:color w:val="EE0000"/>
          <w:sz w:val="22"/>
          <w:szCs w:val="22"/>
        </w:rPr>
      </w:pPr>
    </w:p>
    <w:p w14:paraId="359D6CD2" w14:textId="51351686" w:rsidR="002D383E" w:rsidRPr="006475B0" w:rsidRDefault="002D383E" w:rsidP="009F2EBB">
      <w:pPr>
        <w:pStyle w:val="CommentText"/>
        <w:spacing w:line="360" w:lineRule="auto"/>
        <w:jc w:val="both"/>
        <w:rPr>
          <w:rFonts w:ascii="Arial" w:hAnsi="Arial" w:cs="Arial"/>
          <w:sz w:val="22"/>
          <w:szCs w:val="22"/>
        </w:rPr>
      </w:pPr>
      <w:r w:rsidRPr="006475B0">
        <w:rPr>
          <w:rFonts w:ascii="Arial" w:hAnsi="Arial" w:cs="Arial"/>
          <w:sz w:val="22"/>
          <w:szCs w:val="22"/>
        </w:rPr>
        <w:t xml:space="preserve">The importance of competent administration is not just applicable to documentation, there is an emphasis on good time management, organisational skills and effective communication </w:t>
      </w:r>
      <w:r w:rsidR="00921B09" w:rsidRPr="006475B0">
        <w:rPr>
          <w:rFonts w:ascii="Arial" w:hAnsi="Arial" w:cs="Arial"/>
          <w:sz w:val="22"/>
          <w:szCs w:val="22"/>
        </w:rPr>
        <w:t xml:space="preserve">(Hargie et al., 2004). </w:t>
      </w:r>
      <w:r w:rsidRPr="006475B0">
        <w:rPr>
          <w:rFonts w:ascii="Arial" w:hAnsi="Arial" w:cs="Arial"/>
          <w:sz w:val="22"/>
          <w:szCs w:val="22"/>
        </w:rPr>
        <w:t xml:space="preserve">There has been a significant shift to the use of electronic care plans used by health and social care organisations, this ensures timely communication between an </w:t>
      </w:r>
      <w:r w:rsidRPr="006475B0">
        <w:rPr>
          <w:rFonts w:ascii="Arial" w:hAnsi="Arial" w:cs="Arial"/>
          <w:sz w:val="22"/>
          <w:szCs w:val="22"/>
        </w:rPr>
        <w:lastRenderedPageBreak/>
        <w:t>interdisciplinary team and information is shared in accordance with relevant legislation (Kirk, 2019). In relation to Mrs Mann, the care provider could have demonstrated good administrative skills if they had liaised with the GP in a timely manner to avoid a delay with the medication being adjusted.</w:t>
      </w:r>
      <w:r w:rsidR="00683481" w:rsidRPr="006475B0">
        <w:rPr>
          <w:rFonts w:ascii="Arial" w:hAnsi="Arial" w:cs="Arial"/>
          <w:sz w:val="22"/>
          <w:szCs w:val="22"/>
        </w:rPr>
        <w:t xml:space="preserve"> </w:t>
      </w:r>
      <w:r w:rsidRPr="006475B0">
        <w:rPr>
          <w:rFonts w:ascii="Arial" w:hAnsi="Arial" w:cs="Arial"/>
          <w:sz w:val="22"/>
          <w:szCs w:val="22"/>
        </w:rPr>
        <w:t xml:space="preserve">To </w:t>
      </w:r>
      <w:r w:rsidR="00683481" w:rsidRPr="006475B0">
        <w:rPr>
          <w:rFonts w:ascii="Arial" w:hAnsi="Arial" w:cs="Arial"/>
          <w:sz w:val="22"/>
          <w:szCs w:val="22"/>
        </w:rPr>
        <w:t>summarise</w:t>
      </w:r>
      <w:r w:rsidRPr="006475B0">
        <w:rPr>
          <w:rFonts w:ascii="Arial" w:hAnsi="Arial" w:cs="Arial"/>
          <w:sz w:val="22"/>
          <w:szCs w:val="22"/>
        </w:rPr>
        <w:t xml:space="preserve">, the above discussion evidences the importance of good administrative skills and record keeping. </w:t>
      </w:r>
      <w:r w:rsidR="00D86D1B" w:rsidRPr="006475B0">
        <w:rPr>
          <w:rFonts w:ascii="Arial" w:hAnsi="Arial" w:cs="Arial"/>
          <w:sz w:val="22"/>
          <w:szCs w:val="22"/>
        </w:rPr>
        <w:t>However,</w:t>
      </w:r>
      <w:r w:rsidRPr="006475B0">
        <w:rPr>
          <w:rFonts w:ascii="Arial" w:hAnsi="Arial" w:cs="Arial"/>
          <w:sz w:val="22"/>
          <w:szCs w:val="22"/>
        </w:rPr>
        <w:t xml:space="preserve"> the case study of Mrs Mann illustrates administrative mistakes that can be detrimental to service users’ health and wellbeing.</w:t>
      </w:r>
    </w:p>
    <w:p w14:paraId="337595AF" w14:textId="77777777" w:rsidR="00722239" w:rsidRPr="006475B0" w:rsidRDefault="00722239" w:rsidP="009F2EBB">
      <w:pPr>
        <w:spacing w:line="360" w:lineRule="auto"/>
        <w:jc w:val="both"/>
        <w:rPr>
          <w:rFonts w:ascii="Arial" w:hAnsi="Arial" w:cs="Arial"/>
          <w:sz w:val="22"/>
          <w:szCs w:val="22"/>
        </w:rPr>
      </w:pPr>
    </w:p>
    <w:p w14:paraId="30102993" w14:textId="44A63A2D" w:rsidR="0064735C" w:rsidRPr="006475B0" w:rsidRDefault="002D383E" w:rsidP="009F2EBB">
      <w:pPr>
        <w:spacing w:line="360" w:lineRule="auto"/>
        <w:jc w:val="both"/>
        <w:rPr>
          <w:rFonts w:ascii="Arial" w:hAnsi="Arial" w:cs="Arial"/>
          <w:sz w:val="22"/>
          <w:szCs w:val="22"/>
        </w:rPr>
      </w:pPr>
      <w:r w:rsidRPr="006475B0">
        <w:rPr>
          <w:rFonts w:ascii="Arial" w:hAnsi="Arial" w:cs="Arial"/>
          <w:sz w:val="22"/>
          <w:szCs w:val="22"/>
        </w:rPr>
        <w:t>Multi-agency collaborative working consists of professionals from different organisations working together to support service users</w:t>
      </w:r>
      <w:r w:rsidR="00650CAA">
        <w:rPr>
          <w:rFonts w:ascii="Arial" w:hAnsi="Arial" w:cs="Arial"/>
          <w:sz w:val="22"/>
          <w:szCs w:val="22"/>
        </w:rPr>
        <w:t xml:space="preserve"> </w:t>
      </w:r>
      <w:r w:rsidR="00650CAA" w:rsidRPr="00650CAA">
        <w:rPr>
          <w:rFonts w:ascii="Arial" w:hAnsi="Arial" w:cs="Arial"/>
          <w:sz w:val="22"/>
          <w:szCs w:val="22"/>
        </w:rPr>
        <w:t>(Dixon et al., 2022)</w:t>
      </w:r>
      <w:r w:rsidRPr="006475B0">
        <w:rPr>
          <w:rFonts w:ascii="Arial" w:hAnsi="Arial" w:cs="Arial"/>
          <w:sz w:val="22"/>
          <w:szCs w:val="22"/>
        </w:rPr>
        <w:t>. In reference to Mrs Mann the GP, physiotherapist and domiciliary care workers should work together to enhance her rehabilitation potential.</w:t>
      </w:r>
      <w:r w:rsidR="00AD2ED9" w:rsidRPr="006475B0">
        <w:rPr>
          <w:rFonts w:ascii="Arial" w:hAnsi="Arial" w:cs="Arial"/>
          <w:sz w:val="22"/>
          <w:szCs w:val="22"/>
        </w:rPr>
        <w:t xml:space="preserve"> </w:t>
      </w:r>
      <w:r w:rsidR="0064735C" w:rsidRPr="006475B0">
        <w:rPr>
          <w:rFonts w:ascii="Arial" w:hAnsi="Arial" w:cs="Arial"/>
          <w:sz w:val="22"/>
          <w:szCs w:val="22"/>
        </w:rPr>
        <w:t xml:space="preserve">To successfully evidence multi-agency working professionals must communicate frequently, make decisions collaboratively and implement actions or provide viewpoints from their professional perspectives </w:t>
      </w:r>
      <w:r w:rsidR="00650CAA" w:rsidRPr="00650CAA">
        <w:rPr>
          <w:rFonts w:ascii="Arial" w:hAnsi="Arial" w:cs="Arial"/>
          <w:sz w:val="22"/>
          <w:szCs w:val="22"/>
        </w:rPr>
        <w:t>(Dixon et al., 2022)</w:t>
      </w:r>
      <w:r w:rsidR="00650CAA">
        <w:rPr>
          <w:rFonts w:ascii="Arial" w:hAnsi="Arial" w:cs="Arial"/>
          <w:sz w:val="22"/>
          <w:szCs w:val="22"/>
        </w:rPr>
        <w:t>.</w:t>
      </w:r>
    </w:p>
    <w:p w14:paraId="3A691647" w14:textId="77777777" w:rsidR="002F26FF" w:rsidRPr="006475B0" w:rsidRDefault="002F26FF" w:rsidP="009F2EBB">
      <w:pPr>
        <w:spacing w:line="360" w:lineRule="auto"/>
        <w:jc w:val="both"/>
        <w:rPr>
          <w:rFonts w:ascii="Arial" w:hAnsi="Arial" w:cs="Arial"/>
          <w:color w:val="EE0000"/>
          <w:sz w:val="22"/>
          <w:szCs w:val="22"/>
        </w:rPr>
      </w:pPr>
    </w:p>
    <w:p w14:paraId="673EDEE6" w14:textId="5B475B0F" w:rsidR="00FF1E05" w:rsidRPr="006475B0" w:rsidRDefault="00FF1E05" w:rsidP="009F2EBB">
      <w:pPr>
        <w:spacing w:line="360" w:lineRule="auto"/>
        <w:jc w:val="both"/>
        <w:rPr>
          <w:rFonts w:ascii="Arial" w:hAnsi="Arial" w:cs="Arial"/>
          <w:sz w:val="22"/>
          <w:szCs w:val="22"/>
        </w:rPr>
      </w:pPr>
      <w:r w:rsidRPr="006475B0">
        <w:rPr>
          <w:rFonts w:ascii="Arial" w:hAnsi="Arial" w:cs="Arial"/>
          <w:sz w:val="22"/>
          <w:szCs w:val="22"/>
        </w:rPr>
        <w:t xml:space="preserve">Shared care plans are an approach stemmed from collaborative working, </w:t>
      </w:r>
      <w:r w:rsidR="00AD2ED9" w:rsidRPr="006475B0">
        <w:rPr>
          <w:rFonts w:ascii="Arial" w:hAnsi="Arial" w:cs="Arial"/>
          <w:sz w:val="22"/>
          <w:szCs w:val="22"/>
        </w:rPr>
        <w:t>this</w:t>
      </w:r>
      <w:r w:rsidRPr="006475B0">
        <w:rPr>
          <w:rFonts w:ascii="Arial" w:hAnsi="Arial" w:cs="Arial"/>
          <w:sz w:val="22"/>
          <w:szCs w:val="22"/>
        </w:rPr>
        <w:t xml:space="preserve"> is an agreement between multiple professionals to encourage shared responsibility for service users care and support needs</w:t>
      </w:r>
      <w:r w:rsidR="00650CAA">
        <w:rPr>
          <w:rFonts w:ascii="Arial" w:hAnsi="Arial" w:cs="Arial"/>
          <w:sz w:val="22"/>
          <w:szCs w:val="22"/>
        </w:rPr>
        <w:t xml:space="preserve"> </w:t>
      </w:r>
      <w:r w:rsidR="00650CAA" w:rsidRPr="00650CAA">
        <w:rPr>
          <w:rFonts w:ascii="Arial" w:hAnsi="Arial" w:cs="Arial"/>
          <w:sz w:val="22"/>
          <w:szCs w:val="22"/>
        </w:rPr>
        <w:t>(Dixon et al., 2022)</w:t>
      </w:r>
      <w:r w:rsidRPr="006475B0">
        <w:rPr>
          <w:rFonts w:ascii="Arial" w:hAnsi="Arial" w:cs="Arial"/>
          <w:sz w:val="22"/>
          <w:szCs w:val="22"/>
        </w:rPr>
        <w:t>. In order to create an effective shared care plan regular communication is required between professionals to ensure responsibility is distributed effectively</w:t>
      </w:r>
      <w:r w:rsidR="00650CAA">
        <w:rPr>
          <w:rFonts w:ascii="Arial" w:hAnsi="Arial" w:cs="Arial"/>
          <w:sz w:val="22"/>
          <w:szCs w:val="22"/>
        </w:rPr>
        <w:t xml:space="preserve"> </w:t>
      </w:r>
      <w:r w:rsidR="00650CAA" w:rsidRPr="00650CAA">
        <w:rPr>
          <w:rFonts w:ascii="Arial" w:hAnsi="Arial" w:cs="Arial"/>
          <w:sz w:val="22"/>
          <w:szCs w:val="22"/>
        </w:rPr>
        <w:t>(Dixon et al., 2022)</w:t>
      </w:r>
      <w:r w:rsidRPr="006475B0">
        <w:rPr>
          <w:rFonts w:ascii="Arial" w:hAnsi="Arial" w:cs="Arial"/>
          <w:sz w:val="22"/>
          <w:szCs w:val="22"/>
        </w:rPr>
        <w:t>. Collaborative working can be useful when supporting service users with complex health and care needs. However, there can also be challenges with a shared care plan approach as some professional’s perspectives can differ depending if they are from a medical or social background, priorities and organisational procedures can also differ (reference). Such challenges can be overcome with clear responsibilities being implemented from the start to ensure the work carried out is collaborative. The NMC code of practice (2018) places responsibility on professionals to work collaboratively with one another to ensure safe and efficient care and treatment is provided.</w:t>
      </w:r>
    </w:p>
    <w:p w14:paraId="7F49F536" w14:textId="77777777" w:rsidR="00720DB1" w:rsidRPr="006475B0" w:rsidRDefault="00720DB1" w:rsidP="009F2EBB">
      <w:pPr>
        <w:spacing w:line="360" w:lineRule="auto"/>
        <w:jc w:val="both"/>
        <w:rPr>
          <w:rFonts w:ascii="Arial" w:hAnsi="Arial" w:cs="Arial"/>
          <w:sz w:val="22"/>
          <w:szCs w:val="22"/>
        </w:rPr>
      </w:pPr>
    </w:p>
    <w:p w14:paraId="58CE81C5" w14:textId="0C48788A" w:rsidR="00C0397E" w:rsidRPr="006475B0" w:rsidRDefault="00EE6F03" w:rsidP="009F2EBB">
      <w:pPr>
        <w:spacing w:line="360" w:lineRule="auto"/>
        <w:jc w:val="both"/>
        <w:rPr>
          <w:rFonts w:ascii="Arial" w:hAnsi="Arial" w:cs="Arial"/>
          <w:sz w:val="22"/>
          <w:szCs w:val="22"/>
        </w:rPr>
      </w:pPr>
      <w:r w:rsidRPr="006475B0">
        <w:rPr>
          <w:rFonts w:ascii="Arial" w:hAnsi="Arial" w:cs="Arial"/>
          <w:sz w:val="22"/>
          <w:szCs w:val="22"/>
        </w:rPr>
        <w:t>Collaborative working needs to be improved in the context of Mrs Mann’s care as this would have ensured consistent care delivery</w:t>
      </w:r>
      <w:r w:rsidR="009033C5" w:rsidRPr="006475B0">
        <w:rPr>
          <w:rFonts w:ascii="Arial" w:hAnsi="Arial" w:cs="Arial"/>
          <w:sz w:val="22"/>
          <w:szCs w:val="22"/>
        </w:rPr>
        <w:t>.</w:t>
      </w:r>
      <w:r w:rsidRPr="006475B0">
        <w:rPr>
          <w:rFonts w:ascii="Arial" w:hAnsi="Arial" w:cs="Arial"/>
          <w:sz w:val="22"/>
          <w:szCs w:val="22"/>
        </w:rPr>
        <w:t xml:space="preserve"> </w:t>
      </w:r>
      <w:r w:rsidR="009033C5" w:rsidRPr="006475B0">
        <w:rPr>
          <w:rFonts w:ascii="Arial" w:hAnsi="Arial" w:cs="Arial"/>
          <w:sz w:val="22"/>
          <w:szCs w:val="22"/>
        </w:rPr>
        <w:t>T</w:t>
      </w:r>
      <w:r w:rsidRPr="006475B0">
        <w:rPr>
          <w:rFonts w:ascii="Arial" w:hAnsi="Arial" w:cs="Arial"/>
          <w:sz w:val="22"/>
          <w:szCs w:val="22"/>
        </w:rPr>
        <w:t>reatment delays could have been avoided if professionals worked collaboratively by communicating regularly to come to a mutual understanding. Collaborative working if implemented effectively, could support professionals to combine their skills, knowledge and expertise to support Mrs Mann to achieve her rehabilitation goals and ensure correct medication adjustments are actioned in a timely manner.</w:t>
      </w:r>
    </w:p>
    <w:p w14:paraId="18AF0E52" w14:textId="77777777" w:rsidR="002F26FF" w:rsidRPr="006475B0" w:rsidRDefault="002F26FF" w:rsidP="009F2EBB">
      <w:pPr>
        <w:spacing w:line="360" w:lineRule="auto"/>
        <w:jc w:val="both"/>
        <w:rPr>
          <w:rFonts w:ascii="Arial" w:hAnsi="Arial" w:cs="Arial"/>
          <w:sz w:val="22"/>
          <w:szCs w:val="22"/>
        </w:rPr>
      </w:pPr>
    </w:p>
    <w:p w14:paraId="389A4EBC" w14:textId="7EA06703" w:rsidR="00DE10AC" w:rsidRPr="006475B0" w:rsidRDefault="00EE6F03" w:rsidP="009F2EBB">
      <w:pPr>
        <w:spacing w:line="360" w:lineRule="auto"/>
        <w:jc w:val="both"/>
        <w:rPr>
          <w:rFonts w:ascii="Arial" w:hAnsi="Arial" w:cs="Arial"/>
          <w:sz w:val="22"/>
          <w:szCs w:val="22"/>
        </w:rPr>
      </w:pPr>
      <w:r w:rsidRPr="006475B0">
        <w:rPr>
          <w:rFonts w:ascii="Arial" w:hAnsi="Arial" w:cs="Arial"/>
          <w:sz w:val="22"/>
          <w:szCs w:val="22"/>
        </w:rPr>
        <w:t xml:space="preserve">In conclusion, Mrs Mann’s case study did evidence poor practice as there was inconsistent documentation, missed communication leading to delayed medication adjustment. However, practice in health and social care is a continuous developmental journey, as lessons can be learnt to avoid mistakes in future practice. Mrs Mann’s case can be used as learning to emphasise the importance of good administrative skills, effective communication, multi-agency collaborative working to provide safe and person-centred care. </w:t>
      </w:r>
      <w:r w:rsidR="009F2EBB" w:rsidRPr="006475B0">
        <w:rPr>
          <w:rFonts w:ascii="Arial" w:hAnsi="Arial" w:cs="Arial"/>
          <w:sz w:val="22"/>
          <w:szCs w:val="22"/>
        </w:rPr>
        <w:t>L</w:t>
      </w:r>
      <w:r w:rsidRPr="006475B0">
        <w:rPr>
          <w:rFonts w:ascii="Arial" w:hAnsi="Arial" w:cs="Arial"/>
          <w:sz w:val="22"/>
          <w:szCs w:val="22"/>
        </w:rPr>
        <w:t xml:space="preserve">egislation, policy and standards that health and care professionals are bounded by for example the Data Protection Act 2018, Equality Act 2010 and the NMC Code of Practice 2018 supports professionals to ensure effective communication, good administrative skills and collaborative working is implemented to support service users in a shared care plan approach. </w:t>
      </w:r>
    </w:p>
    <w:p w14:paraId="7D198E1E" w14:textId="77777777" w:rsidR="00595EB7" w:rsidRPr="006475B0" w:rsidRDefault="00595EB7" w:rsidP="009F2EBB">
      <w:pPr>
        <w:spacing w:line="360" w:lineRule="auto"/>
        <w:jc w:val="both"/>
        <w:rPr>
          <w:rFonts w:ascii="Arial" w:hAnsi="Arial" w:cs="Arial"/>
          <w:b/>
          <w:bCs/>
          <w:sz w:val="22"/>
          <w:szCs w:val="22"/>
          <w:u w:val="single"/>
        </w:rPr>
      </w:pPr>
    </w:p>
    <w:p w14:paraId="10AE0978" w14:textId="77777777" w:rsidR="00595EB7" w:rsidRPr="006475B0" w:rsidRDefault="00595EB7" w:rsidP="009F2EBB">
      <w:pPr>
        <w:spacing w:line="360" w:lineRule="auto"/>
        <w:jc w:val="both"/>
        <w:rPr>
          <w:rFonts w:ascii="Arial" w:hAnsi="Arial" w:cs="Arial"/>
          <w:b/>
          <w:bCs/>
          <w:sz w:val="22"/>
          <w:szCs w:val="22"/>
          <w:u w:val="single"/>
        </w:rPr>
      </w:pPr>
    </w:p>
    <w:p w14:paraId="35A585D5" w14:textId="77777777" w:rsidR="00183355" w:rsidRPr="006475B0" w:rsidRDefault="00183355" w:rsidP="009F2EBB">
      <w:pPr>
        <w:spacing w:line="360" w:lineRule="auto"/>
        <w:jc w:val="both"/>
        <w:rPr>
          <w:rFonts w:ascii="Arial" w:hAnsi="Arial" w:cs="Arial"/>
          <w:b/>
          <w:bCs/>
          <w:sz w:val="22"/>
          <w:szCs w:val="22"/>
          <w:u w:val="single"/>
        </w:rPr>
      </w:pPr>
    </w:p>
    <w:p w14:paraId="2DA329AC" w14:textId="77777777" w:rsidR="00183355" w:rsidRPr="006475B0" w:rsidRDefault="00183355" w:rsidP="009F2EBB">
      <w:pPr>
        <w:spacing w:line="360" w:lineRule="auto"/>
        <w:jc w:val="both"/>
        <w:rPr>
          <w:rFonts w:ascii="Arial" w:hAnsi="Arial" w:cs="Arial"/>
          <w:b/>
          <w:bCs/>
          <w:sz w:val="22"/>
          <w:szCs w:val="22"/>
          <w:u w:val="single"/>
        </w:rPr>
      </w:pPr>
    </w:p>
    <w:p w14:paraId="11C67AEB" w14:textId="77777777" w:rsidR="00183355" w:rsidRPr="006475B0" w:rsidRDefault="00183355" w:rsidP="009F2EBB">
      <w:pPr>
        <w:spacing w:line="360" w:lineRule="auto"/>
        <w:jc w:val="both"/>
        <w:rPr>
          <w:rFonts w:ascii="Arial" w:hAnsi="Arial" w:cs="Arial"/>
          <w:b/>
          <w:bCs/>
          <w:sz w:val="22"/>
          <w:szCs w:val="22"/>
          <w:u w:val="single"/>
        </w:rPr>
      </w:pPr>
    </w:p>
    <w:p w14:paraId="1CE28F5E" w14:textId="77777777" w:rsidR="00183355" w:rsidRPr="006475B0" w:rsidRDefault="00183355" w:rsidP="009F2EBB">
      <w:pPr>
        <w:spacing w:line="360" w:lineRule="auto"/>
        <w:jc w:val="both"/>
        <w:rPr>
          <w:rFonts w:ascii="Arial" w:hAnsi="Arial" w:cs="Arial"/>
          <w:b/>
          <w:bCs/>
          <w:sz w:val="22"/>
          <w:szCs w:val="22"/>
          <w:u w:val="single"/>
        </w:rPr>
      </w:pPr>
    </w:p>
    <w:p w14:paraId="10AF51DA" w14:textId="77777777" w:rsidR="00183355" w:rsidRPr="006475B0" w:rsidRDefault="00183355" w:rsidP="009F2EBB">
      <w:pPr>
        <w:spacing w:line="360" w:lineRule="auto"/>
        <w:jc w:val="both"/>
        <w:rPr>
          <w:rFonts w:ascii="Arial" w:hAnsi="Arial" w:cs="Arial"/>
          <w:b/>
          <w:bCs/>
          <w:sz w:val="22"/>
          <w:szCs w:val="22"/>
          <w:u w:val="single"/>
        </w:rPr>
      </w:pPr>
    </w:p>
    <w:p w14:paraId="2E4E540E" w14:textId="77777777" w:rsidR="00183355" w:rsidRPr="006475B0" w:rsidRDefault="00183355" w:rsidP="009F2EBB">
      <w:pPr>
        <w:spacing w:line="360" w:lineRule="auto"/>
        <w:jc w:val="both"/>
        <w:rPr>
          <w:rFonts w:ascii="Arial" w:hAnsi="Arial" w:cs="Arial"/>
          <w:b/>
          <w:bCs/>
          <w:sz w:val="22"/>
          <w:szCs w:val="22"/>
          <w:u w:val="single"/>
        </w:rPr>
      </w:pPr>
    </w:p>
    <w:p w14:paraId="7FAA1AD3" w14:textId="77777777" w:rsidR="00183355" w:rsidRPr="006475B0" w:rsidRDefault="00183355" w:rsidP="009F2EBB">
      <w:pPr>
        <w:spacing w:line="360" w:lineRule="auto"/>
        <w:jc w:val="both"/>
        <w:rPr>
          <w:rFonts w:ascii="Arial" w:hAnsi="Arial" w:cs="Arial"/>
          <w:b/>
          <w:bCs/>
          <w:sz w:val="22"/>
          <w:szCs w:val="22"/>
          <w:u w:val="single"/>
        </w:rPr>
      </w:pPr>
    </w:p>
    <w:p w14:paraId="4E501911" w14:textId="77777777" w:rsidR="00183355" w:rsidRPr="006475B0" w:rsidRDefault="00183355" w:rsidP="009F2EBB">
      <w:pPr>
        <w:spacing w:line="360" w:lineRule="auto"/>
        <w:jc w:val="both"/>
        <w:rPr>
          <w:rFonts w:ascii="Arial" w:hAnsi="Arial" w:cs="Arial"/>
          <w:b/>
          <w:bCs/>
          <w:sz w:val="22"/>
          <w:szCs w:val="22"/>
          <w:u w:val="single"/>
        </w:rPr>
      </w:pPr>
    </w:p>
    <w:p w14:paraId="02389691" w14:textId="77777777" w:rsidR="00183355" w:rsidRPr="006475B0" w:rsidRDefault="00183355" w:rsidP="009F2EBB">
      <w:pPr>
        <w:spacing w:line="360" w:lineRule="auto"/>
        <w:jc w:val="both"/>
        <w:rPr>
          <w:rFonts w:ascii="Arial" w:hAnsi="Arial" w:cs="Arial"/>
          <w:b/>
          <w:bCs/>
          <w:sz w:val="22"/>
          <w:szCs w:val="22"/>
          <w:u w:val="single"/>
        </w:rPr>
      </w:pPr>
    </w:p>
    <w:p w14:paraId="7EE9CA4F" w14:textId="77777777" w:rsidR="00183355" w:rsidRPr="006475B0" w:rsidRDefault="00183355" w:rsidP="009F2EBB">
      <w:pPr>
        <w:spacing w:line="360" w:lineRule="auto"/>
        <w:jc w:val="both"/>
        <w:rPr>
          <w:rFonts w:ascii="Arial" w:hAnsi="Arial" w:cs="Arial"/>
          <w:b/>
          <w:bCs/>
          <w:sz w:val="22"/>
          <w:szCs w:val="22"/>
          <w:u w:val="single"/>
        </w:rPr>
      </w:pPr>
    </w:p>
    <w:p w14:paraId="17FB6FA2" w14:textId="77777777" w:rsidR="00183355" w:rsidRPr="006475B0" w:rsidRDefault="00183355" w:rsidP="009F2EBB">
      <w:pPr>
        <w:spacing w:line="360" w:lineRule="auto"/>
        <w:jc w:val="both"/>
        <w:rPr>
          <w:rFonts w:ascii="Arial" w:hAnsi="Arial" w:cs="Arial"/>
          <w:b/>
          <w:bCs/>
          <w:sz w:val="22"/>
          <w:szCs w:val="22"/>
          <w:u w:val="single"/>
        </w:rPr>
      </w:pPr>
    </w:p>
    <w:p w14:paraId="3A748786" w14:textId="77777777" w:rsidR="00183355" w:rsidRPr="006475B0" w:rsidRDefault="00183355" w:rsidP="009F2EBB">
      <w:pPr>
        <w:spacing w:line="360" w:lineRule="auto"/>
        <w:jc w:val="both"/>
        <w:rPr>
          <w:rFonts w:ascii="Arial" w:hAnsi="Arial" w:cs="Arial"/>
          <w:b/>
          <w:bCs/>
          <w:sz w:val="22"/>
          <w:szCs w:val="22"/>
          <w:u w:val="single"/>
        </w:rPr>
      </w:pPr>
    </w:p>
    <w:p w14:paraId="0BBA50D1" w14:textId="77777777" w:rsidR="002B2A8B" w:rsidRPr="006475B0" w:rsidRDefault="002B2A8B" w:rsidP="009F2EBB">
      <w:pPr>
        <w:spacing w:line="360" w:lineRule="auto"/>
        <w:jc w:val="both"/>
        <w:rPr>
          <w:rFonts w:ascii="Arial" w:hAnsi="Arial" w:cs="Arial"/>
          <w:b/>
          <w:bCs/>
          <w:sz w:val="22"/>
          <w:szCs w:val="22"/>
          <w:u w:val="single"/>
        </w:rPr>
      </w:pPr>
    </w:p>
    <w:p w14:paraId="76BD903D" w14:textId="77777777" w:rsidR="002B2A8B" w:rsidRPr="006475B0" w:rsidRDefault="002B2A8B" w:rsidP="009F2EBB">
      <w:pPr>
        <w:spacing w:line="360" w:lineRule="auto"/>
        <w:jc w:val="both"/>
        <w:rPr>
          <w:rFonts w:ascii="Arial" w:hAnsi="Arial" w:cs="Arial"/>
          <w:b/>
          <w:bCs/>
          <w:sz w:val="22"/>
          <w:szCs w:val="22"/>
          <w:u w:val="single"/>
        </w:rPr>
      </w:pPr>
    </w:p>
    <w:p w14:paraId="5A955AAB" w14:textId="77777777" w:rsidR="002B2A8B" w:rsidRPr="006475B0" w:rsidRDefault="002B2A8B" w:rsidP="009F2EBB">
      <w:pPr>
        <w:spacing w:line="360" w:lineRule="auto"/>
        <w:jc w:val="both"/>
        <w:rPr>
          <w:rFonts w:ascii="Arial" w:hAnsi="Arial" w:cs="Arial"/>
          <w:b/>
          <w:bCs/>
          <w:sz w:val="22"/>
          <w:szCs w:val="22"/>
          <w:u w:val="single"/>
        </w:rPr>
      </w:pPr>
    </w:p>
    <w:p w14:paraId="6918DB94" w14:textId="77777777" w:rsidR="00087334" w:rsidRDefault="00087334" w:rsidP="009F2EBB">
      <w:pPr>
        <w:spacing w:line="360" w:lineRule="auto"/>
        <w:jc w:val="both"/>
        <w:rPr>
          <w:rFonts w:ascii="Arial" w:hAnsi="Arial" w:cs="Arial"/>
          <w:b/>
          <w:bCs/>
          <w:sz w:val="22"/>
          <w:szCs w:val="22"/>
          <w:u w:val="single"/>
        </w:rPr>
      </w:pPr>
    </w:p>
    <w:p w14:paraId="509A2DE1" w14:textId="529CEC0F" w:rsidR="001B664F" w:rsidRPr="006475B0" w:rsidRDefault="0085479D" w:rsidP="009F2EBB">
      <w:pPr>
        <w:spacing w:line="360" w:lineRule="auto"/>
        <w:jc w:val="both"/>
        <w:rPr>
          <w:rFonts w:ascii="Arial" w:hAnsi="Arial" w:cs="Arial"/>
          <w:b/>
          <w:bCs/>
          <w:sz w:val="22"/>
          <w:szCs w:val="22"/>
          <w:u w:val="single"/>
        </w:rPr>
      </w:pPr>
      <w:r w:rsidRPr="006475B0">
        <w:rPr>
          <w:rFonts w:ascii="Arial" w:hAnsi="Arial" w:cs="Arial"/>
          <w:b/>
          <w:bCs/>
          <w:sz w:val="22"/>
          <w:szCs w:val="22"/>
          <w:u w:val="single"/>
        </w:rPr>
        <w:lastRenderedPageBreak/>
        <w:t>References:</w:t>
      </w:r>
    </w:p>
    <w:p w14:paraId="3995C5FC" w14:textId="57D99BFE" w:rsidR="002B6A23" w:rsidRDefault="002B6A23" w:rsidP="009F2EBB">
      <w:pPr>
        <w:spacing w:line="360" w:lineRule="auto"/>
        <w:jc w:val="both"/>
        <w:rPr>
          <w:rFonts w:ascii="Arial" w:hAnsi="Arial" w:cs="Arial"/>
          <w:sz w:val="22"/>
          <w:szCs w:val="22"/>
        </w:rPr>
      </w:pPr>
      <w:r w:rsidRPr="002B6A23">
        <w:rPr>
          <w:rFonts w:ascii="Arial" w:hAnsi="Arial" w:cs="Arial"/>
          <w:sz w:val="22"/>
          <w:szCs w:val="22"/>
        </w:rPr>
        <w:t>Ali, P.A. and Watson, R., 2018. Language barriers and their impact on provision of care to patients with limited English proficiency: Nurses’ perspectives. Journal of Clinical Nursing, 27(5-6), pp.e1152–e1160. Available at: https://hull-repository.worktribe.com/output/456487 (Accessed 6 November 2025).</w:t>
      </w:r>
    </w:p>
    <w:p w14:paraId="67AB5A4A" w14:textId="77777777" w:rsidR="0093529E" w:rsidRDefault="0093529E" w:rsidP="009F2EBB">
      <w:pPr>
        <w:spacing w:line="360" w:lineRule="auto"/>
        <w:jc w:val="both"/>
        <w:rPr>
          <w:rFonts w:ascii="Arial" w:hAnsi="Arial" w:cs="Arial"/>
          <w:sz w:val="22"/>
          <w:szCs w:val="22"/>
        </w:rPr>
      </w:pPr>
    </w:p>
    <w:p w14:paraId="2497D97D" w14:textId="2209A929" w:rsidR="002B6A23" w:rsidRDefault="0093529E" w:rsidP="009F2EBB">
      <w:pPr>
        <w:spacing w:line="360" w:lineRule="auto"/>
        <w:jc w:val="both"/>
        <w:rPr>
          <w:rFonts w:ascii="Arial" w:hAnsi="Arial" w:cs="Arial"/>
          <w:sz w:val="22"/>
          <w:szCs w:val="22"/>
        </w:rPr>
      </w:pPr>
      <w:r w:rsidRPr="0093529E">
        <w:rPr>
          <w:rFonts w:ascii="Arial" w:hAnsi="Arial" w:cs="Arial"/>
          <w:sz w:val="22"/>
          <w:szCs w:val="22"/>
        </w:rPr>
        <w:t>Brooker, C. and Waugh, A., 2020. Foundations of Nursing Practice: Fundamentals of Holistic Care. 3rd ed. Edinburgh: Elsevier. (Accessed 6th November 2025)</w:t>
      </w:r>
    </w:p>
    <w:p w14:paraId="62A8F018" w14:textId="77777777" w:rsidR="002B6A23" w:rsidRDefault="002B6A23" w:rsidP="009F2EBB">
      <w:pPr>
        <w:spacing w:line="360" w:lineRule="auto"/>
        <w:jc w:val="both"/>
        <w:rPr>
          <w:rFonts w:ascii="Arial" w:hAnsi="Arial" w:cs="Arial"/>
          <w:sz w:val="22"/>
          <w:szCs w:val="22"/>
        </w:rPr>
      </w:pPr>
    </w:p>
    <w:p w14:paraId="12A38943" w14:textId="29D07F7A" w:rsidR="0093529E" w:rsidRDefault="0093529E" w:rsidP="009F2EBB">
      <w:pPr>
        <w:spacing w:line="360" w:lineRule="auto"/>
        <w:jc w:val="both"/>
        <w:rPr>
          <w:rFonts w:ascii="Arial" w:hAnsi="Arial" w:cs="Arial"/>
          <w:sz w:val="22"/>
          <w:szCs w:val="22"/>
        </w:rPr>
      </w:pPr>
      <w:r w:rsidRPr="0093529E">
        <w:rPr>
          <w:rFonts w:ascii="Arial" w:hAnsi="Arial" w:cs="Arial"/>
          <w:sz w:val="22"/>
          <w:szCs w:val="22"/>
        </w:rPr>
        <w:t>Data Protection Act 2018. Available at: https://www.legislation.gov.uk/ukpga/2018/12/contents (Accessed: 5th November 2025)</w:t>
      </w:r>
    </w:p>
    <w:p w14:paraId="60475C64" w14:textId="77777777" w:rsidR="0093529E" w:rsidRDefault="0093529E" w:rsidP="009F2EBB">
      <w:pPr>
        <w:spacing w:line="360" w:lineRule="auto"/>
        <w:jc w:val="both"/>
        <w:rPr>
          <w:rFonts w:ascii="Arial" w:hAnsi="Arial" w:cs="Arial"/>
          <w:sz w:val="22"/>
          <w:szCs w:val="22"/>
        </w:rPr>
      </w:pPr>
    </w:p>
    <w:p w14:paraId="04EF3A55" w14:textId="0BA727B0" w:rsidR="0093529E" w:rsidRDefault="0093529E" w:rsidP="009F2EBB">
      <w:pPr>
        <w:spacing w:line="360" w:lineRule="auto"/>
        <w:jc w:val="both"/>
        <w:rPr>
          <w:rFonts w:ascii="Arial" w:hAnsi="Arial" w:cs="Arial"/>
          <w:sz w:val="22"/>
          <w:szCs w:val="22"/>
        </w:rPr>
      </w:pPr>
      <w:r w:rsidRPr="0093529E">
        <w:rPr>
          <w:rFonts w:ascii="Arial" w:hAnsi="Arial" w:cs="Arial"/>
          <w:sz w:val="22"/>
          <w:szCs w:val="22"/>
        </w:rPr>
        <w:t>Data Protection Act 2018 + UK GDPR guidance (ICO). Available at: https://ico.org.uk/about-the-ico/what-we-do/legislation-we-cover/data-protection-act-2018/ (Accessed: 5th November 2025)</w:t>
      </w:r>
    </w:p>
    <w:p w14:paraId="13787A86" w14:textId="77777777" w:rsidR="0093529E" w:rsidRDefault="0093529E" w:rsidP="009F2EBB">
      <w:pPr>
        <w:spacing w:line="360" w:lineRule="auto"/>
        <w:jc w:val="both"/>
        <w:rPr>
          <w:rFonts w:ascii="Arial" w:hAnsi="Arial" w:cs="Arial"/>
          <w:sz w:val="22"/>
          <w:szCs w:val="22"/>
        </w:rPr>
      </w:pPr>
    </w:p>
    <w:p w14:paraId="63AFE667" w14:textId="25694585" w:rsidR="00947B4D" w:rsidRDefault="00947B4D" w:rsidP="009F2EBB">
      <w:pPr>
        <w:spacing w:line="360" w:lineRule="auto"/>
        <w:jc w:val="both"/>
        <w:rPr>
          <w:rFonts w:ascii="Arial" w:hAnsi="Arial" w:cs="Arial"/>
          <w:sz w:val="22"/>
          <w:szCs w:val="22"/>
        </w:rPr>
      </w:pPr>
      <w:r w:rsidRPr="006475B0">
        <w:rPr>
          <w:rFonts w:ascii="Arial" w:hAnsi="Arial" w:cs="Arial"/>
          <w:sz w:val="22"/>
          <w:szCs w:val="22"/>
        </w:rPr>
        <w:t>Department of Health and Social Care (DHSC), 2016. The Caldicott Principles. London: DHSC. (Accessed 6</w:t>
      </w:r>
      <w:r w:rsidRPr="006475B0">
        <w:rPr>
          <w:rFonts w:ascii="Arial" w:hAnsi="Arial" w:cs="Arial"/>
          <w:sz w:val="22"/>
          <w:szCs w:val="22"/>
          <w:vertAlign w:val="superscript"/>
        </w:rPr>
        <w:t>th</w:t>
      </w:r>
      <w:r w:rsidRPr="006475B0">
        <w:rPr>
          <w:rFonts w:ascii="Arial" w:hAnsi="Arial" w:cs="Arial"/>
          <w:sz w:val="22"/>
          <w:szCs w:val="22"/>
        </w:rPr>
        <w:t xml:space="preserve"> November 2025)</w:t>
      </w:r>
    </w:p>
    <w:p w14:paraId="4DDCF73B" w14:textId="77777777" w:rsidR="00947B4D" w:rsidRDefault="00947B4D" w:rsidP="00947B4D">
      <w:pPr>
        <w:spacing w:line="360" w:lineRule="auto"/>
        <w:jc w:val="both"/>
        <w:rPr>
          <w:rFonts w:ascii="Arial" w:hAnsi="Arial" w:cs="Arial"/>
          <w:sz w:val="22"/>
          <w:szCs w:val="22"/>
        </w:rPr>
      </w:pPr>
    </w:p>
    <w:p w14:paraId="31055F50" w14:textId="77777777" w:rsidR="00947B4D" w:rsidRPr="006475B0" w:rsidRDefault="00947B4D" w:rsidP="00947B4D">
      <w:pPr>
        <w:spacing w:line="360" w:lineRule="auto"/>
        <w:jc w:val="both"/>
        <w:rPr>
          <w:rFonts w:ascii="Arial" w:hAnsi="Arial" w:cs="Arial"/>
          <w:sz w:val="22"/>
          <w:szCs w:val="22"/>
        </w:rPr>
      </w:pPr>
      <w:r w:rsidRPr="00F67387">
        <w:rPr>
          <w:rFonts w:ascii="Arial" w:hAnsi="Arial" w:cs="Arial"/>
          <w:sz w:val="22"/>
          <w:szCs w:val="22"/>
        </w:rPr>
        <w:t xml:space="preserve">Dixon, S., Kendall, B., Driscoll, J., et al. (2022) Supporting the “Multi” in Multi-agency working: Learning with and from Each Other Could Enable multi-agency Safeguarding. British Journal of General Practice, 72 (722): 438–439. </w:t>
      </w:r>
      <w:proofErr w:type="spellStart"/>
      <w:r w:rsidRPr="00F67387">
        <w:rPr>
          <w:rFonts w:ascii="Arial" w:hAnsi="Arial" w:cs="Arial"/>
          <w:sz w:val="22"/>
          <w:szCs w:val="22"/>
        </w:rPr>
        <w:t>doi:https</w:t>
      </w:r>
      <w:proofErr w:type="spellEnd"/>
      <w:r w:rsidRPr="00F67387">
        <w:rPr>
          <w:rFonts w:ascii="Arial" w:hAnsi="Arial" w:cs="Arial"/>
          <w:sz w:val="22"/>
          <w:szCs w:val="22"/>
        </w:rPr>
        <w:t>://doi.org/10.3399/bjgp22x720617.</w:t>
      </w:r>
      <w:r>
        <w:rPr>
          <w:rFonts w:ascii="Arial" w:hAnsi="Arial" w:cs="Arial"/>
          <w:sz w:val="22"/>
          <w:szCs w:val="22"/>
        </w:rPr>
        <w:t xml:space="preserve"> (Assessed 13</w:t>
      </w:r>
      <w:r w:rsidRPr="00C9647F">
        <w:rPr>
          <w:rFonts w:ascii="Arial" w:hAnsi="Arial" w:cs="Arial"/>
          <w:sz w:val="22"/>
          <w:szCs w:val="22"/>
          <w:vertAlign w:val="superscript"/>
        </w:rPr>
        <w:t>th</w:t>
      </w:r>
      <w:r>
        <w:rPr>
          <w:rFonts w:ascii="Arial" w:hAnsi="Arial" w:cs="Arial"/>
          <w:sz w:val="22"/>
          <w:szCs w:val="22"/>
        </w:rPr>
        <w:t xml:space="preserve"> November 2025)</w:t>
      </w:r>
    </w:p>
    <w:p w14:paraId="40F338F5" w14:textId="77777777" w:rsidR="00947B4D" w:rsidRDefault="00947B4D" w:rsidP="009F2EBB">
      <w:pPr>
        <w:spacing w:line="360" w:lineRule="auto"/>
        <w:jc w:val="both"/>
        <w:rPr>
          <w:rFonts w:ascii="Arial" w:hAnsi="Arial" w:cs="Arial"/>
          <w:sz w:val="22"/>
          <w:szCs w:val="22"/>
        </w:rPr>
      </w:pPr>
    </w:p>
    <w:p w14:paraId="24C0EEA7" w14:textId="26D594BA" w:rsidR="00087334" w:rsidRDefault="00214637" w:rsidP="009F2EBB">
      <w:pPr>
        <w:spacing w:line="360" w:lineRule="auto"/>
        <w:jc w:val="both"/>
        <w:rPr>
          <w:rFonts w:ascii="Arial" w:hAnsi="Arial" w:cs="Arial"/>
          <w:sz w:val="22"/>
          <w:szCs w:val="22"/>
        </w:rPr>
      </w:pPr>
      <w:r w:rsidRPr="006475B0">
        <w:rPr>
          <w:rFonts w:ascii="Arial" w:hAnsi="Arial" w:cs="Arial"/>
          <w:sz w:val="22"/>
          <w:szCs w:val="22"/>
        </w:rPr>
        <w:t>Equality Act 2010. Available at: https://www.legislation.gov.uk/ukpga/2010/15/contents (Accessed:</w:t>
      </w:r>
      <w:r w:rsidR="00982245" w:rsidRPr="006475B0">
        <w:rPr>
          <w:rFonts w:ascii="Arial" w:hAnsi="Arial" w:cs="Arial"/>
          <w:sz w:val="22"/>
          <w:szCs w:val="22"/>
        </w:rPr>
        <w:t>5</w:t>
      </w:r>
      <w:r w:rsidR="00982245" w:rsidRPr="006475B0">
        <w:rPr>
          <w:rFonts w:ascii="Arial" w:hAnsi="Arial" w:cs="Arial"/>
          <w:sz w:val="22"/>
          <w:szCs w:val="22"/>
          <w:vertAlign w:val="superscript"/>
        </w:rPr>
        <w:t>th</w:t>
      </w:r>
      <w:r w:rsidR="00982245" w:rsidRPr="006475B0">
        <w:rPr>
          <w:rFonts w:ascii="Arial" w:hAnsi="Arial" w:cs="Arial"/>
          <w:sz w:val="22"/>
          <w:szCs w:val="22"/>
        </w:rPr>
        <w:t xml:space="preserve"> November 2025</w:t>
      </w:r>
      <w:r w:rsidRPr="006475B0">
        <w:rPr>
          <w:rFonts w:ascii="Arial" w:hAnsi="Arial" w:cs="Arial"/>
          <w:sz w:val="22"/>
          <w:szCs w:val="22"/>
        </w:rPr>
        <w:t>)</w:t>
      </w:r>
      <w:r w:rsidRPr="006475B0">
        <w:rPr>
          <w:rFonts w:ascii="Arial" w:hAnsi="Arial" w:cs="Arial"/>
          <w:sz w:val="22"/>
          <w:szCs w:val="22"/>
        </w:rPr>
        <w:br/>
      </w:r>
      <w:r w:rsidR="00183355" w:rsidRPr="006475B0">
        <w:rPr>
          <w:rFonts w:ascii="Arial" w:hAnsi="Arial" w:cs="Arial"/>
          <w:sz w:val="22"/>
          <w:szCs w:val="22"/>
        </w:rPr>
        <w:br/>
      </w:r>
    </w:p>
    <w:p w14:paraId="5DD17F3A" w14:textId="77777777" w:rsidR="00883FF3" w:rsidRDefault="00BE19E8" w:rsidP="009F2EBB">
      <w:pPr>
        <w:spacing w:line="360" w:lineRule="auto"/>
        <w:jc w:val="both"/>
        <w:rPr>
          <w:rFonts w:ascii="Arial" w:hAnsi="Arial" w:cs="Arial"/>
          <w:sz w:val="22"/>
          <w:szCs w:val="22"/>
        </w:rPr>
      </w:pPr>
      <w:r w:rsidRPr="006475B0">
        <w:rPr>
          <w:rFonts w:ascii="Arial" w:hAnsi="Arial" w:cs="Arial"/>
          <w:sz w:val="22"/>
          <w:szCs w:val="22"/>
        </w:rPr>
        <w:t>Equality Act 2010 – guidance. Available at: https://www.gov.uk/guidance/equality-act-2010-guidance (Accessed:</w:t>
      </w:r>
      <w:r w:rsidR="00982245" w:rsidRPr="006475B0">
        <w:rPr>
          <w:rFonts w:ascii="Arial" w:hAnsi="Arial" w:cs="Arial"/>
          <w:sz w:val="22"/>
          <w:szCs w:val="22"/>
        </w:rPr>
        <w:t xml:space="preserve"> 5</w:t>
      </w:r>
      <w:r w:rsidR="00982245" w:rsidRPr="006475B0">
        <w:rPr>
          <w:rFonts w:ascii="Arial" w:hAnsi="Arial" w:cs="Arial"/>
          <w:sz w:val="22"/>
          <w:szCs w:val="22"/>
          <w:vertAlign w:val="superscript"/>
        </w:rPr>
        <w:t>th</w:t>
      </w:r>
      <w:r w:rsidR="00982245" w:rsidRPr="006475B0">
        <w:rPr>
          <w:rFonts w:ascii="Arial" w:hAnsi="Arial" w:cs="Arial"/>
          <w:sz w:val="22"/>
          <w:szCs w:val="22"/>
        </w:rPr>
        <w:t xml:space="preserve"> November 2025</w:t>
      </w:r>
      <w:r w:rsidRPr="006475B0">
        <w:rPr>
          <w:rFonts w:ascii="Arial" w:hAnsi="Arial" w:cs="Arial"/>
          <w:sz w:val="22"/>
          <w:szCs w:val="22"/>
        </w:rPr>
        <w:t>)</w:t>
      </w:r>
    </w:p>
    <w:p w14:paraId="490AC7D6" w14:textId="77777777" w:rsidR="00883FF3" w:rsidRPr="00AD7196" w:rsidRDefault="00883FF3" w:rsidP="00883FF3">
      <w:pPr>
        <w:spacing w:line="360" w:lineRule="auto"/>
        <w:jc w:val="both"/>
        <w:rPr>
          <w:rFonts w:ascii="Arial" w:hAnsi="Arial" w:cs="Arial"/>
          <w:sz w:val="22"/>
          <w:szCs w:val="22"/>
        </w:rPr>
      </w:pPr>
      <w:r w:rsidRPr="00AD7196">
        <w:rPr>
          <w:rFonts w:ascii="Arial" w:hAnsi="Arial" w:cs="Arial"/>
          <w:sz w:val="22"/>
          <w:szCs w:val="22"/>
        </w:rPr>
        <w:lastRenderedPageBreak/>
        <w:t xml:space="preserve">Hargie, O., Dickson, D. and </w:t>
      </w:r>
      <w:proofErr w:type="spellStart"/>
      <w:r w:rsidRPr="00AD7196">
        <w:rPr>
          <w:rFonts w:ascii="Arial" w:hAnsi="Arial" w:cs="Arial"/>
          <w:sz w:val="22"/>
          <w:szCs w:val="22"/>
        </w:rPr>
        <w:t>Tourish</w:t>
      </w:r>
      <w:proofErr w:type="spellEnd"/>
      <w:r w:rsidRPr="00AD7196">
        <w:rPr>
          <w:rFonts w:ascii="Arial" w:hAnsi="Arial" w:cs="Arial"/>
          <w:sz w:val="22"/>
          <w:szCs w:val="22"/>
        </w:rPr>
        <w:t xml:space="preserve">, D. (2004) </w:t>
      </w:r>
      <w:r w:rsidRPr="00AD7196">
        <w:rPr>
          <w:rFonts w:ascii="Arial" w:hAnsi="Arial" w:cs="Arial"/>
          <w:i/>
          <w:iCs/>
          <w:sz w:val="22"/>
          <w:szCs w:val="22"/>
        </w:rPr>
        <w:t>Communication Skills for Effective Management</w:t>
      </w:r>
      <w:r w:rsidRPr="00AD7196">
        <w:rPr>
          <w:rFonts w:ascii="Arial" w:hAnsi="Arial" w:cs="Arial"/>
          <w:sz w:val="22"/>
          <w:szCs w:val="22"/>
        </w:rPr>
        <w:t xml:space="preserve">. London: Macmillan Education UK. </w:t>
      </w:r>
      <w:proofErr w:type="spellStart"/>
      <w:r w:rsidRPr="00AD7196">
        <w:rPr>
          <w:rFonts w:ascii="Arial" w:hAnsi="Arial" w:cs="Arial"/>
          <w:sz w:val="22"/>
          <w:szCs w:val="22"/>
        </w:rPr>
        <w:t>doi:https</w:t>
      </w:r>
      <w:proofErr w:type="spellEnd"/>
      <w:r w:rsidRPr="00AD7196">
        <w:rPr>
          <w:rFonts w:ascii="Arial" w:hAnsi="Arial" w:cs="Arial"/>
          <w:sz w:val="22"/>
          <w:szCs w:val="22"/>
        </w:rPr>
        <w:t>://doi.org/10.1007/978-1-4039-3893-0.</w:t>
      </w:r>
      <w:r w:rsidRPr="006475B0">
        <w:rPr>
          <w:rFonts w:ascii="Arial" w:hAnsi="Arial" w:cs="Arial"/>
          <w:sz w:val="22"/>
          <w:szCs w:val="22"/>
        </w:rPr>
        <w:t xml:space="preserve"> (Assessed 12</w:t>
      </w:r>
      <w:r w:rsidRPr="006475B0">
        <w:rPr>
          <w:rFonts w:ascii="Arial" w:hAnsi="Arial" w:cs="Arial"/>
          <w:sz w:val="22"/>
          <w:szCs w:val="22"/>
          <w:vertAlign w:val="superscript"/>
        </w:rPr>
        <w:t>th</w:t>
      </w:r>
      <w:r w:rsidRPr="006475B0">
        <w:rPr>
          <w:rFonts w:ascii="Arial" w:hAnsi="Arial" w:cs="Arial"/>
          <w:sz w:val="22"/>
          <w:szCs w:val="22"/>
        </w:rPr>
        <w:t xml:space="preserve"> November 2025)</w:t>
      </w:r>
    </w:p>
    <w:p w14:paraId="0E935DDB" w14:textId="0ED3AA06" w:rsidR="006A3509" w:rsidRPr="006475B0" w:rsidRDefault="00330572" w:rsidP="009F2EBB">
      <w:pPr>
        <w:spacing w:line="360" w:lineRule="auto"/>
        <w:jc w:val="both"/>
        <w:rPr>
          <w:rFonts w:ascii="Arial" w:hAnsi="Arial" w:cs="Arial"/>
          <w:sz w:val="22"/>
          <w:szCs w:val="22"/>
        </w:rPr>
      </w:pPr>
      <w:r w:rsidRPr="006475B0">
        <w:rPr>
          <w:rFonts w:ascii="Arial" w:hAnsi="Arial" w:cs="Arial"/>
          <w:sz w:val="22"/>
          <w:szCs w:val="22"/>
        </w:rPr>
        <w:br/>
      </w:r>
      <w:r w:rsidRPr="006475B0">
        <w:rPr>
          <w:rFonts w:ascii="Arial" w:hAnsi="Arial" w:cs="Arial"/>
          <w:sz w:val="22"/>
          <w:szCs w:val="22"/>
        </w:rPr>
        <w:br/>
      </w:r>
      <w:r w:rsidR="000664D1" w:rsidRPr="006475B0">
        <w:rPr>
          <w:rFonts w:ascii="Arial" w:hAnsi="Arial" w:cs="Arial"/>
          <w:sz w:val="22"/>
          <w:szCs w:val="22"/>
        </w:rPr>
        <w:t>Information Commissioner’s Office (ICO), 2021. Guide to the UK General Data Protection Regulation (UK GDPR). Wilmslow: ICO.</w:t>
      </w:r>
      <w:r w:rsidR="006A3509" w:rsidRPr="006475B0">
        <w:rPr>
          <w:rFonts w:ascii="Arial" w:hAnsi="Arial" w:cs="Arial"/>
          <w:sz w:val="22"/>
          <w:szCs w:val="22"/>
        </w:rPr>
        <w:t xml:space="preserve"> (Assessed 6</w:t>
      </w:r>
      <w:r w:rsidR="006A3509" w:rsidRPr="006475B0">
        <w:rPr>
          <w:rFonts w:ascii="Arial" w:hAnsi="Arial" w:cs="Arial"/>
          <w:sz w:val="22"/>
          <w:szCs w:val="22"/>
          <w:vertAlign w:val="superscript"/>
        </w:rPr>
        <w:t>th</w:t>
      </w:r>
      <w:r w:rsidR="006A3509" w:rsidRPr="006475B0">
        <w:rPr>
          <w:rFonts w:ascii="Arial" w:hAnsi="Arial" w:cs="Arial"/>
          <w:sz w:val="22"/>
          <w:szCs w:val="22"/>
        </w:rPr>
        <w:t xml:space="preserve"> November 2025)</w:t>
      </w:r>
    </w:p>
    <w:p w14:paraId="5BB483FF" w14:textId="77777777" w:rsidR="00C9647F" w:rsidRDefault="00C9647F" w:rsidP="009F2EBB">
      <w:pPr>
        <w:spacing w:line="360" w:lineRule="auto"/>
        <w:jc w:val="both"/>
        <w:rPr>
          <w:rFonts w:ascii="Arial" w:hAnsi="Arial" w:cs="Arial"/>
          <w:sz w:val="22"/>
          <w:szCs w:val="22"/>
        </w:rPr>
      </w:pPr>
    </w:p>
    <w:p w14:paraId="74494EF4" w14:textId="0A0422B7" w:rsidR="000664D1" w:rsidRDefault="000664D1" w:rsidP="009F2EBB">
      <w:pPr>
        <w:spacing w:line="360" w:lineRule="auto"/>
        <w:jc w:val="both"/>
        <w:rPr>
          <w:rFonts w:ascii="Arial" w:hAnsi="Arial" w:cs="Arial"/>
          <w:sz w:val="22"/>
          <w:szCs w:val="22"/>
        </w:rPr>
      </w:pPr>
      <w:r w:rsidRPr="006475B0">
        <w:rPr>
          <w:rFonts w:ascii="Arial" w:hAnsi="Arial" w:cs="Arial"/>
          <w:sz w:val="22"/>
          <w:szCs w:val="22"/>
        </w:rPr>
        <w:t>Kirk, J., 2019. Developing Effective Administrative Skills in Health and Social Care. London: Learning Matters.</w:t>
      </w:r>
      <w:r w:rsidR="006A3509" w:rsidRPr="006475B0">
        <w:rPr>
          <w:rFonts w:ascii="Arial" w:hAnsi="Arial" w:cs="Arial"/>
          <w:sz w:val="22"/>
          <w:szCs w:val="22"/>
        </w:rPr>
        <w:t xml:space="preserve"> (Accessed 6</w:t>
      </w:r>
      <w:r w:rsidR="006A3509" w:rsidRPr="006475B0">
        <w:rPr>
          <w:rFonts w:ascii="Arial" w:hAnsi="Arial" w:cs="Arial"/>
          <w:sz w:val="22"/>
          <w:szCs w:val="22"/>
          <w:vertAlign w:val="superscript"/>
        </w:rPr>
        <w:t>th</w:t>
      </w:r>
      <w:r w:rsidR="006A3509" w:rsidRPr="006475B0">
        <w:rPr>
          <w:rFonts w:ascii="Arial" w:hAnsi="Arial" w:cs="Arial"/>
          <w:sz w:val="22"/>
          <w:szCs w:val="22"/>
        </w:rPr>
        <w:t xml:space="preserve"> November 2025)</w:t>
      </w:r>
    </w:p>
    <w:p w14:paraId="0976D799" w14:textId="77777777" w:rsidR="00EA25EF" w:rsidRDefault="00EA25EF" w:rsidP="009F2EBB">
      <w:pPr>
        <w:spacing w:line="360" w:lineRule="auto"/>
        <w:jc w:val="both"/>
        <w:rPr>
          <w:rFonts w:ascii="Arial" w:hAnsi="Arial" w:cs="Arial"/>
          <w:sz w:val="22"/>
          <w:szCs w:val="22"/>
        </w:rPr>
      </w:pPr>
    </w:p>
    <w:p w14:paraId="6930BC06" w14:textId="77777777" w:rsidR="00EA25EF" w:rsidRPr="00F73594" w:rsidRDefault="00EA25EF" w:rsidP="00EA25EF">
      <w:pPr>
        <w:spacing w:line="360" w:lineRule="auto"/>
        <w:jc w:val="both"/>
        <w:rPr>
          <w:rFonts w:ascii="Arial" w:hAnsi="Arial" w:cs="Arial"/>
          <w:sz w:val="22"/>
          <w:szCs w:val="22"/>
        </w:rPr>
      </w:pPr>
      <w:r w:rsidRPr="00F73594">
        <w:rPr>
          <w:rFonts w:ascii="Arial" w:hAnsi="Arial" w:cs="Arial"/>
          <w:sz w:val="22"/>
          <w:szCs w:val="22"/>
        </w:rPr>
        <w:t xml:space="preserve">Lea, W. (2013) </w:t>
      </w:r>
      <w:r w:rsidRPr="00F73594">
        <w:rPr>
          <w:rFonts w:ascii="Arial" w:hAnsi="Arial" w:cs="Arial"/>
          <w:i/>
          <w:iCs/>
          <w:sz w:val="22"/>
          <w:szCs w:val="22"/>
        </w:rPr>
        <w:t>The Information Governance Review</w:t>
      </w:r>
      <w:r w:rsidRPr="00F73594">
        <w:rPr>
          <w:rFonts w:ascii="Arial" w:hAnsi="Arial" w:cs="Arial"/>
          <w:sz w:val="22"/>
          <w:szCs w:val="22"/>
        </w:rPr>
        <w:t xml:space="preserve">. Available at: </w:t>
      </w:r>
      <w:hyperlink r:id="rId7" w:history="1">
        <w:r w:rsidRPr="00F73594">
          <w:rPr>
            <w:rStyle w:val="Hyperlink"/>
            <w:rFonts w:ascii="Arial" w:hAnsi="Arial" w:cs="Arial"/>
            <w:sz w:val="22"/>
            <w:szCs w:val="22"/>
          </w:rPr>
          <w:t>https://bnu.repository.guildhe.ac.uk/id/eprint/9560/1/Information%20Governance%20Review.pdf</w:t>
        </w:r>
      </w:hyperlink>
      <w:r w:rsidRPr="00F73594">
        <w:rPr>
          <w:rFonts w:ascii="Arial" w:hAnsi="Arial" w:cs="Arial"/>
          <w:sz w:val="22"/>
          <w:szCs w:val="22"/>
        </w:rPr>
        <w:t>.</w:t>
      </w:r>
      <w:r w:rsidRPr="006475B0">
        <w:rPr>
          <w:rFonts w:ascii="Arial" w:hAnsi="Arial" w:cs="Arial"/>
          <w:sz w:val="22"/>
          <w:szCs w:val="22"/>
        </w:rPr>
        <w:t xml:space="preserve"> (Assessed 12</w:t>
      </w:r>
      <w:r w:rsidRPr="006475B0">
        <w:rPr>
          <w:rFonts w:ascii="Arial" w:hAnsi="Arial" w:cs="Arial"/>
          <w:sz w:val="22"/>
          <w:szCs w:val="22"/>
          <w:vertAlign w:val="superscript"/>
        </w:rPr>
        <w:t>th</w:t>
      </w:r>
      <w:r w:rsidRPr="006475B0">
        <w:rPr>
          <w:rFonts w:ascii="Arial" w:hAnsi="Arial" w:cs="Arial"/>
          <w:sz w:val="22"/>
          <w:szCs w:val="22"/>
        </w:rPr>
        <w:t xml:space="preserve"> November 2025)</w:t>
      </w:r>
    </w:p>
    <w:p w14:paraId="547D624B" w14:textId="77777777" w:rsidR="00EA25EF" w:rsidRPr="006475B0" w:rsidRDefault="00EA25EF" w:rsidP="009F2EBB">
      <w:pPr>
        <w:spacing w:line="360" w:lineRule="auto"/>
        <w:jc w:val="both"/>
        <w:rPr>
          <w:rFonts w:ascii="Arial" w:hAnsi="Arial" w:cs="Arial"/>
          <w:sz w:val="22"/>
          <w:szCs w:val="22"/>
        </w:rPr>
      </w:pPr>
    </w:p>
    <w:p w14:paraId="7690142E" w14:textId="22BDCCA1" w:rsidR="000664D1" w:rsidRPr="006475B0" w:rsidRDefault="000664D1" w:rsidP="009F2EBB">
      <w:pPr>
        <w:spacing w:line="360" w:lineRule="auto"/>
        <w:jc w:val="both"/>
        <w:rPr>
          <w:rFonts w:ascii="Arial" w:hAnsi="Arial" w:cs="Arial"/>
          <w:sz w:val="22"/>
          <w:szCs w:val="22"/>
        </w:rPr>
      </w:pPr>
      <w:r w:rsidRPr="006475B0">
        <w:rPr>
          <w:rFonts w:ascii="Arial" w:hAnsi="Arial" w:cs="Arial"/>
          <w:sz w:val="22"/>
          <w:szCs w:val="22"/>
        </w:rPr>
        <w:t>Nursing and Midwifery Council (NMC), 2018. The Code: Professional Standards of Practice and Behaviour for Nurses, Midwives and Nursing Associates. London: NMC.</w:t>
      </w:r>
      <w:r w:rsidR="006A3509" w:rsidRPr="006475B0">
        <w:rPr>
          <w:rFonts w:ascii="Arial" w:hAnsi="Arial" w:cs="Arial"/>
          <w:sz w:val="22"/>
          <w:szCs w:val="22"/>
        </w:rPr>
        <w:t xml:space="preserve"> (Accessed</w:t>
      </w:r>
      <w:r w:rsidR="0010735B" w:rsidRPr="006475B0">
        <w:rPr>
          <w:rFonts w:ascii="Arial" w:hAnsi="Arial" w:cs="Arial"/>
          <w:sz w:val="22"/>
          <w:szCs w:val="22"/>
        </w:rPr>
        <w:t xml:space="preserve"> 6</w:t>
      </w:r>
      <w:r w:rsidR="0010735B" w:rsidRPr="006475B0">
        <w:rPr>
          <w:rFonts w:ascii="Arial" w:hAnsi="Arial" w:cs="Arial"/>
          <w:sz w:val="22"/>
          <w:szCs w:val="22"/>
          <w:vertAlign w:val="superscript"/>
        </w:rPr>
        <w:t>th</w:t>
      </w:r>
      <w:r w:rsidR="0010735B" w:rsidRPr="006475B0">
        <w:rPr>
          <w:rFonts w:ascii="Arial" w:hAnsi="Arial" w:cs="Arial"/>
          <w:sz w:val="22"/>
          <w:szCs w:val="22"/>
        </w:rPr>
        <w:t xml:space="preserve"> November 2025)</w:t>
      </w:r>
    </w:p>
    <w:p w14:paraId="0AFBAB50" w14:textId="77777777" w:rsidR="00DF1582" w:rsidRDefault="00DF1582" w:rsidP="009F2EBB">
      <w:pPr>
        <w:spacing w:line="360" w:lineRule="auto"/>
        <w:jc w:val="both"/>
        <w:rPr>
          <w:rFonts w:ascii="Arial" w:hAnsi="Arial" w:cs="Arial"/>
          <w:sz w:val="22"/>
          <w:szCs w:val="22"/>
        </w:rPr>
      </w:pPr>
    </w:p>
    <w:p w14:paraId="27C701F4" w14:textId="5F34E32A" w:rsidR="000664D1" w:rsidRPr="006475B0" w:rsidRDefault="00412153" w:rsidP="009F2EBB">
      <w:pPr>
        <w:spacing w:line="360" w:lineRule="auto"/>
        <w:jc w:val="both"/>
        <w:rPr>
          <w:rFonts w:ascii="Arial" w:hAnsi="Arial" w:cs="Arial"/>
          <w:sz w:val="22"/>
          <w:szCs w:val="22"/>
        </w:rPr>
      </w:pPr>
      <w:r w:rsidRPr="006475B0">
        <w:rPr>
          <w:rFonts w:ascii="Arial" w:hAnsi="Arial" w:cs="Arial"/>
          <w:sz w:val="22"/>
          <w:szCs w:val="22"/>
        </w:rPr>
        <w:t>Rayner, M. (2022) The Care Quality Commission: a Regulatory Evolution. Judicial Review, 27 (2): 1–6.</w:t>
      </w:r>
      <w:r w:rsidR="008F49E4" w:rsidRPr="006475B0">
        <w:rPr>
          <w:rFonts w:ascii="Arial" w:hAnsi="Arial" w:cs="Arial"/>
          <w:sz w:val="22"/>
          <w:szCs w:val="22"/>
        </w:rPr>
        <w:t xml:space="preserve"> (Assessed </w:t>
      </w:r>
      <w:r w:rsidR="00066929" w:rsidRPr="006475B0">
        <w:rPr>
          <w:rFonts w:ascii="Arial" w:hAnsi="Arial" w:cs="Arial"/>
          <w:sz w:val="22"/>
          <w:szCs w:val="22"/>
        </w:rPr>
        <w:t>12</w:t>
      </w:r>
      <w:r w:rsidR="00066929" w:rsidRPr="006475B0">
        <w:rPr>
          <w:rFonts w:ascii="Arial" w:hAnsi="Arial" w:cs="Arial"/>
          <w:sz w:val="22"/>
          <w:szCs w:val="22"/>
          <w:vertAlign w:val="superscript"/>
        </w:rPr>
        <w:t>th</w:t>
      </w:r>
      <w:r w:rsidR="00066929" w:rsidRPr="006475B0">
        <w:rPr>
          <w:rFonts w:ascii="Arial" w:hAnsi="Arial" w:cs="Arial"/>
          <w:sz w:val="22"/>
          <w:szCs w:val="22"/>
        </w:rPr>
        <w:t xml:space="preserve"> November 2025)</w:t>
      </w:r>
    </w:p>
    <w:p w14:paraId="75F6960B" w14:textId="77777777" w:rsidR="00C9647F" w:rsidRDefault="00C9647F" w:rsidP="009F2EBB">
      <w:pPr>
        <w:spacing w:line="360" w:lineRule="auto"/>
        <w:jc w:val="both"/>
        <w:rPr>
          <w:rFonts w:ascii="Arial" w:hAnsi="Arial" w:cs="Arial"/>
          <w:sz w:val="22"/>
          <w:szCs w:val="22"/>
        </w:rPr>
      </w:pPr>
    </w:p>
    <w:p w14:paraId="11296941" w14:textId="77777777" w:rsidR="00DF1582" w:rsidRPr="006475B0" w:rsidRDefault="00DF1582" w:rsidP="00DF1582">
      <w:pPr>
        <w:spacing w:line="360" w:lineRule="auto"/>
        <w:jc w:val="both"/>
        <w:rPr>
          <w:rFonts w:ascii="Arial" w:hAnsi="Arial" w:cs="Arial"/>
          <w:sz w:val="22"/>
          <w:szCs w:val="22"/>
        </w:rPr>
      </w:pPr>
      <w:r w:rsidRPr="006475B0">
        <w:rPr>
          <w:rFonts w:ascii="Arial" w:hAnsi="Arial" w:cs="Arial"/>
          <w:sz w:val="22"/>
          <w:szCs w:val="22"/>
        </w:rPr>
        <w:t>The Care Quality Commission (CQC), 2014. Health and Social Care Act 2008 (Regulated Activities) Regulations 2014. London: CQC. (Accessed 6</w:t>
      </w:r>
      <w:r w:rsidRPr="006475B0">
        <w:rPr>
          <w:rFonts w:ascii="Arial" w:hAnsi="Arial" w:cs="Arial"/>
          <w:sz w:val="22"/>
          <w:szCs w:val="22"/>
          <w:vertAlign w:val="superscript"/>
        </w:rPr>
        <w:t>th</w:t>
      </w:r>
      <w:r w:rsidRPr="006475B0">
        <w:rPr>
          <w:rFonts w:ascii="Arial" w:hAnsi="Arial" w:cs="Arial"/>
          <w:sz w:val="22"/>
          <w:szCs w:val="22"/>
        </w:rPr>
        <w:t xml:space="preserve"> November 2025)</w:t>
      </w:r>
    </w:p>
    <w:p w14:paraId="1D1D894F" w14:textId="77777777" w:rsidR="00DF1582" w:rsidRDefault="00DF1582" w:rsidP="009F2EBB">
      <w:pPr>
        <w:spacing w:line="360" w:lineRule="auto"/>
        <w:jc w:val="both"/>
        <w:rPr>
          <w:rFonts w:ascii="Arial" w:hAnsi="Arial" w:cs="Arial"/>
          <w:sz w:val="22"/>
          <w:szCs w:val="22"/>
        </w:rPr>
      </w:pPr>
    </w:p>
    <w:p w14:paraId="692E518A" w14:textId="77777777" w:rsidR="0024304E" w:rsidRPr="006475B0" w:rsidRDefault="0024304E" w:rsidP="0024304E">
      <w:pPr>
        <w:spacing w:line="360" w:lineRule="auto"/>
        <w:jc w:val="both"/>
        <w:rPr>
          <w:rFonts w:ascii="Arial" w:hAnsi="Arial" w:cs="Arial"/>
          <w:sz w:val="22"/>
          <w:szCs w:val="22"/>
        </w:rPr>
      </w:pPr>
      <w:r w:rsidRPr="006475B0">
        <w:rPr>
          <w:rFonts w:ascii="Arial" w:hAnsi="Arial" w:cs="Arial"/>
          <w:sz w:val="22"/>
          <w:szCs w:val="22"/>
        </w:rPr>
        <w:t>The Code – Professional standards of practice and behaviour for nurses, midwives and nursing associates (Nursing &amp; Midwifery Council) 2018. Available at: https://www.nmc.org.uk/standards/code/ (Accessed: 5</w:t>
      </w:r>
      <w:r w:rsidRPr="006475B0">
        <w:rPr>
          <w:rFonts w:ascii="Arial" w:hAnsi="Arial" w:cs="Arial"/>
          <w:sz w:val="22"/>
          <w:szCs w:val="22"/>
          <w:vertAlign w:val="superscript"/>
        </w:rPr>
        <w:t>th</w:t>
      </w:r>
      <w:r w:rsidRPr="006475B0">
        <w:rPr>
          <w:rFonts w:ascii="Arial" w:hAnsi="Arial" w:cs="Arial"/>
          <w:sz w:val="22"/>
          <w:szCs w:val="22"/>
        </w:rPr>
        <w:t xml:space="preserve"> November 2025)</w:t>
      </w:r>
    </w:p>
    <w:p w14:paraId="4B667342" w14:textId="77777777" w:rsidR="00C9647F" w:rsidRDefault="00C9647F" w:rsidP="009F2EBB">
      <w:pPr>
        <w:spacing w:line="360" w:lineRule="auto"/>
        <w:jc w:val="both"/>
        <w:rPr>
          <w:rFonts w:ascii="Arial" w:hAnsi="Arial" w:cs="Arial"/>
          <w:sz w:val="22"/>
          <w:szCs w:val="22"/>
        </w:rPr>
      </w:pPr>
    </w:p>
    <w:sectPr w:rsidR="00C964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6FB4F" w14:textId="77777777" w:rsidR="00B8595C" w:rsidRDefault="00B8595C" w:rsidP="001B664F">
      <w:pPr>
        <w:spacing w:after="0" w:line="240" w:lineRule="auto"/>
      </w:pPr>
      <w:r>
        <w:separator/>
      </w:r>
    </w:p>
  </w:endnote>
  <w:endnote w:type="continuationSeparator" w:id="0">
    <w:p w14:paraId="77AAD2A3" w14:textId="77777777" w:rsidR="00B8595C" w:rsidRDefault="00B8595C" w:rsidP="001B6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34721" w14:textId="77777777" w:rsidR="00B8595C" w:rsidRDefault="00B8595C" w:rsidP="001B664F">
      <w:pPr>
        <w:spacing w:after="0" w:line="240" w:lineRule="auto"/>
      </w:pPr>
      <w:r>
        <w:separator/>
      </w:r>
    </w:p>
  </w:footnote>
  <w:footnote w:type="continuationSeparator" w:id="0">
    <w:p w14:paraId="7CE34ED9" w14:textId="77777777" w:rsidR="00B8595C" w:rsidRDefault="00B8595C" w:rsidP="001B6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143A1"/>
    <w:multiLevelType w:val="hybridMultilevel"/>
    <w:tmpl w:val="A01E4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1B6FF7"/>
    <w:multiLevelType w:val="hybridMultilevel"/>
    <w:tmpl w:val="3AA05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9265775">
    <w:abstractNumId w:val="1"/>
  </w:num>
  <w:num w:numId="2" w16cid:durableId="1644189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A94"/>
    <w:rsid w:val="00010242"/>
    <w:rsid w:val="0001091B"/>
    <w:rsid w:val="000221CF"/>
    <w:rsid w:val="00033EB8"/>
    <w:rsid w:val="00037930"/>
    <w:rsid w:val="00037F70"/>
    <w:rsid w:val="00040892"/>
    <w:rsid w:val="00042B9B"/>
    <w:rsid w:val="000462A4"/>
    <w:rsid w:val="000464DB"/>
    <w:rsid w:val="00051A8F"/>
    <w:rsid w:val="00056807"/>
    <w:rsid w:val="00056ACC"/>
    <w:rsid w:val="00056ED6"/>
    <w:rsid w:val="000664D1"/>
    <w:rsid w:val="00066929"/>
    <w:rsid w:val="00070383"/>
    <w:rsid w:val="00076A63"/>
    <w:rsid w:val="00083C06"/>
    <w:rsid w:val="00086BEC"/>
    <w:rsid w:val="00087334"/>
    <w:rsid w:val="00090435"/>
    <w:rsid w:val="000915DB"/>
    <w:rsid w:val="00095776"/>
    <w:rsid w:val="00096EA2"/>
    <w:rsid w:val="000A28E2"/>
    <w:rsid w:val="000A29FF"/>
    <w:rsid w:val="000A4CAA"/>
    <w:rsid w:val="000B16C7"/>
    <w:rsid w:val="000C2647"/>
    <w:rsid w:val="000C4EEB"/>
    <w:rsid w:val="000C5B41"/>
    <w:rsid w:val="000D2855"/>
    <w:rsid w:val="000D66B7"/>
    <w:rsid w:val="000D7103"/>
    <w:rsid w:val="000F10B5"/>
    <w:rsid w:val="000F3BC3"/>
    <w:rsid w:val="000F7C1C"/>
    <w:rsid w:val="0010108D"/>
    <w:rsid w:val="0010437F"/>
    <w:rsid w:val="00105BFE"/>
    <w:rsid w:val="0010735B"/>
    <w:rsid w:val="001078DB"/>
    <w:rsid w:val="0011244E"/>
    <w:rsid w:val="00112A4F"/>
    <w:rsid w:val="0011755E"/>
    <w:rsid w:val="00124FE1"/>
    <w:rsid w:val="00125A58"/>
    <w:rsid w:val="00135625"/>
    <w:rsid w:val="00140E18"/>
    <w:rsid w:val="00142918"/>
    <w:rsid w:val="00145D3C"/>
    <w:rsid w:val="0015016D"/>
    <w:rsid w:val="001656C3"/>
    <w:rsid w:val="00175896"/>
    <w:rsid w:val="00181D7F"/>
    <w:rsid w:val="00183355"/>
    <w:rsid w:val="00184812"/>
    <w:rsid w:val="0018622C"/>
    <w:rsid w:val="001862AA"/>
    <w:rsid w:val="00187FF2"/>
    <w:rsid w:val="00197A42"/>
    <w:rsid w:val="001A128D"/>
    <w:rsid w:val="001A7A6F"/>
    <w:rsid w:val="001B2260"/>
    <w:rsid w:val="001B2F2C"/>
    <w:rsid w:val="001B3779"/>
    <w:rsid w:val="001B3BC0"/>
    <w:rsid w:val="001B664F"/>
    <w:rsid w:val="001C6C40"/>
    <w:rsid w:val="001C784A"/>
    <w:rsid w:val="001E2396"/>
    <w:rsid w:val="001E30FD"/>
    <w:rsid w:val="001F7C41"/>
    <w:rsid w:val="001F7DBA"/>
    <w:rsid w:val="002062C5"/>
    <w:rsid w:val="00211B05"/>
    <w:rsid w:val="00214637"/>
    <w:rsid w:val="00216BEB"/>
    <w:rsid w:val="002301F2"/>
    <w:rsid w:val="00230BC2"/>
    <w:rsid w:val="00237188"/>
    <w:rsid w:val="002416E6"/>
    <w:rsid w:val="0024304E"/>
    <w:rsid w:val="0025093E"/>
    <w:rsid w:val="00252878"/>
    <w:rsid w:val="0025368B"/>
    <w:rsid w:val="00253EC1"/>
    <w:rsid w:val="00262E51"/>
    <w:rsid w:val="00266E22"/>
    <w:rsid w:val="00271772"/>
    <w:rsid w:val="00271A0E"/>
    <w:rsid w:val="0027220C"/>
    <w:rsid w:val="00273087"/>
    <w:rsid w:val="00274561"/>
    <w:rsid w:val="0028115A"/>
    <w:rsid w:val="00286035"/>
    <w:rsid w:val="00296099"/>
    <w:rsid w:val="002A24DF"/>
    <w:rsid w:val="002A26B1"/>
    <w:rsid w:val="002A44E8"/>
    <w:rsid w:val="002A5083"/>
    <w:rsid w:val="002A5974"/>
    <w:rsid w:val="002A74A4"/>
    <w:rsid w:val="002B17D5"/>
    <w:rsid w:val="002B2A8B"/>
    <w:rsid w:val="002B38C7"/>
    <w:rsid w:val="002B6A23"/>
    <w:rsid w:val="002D383E"/>
    <w:rsid w:val="002D6F29"/>
    <w:rsid w:val="002E0AD4"/>
    <w:rsid w:val="002E0BB6"/>
    <w:rsid w:val="002E5231"/>
    <w:rsid w:val="002F0CB9"/>
    <w:rsid w:val="002F26FF"/>
    <w:rsid w:val="002F7DDB"/>
    <w:rsid w:val="00302914"/>
    <w:rsid w:val="003029E2"/>
    <w:rsid w:val="00302B71"/>
    <w:rsid w:val="003031FB"/>
    <w:rsid w:val="003047B4"/>
    <w:rsid w:val="0030498A"/>
    <w:rsid w:val="00307305"/>
    <w:rsid w:val="003100E9"/>
    <w:rsid w:val="00310A14"/>
    <w:rsid w:val="003163F7"/>
    <w:rsid w:val="00316CB1"/>
    <w:rsid w:val="00321BD3"/>
    <w:rsid w:val="003304A0"/>
    <w:rsid w:val="00330572"/>
    <w:rsid w:val="0033655F"/>
    <w:rsid w:val="00343EB8"/>
    <w:rsid w:val="003524C0"/>
    <w:rsid w:val="00352838"/>
    <w:rsid w:val="0035533D"/>
    <w:rsid w:val="003631F1"/>
    <w:rsid w:val="00365E1B"/>
    <w:rsid w:val="00372101"/>
    <w:rsid w:val="003724B0"/>
    <w:rsid w:val="00376B88"/>
    <w:rsid w:val="00382A6F"/>
    <w:rsid w:val="00390022"/>
    <w:rsid w:val="00390E9C"/>
    <w:rsid w:val="003941E8"/>
    <w:rsid w:val="00395115"/>
    <w:rsid w:val="003962B5"/>
    <w:rsid w:val="003A0758"/>
    <w:rsid w:val="003A4962"/>
    <w:rsid w:val="003A6252"/>
    <w:rsid w:val="003B0719"/>
    <w:rsid w:val="003B0E50"/>
    <w:rsid w:val="003B2E1E"/>
    <w:rsid w:val="003B711D"/>
    <w:rsid w:val="003C05F6"/>
    <w:rsid w:val="003C0D5E"/>
    <w:rsid w:val="003C3033"/>
    <w:rsid w:val="003C53B5"/>
    <w:rsid w:val="003D2312"/>
    <w:rsid w:val="003D3EA0"/>
    <w:rsid w:val="003D6500"/>
    <w:rsid w:val="003D6CA8"/>
    <w:rsid w:val="003E4564"/>
    <w:rsid w:val="003F27FB"/>
    <w:rsid w:val="003F4EA1"/>
    <w:rsid w:val="003F5EB9"/>
    <w:rsid w:val="003F5F65"/>
    <w:rsid w:val="0040054A"/>
    <w:rsid w:val="004011CF"/>
    <w:rsid w:val="0040391E"/>
    <w:rsid w:val="00403ED8"/>
    <w:rsid w:val="0040414C"/>
    <w:rsid w:val="004045AA"/>
    <w:rsid w:val="00406B42"/>
    <w:rsid w:val="00412153"/>
    <w:rsid w:val="00422A30"/>
    <w:rsid w:val="0042340B"/>
    <w:rsid w:val="004340D4"/>
    <w:rsid w:val="0044119D"/>
    <w:rsid w:val="00441742"/>
    <w:rsid w:val="00451D39"/>
    <w:rsid w:val="0046149E"/>
    <w:rsid w:val="00471ACC"/>
    <w:rsid w:val="00472C21"/>
    <w:rsid w:val="00473FD6"/>
    <w:rsid w:val="00485A62"/>
    <w:rsid w:val="00495E94"/>
    <w:rsid w:val="004A4FD1"/>
    <w:rsid w:val="004A588C"/>
    <w:rsid w:val="004A719D"/>
    <w:rsid w:val="004A71F0"/>
    <w:rsid w:val="004B1F0A"/>
    <w:rsid w:val="004B4F9E"/>
    <w:rsid w:val="004C0497"/>
    <w:rsid w:val="004C0D98"/>
    <w:rsid w:val="004C62EB"/>
    <w:rsid w:val="004D27B6"/>
    <w:rsid w:val="004E11EC"/>
    <w:rsid w:val="004F2767"/>
    <w:rsid w:val="005108AF"/>
    <w:rsid w:val="00530E2E"/>
    <w:rsid w:val="00536459"/>
    <w:rsid w:val="00536539"/>
    <w:rsid w:val="005410AC"/>
    <w:rsid w:val="00544AC1"/>
    <w:rsid w:val="00563A40"/>
    <w:rsid w:val="005660BA"/>
    <w:rsid w:val="005667CF"/>
    <w:rsid w:val="0057333F"/>
    <w:rsid w:val="0057340A"/>
    <w:rsid w:val="00577CC2"/>
    <w:rsid w:val="00580B94"/>
    <w:rsid w:val="00586FDD"/>
    <w:rsid w:val="00587738"/>
    <w:rsid w:val="00595EB7"/>
    <w:rsid w:val="00595FA9"/>
    <w:rsid w:val="005A126E"/>
    <w:rsid w:val="005A5931"/>
    <w:rsid w:val="005A7CCE"/>
    <w:rsid w:val="005B2A01"/>
    <w:rsid w:val="005D0410"/>
    <w:rsid w:val="005D3FD6"/>
    <w:rsid w:val="005D4A48"/>
    <w:rsid w:val="005E31B4"/>
    <w:rsid w:val="005E4033"/>
    <w:rsid w:val="005F1521"/>
    <w:rsid w:val="005F63D6"/>
    <w:rsid w:val="005F6AAE"/>
    <w:rsid w:val="005F71D7"/>
    <w:rsid w:val="00600BA0"/>
    <w:rsid w:val="00602ACE"/>
    <w:rsid w:val="006048BE"/>
    <w:rsid w:val="00611C8F"/>
    <w:rsid w:val="006129C1"/>
    <w:rsid w:val="00614589"/>
    <w:rsid w:val="006232F3"/>
    <w:rsid w:val="00623540"/>
    <w:rsid w:val="00625993"/>
    <w:rsid w:val="006273CF"/>
    <w:rsid w:val="006331CC"/>
    <w:rsid w:val="006332AA"/>
    <w:rsid w:val="006418B4"/>
    <w:rsid w:val="00644089"/>
    <w:rsid w:val="0064735C"/>
    <w:rsid w:val="006475B0"/>
    <w:rsid w:val="0065000E"/>
    <w:rsid w:val="00650C00"/>
    <w:rsid w:val="00650CAA"/>
    <w:rsid w:val="00657DCC"/>
    <w:rsid w:val="00661B20"/>
    <w:rsid w:val="00666D66"/>
    <w:rsid w:val="00667D51"/>
    <w:rsid w:val="006704DC"/>
    <w:rsid w:val="00671BE2"/>
    <w:rsid w:val="00671BEF"/>
    <w:rsid w:val="0067365F"/>
    <w:rsid w:val="00675A39"/>
    <w:rsid w:val="006814D2"/>
    <w:rsid w:val="00681828"/>
    <w:rsid w:val="00683481"/>
    <w:rsid w:val="006872EA"/>
    <w:rsid w:val="006960DB"/>
    <w:rsid w:val="00697C66"/>
    <w:rsid w:val="00697EBC"/>
    <w:rsid w:val="006A0280"/>
    <w:rsid w:val="006A03A7"/>
    <w:rsid w:val="006A2BFC"/>
    <w:rsid w:val="006A3509"/>
    <w:rsid w:val="006B6BCE"/>
    <w:rsid w:val="006C5CEF"/>
    <w:rsid w:val="006C654F"/>
    <w:rsid w:val="006C6A94"/>
    <w:rsid w:val="006C79B0"/>
    <w:rsid w:val="006D4C13"/>
    <w:rsid w:val="006E470D"/>
    <w:rsid w:val="006E731B"/>
    <w:rsid w:val="006F2D06"/>
    <w:rsid w:val="006F6B5D"/>
    <w:rsid w:val="006F7742"/>
    <w:rsid w:val="007024BB"/>
    <w:rsid w:val="00702D1E"/>
    <w:rsid w:val="00703D6B"/>
    <w:rsid w:val="00705F8D"/>
    <w:rsid w:val="00707D14"/>
    <w:rsid w:val="00715C68"/>
    <w:rsid w:val="00720DB1"/>
    <w:rsid w:val="00722239"/>
    <w:rsid w:val="00722518"/>
    <w:rsid w:val="0072580A"/>
    <w:rsid w:val="00741680"/>
    <w:rsid w:val="00743B7B"/>
    <w:rsid w:val="00744AA6"/>
    <w:rsid w:val="00750853"/>
    <w:rsid w:val="0075565B"/>
    <w:rsid w:val="0075720D"/>
    <w:rsid w:val="007651A5"/>
    <w:rsid w:val="00780F75"/>
    <w:rsid w:val="007816D3"/>
    <w:rsid w:val="007825C8"/>
    <w:rsid w:val="007863A1"/>
    <w:rsid w:val="00787E6D"/>
    <w:rsid w:val="00791792"/>
    <w:rsid w:val="00793BEF"/>
    <w:rsid w:val="00794EDF"/>
    <w:rsid w:val="007A1BC9"/>
    <w:rsid w:val="007A27C5"/>
    <w:rsid w:val="007B3EA3"/>
    <w:rsid w:val="007B4203"/>
    <w:rsid w:val="007C1A23"/>
    <w:rsid w:val="007C59A3"/>
    <w:rsid w:val="007C7B1E"/>
    <w:rsid w:val="007D4465"/>
    <w:rsid w:val="007D71AE"/>
    <w:rsid w:val="007E7D56"/>
    <w:rsid w:val="007F241E"/>
    <w:rsid w:val="007F67B9"/>
    <w:rsid w:val="007F77C4"/>
    <w:rsid w:val="00800A4B"/>
    <w:rsid w:val="008029D2"/>
    <w:rsid w:val="00802E88"/>
    <w:rsid w:val="008118E2"/>
    <w:rsid w:val="00812D20"/>
    <w:rsid w:val="008213C4"/>
    <w:rsid w:val="00822E2E"/>
    <w:rsid w:val="00823989"/>
    <w:rsid w:val="008252C6"/>
    <w:rsid w:val="00825C31"/>
    <w:rsid w:val="00831920"/>
    <w:rsid w:val="00843861"/>
    <w:rsid w:val="00843FB8"/>
    <w:rsid w:val="008458F7"/>
    <w:rsid w:val="00845D26"/>
    <w:rsid w:val="00851EEB"/>
    <w:rsid w:val="008543AF"/>
    <w:rsid w:val="0085479D"/>
    <w:rsid w:val="008617E5"/>
    <w:rsid w:val="008728E2"/>
    <w:rsid w:val="008818B2"/>
    <w:rsid w:val="00883FF3"/>
    <w:rsid w:val="0089194F"/>
    <w:rsid w:val="00896CCA"/>
    <w:rsid w:val="008A272A"/>
    <w:rsid w:val="008B3439"/>
    <w:rsid w:val="008C1EEC"/>
    <w:rsid w:val="008C327C"/>
    <w:rsid w:val="008C51C5"/>
    <w:rsid w:val="008D4285"/>
    <w:rsid w:val="008D4360"/>
    <w:rsid w:val="008E6BCF"/>
    <w:rsid w:val="008F49E4"/>
    <w:rsid w:val="00902379"/>
    <w:rsid w:val="009033C5"/>
    <w:rsid w:val="00903564"/>
    <w:rsid w:val="009036AB"/>
    <w:rsid w:val="009065FA"/>
    <w:rsid w:val="009140FF"/>
    <w:rsid w:val="00917166"/>
    <w:rsid w:val="00920FB2"/>
    <w:rsid w:val="00921B09"/>
    <w:rsid w:val="00922A5A"/>
    <w:rsid w:val="00925523"/>
    <w:rsid w:val="00926341"/>
    <w:rsid w:val="00930A52"/>
    <w:rsid w:val="00931398"/>
    <w:rsid w:val="0093529E"/>
    <w:rsid w:val="00940E2B"/>
    <w:rsid w:val="0094762C"/>
    <w:rsid w:val="00947B4D"/>
    <w:rsid w:val="00954338"/>
    <w:rsid w:val="00956475"/>
    <w:rsid w:val="00956506"/>
    <w:rsid w:val="00963446"/>
    <w:rsid w:val="00973BE9"/>
    <w:rsid w:val="00977877"/>
    <w:rsid w:val="00982245"/>
    <w:rsid w:val="009851B0"/>
    <w:rsid w:val="00991BCF"/>
    <w:rsid w:val="009952F7"/>
    <w:rsid w:val="0099780A"/>
    <w:rsid w:val="009A471C"/>
    <w:rsid w:val="009B3327"/>
    <w:rsid w:val="009B5F41"/>
    <w:rsid w:val="009B70A9"/>
    <w:rsid w:val="009B78DF"/>
    <w:rsid w:val="009C2743"/>
    <w:rsid w:val="009C3BD0"/>
    <w:rsid w:val="009C6021"/>
    <w:rsid w:val="009D023A"/>
    <w:rsid w:val="009D37B5"/>
    <w:rsid w:val="009D619D"/>
    <w:rsid w:val="009E0CA9"/>
    <w:rsid w:val="009E0EB5"/>
    <w:rsid w:val="009E6686"/>
    <w:rsid w:val="009F2EBB"/>
    <w:rsid w:val="009F348E"/>
    <w:rsid w:val="009F4686"/>
    <w:rsid w:val="009F77A9"/>
    <w:rsid w:val="00A004BD"/>
    <w:rsid w:val="00A007B5"/>
    <w:rsid w:val="00A00A34"/>
    <w:rsid w:val="00A114AC"/>
    <w:rsid w:val="00A16725"/>
    <w:rsid w:val="00A215EA"/>
    <w:rsid w:val="00A44DCA"/>
    <w:rsid w:val="00A4594E"/>
    <w:rsid w:val="00A5063E"/>
    <w:rsid w:val="00A51D75"/>
    <w:rsid w:val="00A600EF"/>
    <w:rsid w:val="00A6521F"/>
    <w:rsid w:val="00A66738"/>
    <w:rsid w:val="00A81E4E"/>
    <w:rsid w:val="00A858E2"/>
    <w:rsid w:val="00A90BBA"/>
    <w:rsid w:val="00A9316A"/>
    <w:rsid w:val="00A958C6"/>
    <w:rsid w:val="00AA6BE5"/>
    <w:rsid w:val="00AB30B6"/>
    <w:rsid w:val="00AB7724"/>
    <w:rsid w:val="00AB7BF7"/>
    <w:rsid w:val="00AC1BF5"/>
    <w:rsid w:val="00AC25D7"/>
    <w:rsid w:val="00AD0E5E"/>
    <w:rsid w:val="00AD2ED9"/>
    <w:rsid w:val="00AD7196"/>
    <w:rsid w:val="00AE3DB8"/>
    <w:rsid w:val="00AE6B67"/>
    <w:rsid w:val="00AF0F52"/>
    <w:rsid w:val="00AF3281"/>
    <w:rsid w:val="00AF7218"/>
    <w:rsid w:val="00B016AE"/>
    <w:rsid w:val="00B13E22"/>
    <w:rsid w:val="00B14FB4"/>
    <w:rsid w:val="00B1617A"/>
    <w:rsid w:val="00B229E4"/>
    <w:rsid w:val="00B23800"/>
    <w:rsid w:val="00B23837"/>
    <w:rsid w:val="00B24877"/>
    <w:rsid w:val="00B24A4E"/>
    <w:rsid w:val="00B25BC1"/>
    <w:rsid w:val="00B32936"/>
    <w:rsid w:val="00B53EDD"/>
    <w:rsid w:val="00B5764E"/>
    <w:rsid w:val="00B60634"/>
    <w:rsid w:val="00B757FC"/>
    <w:rsid w:val="00B81C2E"/>
    <w:rsid w:val="00B84ACD"/>
    <w:rsid w:val="00B8595C"/>
    <w:rsid w:val="00B87D89"/>
    <w:rsid w:val="00BA151F"/>
    <w:rsid w:val="00BB6934"/>
    <w:rsid w:val="00BB6CDD"/>
    <w:rsid w:val="00BB7A85"/>
    <w:rsid w:val="00BC2132"/>
    <w:rsid w:val="00BC3ABC"/>
    <w:rsid w:val="00BC5C24"/>
    <w:rsid w:val="00BD2A58"/>
    <w:rsid w:val="00BD5F51"/>
    <w:rsid w:val="00BD6C53"/>
    <w:rsid w:val="00BE19E8"/>
    <w:rsid w:val="00BE5D11"/>
    <w:rsid w:val="00BF2686"/>
    <w:rsid w:val="00BF2F83"/>
    <w:rsid w:val="00BF5EF8"/>
    <w:rsid w:val="00C0029F"/>
    <w:rsid w:val="00C0397E"/>
    <w:rsid w:val="00C039D8"/>
    <w:rsid w:val="00C03CC7"/>
    <w:rsid w:val="00C05810"/>
    <w:rsid w:val="00C128B9"/>
    <w:rsid w:val="00C16A41"/>
    <w:rsid w:val="00C24210"/>
    <w:rsid w:val="00C318E2"/>
    <w:rsid w:val="00C3591D"/>
    <w:rsid w:val="00C41EF6"/>
    <w:rsid w:val="00C449B4"/>
    <w:rsid w:val="00C46CC3"/>
    <w:rsid w:val="00C50620"/>
    <w:rsid w:val="00C50812"/>
    <w:rsid w:val="00C60EFB"/>
    <w:rsid w:val="00C63E1F"/>
    <w:rsid w:val="00C640A7"/>
    <w:rsid w:val="00C7386B"/>
    <w:rsid w:val="00C75934"/>
    <w:rsid w:val="00C8004F"/>
    <w:rsid w:val="00C836E7"/>
    <w:rsid w:val="00C93CCD"/>
    <w:rsid w:val="00C9647F"/>
    <w:rsid w:val="00C978CA"/>
    <w:rsid w:val="00CB3242"/>
    <w:rsid w:val="00CB6234"/>
    <w:rsid w:val="00CC4B2B"/>
    <w:rsid w:val="00CD6826"/>
    <w:rsid w:val="00CE14D4"/>
    <w:rsid w:val="00CF188B"/>
    <w:rsid w:val="00CF7C8C"/>
    <w:rsid w:val="00D00E77"/>
    <w:rsid w:val="00D016C8"/>
    <w:rsid w:val="00D038D1"/>
    <w:rsid w:val="00D03D2D"/>
    <w:rsid w:val="00D04D48"/>
    <w:rsid w:val="00D076BF"/>
    <w:rsid w:val="00D17484"/>
    <w:rsid w:val="00D2043B"/>
    <w:rsid w:val="00D20B3B"/>
    <w:rsid w:val="00D22639"/>
    <w:rsid w:val="00D25D61"/>
    <w:rsid w:val="00D26E60"/>
    <w:rsid w:val="00D340A3"/>
    <w:rsid w:val="00D36F10"/>
    <w:rsid w:val="00D420A9"/>
    <w:rsid w:val="00D4455B"/>
    <w:rsid w:val="00D6021C"/>
    <w:rsid w:val="00D60B0E"/>
    <w:rsid w:val="00D65AAF"/>
    <w:rsid w:val="00D67956"/>
    <w:rsid w:val="00D800F4"/>
    <w:rsid w:val="00D82E59"/>
    <w:rsid w:val="00D83EC1"/>
    <w:rsid w:val="00D846BC"/>
    <w:rsid w:val="00D85A43"/>
    <w:rsid w:val="00D86D1B"/>
    <w:rsid w:val="00D90E52"/>
    <w:rsid w:val="00D93AF2"/>
    <w:rsid w:val="00D93C56"/>
    <w:rsid w:val="00DA2E6F"/>
    <w:rsid w:val="00DA51E4"/>
    <w:rsid w:val="00DA7BCD"/>
    <w:rsid w:val="00DB50F6"/>
    <w:rsid w:val="00DC4DB3"/>
    <w:rsid w:val="00DC5DBB"/>
    <w:rsid w:val="00DD329E"/>
    <w:rsid w:val="00DD3762"/>
    <w:rsid w:val="00DE10AC"/>
    <w:rsid w:val="00DE1CC8"/>
    <w:rsid w:val="00DE3A3E"/>
    <w:rsid w:val="00DE75A7"/>
    <w:rsid w:val="00DE7B13"/>
    <w:rsid w:val="00DF1197"/>
    <w:rsid w:val="00DF1582"/>
    <w:rsid w:val="00DF4142"/>
    <w:rsid w:val="00DF6E1D"/>
    <w:rsid w:val="00E00861"/>
    <w:rsid w:val="00E059ED"/>
    <w:rsid w:val="00E1238B"/>
    <w:rsid w:val="00E168E4"/>
    <w:rsid w:val="00E16A7F"/>
    <w:rsid w:val="00E237CB"/>
    <w:rsid w:val="00E2440D"/>
    <w:rsid w:val="00E256FB"/>
    <w:rsid w:val="00E257CA"/>
    <w:rsid w:val="00E457AE"/>
    <w:rsid w:val="00E479FA"/>
    <w:rsid w:val="00E5147D"/>
    <w:rsid w:val="00E538F8"/>
    <w:rsid w:val="00E562F8"/>
    <w:rsid w:val="00E56407"/>
    <w:rsid w:val="00E611FA"/>
    <w:rsid w:val="00E62384"/>
    <w:rsid w:val="00E64A7B"/>
    <w:rsid w:val="00E66B6A"/>
    <w:rsid w:val="00E70483"/>
    <w:rsid w:val="00E82903"/>
    <w:rsid w:val="00EA173C"/>
    <w:rsid w:val="00EA25EF"/>
    <w:rsid w:val="00EB475F"/>
    <w:rsid w:val="00EB58D3"/>
    <w:rsid w:val="00EB7159"/>
    <w:rsid w:val="00EB71C7"/>
    <w:rsid w:val="00EC005B"/>
    <w:rsid w:val="00EC2E66"/>
    <w:rsid w:val="00ED0D9A"/>
    <w:rsid w:val="00EE0F28"/>
    <w:rsid w:val="00EE443C"/>
    <w:rsid w:val="00EE6F03"/>
    <w:rsid w:val="00EF15B2"/>
    <w:rsid w:val="00EF1EEB"/>
    <w:rsid w:val="00EF2283"/>
    <w:rsid w:val="00EF7D67"/>
    <w:rsid w:val="00F02B35"/>
    <w:rsid w:val="00F07385"/>
    <w:rsid w:val="00F138E0"/>
    <w:rsid w:val="00F158DF"/>
    <w:rsid w:val="00F20075"/>
    <w:rsid w:val="00F239F7"/>
    <w:rsid w:val="00F244EB"/>
    <w:rsid w:val="00F249AF"/>
    <w:rsid w:val="00F24C73"/>
    <w:rsid w:val="00F278F1"/>
    <w:rsid w:val="00F3056D"/>
    <w:rsid w:val="00F43308"/>
    <w:rsid w:val="00F476ED"/>
    <w:rsid w:val="00F50246"/>
    <w:rsid w:val="00F56433"/>
    <w:rsid w:val="00F6130F"/>
    <w:rsid w:val="00F63A34"/>
    <w:rsid w:val="00F67387"/>
    <w:rsid w:val="00F7054E"/>
    <w:rsid w:val="00F720D9"/>
    <w:rsid w:val="00F72DA0"/>
    <w:rsid w:val="00F73594"/>
    <w:rsid w:val="00F76FC0"/>
    <w:rsid w:val="00F773D2"/>
    <w:rsid w:val="00F83A1A"/>
    <w:rsid w:val="00F8411B"/>
    <w:rsid w:val="00F8633C"/>
    <w:rsid w:val="00F95B20"/>
    <w:rsid w:val="00FA6FB9"/>
    <w:rsid w:val="00FB235B"/>
    <w:rsid w:val="00FB6C6D"/>
    <w:rsid w:val="00FC3E0B"/>
    <w:rsid w:val="00FC72A1"/>
    <w:rsid w:val="00FD2380"/>
    <w:rsid w:val="00FD2980"/>
    <w:rsid w:val="00FD3848"/>
    <w:rsid w:val="00FD3D1B"/>
    <w:rsid w:val="00FD5388"/>
    <w:rsid w:val="00FD5C9A"/>
    <w:rsid w:val="00FD6AC9"/>
    <w:rsid w:val="00FD7CC9"/>
    <w:rsid w:val="00FE126E"/>
    <w:rsid w:val="00FE35E5"/>
    <w:rsid w:val="00FE3B18"/>
    <w:rsid w:val="00FE7C0B"/>
    <w:rsid w:val="00FF1E05"/>
    <w:rsid w:val="00FF3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8A620"/>
  <w15:chartTrackingRefBased/>
  <w15:docId w15:val="{CAA267C4-0E9E-4A98-B720-E31534B8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A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6A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6A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6A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6A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6A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A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A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A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A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6A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6A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6A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6A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6A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A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A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A94"/>
    <w:rPr>
      <w:rFonts w:eastAsiaTheme="majorEastAsia" w:cstheme="majorBidi"/>
      <w:color w:val="272727" w:themeColor="text1" w:themeTint="D8"/>
    </w:rPr>
  </w:style>
  <w:style w:type="paragraph" w:styleId="Title">
    <w:name w:val="Title"/>
    <w:basedOn w:val="Normal"/>
    <w:next w:val="Normal"/>
    <w:link w:val="TitleChar"/>
    <w:uiPriority w:val="10"/>
    <w:qFormat/>
    <w:rsid w:val="006C6A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A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A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A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A94"/>
    <w:pPr>
      <w:spacing w:before="160"/>
      <w:jc w:val="center"/>
    </w:pPr>
    <w:rPr>
      <w:i/>
      <w:iCs/>
      <w:color w:val="404040" w:themeColor="text1" w:themeTint="BF"/>
    </w:rPr>
  </w:style>
  <w:style w:type="character" w:customStyle="1" w:styleId="QuoteChar">
    <w:name w:val="Quote Char"/>
    <w:basedOn w:val="DefaultParagraphFont"/>
    <w:link w:val="Quote"/>
    <w:uiPriority w:val="29"/>
    <w:rsid w:val="006C6A94"/>
    <w:rPr>
      <w:i/>
      <w:iCs/>
      <w:color w:val="404040" w:themeColor="text1" w:themeTint="BF"/>
    </w:rPr>
  </w:style>
  <w:style w:type="paragraph" w:styleId="ListParagraph">
    <w:name w:val="List Paragraph"/>
    <w:basedOn w:val="Normal"/>
    <w:uiPriority w:val="34"/>
    <w:qFormat/>
    <w:rsid w:val="006C6A94"/>
    <w:pPr>
      <w:ind w:left="720"/>
      <w:contextualSpacing/>
    </w:pPr>
  </w:style>
  <w:style w:type="character" w:styleId="IntenseEmphasis">
    <w:name w:val="Intense Emphasis"/>
    <w:basedOn w:val="DefaultParagraphFont"/>
    <w:uiPriority w:val="21"/>
    <w:qFormat/>
    <w:rsid w:val="006C6A94"/>
    <w:rPr>
      <w:i/>
      <w:iCs/>
      <w:color w:val="2F5496" w:themeColor="accent1" w:themeShade="BF"/>
    </w:rPr>
  </w:style>
  <w:style w:type="paragraph" w:styleId="IntenseQuote">
    <w:name w:val="Intense Quote"/>
    <w:basedOn w:val="Normal"/>
    <w:next w:val="Normal"/>
    <w:link w:val="IntenseQuoteChar"/>
    <w:uiPriority w:val="30"/>
    <w:qFormat/>
    <w:rsid w:val="006C6A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6A94"/>
    <w:rPr>
      <w:i/>
      <w:iCs/>
      <w:color w:val="2F5496" w:themeColor="accent1" w:themeShade="BF"/>
    </w:rPr>
  </w:style>
  <w:style w:type="character" w:styleId="IntenseReference">
    <w:name w:val="Intense Reference"/>
    <w:basedOn w:val="DefaultParagraphFont"/>
    <w:uiPriority w:val="32"/>
    <w:qFormat/>
    <w:rsid w:val="006C6A94"/>
    <w:rPr>
      <w:b/>
      <w:bCs/>
      <w:smallCaps/>
      <w:color w:val="2F5496" w:themeColor="accent1" w:themeShade="BF"/>
      <w:spacing w:val="5"/>
    </w:rPr>
  </w:style>
  <w:style w:type="paragraph" w:styleId="Header">
    <w:name w:val="header"/>
    <w:basedOn w:val="Normal"/>
    <w:link w:val="HeaderChar"/>
    <w:uiPriority w:val="99"/>
    <w:unhideWhenUsed/>
    <w:rsid w:val="001B66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64F"/>
  </w:style>
  <w:style w:type="paragraph" w:styleId="Footer">
    <w:name w:val="footer"/>
    <w:basedOn w:val="Normal"/>
    <w:link w:val="FooterChar"/>
    <w:uiPriority w:val="99"/>
    <w:unhideWhenUsed/>
    <w:rsid w:val="001B66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64F"/>
  </w:style>
  <w:style w:type="character" w:styleId="CommentReference">
    <w:name w:val="annotation reference"/>
    <w:basedOn w:val="DefaultParagraphFont"/>
    <w:uiPriority w:val="99"/>
    <w:semiHidden/>
    <w:unhideWhenUsed/>
    <w:rsid w:val="002A5974"/>
    <w:rPr>
      <w:sz w:val="16"/>
      <w:szCs w:val="16"/>
    </w:rPr>
  </w:style>
  <w:style w:type="paragraph" w:styleId="CommentText">
    <w:name w:val="annotation text"/>
    <w:basedOn w:val="Normal"/>
    <w:link w:val="CommentTextChar"/>
    <w:uiPriority w:val="99"/>
    <w:unhideWhenUsed/>
    <w:rsid w:val="002A5974"/>
    <w:pPr>
      <w:spacing w:line="240" w:lineRule="auto"/>
    </w:pPr>
    <w:rPr>
      <w:sz w:val="20"/>
      <w:szCs w:val="20"/>
    </w:rPr>
  </w:style>
  <w:style w:type="character" w:customStyle="1" w:styleId="CommentTextChar">
    <w:name w:val="Comment Text Char"/>
    <w:basedOn w:val="DefaultParagraphFont"/>
    <w:link w:val="CommentText"/>
    <w:uiPriority w:val="99"/>
    <w:rsid w:val="002A5974"/>
    <w:rPr>
      <w:sz w:val="20"/>
      <w:szCs w:val="20"/>
    </w:rPr>
  </w:style>
  <w:style w:type="paragraph" w:styleId="CommentSubject">
    <w:name w:val="annotation subject"/>
    <w:basedOn w:val="CommentText"/>
    <w:next w:val="CommentText"/>
    <w:link w:val="CommentSubjectChar"/>
    <w:uiPriority w:val="99"/>
    <w:semiHidden/>
    <w:unhideWhenUsed/>
    <w:rsid w:val="002A5974"/>
    <w:rPr>
      <w:b/>
      <w:bCs/>
    </w:rPr>
  </w:style>
  <w:style w:type="character" w:customStyle="1" w:styleId="CommentSubjectChar">
    <w:name w:val="Comment Subject Char"/>
    <w:basedOn w:val="CommentTextChar"/>
    <w:link w:val="CommentSubject"/>
    <w:uiPriority w:val="99"/>
    <w:semiHidden/>
    <w:rsid w:val="002A5974"/>
    <w:rPr>
      <w:b/>
      <w:bCs/>
      <w:sz w:val="20"/>
      <w:szCs w:val="20"/>
    </w:rPr>
  </w:style>
  <w:style w:type="character" w:styleId="Hyperlink">
    <w:name w:val="Hyperlink"/>
    <w:basedOn w:val="DefaultParagraphFont"/>
    <w:uiPriority w:val="99"/>
    <w:unhideWhenUsed/>
    <w:rsid w:val="00066929"/>
    <w:rPr>
      <w:color w:val="0563C1" w:themeColor="hyperlink"/>
      <w:u w:val="single"/>
    </w:rPr>
  </w:style>
  <w:style w:type="character" w:styleId="UnresolvedMention">
    <w:name w:val="Unresolved Mention"/>
    <w:basedOn w:val="DefaultParagraphFont"/>
    <w:uiPriority w:val="99"/>
    <w:semiHidden/>
    <w:unhideWhenUsed/>
    <w:rsid w:val="000669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u.repository.guildhe.ac.uk/id/eprint/9560/1/Information%20Governance%20Review.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12326</TotalTime>
  <Pages>8</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 Bi</dc:creator>
  <cp:keywords/>
  <dc:description/>
  <cp:lastModifiedBy>Anisah Bi</cp:lastModifiedBy>
  <cp:revision>617</cp:revision>
  <dcterms:created xsi:type="dcterms:W3CDTF">2025-10-24T08:54:00Z</dcterms:created>
  <dcterms:modified xsi:type="dcterms:W3CDTF">2025-11-13T22:15:00Z</dcterms:modified>
</cp:coreProperties>
</file>