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u w:val="single"/>
        </w:rPr>
      </w:pPr>
      <w:r w:rsidR="00000000" w:rsidDel="00000000" w:rsidRPr="00000000">
        <w:rPr>
          <w:rtl w:val="0"/>
        </w:rPr>
      </w:r>
    </w:p>
    <w:p w:rsidR="00000000" w:rsidDel="00000000" w:rsidRDefault="00000000" w14:paraId="00000002" w:rsidP="00000000" w:rsidRPr="00000000">
      <w:pPr>
        <w:jc w:val="center"/>
        <w:rPr>
          <w:b/>
          <w:u w:val="single"/>
        </w:rPr>
      </w:pPr>
      <w:r w:rsidR="00000000" w:rsidDel="00000000" w:rsidRPr="00000000">
        <w:rPr>
          <w:rtl w:val="0"/>
          <w:b/>
          <w:u w:val="single"/>
        </w:rPr>
        <w:t>A Critical Exploration of Case Study 1 Through the Application of the Psychodynamic Approach</w:t>
      </w:r>
    </w:p>
    <w:p w:rsidR="00000000" w:rsidDel="00000000" w:rsidRDefault="00000000" w14:paraId="00000003" w:rsidP="00000000" w:rsidRPr="00000000">
      <w:pPr>
        <w:jc w:val="center"/>
        <w:rPr>
          <w:b/>
          <w:u w:val="single"/>
        </w:rPr>
      </w:pPr>
      <w:r w:rsidR="00000000" w:rsidDel="00000000" w:rsidRPr="00000000">
        <w:rPr>
          <w:rtl w:val="0"/>
        </w:rPr>
      </w:r>
    </w:p>
    <w:p w:rsidR="00000000" w:rsidDel="00000000" w:rsidRDefault="00000000" w14:paraId="00000004" w:rsidP="00000000" w:rsidRPr="00000000">
      <w:pPr>
        <w:ind w:firstLine="720"/>
      </w:pPr>
      <w:r w:rsidR="00000000" w:rsidDel="00000000" w:rsidRPr="00000000">
        <w:rPr>
          <w:rtl w:val="0"/>
        </w:rPr>
        <w:t xml:space="preserve">This essay will explore the scenario set in Case Study 1 and follow the prime individual seeking help. The individual who will be discussed shall be referred to only as “The Patient” for the purposes of anonymity. The patient is described to have recently lost their eight-year-old daughter to leukaemia only six months after diagnosis. Along with her husband, the patient has two other children who are both older than the departed daughter, fourteen and sixteen years old respectively, and also lives within the same city as her parents who offer her support despite the relationship with the mother being </w:t>
      </w:r>
      <w:r w:rsidR="00000000" w:rsidDel="00000000" w:rsidRPr="00000000">
        <w:rPr>
          <w:rtl w:val="0"/>
          <w:i/>
        </w:rPr>
        <w:t>“estranged”</w:t>
      </w:r>
      <w:r w:rsidR="00000000" w:rsidDel="00000000" w:rsidRPr="00000000">
        <w:rPr>
          <w:rtl w:val="0"/>
        </w:rPr>
        <w:t xml:space="preserve">. It is stated that the patient is </w:t>
      </w:r>
      <w:r w:rsidR="00000000" w:rsidDel="00000000" w:rsidRPr="00000000">
        <w:rPr>
          <w:rtl w:val="0"/>
          <w:i/>
        </w:rPr>
        <w:t>“struggling to cope and manage everyday life”</w:t>
      </w:r>
      <w:r w:rsidR="00000000" w:rsidDel="00000000" w:rsidRPr="00000000">
        <w:rPr>
          <w:rtl w:val="0"/>
        </w:rPr>
        <w:t xml:space="preserve"> and was advised to seek professional help through counselling or therapy. </w:t>
      </w:r>
    </w:p>
    <w:p w:rsidR="00000000" w:rsidDel="00000000" w:rsidRDefault="00000000" w14:paraId="00000005" w:rsidP="00000000" w:rsidRPr="00000000">
      <w:pPr>
        <w:ind w:firstLine="720"/>
      </w:pPr>
      <w:r w:rsidR="00000000" w:rsidDel="00000000" w:rsidRPr="00000000">
        <w:rPr>
          <w:rtl w:val="0"/>
        </w:rPr>
        <w:t>In this essay, I shall analyse the text of Case Study 1 through the guise of the psychodynamic approach and use research and evidence to support my theories and, finally, suggest a plan of action and what possible therapy I believe will have the most beneficial impact on the patient’s improvement, mental health and well-being.</w:t>
      </w:r>
    </w:p>
    <w:p w:rsidR="00000000" w:rsidDel="00000000" w:rsidRDefault="00000000" w14:paraId="00000006" w:rsidP="00000000" w:rsidRPr="00000000">
      <w:pPr>
        <w:ind w:firstLine="720"/>
      </w:pPr>
      <w:r w:rsidR="00000000" w:rsidDel="00000000" w:rsidRPr="00000000">
        <w:rPr>
          <w:rtl w:val="0"/>
        </w:rPr>
      </w:r>
    </w:p>
    <w:p w:rsidR="00000000" w:rsidDel="00000000" w:rsidRDefault="00000000" w14:paraId="00000007" w:rsidP="00000000" w:rsidRPr="00000000">
      <w:pPr>
        <w:ind w:left="0"/>
        <w:ind w:firstLine="0"/>
      </w:pPr>
      <w:r>
        <w:rPr/>
        <w:tab/>
      </w:r>
      <w:r>
        <w:rPr/>
        <w:t>The psychodynamic theory was initially spearheaded by Sigmund Freud (1856-1939) and it underlined that all behaviour could be explained through the root causes of childhood experiences and the relationship between child and parent through different psychosexual stages. Since its initial conjuring, it has been further researched and expanded upon by many psychologists and much research and now today, it is an approach that is designed to help clients overcome their mental health issues by discussing their emotions and unconscious behaviours with trained counsellors, psychologists and social workers with the end goal of being able to make better decisions for themselves through understanding themselves to a higher degree (MSW Programmes, 2022).</w:t>
      </w:r>
    </w:p>
    <w:p w:rsidR="00000000" w:rsidDel="00000000" w:rsidRDefault="00000000" w14:paraId="00000008" w:rsidP="00000000" w:rsidRPr="00000000">
      <w:pPr>
        <w:ind w:left="0"/>
        <w:ind w:firstLine="0"/>
      </w:pPr>
      <w:r w:rsidR="00000000" w:rsidDel="00000000" w:rsidRPr="00000000">
        <w:rPr>
          <w:rtl w:val="0"/>
        </w:rPr>
        <w:t>The approach sets to achieve this through a set of goals;</w:t>
      </w:r>
    </w:p>
    <w:p w:rsidR="00000000" w:rsidDel="00000000" w:rsidRDefault="00000000" w14:paraId="00000009" w:rsidP="00000000" w:rsidRPr="00000000">
      <w:pPr>
        <w:numPr>
          <w:ilvl w:val="0"/>
          <w:numId w:val="1"/>
        </w:numPr>
        <w:ind w:left="3600"/>
        <w:ind w:hanging="360"/>
        <w:rPr>
          <w:u w:val="none"/>
        </w:rPr>
      </w:pPr>
      <w:r w:rsidR="00000000" w:rsidDel="00000000" w:rsidRPr="00000000">
        <w:rPr>
          <w:rtl w:val="0"/>
        </w:rPr>
        <w:t>Acknowledge and address emotions</w:t>
      </w:r>
    </w:p>
    <w:p w:rsidR="00000000" w:rsidDel="00000000" w:rsidRDefault="00000000" w14:paraId="0000000A" w:rsidP="00000000" w:rsidRPr="00000000">
      <w:pPr>
        <w:numPr>
          <w:ilvl w:val="0"/>
          <w:numId w:val="1"/>
        </w:numPr>
        <w:ind w:left="3600"/>
        <w:ind w:hanging="360"/>
        <w:rPr>
          <w:u w:val="none"/>
        </w:rPr>
      </w:pPr>
      <w:r w:rsidR="00000000" w:rsidDel="00000000" w:rsidRPr="00000000">
        <w:rPr>
          <w:rtl w:val="0"/>
        </w:rPr>
        <w:t>Identify behavioural patterns and give them the power to change</w:t>
      </w:r>
    </w:p>
    <w:p w:rsidR="00000000" w:rsidDel="00000000" w:rsidRDefault="00000000" w14:paraId="0000000B" w:rsidP="00000000" w:rsidRPr="00000000">
      <w:pPr>
        <w:numPr>
          <w:ilvl w:val="0"/>
          <w:numId w:val="1"/>
        </w:numPr>
        <w:ind w:left="3600"/>
        <w:ind w:hanging="360"/>
        <w:rPr>
          <w:u w:val="none"/>
        </w:rPr>
      </w:pPr>
      <w:r w:rsidR="00000000" w:rsidDel="00000000" w:rsidRPr="00000000">
        <w:rPr>
          <w:rtl w:val="0"/>
        </w:rPr>
        <w:t>Address avoidance and learn how to move forward with healthy coping mechanisms</w:t>
      </w:r>
    </w:p>
    <w:p w:rsidR="00000000" w:rsidDel="00000000" w:rsidRDefault="00000000" w14:paraId="0000000C" w:rsidP="00000000" w:rsidRPr="00000000">
      <w:pPr>
        <w:numPr>
          <w:ilvl w:val="0"/>
          <w:numId w:val="1"/>
        </w:numPr>
        <w:ind w:left="3600"/>
        <w:ind w:hanging="360"/>
        <w:rPr>
          <w:u w:val="none"/>
        </w:rPr>
      </w:pPr>
      <w:r w:rsidR="00000000" w:rsidDel="00000000" w:rsidRPr="00000000">
        <w:rPr>
          <w:rtl w:val="0"/>
        </w:rPr>
        <w:t>Acknowledge relationship patterns and improve interpersonal relationships</w:t>
      </w:r>
    </w:p>
    <w:p w:rsidR="00000000" w:rsidDel="00000000" w:rsidRDefault="00000000" w14:paraId="0000000D" w:rsidP="00000000" w:rsidRPr="00000000">
      <w:pPr>
        <w:ind w:left="0"/>
        <w:ind w:firstLine="0"/>
      </w:pPr>
      <w:r>
        <w:rPr/>
        <w:tab/>
      </w:r>
      <w:r>
        <w:rPr/>
        <w:t>These goals are set within the parameters of the assumptions of the psychodynamic approach, as are the goals of all therapeutic approaches. These assumptions are as follows:</w:t>
      </w:r>
    </w:p>
    <w:p w:rsidR="00000000" w:rsidDel="00000000" w:rsidRDefault="00000000" w14:paraId="0000000E" w:rsidP="00000000" w:rsidRPr="00000000">
      <w:pPr>
        <w:numPr>
          <w:ilvl w:val="0"/>
          <w:numId w:val="2"/>
        </w:numPr>
        <w:ind w:left="3600"/>
        <w:ind w:hanging="360"/>
        <w:rPr>
          <w:u w:val="none"/>
        </w:rPr>
      </w:pPr>
      <w:r w:rsidR="00000000" w:rsidDel="00000000" w:rsidRPr="00000000">
        <w:rPr>
          <w:rtl w:val="0"/>
        </w:rPr>
        <w:t>Any and all behaviours have an underlying cause</w:t>
      </w:r>
    </w:p>
    <w:p w:rsidR="00000000" w:rsidDel="00000000" w:rsidRDefault="00000000" w14:paraId="0000000F" w:rsidP="00000000" w:rsidRPr="00000000">
      <w:pPr>
        <w:numPr>
          <w:ilvl w:val="0"/>
          <w:numId w:val="2"/>
        </w:numPr>
        <w:ind w:left="3600"/>
        <w:ind w:hanging="360"/>
        <w:rPr>
          <w:u w:val="none"/>
        </w:rPr>
      </w:pPr>
      <w:r w:rsidR="00000000" w:rsidDel="00000000" w:rsidRPr="00000000">
        <w:rPr>
          <w:rtl w:val="0"/>
        </w:rPr>
        <w:t>The feelings and behaviours of an adult, including potential mental health issues, are rooted in childhood experiences and attachments</w:t>
      </w:r>
    </w:p>
    <w:p w:rsidR="00000000" w:rsidDel="00000000" w:rsidRDefault="00000000" w14:paraId="00000010" w:rsidP="00000000" w:rsidRPr="00000000">
      <w:pPr>
        <w:numPr>
          <w:ilvl w:val="0"/>
          <w:numId w:val="2"/>
        </w:numPr>
        <w:ind w:left="3600"/>
        <w:ind w:hanging="360"/>
        <w:rPr>
          <w:u w:val="none"/>
        </w:rPr>
      </w:pPr>
      <w:r w:rsidR="00000000" w:rsidDel="00000000" w:rsidRPr="00000000">
        <w:rPr>
          <w:rtl w:val="0"/>
        </w:rPr>
        <w:t>The causes of behaviours are rooted in the unconscious mind</w:t>
      </w:r>
    </w:p>
    <w:p w:rsidR="00000000" w:rsidDel="00000000" w:rsidRDefault="00000000" w14:paraId="00000011" w:rsidP="00000000" w:rsidRPr="00000000">
      <w:pPr>
        <w:numPr>
          <w:ilvl w:val="0"/>
          <w:numId w:val="2"/>
        </w:numPr>
        <w:ind w:left="3600"/>
        <w:ind w:hanging="360"/>
        <w:rPr>
          <w:u w:val="none"/>
        </w:rPr>
      </w:pPr>
      <w:r w:rsidR="00000000" w:rsidDel="00000000" w:rsidRPr="00000000">
        <w:rPr>
          <w:rtl w:val="0"/>
        </w:rPr>
        <w:t>Differing aspects of a person’s unconscious mind will struggle against one another (Id, Ego and Superego)</w:t>
      </w:r>
    </w:p>
    <w:p w:rsidR="00000000" w:rsidDel="00000000" w:rsidRDefault="00000000" w14:paraId="00000012" w:rsidP="00000000" w:rsidRPr="00000000">
      <w:pPr>
        <w:numPr>
          <w:ilvl w:val="0"/>
          <w:numId w:val="2"/>
        </w:numPr>
        <w:ind w:left="3600"/>
        <w:ind w:hanging="360"/>
        <w:rPr>
          <w:u w:val="none"/>
        </w:rPr>
      </w:pPr>
      <w:r w:rsidR="00000000" w:rsidDel="00000000" w:rsidRPr="00000000">
        <w:rPr>
          <w:rtl w:val="0"/>
        </w:rPr>
        <w:t>Both innate internal processes and external environments contribute to personality</w:t>
      </w:r>
    </w:p>
    <w:p w:rsidR="00000000" w:rsidDel="00000000" w:rsidRDefault="00000000" w14:paraId="00000013" w:rsidP="00000000" w:rsidRPr="00000000">
      <w:pPr>
        <w:ind w:left="0"/>
        <w:ind w:firstLine="0"/>
      </w:pPr>
      <w:r w:rsidR="00000000" w:rsidDel="00000000" w:rsidRPr="00000000">
        <w:rPr>
          <w:rtl w:val="0"/>
        </w:rPr>
        <w:tab/>
      </w:r>
    </w:p>
    <w:p w:rsidR="00000000" w:rsidDel="00000000" w:rsidRDefault="00000000" w14:paraId="00000014" w:rsidP="00000000" w:rsidRPr="00000000">
      <w:pPr>
        <w:ind w:left="0"/>
        <w:ind w:firstLine="720"/>
      </w:pPr>
      <w:r w:rsidR="00000000" w:rsidDel="00000000" w:rsidRPr="00000000">
        <w:rPr>
          <w:rtl w:val="0"/>
        </w:rPr>
        <w:t>One of the most prevalent theories developed through the lens of the psychodynamic approach is Bowlby’s Attachment Theory (1979). John Bowlby claimed that evidence showed that a child has “an innate need” to form an attachment with its primary caregiver. It achieves this through acts such as crying to garner a response. For the first two years of the child’s life, the primary caregiver should provide continuous care as Bowlby deemed these first two years “critical” in the development of the attachment as it is at its most vulnerable here. Bowlby also claimed that this lack of attachment can lead to “maternal deprivation”, the separation or loss of the mother, and could lead to severe social, emotional and cognitive effects on the child. Bowlby also famously mentions the “Internal Working Model”. This internal working model essentially acts as a framework for the child to understand the world around them. This includes their perception of others, understanding of self and guiding them through the interactions they will encounter in life. The primary caregiver then is seen to be the being that instils this internal working model, acting as the prototype of the framework.</w:t>
      </w:r>
    </w:p>
    <w:p w:rsidR="00000000" w:rsidDel="00000000" w:rsidRDefault="00000000" w14:paraId="00000015" w:rsidP="00000000" w:rsidRPr="00000000">
      <w:pPr>
        <w:ind w:left="0"/>
        <w:ind w:firstLine="720"/>
      </w:pPr>
      <w:r w:rsidR="00000000" w:rsidDel="00000000" w:rsidRPr="00000000">
        <w:rPr>
          <w:rtl w:val="0"/>
        </w:rPr>
        <w:t xml:space="preserve">In the text, there is a brief mention of the patient’s relationship with their mother being </w:t>
      </w:r>
      <w:r w:rsidR="00000000" w:rsidDel="00000000" w:rsidRPr="00000000">
        <w:rPr>
          <w:rtl w:val="0"/>
          <w:i/>
        </w:rPr>
        <w:t>“estranged”</w:t>
      </w:r>
      <w:r w:rsidR="00000000" w:rsidDel="00000000" w:rsidRPr="00000000">
        <w:rPr>
          <w:rtl w:val="0"/>
        </w:rPr>
        <w:t>. Looking at this, we are first assuming that the patient’s mother was the primary caregiver in the patient’s childhood however given the roughly estimated timeframe of the patient’s youth (most likely between 1970 and 2000) I feel like this is a safe assumption to make as the maternal figure is stereotypical and statistically most commonly the primary caregiver of a child due to the socialisation of women as a more caring figure than their male counterparts. This relationship becoming estranged can have a lot of underlying issues. If this is a long-term development, perhaps dating back to the patient's youth, this could lead to issues in the development of the patient, specifically regarding the development of the internal working model. If this relationship is suffering from the long-term effects of estrangement then the patient may lack this internal framework or perhaps was later in developing it through other methods/sources, therefore not really having a set of guidelines on how to deal with the loss of a loved one, in this case, a daughter.</w:t>
      </w:r>
    </w:p>
    <w:p w:rsidR="00000000" w:rsidDel="00000000" w:rsidRDefault="00000000" w14:paraId="00000016" w:rsidP="00000000" w:rsidRPr="00000000">
      <w:pPr>
        <w:ind w:left="0"/>
        <w:ind w:firstLine="720"/>
      </w:pPr>
      <w:r w:rsidR="00000000" w:rsidDel="00000000" w:rsidRPr="00000000">
        <w:rPr>
          <w:rtl w:val="0"/>
        </w:rPr>
        <w:t xml:space="preserve">If however, this is a more recent development, perhaps becoming estranged due to more recent circumstances, this will have different yet still equally as damaging issues. If the attachment theory was assumed to be effective in the patient’s youth and a healthy bond was formed between mother and child, the child in this scenario being the patient, it is safe to assume that this bond would have lasted up to adulthood, as is common with many healthy parent to adult-child relationships, this estrangement can be seen as a different kind of bereavement, an emotional or spiritual loss if you will. Although the text claims that the patient </w:t>
      </w:r>
      <w:r w:rsidR="00000000" w:rsidDel="00000000" w:rsidRPr="00000000">
        <w:rPr>
          <w:rtl w:val="0"/>
          <w:i/>
        </w:rPr>
        <w:t>“has the support of her parents”</w:t>
      </w:r>
      <w:r w:rsidR="00000000" w:rsidDel="00000000" w:rsidRPr="00000000">
        <w:rPr>
          <w:rtl w:val="0"/>
        </w:rPr>
        <w:t xml:space="preserve"> the following note of the estranged relationship between the patient and her mother casts a questionable light on this support and would lead us to believe that this support is not meeting the potential that parental support could, and ideally should, meet, effectively losing a support system, despite the support being there in theory. Support would typically require active participation with the individual requiring it which does not line up with one being estranged or ‘distanced’ from another. Losing that support system at such a crucial time may create a feeling of loneliness in the patient as a parent would typically act as an emotional ‘rock’ or a shoulder to cry on for many people who still actively engage with their parents in a healthy manner into their adulthood and other support systems closer to the situation, such as the partner or the two remaining children, may be ineffective as they are also suffering the same bereavement being within the same household. The closeness of a parent being immediate family, yet distanced enough by living separately may have provided a hand close enough to understand and share this pain, yet distanced enough to not be spiralling in a negative setting that everyone shares in a single household.</w:t>
      </w:r>
    </w:p>
    <w:p w:rsidR="00000000" w:rsidDel="00000000" w:rsidRDefault="00000000" w14:paraId="00000017" w:rsidP="00000000" w:rsidRPr="00000000">
      <w:pPr>
        <w:ind w:left="0"/>
        <w:ind w:firstLine="720"/>
      </w:pPr>
      <w:r w:rsidR="00000000" w:rsidDel="00000000" w:rsidRPr="00000000">
        <w:rPr>
          <w:rtl w:val="0"/>
        </w:rPr>
        <w:t>One more possible perspective is that the relationship became estranged due to the loss of the patient’s daughter as it resembles almost exactly the way that the patient’s mother lost her daughter, the patient’s sister, and could have triggered a potential issue of PTSD, which will be further explained later regarding avoidance.</w:t>
      </w:r>
      <w:r w:rsidR="00000000" w:rsidDel="00000000" w:rsidRPr="00000000">
        <w:rPr>
          <w:rtl w:val="0"/>
        </w:rPr>
      </w:r>
    </w:p>
    <w:p w:rsidR="00000000" w:rsidDel="00000000" w:rsidRDefault="00000000" w14:paraId="00000018" w:rsidP="00000000" w:rsidRPr="00000000">
      <w:pPr>
        <w:ind w:left="0"/>
        <w:ind w:firstLine="720"/>
      </w:pPr>
      <w:r w:rsidR="00000000" w:rsidDel="00000000" w:rsidRPr="00000000">
        <w:rPr>
          <w:rtl w:val="0"/>
        </w:rPr>
      </w:r>
    </w:p>
    <w:p w:rsidR="00000000" w:rsidDel="00000000" w:rsidRDefault="00000000" w14:paraId="00000019" w:rsidP="00000000" w:rsidRPr="00000000">
      <w:pPr>
        <w:ind w:left="0"/>
        <w:ind w:firstLine="720"/>
        <w:rPr>
          <w:color w:val="333333"/>
        </w:rPr>
      </w:pPr>
      <w:r w:rsidR="00000000" w:rsidDel="00000000" w:rsidRPr="00000000">
        <w:rPr>
          <w:rtl w:val="0"/>
        </w:rPr>
        <w:t xml:space="preserve">This leads to a very important note of the patient's past, that being </w:t>
      </w:r>
      <w:r w:rsidR="00000000" w:rsidDel="00000000" w:rsidRPr="00000000">
        <w:rPr>
          <w:rtl w:val="0"/>
          <w:i/>
        </w:rPr>
        <w:t xml:space="preserve">“[The Patient]'s sister died of leukaemia age 13 when [The Patient] was seven.” </w:t>
      </w:r>
      <w:r w:rsidR="00000000" w:rsidDel="00000000" w:rsidRPr="00000000">
        <w:rPr>
          <w:rtl w:val="0"/>
        </w:rPr>
        <w:t>Immediately the similarity in the patient’s current situation and the past situation regarding their sister, the patient lost both members of her family via the same illness, leukaemia, and both were lost at a young age. Zisook et al (1998) conducted research regarding “recently bereaved widows and widowers” and how bereavement can lead to PTSD. They found that “</w:t>
      </w:r>
      <w:r w:rsidR="00000000" w:rsidDel="00000000" w:rsidRPr="00000000">
        <w:rPr>
          <w:rtl w:val="0"/>
          <w:color w:val="333333"/>
        </w:rPr>
        <w:t>10% of those whose spouses died after a chronic illness met criteria for PTSD” and “Symptoms tended to be chronic in at least 40% of the subjects”. According to the NHS (2022), symptoms of PTSD can include;</w:t>
      </w:r>
    </w:p>
    <w:p w:rsidR="00000000" w:rsidDel="00000000" w:rsidRDefault="00000000" w14:paraId="0000001A" w:rsidP="00000000" w:rsidRPr="00000000">
      <w:pPr>
        <w:numPr>
          <w:ilvl w:val="0"/>
          <w:numId w:val="3"/>
        </w:numPr>
        <w:ind w:left="3600"/>
        <w:ind w:hanging="360"/>
        <w:rPr>
          <w:u w:val="none"/>
          <w:color w:val="333333"/>
        </w:rPr>
      </w:pPr>
      <w:r w:rsidR="00000000" w:rsidDel="00000000" w:rsidRPr="00000000">
        <w:rPr>
          <w:rtl w:val="0"/>
          <w:color w:val="333333"/>
        </w:rPr>
        <w:t>Avoidance</w:t>
      </w:r>
    </w:p>
    <w:p w:rsidR="00000000" w:rsidDel="00000000" w:rsidRDefault="00000000" w14:paraId="0000001B" w:rsidP="00000000" w:rsidRPr="00000000">
      <w:pPr>
        <w:numPr>
          <w:ilvl w:val="0"/>
          <w:numId w:val="3"/>
        </w:numPr>
        <w:ind w:left="3600"/>
        <w:ind w:hanging="360"/>
        <w:rPr>
          <w:u w:val="none"/>
          <w:color w:val="333333"/>
        </w:rPr>
      </w:pPr>
      <w:r w:rsidR="00000000" w:rsidDel="00000000" w:rsidRPr="00000000">
        <w:rPr>
          <w:rtl w:val="0"/>
          <w:color w:val="333333"/>
        </w:rPr>
        <w:t>Emotional numbing</w:t>
      </w:r>
    </w:p>
    <w:p w:rsidR="00000000" w:rsidDel="00000000" w:rsidRDefault="00000000" w14:paraId="0000001C" w:rsidP="00000000" w:rsidRPr="00000000">
      <w:pPr>
        <w:numPr>
          <w:ilvl w:val="0"/>
          <w:numId w:val="3"/>
        </w:numPr>
        <w:ind w:left="3600"/>
        <w:ind w:hanging="360"/>
        <w:rPr>
          <w:u w:val="none"/>
          <w:color w:val="333333"/>
        </w:rPr>
      </w:pPr>
      <w:r w:rsidR="00000000" w:rsidDel="00000000" w:rsidRPr="00000000">
        <w:rPr>
          <w:rtl w:val="0"/>
          <w:color w:val="333333"/>
        </w:rPr>
        <w:t>Hyperarousal</w:t>
      </w:r>
    </w:p>
    <w:p w:rsidR="00000000" w:rsidDel="00000000" w:rsidRDefault="00000000" w14:paraId="0000001D" w:rsidP="00000000" w:rsidRPr="00000000">
      <w:pPr>
        <w:numPr>
          <w:ilvl w:val="0"/>
          <w:numId w:val="3"/>
        </w:numPr>
        <w:ind w:left="3600"/>
        <w:ind w:hanging="360"/>
        <w:rPr>
          <w:u w:val="none"/>
          <w:color w:val="333333"/>
        </w:rPr>
      </w:pPr>
      <w:r w:rsidR="00000000" w:rsidDel="00000000" w:rsidRPr="00000000">
        <w:rPr>
          <w:rtl w:val="0"/>
          <w:color w:val="333333"/>
        </w:rPr>
        <w:t>Depression</w:t>
      </w:r>
    </w:p>
    <w:p w:rsidR="00000000" w:rsidDel="00000000" w:rsidRDefault="00000000" w14:paraId="0000001E" w:rsidP="00000000" w:rsidRPr="00000000">
      <w:pPr>
        <w:numPr>
          <w:ilvl w:val="0"/>
          <w:numId w:val="3"/>
        </w:numPr>
        <w:ind w:left="3600"/>
        <w:ind w:hanging="360"/>
        <w:rPr>
          <w:u w:val="none"/>
          <w:color w:val="333333"/>
        </w:rPr>
      </w:pPr>
      <w:r w:rsidR="00000000" w:rsidDel="00000000" w:rsidRPr="00000000">
        <w:rPr>
          <w:rtl w:val="0"/>
          <w:color w:val="333333"/>
        </w:rPr>
        <w:t>Anxiety</w:t>
      </w:r>
    </w:p>
    <w:p w:rsidR="00000000" w:rsidDel="00000000" w:rsidRDefault="00000000" w14:paraId="0000001F" w:rsidP="00000000" w:rsidRPr="00000000">
      <w:pPr>
        <w:ind w:left="0"/>
        <w:ind w:firstLine="720"/>
        <w:rPr>
          <w:color w:val="333333"/>
        </w:rPr>
      </w:pPr>
      <w:r w:rsidR="00000000" w:rsidDel="00000000" w:rsidRPr="00000000">
        <w:rPr>
          <w:rtl w:val="0"/>
          <w:color w:val="333333"/>
        </w:rPr>
        <w:t>Despite the difference in the relationship, this can still be applied to this case scenario as it is the recent bereavement of a key family member. If this is initially applied to the loss of the patient’s sister, this scenario seemingly repeating with the patient’s daughter could cause a severe episode relating to the potential development of PTSD within the patient. This would help explain why the patient is still struggling deeply with the bereavement a year removed from the initial loss. It is evident the patient has developed possible depression when it is stated that “</w:t>
      </w:r>
      <w:r w:rsidR="00000000" w:rsidDel="00000000" w:rsidRPr="00000000">
        <w:rPr>
          <w:rtl w:val="0"/>
          <w:i/>
        </w:rPr>
        <w:t>[The Patient] is still struggling to cope and manage everyday life”</w:t>
      </w:r>
      <w:r w:rsidR="00000000" w:rsidDel="00000000" w:rsidRPr="00000000">
        <w:rPr>
          <w:rtl w:val="0"/>
        </w:rPr>
        <w:t xml:space="preserve">, a symptom of PTSD and given the history regarding the patient’s sister, there is a possibility that avoidance was instrumental in the patient’s coping as a young child and could help explain the estrangement from the mother, as this avoidance could have possibly created rifts or tension in the relationship in an effort to avoid its discussion. </w:t>
      </w:r>
      <w:r w:rsidR="00000000" w:rsidDel="00000000" w:rsidRPr="00000000">
        <w:rPr>
          <w:rtl w:val="0"/>
        </w:rPr>
      </w:r>
    </w:p>
    <w:p w:rsidR="00000000" w:rsidDel="00000000" w:rsidRDefault="00000000" w14:paraId="00000020" w:rsidP="00000000" w:rsidRPr="00000000">
      <w:pPr>
        <w:ind w:left="0"/>
        <w:ind w:firstLine="720"/>
        <w:rPr>
          <w:color w:val="333333"/>
        </w:rPr>
      </w:pPr>
      <w:r w:rsidR="00000000" w:rsidDel="00000000" w:rsidRPr="00000000">
        <w:rPr>
          <w:rtl w:val="0"/>
        </w:rPr>
      </w:r>
    </w:p>
    <w:p w:rsidR="00000000" w:rsidDel="00000000" w:rsidRDefault="00000000" w14:paraId="00000021" w:rsidP="00000000" w:rsidRPr="00000000">
      <w:pPr>
        <w:ind w:firstLine="720"/>
        <w:rPr>
          <w:color w:val="333333"/>
        </w:rPr>
      </w:pPr>
      <w:r w:rsidR="00000000" w:rsidDel="00000000" w:rsidRPr="00000000">
        <w:rPr>
          <w:rtl w:val="0"/>
        </w:rPr>
        <w:t>Despite these points, the simplicity of the patient losing her daughter cannot be overlooked in this case scenario. The daughter died of leukaemia, dying six months after the initial diagnosis. This is a very sudden bereavement and a rather heavy one at that. A young daughter would have a strong bond within a healthy family scenario. Looking at the basic idea of attachment theory, that being attachment and bonding itself, it can be easily seen how this will become a two-way system. The child bonds with the primary caregiver but during this time it would be safe to assume that the primary caregiver will also bond with the child. Losing her daughter with which she has formed a bond will be a devastating loss and would have a great traumatic effect on the patient regardless of any potential previously developed mental health issues, especially considering the relative recency of this event, only being, approximately, one year ago.</w:t>
      </w:r>
      <w:r w:rsidR="00000000" w:rsidDel="00000000" w:rsidRPr="00000000">
        <w:rPr>
          <w:rtl w:val="0"/>
        </w:rPr>
      </w:r>
    </w:p>
    <w:p w:rsidR="00000000" w:rsidDel="00000000" w:rsidRDefault="00000000" w14:paraId="00000022" w:rsidP="00000000" w:rsidRPr="00000000">
      <w:pPr>
        <w:ind w:left="0"/>
        <w:ind w:firstLine="720"/>
        <w:rPr>
          <w:color w:val="333333"/>
        </w:rPr>
      </w:pPr>
      <w:r w:rsidR="00000000" w:rsidDel="00000000" w:rsidRPr="00000000">
        <w:rPr>
          <w:rtl w:val="0"/>
        </w:rPr>
      </w:r>
    </w:p>
    <w:p w:rsidR="00000000" w:rsidDel="00000000" w:rsidRDefault="00000000" w14:paraId="00000023" w:rsidP="00000000" w:rsidRPr="00000000">
      <w:pPr>
        <w:ind w:left="0"/>
        <w:ind w:firstLine="720"/>
        <w:rPr>
          <w:color w:val="333333"/>
        </w:rPr>
      </w:pPr>
      <w:r w:rsidR="00000000" w:rsidDel="00000000" w:rsidRPr="00000000">
        <w:rPr>
          <w:rtl w:val="0"/>
          <w:color w:val="333333"/>
        </w:rPr>
        <w:t xml:space="preserve">Moving forward, for the patient I would recommend undergoing Dynamic Interpersonal Therapy. Dynamic Interpersonal Therapy (DIT) (Lemma et al, 2011) is defined by the Tavistock and Portman NHS Foundation Trust as a “time-limited psychodynamic therapy” developed to help treat depression and anxiety. DIT is carried out as such; </w:t>
      </w:r>
    </w:p>
    <w:p w:rsidR="00000000" w:rsidDel="00000000" w:rsidRDefault="00000000" w14:paraId="00000024" w:rsidP="00000000" w:rsidRPr="00000000">
      <w:pPr>
        <w:ind w:left="0"/>
        <w:ind w:firstLine="720"/>
        <w:rPr>
          <w:color w:val="333333"/>
        </w:rPr>
      </w:pPr>
      <w:r w:rsidR="00000000" w:rsidDel="00000000" w:rsidRPr="00000000">
        <w:rPr>
          <w:rtl w:val="0"/>
          <w:color w:val="333333"/>
        </w:rPr>
        <w:t>in the initial phase, the therapist will try to construct an image of the client's struggles and issues in life where they may see challenges and how this can affect not only the client but those around the client as well using information given by the client. Once enough of a general picture is developed, the therapist can begin to think about what will be the most beneficial and helpful for the client. DIT can be seen as a more “silent” form of therapy as it is designed as a talking space for the client. The client will discuss what they are feeling and it is the therapist's job to listen and decide the best and most helpful way forward. For example, if a client is asking a question, the therapist may not answer it directly, but instead indulge in the tone of the question being asked and the underlying issues set ‘between the lines’. An example may be a repeated question about the therapy (an example given by the Tavistock and Portman Trust) and what it entails. Instead of giving a straight answer and run down of the therapy, the therapist may ask why all of the questions are related to the fear of beginning a new therapy as helping the patient to discuss this may be more beneficial to the patient. This therapy is designed to help the patient understand their emotions and the root cause of these emotions and this can typically involve exploring emotions that the patient may not have been aware they were experiencing until undergoing this therapy. The relationship formed between the client and the therapist is key to DIT as the therapist will draw attention to what the client is feeling during the session and that a better understanding of the client’s emotions is achieved through exploring this client-therapist relationship.</w:t>
      </w:r>
    </w:p>
    <w:p w:rsidR="00000000" w:rsidDel="00000000" w:rsidRDefault="00000000" w14:paraId="00000025" w:rsidP="00000000" w:rsidRPr="00000000">
      <w:pPr>
        <w:ind w:left="0"/>
        <w:ind w:firstLine="720"/>
      </w:pPr>
      <w:r w:rsidR="00000000" w:rsidDel="00000000" w:rsidRPr="00000000">
        <w:rPr>
          <w:rtl w:val="0"/>
          <w:color w:val="333333"/>
        </w:rPr>
        <w:t>I believe that DIT will be a suitable treatment for the patient. It is mentioned in the text that “</w:t>
      </w:r>
      <w:r w:rsidR="00000000" w:rsidDel="00000000" w:rsidRPr="00000000">
        <w:rPr>
          <w:rtl w:val="0"/>
          <w:i/>
        </w:rPr>
        <w:t>[The Patient] is still struggling to cope and manage everyday life”</w:t>
      </w:r>
      <w:r w:rsidR="00000000" w:rsidDel="00000000" w:rsidRPr="00000000">
        <w:rPr>
          <w:rtl w:val="0"/>
        </w:rPr>
        <w:t>, a blatant symptom of depression, the NHS (2022) defines some symptoms as “continuous low mood or sadness” and “feeling hopeless and helpless” which it would appear the patient is currently experiencing. DIT, as previously mentioned, is designed to help treat depression and would thus be a beneficial start to the patient’s recovery. I feel that treating the clear aspects of depression will help the patient to begin fully moving forward with their life and even reaffirm attachment as Abrahams (2017) notes that “</w:t>
      </w:r>
      <w:r w:rsidR="00000000" w:rsidDel="00000000" w:rsidRPr="00000000">
        <w:rPr>
          <w:rtl w:val="0"/>
          <w:color w:val="1F1F20"/>
          <w:highlight w:val="white"/>
        </w:rPr>
        <w:t>DIT formulates depression as a threat to the patient’s attachment system” and thus is having a knock on of effects on the patient's mental health as it is evident that this depressive cycle is stunting the patient’s ability to complete the cycle of grieving her daughter’s loss and, ideally, could possibly lead to a reconnection with the patient’s mother and rekindling that currently estranged relationship.</w:t>
      </w:r>
      <w:r w:rsidR="00000000" w:rsidDel="00000000" w:rsidRPr="00000000">
        <w:rPr>
          <w:rtl w:val="0"/>
        </w:rPr>
        <w:t xml:space="preserve"> It will also allow the patient to fully discuss and indulge in her emotions and understand why she feels the way she does and perhaps uncover other aspects of these emotions that were before perhaps hidden or masked by more predominant feelings and topics. It will also provide a safe space as the only information used is that that the patient gives to the therapist, if the patient wishes to keep a certain topic undisclosed, then it will remain undisclosed until the patient decides otherwise, thus not overstepping any possible boundaries and not putting the patient at any significant risk of further trauma through over exposure of recalling past events. </w:t>
      </w:r>
    </w:p>
    <w:p w:rsidR="00000000" w:rsidDel="00000000" w:rsidRDefault="00000000" w14:paraId="00000026" w:rsidP="00000000" w:rsidRPr="00000000">
      <w:pPr>
        <w:ind w:left="0"/>
        <w:ind w:firstLine="0"/>
      </w:pPr>
      <w:r w:rsidR="00000000" w:rsidDel="00000000" w:rsidRPr="00000000">
        <w:rPr>
          <w:rtl w:val="0"/>
        </w:rPr>
      </w:r>
    </w:p>
    <w:p w:rsidR="00000000" w:rsidDel="00000000" w:rsidRDefault="00000000" w14:paraId="00000027" w:rsidP="00000000" w:rsidRPr="00000000">
      <w:pPr>
        <w:ind w:left="0"/>
        <w:ind w:firstLine="0"/>
      </w:pPr>
      <w:r w:rsidR="00000000" w:rsidDel="00000000" w:rsidRPr="00000000">
        <w:rPr>
          <w:rtl w:val="0"/>
        </w:rPr>
      </w:r>
    </w:p>
    <w:p w:rsidR="00000000" w:rsidDel="00000000" w:rsidRDefault="00000000" w14:paraId="00000028" w:rsidP="00000000" w:rsidRPr="00000000">
      <w:pPr>
        <w:ind w:left="0"/>
        <w:ind w:firstLine="0"/>
      </w:pPr>
      <w:r w:rsidR="00000000" w:rsidDel="00000000" w:rsidRPr="00000000">
        <w:rPr>
          <w:rtl w:val="0"/>
        </w:rPr>
      </w:r>
    </w:p>
    <w:p w:rsidR="00000000" w:rsidDel="00000000" w:rsidRDefault="00000000" w14:paraId="00000029" w:rsidP="00000000" w:rsidRPr="00000000">
      <w:pPr>
        <w:ind w:left="0"/>
        <w:ind w:firstLine="0"/>
      </w:pPr>
      <w:r w:rsidR="00000000" w:rsidDel="00000000" w:rsidRPr="00000000">
        <w:rPr>
          <w:rtl w:val="0"/>
        </w:rPr>
      </w:r>
    </w:p>
    <w:p w:rsidR="00000000" w:rsidDel="00000000" w:rsidRDefault="00000000" w14:paraId="0000002A" w:rsidP="00000000" w:rsidRPr="00000000">
      <w:pPr>
        <w:ind w:left="0"/>
        <w:ind w:firstLine="0"/>
      </w:pPr>
      <w:r w:rsidR="00000000" w:rsidDel="00000000" w:rsidRPr="00000000">
        <w:rPr>
          <w:rtl w:val="0"/>
        </w:rPr>
      </w:r>
    </w:p>
    <w:p w:rsidR="00000000" w:rsidDel="00000000" w:rsidRDefault="00000000" w14:paraId="0000002B" w:rsidP="00000000" w:rsidRPr="00000000">
      <w:pPr>
        <w:ind w:left="0"/>
        <w:ind w:firstLine="0"/>
      </w:pPr>
      <w:r w:rsidR="00000000" w:rsidDel="00000000" w:rsidRPr="00000000">
        <w:rPr>
          <w:rtl w:val="0"/>
        </w:rPr>
      </w:r>
    </w:p>
    <w:p w:rsidR="00000000" w:rsidDel="00000000" w:rsidRDefault="00000000" w14:paraId="0000002C" w:rsidP="00000000" w:rsidRPr="00000000">
      <w:pPr>
        <w:ind w:left="0"/>
        <w:ind w:firstLine="0"/>
      </w:pPr>
      <w:r w:rsidR="00000000" w:rsidDel="00000000" w:rsidRPr="00000000">
        <w:rPr>
          <w:rtl w:val="0"/>
        </w:rPr>
      </w:r>
    </w:p>
    <w:p w:rsidR="00000000" w:rsidDel="00000000" w:rsidRDefault="00000000" w14:paraId="0000002D" w:rsidP="00000000" w:rsidRPr="00000000">
      <w:pPr>
        <w:ind w:left="0"/>
        <w:ind w:firstLine="0"/>
      </w:pPr>
      <w:r w:rsidR="00000000" w:rsidDel="00000000" w:rsidRPr="00000000">
        <w:rPr>
          <w:rtl w:val="0"/>
        </w:rPr>
      </w:r>
    </w:p>
    <w:p w:rsidR="00000000" w:rsidDel="00000000" w:rsidRDefault="00000000" w14:paraId="0000002E" w:rsidP="00000000" w:rsidRPr="00000000">
      <w:pPr>
        <w:ind w:left="0"/>
        <w:ind w:firstLine="0"/>
      </w:pPr>
      <w:r w:rsidR="00000000" w:rsidDel="00000000" w:rsidRPr="00000000">
        <w:rPr>
          <w:rtl w:val="0"/>
        </w:rPr>
      </w:r>
    </w:p>
    <w:p w:rsidR="00000000" w:rsidDel="00000000" w:rsidRDefault="00000000" w14:paraId="0000002F" w:rsidP="00000000" w:rsidRPr="00000000">
      <w:pPr>
        <w:ind w:left="0"/>
        <w:ind w:firstLine="0"/>
      </w:pPr>
      <w:r w:rsidR="00000000" w:rsidDel="00000000" w:rsidRPr="00000000">
        <w:rPr>
          <w:rtl w:val="0"/>
        </w:rPr>
      </w:r>
    </w:p>
    <w:p w:rsidR="00000000" w:rsidDel="00000000" w:rsidRDefault="00000000" w14:paraId="00000030" w:rsidP="00000000" w:rsidRPr="00000000">
      <w:pPr>
        <w:ind w:left="0"/>
        <w:ind w:firstLine="0"/>
      </w:pPr>
      <w:r w:rsidR="00000000" w:rsidDel="00000000" w:rsidRPr="00000000">
        <w:rPr>
          <w:rtl w:val="0"/>
        </w:rPr>
      </w:r>
    </w:p>
    <w:p w:rsidR="00000000" w:rsidDel="00000000" w:rsidRDefault="00000000" w14:paraId="00000031" w:rsidP="00000000" w:rsidRPr="00000000">
      <w:pPr>
        <w:ind w:left="0"/>
        <w:ind w:firstLine="0"/>
      </w:pPr>
      <w:r w:rsidR="00000000" w:rsidDel="00000000" w:rsidRPr="00000000">
        <w:rPr>
          <w:rtl w:val="0"/>
        </w:rPr>
      </w:r>
    </w:p>
    <w:p w:rsidR="00000000" w:rsidDel="00000000" w:rsidRDefault="00000000" w14:paraId="00000032" w:rsidP="00000000" w:rsidRPr="00000000">
      <w:pPr>
        <w:ind w:left="0"/>
        <w:ind w:firstLine="0"/>
      </w:pPr>
      <w:r w:rsidR="00000000" w:rsidDel="00000000" w:rsidRPr="00000000">
        <w:rPr>
          <w:rtl w:val="0"/>
        </w:rPr>
      </w:r>
    </w:p>
    <w:p w:rsidR="00000000" w:rsidDel="00000000" w:rsidRDefault="00000000" w14:paraId="00000033" w:rsidP="00000000" w:rsidRPr="00000000">
      <w:pPr>
        <w:ind w:left="0"/>
        <w:ind w:firstLine="0"/>
      </w:pPr>
      <w:r w:rsidR="00000000" w:rsidDel="00000000" w:rsidRPr="00000000">
        <w:rPr>
          <w:rtl w:val="0"/>
        </w:rPr>
      </w:r>
    </w:p>
    <w:p w:rsidR="00000000" w:rsidDel="00000000" w:rsidRDefault="00000000" w14:paraId="00000034" w:rsidP="00000000" w:rsidRPr="00000000">
      <w:pPr>
        <w:ind w:left="0"/>
        <w:ind w:firstLine="0"/>
      </w:pPr>
      <w:r w:rsidR="00000000" w:rsidDel="00000000" w:rsidRPr="00000000">
        <w:rPr>
          <w:rtl w:val="0"/>
        </w:rPr>
      </w:r>
    </w:p>
    <w:p w:rsidR="00000000" w:rsidDel="00000000" w:rsidRDefault="00000000" w14:paraId="00000035" w:rsidP="00000000" w:rsidRPr="00000000">
      <w:pPr>
        <w:ind w:left="0"/>
        <w:ind w:firstLine="0"/>
      </w:pPr>
      <w:r w:rsidR="00000000" w:rsidDel="00000000" w:rsidRPr="00000000">
        <w:rPr>
          <w:rtl w:val="0"/>
        </w:rPr>
      </w:r>
    </w:p>
    <w:p w:rsidR="00000000" w:rsidDel="00000000" w:rsidRDefault="00000000" w14:paraId="00000036" w:rsidP="00000000" w:rsidRPr="00000000">
      <w:pPr>
        <w:ind w:left="0"/>
        <w:ind w:firstLine="0"/>
      </w:pPr>
      <w:r w:rsidR="00000000" w:rsidDel="00000000" w:rsidRPr="00000000">
        <w:rPr>
          <w:rtl w:val="0"/>
        </w:rPr>
      </w:r>
    </w:p>
    <w:p w:rsidR="00000000" w:rsidDel="00000000" w:rsidRDefault="00000000" w14:paraId="00000037" w:rsidP="00000000" w:rsidRPr="00000000">
      <w:pPr>
        <w:ind w:left="0"/>
        <w:ind w:firstLine="0"/>
      </w:pPr>
      <w:r w:rsidR="00000000" w:rsidDel="00000000" w:rsidRPr="00000000">
        <w:rPr>
          <w:rtl w:val="0"/>
        </w:rPr>
      </w:r>
    </w:p>
    <w:p w:rsidR="00000000" w:rsidDel="00000000" w:rsidRDefault="00000000" w14:paraId="00000038" w:rsidP="00000000" w:rsidRPr="00000000">
      <w:pPr>
        <w:ind w:left="0"/>
        <w:ind w:firstLine="0"/>
      </w:pPr>
      <w:r w:rsidR="00000000" w:rsidDel="00000000" w:rsidRPr="00000000">
        <w:rPr>
          <w:rtl w:val="0"/>
        </w:rPr>
      </w:r>
    </w:p>
    <w:p w:rsidR="00000000" w:rsidDel="00000000" w:rsidRDefault="00000000" w14:paraId="00000039" w:rsidP="00000000" w:rsidRPr="00000000">
      <w:pPr>
        <w:ind w:left="0"/>
        <w:ind w:firstLine="0"/>
      </w:pPr>
      <w:r w:rsidR="00000000" w:rsidDel="00000000" w:rsidRPr="00000000">
        <w:rPr>
          <w:rtl w:val="0"/>
        </w:rPr>
      </w:r>
    </w:p>
    <w:p w:rsidR="00000000" w:rsidDel="00000000" w:rsidRDefault="00000000" w14:paraId="0000003A" w:rsidP="00000000" w:rsidRPr="00000000">
      <w:pPr>
        <w:ind w:left="0"/>
        <w:ind w:firstLine="0"/>
      </w:pPr>
      <w:r w:rsidR="00000000" w:rsidDel="00000000" w:rsidRPr="00000000">
        <w:rPr>
          <w:rtl w:val="0"/>
        </w:rPr>
      </w:r>
    </w:p>
    <w:p w:rsidR="00000000" w:rsidDel="00000000" w:rsidRDefault="00000000" w14:paraId="0000003B" w:rsidP="00000000" w:rsidRPr="00000000">
      <w:pPr>
        <w:ind w:left="0"/>
        <w:ind w:firstLine="0"/>
      </w:pPr>
      <w:r w:rsidR="00000000" w:rsidDel="00000000" w:rsidRPr="00000000">
        <w:rPr>
          <w:rtl w:val="0"/>
        </w:rPr>
      </w:r>
    </w:p>
    <w:p w:rsidR="00000000" w:rsidDel="00000000" w:rsidRDefault="00000000" w14:paraId="0000003C" w:rsidP="00000000" w:rsidRPr="00000000">
      <w:pPr>
        <w:ind w:left="0"/>
        <w:ind w:firstLine="0"/>
      </w:pPr>
      <w:r w:rsidR="00000000" w:rsidDel="00000000" w:rsidRPr="00000000">
        <w:rPr>
          <w:rtl w:val="0"/>
        </w:rPr>
      </w:r>
    </w:p>
    <w:p w:rsidR="00000000" w:rsidDel="00000000" w:rsidRDefault="00000000" w14:paraId="0000003D" w:rsidP="00000000" w:rsidRPr="00000000">
      <w:pPr>
        <w:ind w:left="0"/>
        <w:ind w:firstLine="0"/>
      </w:pPr>
      <w:r w:rsidR="00000000" w:rsidDel="00000000" w:rsidRPr="00000000">
        <w:rPr>
          <w:rtl w:val="0"/>
        </w:rPr>
      </w:r>
    </w:p>
    <w:p w:rsidR="00000000" w:rsidDel="00000000" w:rsidRDefault="00000000" w14:paraId="0000003E" w:rsidP="00000000" w:rsidRPr="00000000">
      <w:pPr>
        <w:ind w:left="0"/>
        <w:ind w:firstLine="0"/>
      </w:pPr>
      <w:r w:rsidR="00000000" w:rsidDel="00000000" w:rsidRPr="00000000">
        <w:rPr>
          <w:rtl w:val="0"/>
        </w:rPr>
      </w:r>
    </w:p>
    <w:p w:rsidR="00000000" w:rsidDel="00000000" w:rsidRDefault="00000000" w14:paraId="0000003F" w:rsidP="00000000" w:rsidRPr="00000000">
      <w:pPr>
        <w:ind w:left="0"/>
        <w:ind w:firstLine="0"/>
      </w:pPr>
      <w:r w:rsidR="00000000" w:rsidDel="00000000" w:rsidRPr="00000000">
        <w:rPr>
          <w:rtl w:val="0"/>
        </w:rPr>
      </w:r>
    </w:p>
    <w:p w:rsidR="00000000" w:rsidDel="00000000" w:rsidRDefault="00000000" w14:paraId="00000040" w:rsidP="00000000" w:rsidRPr="00000000">
      <w:pPr>
        <w:ind w:left="0"/>
        <w:ind w:firstLine="0"/>
      </w:pPr>
      <w:r w:rsidR="00000000" w:rsidDel="00000000" w:rsidRPr="00000000">
        <w:rPr>
          <w:rtl w:val="0"/>
        </w:rPr>
      </w:r>
    </w:p>
    <w:p w:rsidR="00000000" w:rsidDel="00000000" w:rsidRDefault="00000000" w14:paraId="00000041" w:rsidP="00000000" w:rsidRPr="00000000">
      <w:pPr>
        <w:ind w:left="0"/>
        <w:ind w:firstLine="0"/>
      </w:pPr>
      <w:r w:rsidR="00000000" w:rsidDel="00000000" w:rsidRPr="00000000">
        <w:rPr>
          <w:rtl w:val="0"/>
        </w:rPr>
      </w:r>
    </w:p>
    <w:p w:rsidR="00000000" w:rsidDel="00000000" w:rsidRDefault="00000000" w14:paraId="00000042" w:rsidP="00000000" w:rsidRPr="00000000">
      <w:pPr>
        <w:ind w:left="0"/>
        <w:ind w:firstLine="0"/>
      </w:pPr>
      <w:r w:rsidR="00000000" w:rsidDel="00000000" w:rsidRPr="00000000">
        <w:rPr>
          <w:rtl w:val="0"/>
        </w:rPr>
      </w:r>
    </w:p>
    <w:p w:rsidR="00000000" w:rsidDel="00000000" w:rsidRDefault="00000000" w14:paraId="00000043" w:rsidP="00000000" w:rsidRPr="00000000">
      <w:pPr>
        <w:ind w:left="0"/>
        <w:ind w:firstLine="0"/>
      </w:pPr>
      <w:r w:rsidR="00000000" w:rsidDel="00000000" w:rsidRPr="00000000">
        <w:rPr>
          <w:rtl w:val="0"/>
        </w:rPr>
      </w:r>
    </w:p>
    <w:p>
      <w:pPr>
        <w:ind w:left="0"/>
        <w:ind w:firstLine="0"/>
      </w:pPr>
      <w:r>
        <w:rPr>
          <w:b/>
          <w:u w:val="single"/>
        </w:rPr>
      </w:r>
    </w:p>
    <w:p w:rsidR="00000000" w:rsidDel="00000000" w:rsidRDefault="00000000" w14:paraId="00000044" w:rsidP="00000000" w:rsidRPr="00000000">
      <w:pPr>
        <w:ind w:left="0"/>
        <w:ind w:firstLine="0"/>
      </w:pPr>
      <w:r>
        <w:rPr>
          <w:b/>
          <w:u w:val="single"/>
        </w:rPr>
        <w:t>References</w:t>
      </w:r>
    </w:p>
    <w:p w:rsidR="00000000" w:rsidDel="00000000" w:rsidRDefault="00000000" w14:paraId="0000004F" w:rsidP="00000000" w:rsidRPr="00000000">
      <w:pPr>
        <w:rPr>
          <w:b/>
          <w:u w:val="single"/>
        </w:rPr>
      </w:pPr>
      <w:r w:rsidR="00000000" w:rsidDel="00000000" w:rsidRPr="00000000">
        <w:rPr>
          <w:rtl w:val="0"/>
        </w:rPr>
      </w:r>
    </w:p>
    <w:p w:rsidR="00000000" w:rsidDel="00000000" w:rsidRDefault="00000000" w14:paraId="00000050" w:rsidP="00000000" w:rsidRPr="00000000">
      <w:pPr>
        <w:ind w:firstLine="720"/>
        <w:rPr>
          <w:color w:val="181817"/>
          <w:highlight w:val="white"/>
        </w:rPr>
      </w:pPr>
      <w:r w:rsidR="00000000" w:rsidDel="00000000" w:rsidRPr="00000000">
        <w:rPr>
          <w:rtl w:val="0"/>
          <w:color w:val="181817"/>
          <w:highlight w:val="white"/>
        </w:rPr>
        <w:t xml:space="preserve">Abrahams, D. (2017). </w:t>
      </w:r>
      <w:r w:rsidR="00000000" w:rsidDel="00000000" w:rsidRPr="00000000">
        <w:rPr>
          <w:rtl w:val="0"/>
          <w:i/>
          <w:color w:val="181817"/>
          <w:highlight w:val="white"/>
        </w:rPr>
        <w:t>‘Dynamic Interpersonal Therapy: working with perceptions of the self and other’</w:t>
      </w:r>
      <w:r w:rsidR="00000000" w:rsidDel="00000000" w:rsidRPr="00000000">
        <w:rPr>
          <w:rtl w:val="0"/>
          <w:color w:val="181817"/>
          <w:highlight w:val="white"/>
        </w:rPr>
        <w:t xml:space="preserve">, Healthcare Counselling and Psychotherapy Journal, Volume 7 No. 3. Available at:  </w:t>
      </w:r>
      <w:hyperlink r:id="rId6">
        <w:r w:rsidR="00000000" w:rsidDel="00000000" w:rsidRPr="00000000">
          <w:rPr>
            <w:rtl w:val="0"/>
            <w:u w:val="single"/>
            <w:color w:val="1155CC"/>
            <w:highlight w:val="white"/>
          </w:rPr>
          <w:t>https://www.bacp.co.uk/bacp-journals/healthcare-counselling-and-psychotherapy-journal/july-2017/dynamic-interpersonal-therapy/</w:t>
        </w:r>
      </w:hyperlink>
      <w:r w:rsidR="00000000" w:rsidDel="00000000" w:rsidRPr="00000000">
        <w:rPr>
          <w:rtl w:val="0"/>
          <w:color w:val="181817"/>
          <w:highlight w:val="white"/>
        </w:rPr>
        <w:t>. Accessed on March 25</w:t>
      </w:r>
      <w:r w:rsidR="00000000" w:rsidDel="00000000" w:rsidRPr="00000000">
        <w:rPr>
          <w:rtl w:val="0"/>
          <w:color w:val="181817"/>
          <w:highlight w:val="white"/>
          <w:vertAlign w:val="superscript"/>
        </w:rPr>
        <w:t>th</w:t>
      </w:r>
      <w:r w:rsidR="00000000" w:rsidDel="00000000" w:rsidRPr="00000000">
        <w:rPr>
          <w:rtl w:val="0"/>
          <w:color w:val="181817"/>
          <w:highlight w:val="white"/>
        </w:rPr>
        <w:t>, 2023.</w:t>
      </w:r>
    </w:p>
    <w:p w:rsidR="00000000" w:rsidDel="00000000" w:rsidRDefault="00000000" w14:paraId="00000051" w:rsidP="00000000" w:rsidRPr="00000000">
      <w:pPr>
        <w:ind w:firstLine="720"/>
        <w:rPr>
          <w:color w:val="181817"/>
          <w:highlight w:val="white"/>
        </w:rPr>
      </w:pPr>
      <w:r w:rsidR="00000000" w:rsidDel="00000000" w:rsidRPr="00000000">
        <w:rPr>
          <w:rtl w:val="0"/>
        </w:rPr>
      </w:r>
    </w:p>
    <w:p w:rsidR="00000000" w:rsidDel="00000000" w:rsidRDefault="00000000" w14:paraId="00000052" w:rsidP="00000000" w:rsidRPr="00000000">
      <w:pPr>
        <w:ind w:firstLine="720"/>
        <w:rPr>
          <w:color w:val="181817"/>
          <w:highlight w:val="white"/>
        </w:rPr>
      </w:pPr>
      <w:r w:rsidR="00000000" w:rsidDel="00000000" w:rsidRPr="00000000">
        <w:rPr>
          <w:rtl w:val="0"/>
          <w:color w:val="181817"/>
          <w:highlight w:val="white"/>
        </w:rPr>
        <w:t xml:space="preserve">Bowlby, J. (1979). </w:t>
      </w:r>
      <w:r w:rsidR="00000000" w:rsidDel="00000000" w:rsidRPr="00000000">
        <w:rPr>
          <w:rtl w:val="0"/>
          <w:i/>
          <w:color w:val="181817"/>
          <w:highlight w:val="white"/>
        </w:rPr>
        <w:t>‘The Bowlby-Ainsworth attachment theory’</w:t>
      </w:r>
      <w:r w:rsidR="00000000" w:rsidDel="00000000" w:rsidRPr="00000000">
        <w:rPr>
          <w:rtl w:val="0"/>
          <w:color w:val="181817"/>
          <w:highlight w:val="white"/>
        </w:rPr>
        <w:t xml:space="preserve">. Behavioral and Brain Sciences, 2(4), 637-638. doi:10.1017/S0140525X00064955. </w:t>
      </w:r>
    </w:p>
    <w:p w:rsidR="00000000" w:rsidDel="00000000" w:rsidRDefault="00000000" w14:paraId="00000053" w:rsidP="00000000" w:rsidRPr="00000000">
      <w:pPr>
        <w:ind w:firstLine="720"/>
        <w:rPr>
          <w:color w:val="181817"/>
          <w:highlight w:val="white"/>
        </w:rPr>
      </w:pPr>
      <w:r w:rsidR="00000000" w:rsidDel="00000000" w:rsidRPr="00000000">
        <w:rPr>
          <w:rtl w:val="0"/>
        </w:rPr>
      </w:r>
    </w:p>
    <w:p w:rsidR="00000000" w:rsidDel="00000000" w:rsidRDefault="00000000" w14:paraId="00000054" w:rsidP="00000000" w:rsidRPr="00000000">
      <w:pPr>
        <w:ind w:firstLine="720"/>
        <w:rPr>
          <w:color w:val="181817"/>
          <w:highlight w:val="white"/>
        </w:rPr>
      </w:pPr>
      <w:r w:rsidR="00000000" w:rsidDel="00000000" w:rsidRPr="00000000">
        <w:rPr>
          <w:rtl w:val="0"/>
          <w:color w:val="181817"/>
          <w:highlight w:val="white"/>
        </w:rPr>
        <w:t xml:space="preserve">Fraley, C. (2018). </w:t>
      </w:r>
      <w:r w:rsidR="00000000" w:rsidDel="00000000" w:rsidRPr="00000000">
        <w:rPr>
          <w:rtl w:val="0"/>
          <w:i/>
          <w:color w:val="181817"/>
          <w:highlight w:val="white"/>
        </w:rPr>
        <w:t>‘Adult Attachment Theory and Research’</w:t>
      </w:r>
      <w:r w:rsidR="00000000" w:rsidDel="00000000" w:rsidRPr="00000000">
        <w:rPr>
          <w:rtl w:val="0"/>
          <w:color w:val="181817"/>
          <w:highlight w:val="white"/>
        </w:rPr>
        <w:t xml:space="preserve">, University of Illinois at Urbana Champagne. Available at: </w:t>
      </w:r>
      <w:hyperlink r:id="rId7">
        <w:r w:rsidR="00000000" w:rsidDel="00000000" w:rsidRPr="00000000">
          <w:rPr>
            <w:rtl w:val="0"/>
            <w:u w:val="single"/>
            <w:color w:val="1155CC"/>
            <w:highlight w:val="white"/>
          </w:rPr>
          <w:t>http://labs.psychology.illinois.edu/~rcfraley/attachment.htm</w:t>
        </w:r>
      </w:hyperlink>
      <w:r w:rsidR="00000000" w:rsidDel="00000000" w:rsidRPr="00000000">
        <w:rPr>
          <w:rtl w:val="0"/>
          <w:color w:val="181817"/>
          <w:highlight w:val="white"/>
        </w:rPr>
        <w:t>. Accessed on March 26</w:t>
      </w:r>
      <w:r w:rsidR="00000000" w:rsidDel="00000000" w:rsidRPr="00000000">
        <w:rPr>
          <w:rtl w:val="0"/>
          <w:color w:val="181817"/>
          <w:highlight w:val="white"/>
          <w:vertAlign w:val="superscript"/>
        </w:rPr>
        <w:t>th</w:t>
      </w:r>
      <w:r w:rsidR="00000000" w:rsidDel="00000000" w:rsidRPr="00000000">
        <w:rPr>
          <w:rtl w:val="0"/>
          <w:color w:val="181817"/>
          <w:highlight w:val="white"/>
        </w:rPr>
        <w:t>, 2023.</w:t>
      </w:r>
    </w:p>
    <w:p w:rsidR="00000000" w:rsidDel="00000000" w:rsidRDefault="00000000" w14:paraId="00000055" w:rsidP="00000000" w:rsidRPr="00000000">
      <w:pPr>
        <w:pBdr>
          <w:top w:val="nil" w:sz="0" w:color="auto" w:space="0"/>
          <w:bottom w:val="nil" w:sz="0" w:color="auto" w:space="0"/>
          <w:right w:val="nil" w:sz="0" w:color="auto" w:space="0"/>
          <w:between w:val="nil" w:sz="0" w:color="auto" w:space="0"/>
        </w:pBdr>
        <w:shd w:fill="FFFFFF" w:val="clear"/>
        <w:rPr>
          <w:u w:val="single"/>
          <w:color w:val="333333"/>
          <w:highlight w:val="white"/>
        </w:rPr>
      </w:pPr>
      <w:r w:rsidR="00000000" w:rsidDel="00000000" w:rsidRPr="00000000">
        <w:rPr>
          <w:rtl w:val="0"/>
        </w:rPr>
      </w:r>
    </w:p>
    <w:p w:rsidR="00000000" w:rsidDel="00000000" w:rsidRDefault="00000000" w14:paraId="00000056"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color w:val="333333"/>
          <w:highlight w:val="white"/>
        </w:rPr>
        <w:t xml:space="preserve">Lemma, A. (2011). </w:t>
      </w:r>
      <w:r w:rsidR="00000000" w:rsidDel="00000000" w:rsidRPr="00000000">
        <w:rPr>
          <w:rtl w:val="0"/>
          <w:i/>
          <w:color w:val="333333"/>
          <w:highlight w:val="white"/>
        </w:rPr>
        <w:t>‘Brief Dynamic Interpersonal Therapy: A Clinician’s Guide’</w:t>
      </w:r>
      <w:r w:rsidR="00000000" w:rsidDel="00000000" w:rsidRPr="00000000">
        <w:rPr>
          <w:rtl w:val="0"/>
          <w:color w:val="333333"/>
          <w:highlight w:val="white"/>
        </w:rPr>
        <w:t>, Oxford University Press, Oxford New York.</w:t>
      </w:r>
    </w:p>
    <w:p w:rsidR="00000000" w:rsidDel="00000000" w:rsidRDefault="00000000" w14:paraId="00000057"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rPr>
      </w:r>
    </w:p>
    <w:p w:rsidR="00000000" w:rsidDel="00000000" w:rsidRDefault="00000000" w14:paraId="00000058" w:rsidP="00000000" w:rsidRPr="00000000">
      <w:pPr>
        <w:ind w:firstLine="720"/>
      </w:pPr>
      <w:r w:rsidR="00000000" w:rsidDel="00000000" w:rsidRPr="00000000">
        <w:rPr>
          <w:rtl w:val="0"/>
        </w:rPr>
        <w:t xml:space="preserve">MSW Programmes (2022). </w:t>
      </w:r>
      <w:r w:rsidR="00000000" w:rsidDel="00000000" w:rsidRPr="00000000">
        <w:rPr>
          <w:rtl w:val="0"/>
          <w:i/>
        </w:rPr>
        <w:t>‘Introduction to Psychodynamic Theory’</w:t>
      </w:r>
      <w:r w:rsidR="00000000" w:rsidDel="00000000" w:rsidRPr="00000000">
        <w:rPr>
          <w:rtl w:val="0"/>
        </w:rPr>
        <w:t xml:space="preserve">. Available at: </w:t>
      </w:r>
      <w:hyperlink r:id="rId8">
        <w:r w:rsidR="00000000" w:rsidDel="00000000" w:rsidRPr="00000000">
          <w:rPr>
            <w:rtl w:val="0"/>
            <w:u w:val="single"/>
            <w:color w:val="1155CC"/>
          </w:rPr>
          <w:t>https://www.onlinemswprograms.com/social-work/theories/psychodynamic-theory/#:~:text=Psychodynamic%20theory%2C%20also%20known%20as,make%20better%20decisions%20for%20themselves</w:t>
        </w:r>
      </w:hyperlink>
      <w:r w:rsidR="00000000" w:rsidDel="00000000" w:rsidRPr="00000000">
        <w:rPr>
          <w:rtl w:val="0"/>
        </w:rPr>
        <w:t>. Accessed on March 25</w:t>
      </w:r>
      <w:r w:rsidR="00000000" w:rsidDel="00000000" w:rsidRPr="00000000">
        <w:rPr>
          <w:rtl w:val="0"/>
          <w:vertAlign w:val="superscript"/>
        </w:rPr>
        <w:t>th</w:t>
      </w:r>
      <w:r w:rsidR="00000000" w:rsidDel="00000000" w:rsidRPr="00000000">
        <w:rPr>
          <w:rtl w:val="0"/>
        </w:rPr>
        <w:t>, 2023.</w:t>
      </w:r>
    </w:p>
    <w:p w:rsidR="00000000" w:rsidDel="00000000" w:rsidRDefault="00000000" w14:paraId="00000059" w:rsidP="00000000" w:rsidRPr="00000000">
      <w:pPr>
        <w:ind w:firstLine="720"/>
      </w:pPr>
      <w:r w:rsidR="00000000" w:rsidDel="00000000" w:rsidRPr="00000000">
        <w:rPr>
          <w:rtl w:val="0"/>
        </w:rPr>
      </w:r>
    </w:p>
    <w:p w:rsidR="00000000" w:rsidDel="00000000" w:rsidRDefault="00000000" w14:paraId="0000005A"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color w:val="333333"/>
          <w:highlight w:val="white"/>
        </w:rPr>
        <w:t xml:space="preserve">NHS (2022). </w:t>
      </w:r>
      <w:r w:rsidR="00000000" w:rsidDel="00000000" w:rsidRPr="00000000">
        <w:rPr>
          <w:rtl w:val="0"/>
          <w:i/>
          <w:color w:val="333333"/>
          <w:highlight w:val="white"/>
        </w:rPr>
        <w:t>‘Symptoms- Clinical Depression’</w:t>
      </w:r>
      <w:r w:rsidR="00000000" w:rsidDel="00000000" w:rsidRPr="00000000">
        <w:rPr>
          <w:rtl w:val="0"/>
          <w:color w:val="333333"/>
          <w:highlight w:val="white"/>
        </w:rPr>
        <w:t xml:space="preserve">. Available at: </w:t>
      </w:r>
      <w:hyperlink r:id="rId9">
        <w:r w:rsidR="00000000" w:rsidDel="00000000" w:rsidRPr="00000000">
          <w:rPr>
            <w:rtl w:val="0"/>
            <w:u w:val="single"/>
            <w:color w:val="1155CC"/>
            <w:highlight w:val="white"/>
          </w:rPr>
          <w:t>https://www.nhs.uk/mental-health/conditions/clinical-depression/symptoms/</w:t>
        </w:r>
      </w:hyperlink>
      <w:r w:rsidR="00000000" w:rsidDel="00000000" w:rsidRPr="00000000">
        <w:rPr>
          <w:rtl w:val="0"/>
          <w:color w:val="333333"/>
          <w:highlight w:val="white"/>
        </w:rPr>
        <w:t>. Accessed on March 26</w:t>
      </w:r>
      <w:r w:rsidR="00000000" w:rsidDel="00000000" w:rsidRPr="00000000">
        <w:rPr>
          <w:rtl w:val="0"/>
          <w:color w:val="333333"/>
          <w:highlight w:val="white"/>
          <w:vertAlign w:val="superscript"/>
        </w:rPr>
        <w:t>th</w:t>
      </w:r>
      <w:r w:rsidR="00000000" w:rsidDel="00000000" w:rsidRPr="00000000">
        <w:rPr>
          <w:rtl w:val="0"/>
          <w:color w:val="333333"/>
          <w:highlight w:val="white"/>
        </w:rPr>
        <w:t>, 2023.</w:t>
      </w:r>
    </w:p>
    <w:p w:rsidR="00000000" w:rsidDel="00000000" w:rsidRDefault="00000000" w14:paraId="0000005B"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rPr>
      </w:r>
    </w:p>
    <w:p w:rsidR="00000000" w:rsidDel="00000000" w:rsidRDefault="00000000" w14:paraId="0000005C"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color w:val="333333"/>
          <w:highlight w:val="white"/>
        </w:rPr>
        <w:t xml:space="preserve">NHS (2022). </w:t>
      </w:r>
      <w:r w:rsidR="00000000" w:rsidDel="00000000" w:rsidRPr="00000000">
        <w:rPr>
          <w:rtl w:val="0"/>
          <w:i/>
          <w:color w:val="333333"/>
          <w:highlight w:val="white"/>
        </w:rPr>
        <w:t>‘Symptoms- Post Traumatic Stress Disorder’</w:t>
      </w:r>
      <w:r w:rsidR="00000000" w:rsidDel="00000000" w:rsidRPr="00000000">
        <w:rPr>
          <w:rtl w:val="0"/>
          <w:color w:val="333333"/>
          <w:highlight w:val="white"/>
        </w:rPr>
        <w:t xml:space="preserve">. Available at: </w:t>
      </w:r>
      <w:hyperlink r:id="rId10">
        <w:r w:rsidR="00000000" w:rsidDel="00000000" w:rsidRPr="00000000">
          <w:rPr>
            <w:rtl w:val="0"/>
            <w:u w:val="single"/>
            <w:color w:val="1155CC"/>
            <w:highlight w:val="white"/>
          </w:rPr>
          <w:t>https://www.nhs.uk/mental-health/conditions/post-traumatic-stress-disorder-ptsd/symptoms/</w:t>
        </w:r>
      </w:hyperlink>
      <w:r w:rsidR="00000000" w:rsidDel="00000000" w:rsidRPr="00000000">
        <w:rPr>
          <w:rtl w:val="0"/>
          <w:color w:val="333333"/>
          <w:highlight w:val="white"/>
        </w:rPr>
        <w:t>. Accessed on March 26</w:t>
      </w:r>
      <w:r w:rsidR="00000000" w:rsidDel="00000000" w:rsidRPr="00000000">
        <w:rPr>
          <w:rtl w:val="0"/>
          <w:color w:val="333333"/>
          <w:highlight w:val="white"/>
          <w:vertAlign w:val="superscript"/>
        </w:rPr>
        <w:t>th</w:t>
      </w:r>
      <w:r w:rsidR="00000000" w:rsidDel="00000000" w:rsidRPr="00000000">
        <w:rPr>
          <w:rtl w:val="0"/>
          <w:color w:val="333333"/>
          <w:highlight w:val="white"/>
        </w:rPr>
        <w:t>, 2023.</w:t>
      </w:r>
    </w:p>
    <w:p w:rsidR="00000000" w:rsidDel="00000000" w:rsidRDefault="00000000" w14:paraId="0000005D"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rPr>
      </w:r>
    </w:p>
    <w:p w:rsidR="00000000" w:rsidDel="00000000" w:rsidRDefault="00000000" w14:paraId="0000005E" w:rsidP="00000000" w:rsidRPr="00000000">
      <w:pPr>
        <w:pBdr>
          <w:top w:val="nil" w:sz="0" w:color="auto" w:space="0"/>
          <w:bottom w:val="nil" w:sz="0" w:color="auto" w:space="0"/>
          <w:right w:val="nil" w:sz="0" w:color="auto" w:space="0"/>
          <w:between w:val="nil" w:sz="0" w:color="auto" w:space="0"/>
        </w:pBdr>
        <w:shd w:fill="FFFFFF" w:val="clear"/>
        <w:ind w:firstLine="720"/>
        <w:rPr>
          <w:color w:val="333333"/>
          <w:highlight w:val="white"/>
        </w:rPr>
      </w:pPr>
      <w:r w:rsidR="00000000" w:rsidDel="00000000" w:rsidRPr="00000000">
        <w:rPr>
          <w:rtl w:val="0"/>
          <w:color w:val="333333"/>
          <w:highlight w:val="white"/>
        </w:rPr>
        <w:t xml:space="preserve">The Tavistock and Portman NHS Foundation Trust. Available at: </w:t>
      </w:r>
      <w:hyperlink r:id="rId11">
        <w:r w:rsidR="00000000" w:rsidDel="00000000" w:rsidRPr="00000000">
          <w:rPr>
            <w:rtl w:val="0"/>
            <w:u w:val="single"/>
            <w:color w:val="1155CC"/>
            <w:highlight w:val="white"/>
          </w:rPr>
          <w:t>https://tavistockandportman.nhs.uk/care-and-treatment/treatments/dynamic-interpersonal-therapy/</w:t>
        </w:r>
      </w:hyperlink>
      <w:r w:rsidR="00000000" w:rsidDel="00000000" w:rsidRPr="00000000">
        <w:rPr>
          <w:rtl w:val="0"/>
          <w:color w:val="333333"/>
          <w:highlight w:val="white"/>
        </w:rPr>
        <w:t>. Accessed on March 25</w:t>
      </w:r>
      <w:r w:rsidR="00000000" w:rsidDel="00000000" w:rsidRPr="00000000">
        <w:rPr>
          <w:rtl w:val="0"/>
          <w:color w:val="333333"/>
          <w:highlight w:val="white"/>
          <w:vertAlign w:val="superscript"/>
        </w:rPr>
        <w:t>th</w:t>
      </w:r>
      <w:r w:rsidR="00000000" w:rsidDel="00000000" w:rsidRPr="00000000">
        <w:rPr>
          <w:rtl w:val="0"/>
          <w:color w:val="333333"/>
          <w:highlight w:val="white"/>
        </w:rPr>
        <w:t>, 2023.</w:t>
      </w:r>
    </w:p>
    <w:p w:rsidR="00000000" w:rsidDel="00000000" w:rsidRDefault="00000000" w14:paraId="0000005F" w:rsidP="00000000" w:rsidRPr="00000000">
      <w:pPr>
        <w:pBdr>
          <w:top w:val="nil" w:sz="0" w:color="auto" w:space="0"/>
          <w:bottom w:val="nil" w:sz="0" w:color="auto" w:space="0"/>
          <w:right w:val="nil" w:sz="0" w:color="auto" w:space="0"/>
          <w:between w:val="nil" w:sz="0" w:color="auto" w:space="0"/>
        </w:pBdr>
        <w:shd w:fill="FFFFFF" w:val="clear"/>
        <w:rPr>
          <w:color w:val="333333"/>
          <w:highlight w:val="white"/>
        </w:rPr>
      </w:pPr>
      <w:r w:rsidR="00000000" w:rsidDel="00000000" w:rsidRPr="00000000">
        <w:rPr>
          <w:rtl w:val="0"/>
        </w:rPr>
      </w:r>
    </w:p>
    <w:p w:rsidR="00000000" w:rsidDel="00000000" w:rsidRDefault="00000000" w14:paraId="00000060" w:rsidP="00000000" w:rsidRPr="00000000">
      <w:pPr>
        <w:pBdr>
          <w:top w:val="nil" w:sz="0" w:color="auto" w:space="0"/>
          <w:bottom w:val="nil" w:sz="0" w:color="auto" w:space="0"/>
          <w:right w:val="nil" w:sz="0" w:color="auto" w:space="0"/>
          <w:between w:val="nil" w:sz="0" w:color="auto" w:space="0"/>
        </w:pBdr>
        <w:shd w:fill="FFFFFF" w:val="clear"/>
        <w:ind w:firstLine="720"/>
      </w:pPr>
      <w:r w:rsidR="00000000" w:rsidDel="00000000" w:rsidRPr="00000000">
        <w:rPr>
          <w:rtl w:val="0"/>
          <w:color w:val="333333"/>
          <w:highlight w:val="white"/>
        </w:rPr>
        <w:t xml:space="preserve">Zisook, S. et al (1998) PTSD Following Bereavement, Annals of Clinical Psychiatry, 10:4, 157-163, DOI: </w:t>
      </w:r>
      <w:hyperlink r:id="rId12">
        <w:r w:rsidR="00000000" w:rsidDel="00000000" w:rsidRPr="00000000">
          <w:rPr>
            <w:rtl w:val="0"/>
            <w:u w:val="single"/>
            <w:color w:val="333333"/>
            <w:highlight w:val="white"/>
          </w:rPr>
          <w:t>10.3109/10401239809147032</w:t>
        </w:r>
      </w:hyperlink>
      <w:r w:rsidR="00000000" w:rsidDel="00000000" w:rsidRPr="00000000">
        <w:rPr>
          <w:rtl w:val="0"/>
          <w:u w:val="single"/>
          <w:color w:val="333333"/>
          <w:highlight w:val="white"/>
        </w:rPr>
        <w:t>.</w:t>
      </w:r>
      <w:r w:rsidR="00000000" w:rsidDel="00000000" w:rsidRPr="00000000">
        <w:rPr>
          <w:rtl w:val="0"/>
        </w:rPr>
      </w:r>
    </w:p>
    <w:sectPr>
      <w:headerReference r:id="rId13" w:type="defaul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jc w:val="right"/>
      <w:rPr>
        <w:color w:val="d9d9d9"/>
      </w:rPr>
    </w:pPr>
    <w:r w:rsidDel="00000000" w:rsidR="00000000" w:rsidRPr="00000000">
      <w:rPr>
        <w:color w:val="d9d9d9"/>
        <w:rtl w:val="0"/>
      </w:rPr>
      <w:t xml:space="preserve">Ethan Dowey-Wadham</w:t>
    </w:r>
  </w:p>
  <w:p w:rsidR="00000000" w:rsidDel="00000000" w:rsidP="00000000" w:rsidRDefault="00000000" w:rsidRPr="00000000" w14:paraId="00000062">
    <w:pPr>
      <w:jc w:val="right"/>
      <w:rPr>
        <w:color w:val="d9d9d9"/>
      </w:rPr>
    </w:pPr>
    <w:r w:rsidDel="00000000" w:rsidR="00000000" w:rsidRPr="00000000">
      <w:rPr>
        <w:color w:val="d9d9d9"/>
        <w:rtl w:val="0"/>
      </w:rPr>
      <w:t xml:space="preserve">2104467</w:t>
    </w:r>
  </w:p>
  <w:p w:rsidR="00000000" w:rsidDel="00000000" w:rsidP="00000000" w:rsidRDefault="00000000" w:rsidRPr="00000000" w14:paraId="00000063">
    <w:pPr>
      <w:jc w:val="right"/>
      <w:rPr>
        <w:color w:val="d9d9d9"/>
      </w:rPr>
    </w:pPr>
    <w:r w:rsidDel="00000000" w:rsidR="00000000" w:rsidRPr="00000000">
      <w:rPr>
        <w:color w:val="d9d9d9"/>
        <w:rtl w:val="0"/>
      </w:rPr>
      <w:t xml:space="preserve">Level 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3600"/>
        <w:ind w:hanging="360"/>
      </w:pPr>
      <w:lvlJc w:val="left"/>
    </w:lvl>
    <w:lvl w:ilvl="1">
      <w:numFmt w:val="bullet"/>
      <w:lvlText w:val="-"/>
      <w:start w:val="1"/>
      <w:rPr>
        <w:u w:val="none"/>
      </w:rPr>
      <w:pPr>
        <w:ind w:left="4320"/>
        <w:ind w:hanging="360"/>
      </w:pPr>
      <w:lvlJc w:val="left"/>
    </w:lvl>
    <w:lvl w:ilvl="2">
      <w:numFmt w:val="bullet"/>
      <w:lvlText w:val="-"/>
      <w:start w:val="1"/>
      <w:rPr>
        <w:u w:val="none"/>
      </w:rPr>
      <w:pPr>
        <w:ind w:left="5040"/>
        <w:ind w:hanging="360"/>
      </w:pPr>
      <w:lvlJc w:val="left"/>
    </w:lvl>
    <w:lvl w:ilvl="3">
      <w:numFmt w:val="bullet"/>
      <w:lvlText w:val="-"/>
      <w:start w:val="1"/>
      <w:rPr>
        <w:u w:val="none"/>
      </w:rPr>
      <w:pPr>
        <w:ind w:left="5760"/>
        <w:ind w:hanging="360"/>
      </w:pPr>
      <w:lvlJc w:val="left"/>
    </w:lvl>
    <w:lvl w:ilvl="4">
      <w:numFmt w:val="bullet"/>
      <w:lvlText w:val="-"/>
      <w:start w:val="1"/>
      <w:rPr>
        <w:u w:val="none"/>
      </w:rPr>
      <w:pPr>
        <w:ind w:left="6480"/>
        <w:ind w:hanging="360"/>
      </w:pPr>
      <w:lvlJc w:val="left"/>
    </w:lvl>
    <w:lvl w:ilvl="5">
      <w:numFmt w:val="bullet"/>
      <w:lvlText w:val="-"/>
      <w:start w:val="1"/>
      <w:rPr>
        <w:u w:val="none"/>
      </w:rPr>
      <w:pPr>
        <w:ind w:left="7200"/>
        <w:ind w:hanging="360"/>
      </w:pPr>
      <w:lvlJc w:val="left"/>
    </w:lvl>
    <w:lvl w:ilvl="6">
      <w:numFmt w:val="bullet"/>
      <w:lvlText w:val="-"/>
      <w:start w:val="1"/>
      <w:rPr>
        <w:u w:val="none"/>
      </w:rPr>
      <w:pPr>
        <w:ind w:left="7920"/>
        <w:ind w:hanging="360"/>
      </w:pPr>
      <w:lvlJc w:val="left"/>
    </w:lvl>
    <w:lvl w:ilvl="7">
      <w:numFmt w:val="bullet"/>
      <w:lvlText w:val="-"/>
      <w:start w:val="1"/>
      <w:rPr>
        <w:u w:val="none"/>
      </w:rPr>
      <w:pPr>
        <w:ind w:left="8640"/>
        <w:ind w:hanging="360"/>
      </w:pPr>
      <w:lvlJc w:val="left"/>
    </w:lvl>
    <w:lvl w:ilvl="8">
      <w:numFmt w:val="bullet"/>
      <w:lvlText w:val="-"/>
      <w:start w:val="1"/>
      <w:rPr>
        <w:u w:val="none"/>
      </w:rPr>
      <w:pPr>
        <w:ind w:left="9360"/>
        <w:ind w:hanging="360"/>
      </w:pPr>
      <w:lvlJc w:val="left"/>
    </w:lvl>
  </w:abstractNum>
  <w:abstractNum w:abstractNumId="2">
    <w:multiLevelType w:val="hybridMultilevel"/>
    <w:lvl w:ilvl="0">
      <w:numFmt w:val="bullet"/>
      <w:lvlText w:val="-"/>
      <w:start w:val="1"/>
      <w:rPr>
        <w:u w:val="none"/>
      </w:rPr>
      <w:pPr>
        <w:ind w:left="3600"/>
        <w:ind w:hanging="360"/>
      </w:pPr>
      <w:lvlJc w:val="left"/>
    </w:lvl>
    <w:lvl w:ilvl="1">
      <w:numFmt w:val="bullet"/>
      <w:lvlText w:val="-"/>
      <w:start w:val="1"/>
      <w:rPr>
        <w:u w:val="none"/>
      </w:rPr>
      <w:pPr>
        <w:ind w:left="4320"/>
        <w:ind w:hanging="360"/>
      </w:pPr>
      <w:lvlJc w:val="left"/>
    </w:lvl>
    <w:lvl w:ilvl="2">
      <w:numFmt w:val="bullet"/>
      <w:lvlText w:val="-"/>
      <w:start w:val="1"/>
      <w:rPr>
        <w:u w:val="none"/>
      </w:rPr>
      <w:pPr>
        <w:ind w:left="5040"/>
        <w:ind w:hanging="360"/>
      </w:pPr>
      <w:lvlJc w:val="left"/>
    </w:lvl>
    <w:lvl w:ilvl="3">
      <w:numFmt w:val="bullet"/>
      <w:lvlText w:val="-"/>
      <w:start w:val="1"/>
      <w:rPr>
        <w:u w:val="none"/>
      </w:rPr>
      <w:pPr>
        <w:ind w:left="5760"/>
        <w:ind w:hanging="360"/>
      </w:pPr>
      <w:lvlJc w:val="left"/>
    </w:lvl>
    <w:lvl w:ilvl="4">
      <w:numFmt w:val="bullet"/>
      <w:lvlText w:val="-"/>
      <w:start w:val="1"/>
      <w:rPr>
        <w:u w:val="none"/>
      </w:rPr>
      <w:pPr>
        <w:ind w:left="6480"/>
        <w:ind w:hanging="360"/>
      </w:pPr>
      <w:lvlJc w:val="left"/>
    </w:lvl>
    <w:lvl w:ilvl="5">
      <w:numFmt w:val="bullet"/>
      <w:lvlText w:val="-"/>
      <w:start w:val="1"/>
      <w:rPr>
        <w:u w:val="none"/>
      </w:rPr>
      <w:pPr>
        <w:ind w:left="7200"/>
        <w:ind w:hanging="360"/>
      </w:pPr>
      <w:lvlJc w:val="left"/>
    </w:lvl>
    <w:lvl w:ilvl="6">
      <w:numFmt w:val="bullet"/>
      <w:lvlText w:val="-"/>
      <w:start w:val="1"/>
      <w:rPr>
        <w:u w:val="none"/>
      </w:rPr>
      <w:pPr>
        <w:ind w:left="7920"/>
        <w:ind w:hanging="360"/>
      </w:pPr>
      <w:lvlJc w:val="left"/>
    </w:lvl>
    <w:lvl w:ilvl="7">
      <w:numFmt w:val="bullet"/>
      <w:lvlText w:val="-"/>
      <w:start w:val="1"/>
      <w:rPr>
        <w:u w:val="none"/>
      </w:rPr>
      <w:pPr>
        <w:ind w:left="8640"/>
        <w:ind w:hanging="360"/>
      </w:pPr>
      <w:lvlJc w:val="left"/>
    </w:lvl>
    <w:lvl w:ilvl="8">
      <w:numFmt w:val="bullet"/>
      <w:lvlText w:val="-"/>
      <w:start w:val="1"/>
      <w:rPr>
        <w:u w:val="none"/>
      </w:rPr>
      <w:pPr>
        <w:ind w:left="9360"/>
        <w:ind w:hanging="360"/>
      </w:pPr>
      <w:lvlJc w:val="left"/>
    </w:lvl>
  </w:abstractNum>
  <w:abstractNum w:abstractNumId="3">
    <w:multiLevelType w:val="hybridMultilevel"/>
    <w:lvl w:ilvl="0">
      <w:numFmt w:val="bullet"/>
      <w:lvlText w:val="-"/>
      <w:start w:val="1"/>
      <w:rPr>
        <w:u w:val="none"/>
      </w:rPr>
      <w:pPr>
        <w:ind w:left="3600"/>
        <w:ind w:hanging="360"/>
      </w:pPr>
      <w:lvlJc w:val="left"/>
    </w:lvl>
    <w:lvl w:ilvl="1">
      <w:numFmt w:val="bullet"/>
      <w:lvlText w:val="-"/>
      <w:start w:val="1"/>
      <w:rPr>
        <w:u w:val="none"/>
      </w:rPr>
      <w:pPr>
        <w:ind w:left="4320"/>
        <w:ind w:hanging="360"/>
      </w:pPr>
      <w:lvlJc w:val="left"/>
    </w:lvl>
    <w:lvl w:ilvl="2">
      <w:numFmt w:val="bullet"/>
      <w:lvlText w:val="-"/>
      <w:start w:val="1"/>
      <w:rPr>
        <w:u w:val="none"/>
      </w:rPr>
      <w:pPr>
        <w:ind w:left="5040"/>
        <w:ind w:hanging="360"/>
      </w:pPr>
      <w:lvlJc w:val="left"/>
    </w:lvl>
    <w:lvl w:ilvl="3">
      <w:numFmt w:val="bullet"/>
      <w:lvlText w:val="-"/>
      <w:start w:val="1"/>
      <w:rPr>
        <w:u w:val="none"/>
      </w:rPr>
      <w:pPr>
        <w:ind w:left="5760"/>
        <w:ind w:hanging="360"/>
      </w:pPr>
      <w:lvlJc w:val="left"/>
    </w:lvl>
    <w:lvl w:ilvl="4">
      <w:numFmt w:val="bullet"/>
      <w:lvlText w:val="-"/>
      <w:start w:val="1"/>
      <w:rPr>
        <w:u w:val="none"/>
      </w:rPr>
      <w:pPr>
        <w:ind w:left="6480"/>
        <w:ind w:hanging="360"/>
      </w:pPr>
      <w:lvlJc w:val="left"/>
    </w:lvl>
    <w:lvl w:ilvl="5">
      <w:numFmt w:val="bullet"/>
      <w:lvlText w:val="-"/>
      <w:start w:val="1"/>
      <w:rPr>
        <w:u w:val="none"/>
      </w:rPr>
      <w:pPr>
        <w:ind w:left="7200"/>
        <w:ind w:hanging="360"/>
      </w:pPr>
      <w:lvlJc w:val="left"/>
    </w:lvl>
    <w:lvl w:ilvl="6">
      <w:numFmt w:val="bullet"/>
      <w:lvlText w:val="-"/>
      <w:start w:val="1"/>
      <w:rPr>
        <w:u w:val="none"/>
      </w:rPr>
      <w:pPr>
        <w:ind w:left="7920"/>
        <w:ind w:hanging="360"/>
      </w:pPr>
      <w:lvlJc w:val="left"/>
    </w:lvl>
    <w:lvl w:ilvl="7">
      <w:numFmt w:val="bullet"/>
      <w:lvlText w:val="-"/>
      <w:start w:val="1"/>
      <w:rPr>
        <w:u w:val="none"/>
      </w:rPr>
      <w:pPr>
        <w:ind w:left="8640"/>
        <w:ind w:hanging="360"/>
      </w:pPr>
      <w:lvlJc w:val="left"/>
    </w:lvl>
    <w:lvl w:ilvl="8">
      <w:numFmt w:val="bullet"/>
      <w:lvlText w:val="-"/>
      <w:start w:val="1"/>
      <w:rPr>
        <w:u w:val="none"/>
      </w:rPr>
      <w:pPr>
        <w:ind w:left="936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tavistockandportman.nhs.uk/care-and-treatment/treatments/dynamic-interpersonal-therapy/" TargetMode="External"/><Relationship Id="rId10" Type="http://schemas.openxmlformats.org/officeDocument/2006/relationships/hyperlink" Target="https://www.nhs.uk/mental-health/conditions/post-traumatic-stress-disorder-ptsd/symptoms/" TargetMode="External"/><Relationship Id="rId13" Type="http://schemas.openxmlformats.org/officeDocument/2006/relationships/header" Target="header1.xml"/><Relationship Id="rId12" Type="http://schemas.openxmlformats.org/officeDocument/2006/relationships/hyperlink" Target="https://doi.org/10.3109/1040123980914703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hs.uk/mental-health/conditions/clinical-depression/symptoms/" TargetMode="External"/><Relationship Id="rId5" Type="http://schemas.openxmlformats.org/officeDocument/2006/relationships/styles" Target="styles.xml"/><Relationship Id="rId6" Type="http://schemas.openxmlformats.org/officeDocument/2006/relationships/hyperlink" Target="https://www.bacp.co.uk/bacp-journals/healthcare-counselling-and-psychotherapy-journal/july-2017/dynamic-interpersonal-therapy/" TargetMode="External"/><Relationship Id="rId7" Type="http://schemas.openxmlformats.org/officeDocument/2006/relationships/hyperlink" Target="http://labs.psychology.illinois.edu/~rcfraley/attachment.htm" TargetMode="External"/><Relationship Id="rId8" Type="http://schemas.openxmlformats.org/officeDocument/2006/relationships/hyperlink" Target="https://www.onlinemswprograms.com/social-work/theories/psychodynamic-theory/#:~:text=Psychodynamic%20theory%2C%20also%20known%20as,make%20better%20decisions%20for%20themsel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