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mc:AlternateContent>
          <mc:Choice Requires="wpg">
            <w:drawing>
              <wp:anchor allowOverlap="1" behindDoc="0" distB="0" distT="0" distL="182880" distR="182880" hidden="0" layoutInCell="1" locked="0" relativeHeight="0" simplePos="0">
                <wp:simplePos x="0" y="0"/>
                <wp:positionH relativeFrom="margin">
                  <wp:posOffset>-320090</wp:posOffset>
                </wp:positionH>
                <wp:positionV relativeFrom="page">
                  <wp:posOffset>1978913</wp:posOffset>
                </wp:positionV>
                <wp:extent cx="5305425" cy="6731615"/>
                <wp:effectExtent b="0" l="0" r="0" t="0"/>
                <wp:wrapSquare wrapText="bothSides" distB="0" distT="0" distL="182880" distR="182880"/>
                <wp:docPr id="1" name=""/>
                <a:graphic>
                  <a:graphicData uri="http://schemas.microsoft.com/office/word/2010/wordprocessingShape">
                    <wps:wsp>
                      <wps:cNvSpPr/>
                      <wps:cNvPr id="2" name="Shape 2"/>
                      <wps:spPr>
                        <a:xfrm>
                          <a:off x="2698050" y="419580"/>
                          <a:ext cx="5295900" cy="6720840"/>
                        </a:xfrm>
                        <a:prstGeom prst="rect">
                          <a:avLst/>
                        </a:pr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560" w:before="4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72"/>
                                <w:vertAlign w:val="baseline"/>
                              </w:rPr>
                              <w:t xml:space="preserve">Reform of Non-Fatal Offences Against the Person</w:t>
                            </w:r>
                          </w:p>
                          <w:p w:rsidR="00000000" w:rsidDel="00000000" w:rsidP="00000000" w:rsidRDefault="00000000" w:rsidRPr="00000000">
                            <w:pPr>
                              <w:spacing w:after="40" w:before="40" w:line="240"/>
                              <w:ind w:left="0" w:right="0" w:firstLine="0"/>
                              <w:jc w:val="left"/>
                              <w:textDirection w:val="btLr"/>
                            </w:pPr>
                            <w:r w:rsidDel="00000000" w:rsidR="00000000" w:rsidRPr="00000000">
                              <w:rPr>
                                <w:rFonts w:ascii="Arial" w:cs="Arial" w:eastAsia="Arial" w:hAnsi="Arial"/>
                                <w:b w:val="0"/>
                                <w:i w:val="0"/>
                                <w:smallCaps w:val="0"/>
                                <w:strike w:val="0"/>
                                <w:color w:val="000000"/>
                                <w:sz w:val="72"/>
                                <w:vertAlign w:val="baseline"/>
                              </w:rPr>
                            </w:r>
                            <w:r w:rsidDel="00000000" w:rsidR="00000000" w:rsidRPr="00000000">
                              <w:rPr>
                                <w:rFonts w:ascii="Arial" w:cs="Arial" w:eastAsia="Arial" w:hAnsi="Arial"/>
                                <w:b w:val="0"/>
                                <w:i w:val="0"/>
                                <w:smallCaps w:val="1"/>
                                <w:strike w:val="0"/>
                                <w:color w:val="1f4e79"/>
                                <w:sz w:val="28"/>
                                <w:vertAlign w:val="baseline"/>
                              </w:rPr>
                              <w:t xml:space="preserve">BMLW4002/BMPL4004</w:t>
                            </w:r>
                          </w:p>
                          <w:p w:rsidR="00000000" w:rsidDel="00000000" w:rsidP="00000000" w:rsidRDefault="00000000" w:rsidRPr="00000000">
                            <w:pPr>
                              <w:spacing w:after="40" w:before="80" w:line="240"/>
                              <w:ind w:left="0" w:right="0" w:firstLine="0"/>
                              <w:jc w:val="left"/>
                              <w:textDirection w:val="btLr"/>
                            </w:pPr>
                            <w:r w:rsidDel="00000000" w:rsidR="00000000" w:rsidRPr="00000000">
                              <w:rPr>
                                <w:rFonts w:ascii="Arial" w:cs="Arial" w:eastAsia="Arial" w:hAnsi="Arial"/>
                                <w:b w:val="0"/>
                                <w:i w:val="0"/>
                                <w:smallCaps w:val="1"/>
                                <w:strike w:val="0"/>
                                <w:color w:val="1f4e79"/>
                                <w:sz w:val="28"/>
                                <w:vertAlign w:val="baseline"/>
                              </w:rPr>
                            </w:r>
                            <w:r w:rsidDel="00000000" w:rsidR="00000000" w:rsidRPr="00000000">
                              <w:rPr>
                                <w:rFonts w:ascii="Arial" w:cs="Arial" w:eastAsia="Arial" w:hAnsi="Arial"/>
                                <w:b w:val="0"/>
                                <w:i w:val="0"/>
                                <w:smallCaps w:val="1"/>
                                <w:strike w:val="0"/>
                                <w:color w:val="5b9bd5"/>
                                <w:sz w:val="24"/>
                                <w:highlight w:val="black"/>
                                <w:vertAlign w:val="baseline"/>
                              </w:rPr>
                              <w:t xml:space="preserve">MADDIE JONES</w:t>
                            </w:r>
                          </w:p>
                        </w:txbxContent>
                      </wps:txbx>
                      <wps:bodyPr anchorCtr="0" anchor="t" bIns="0" lIns="0" spcFirstLastPara="1" rIns="0" wrap="square" tIns="0">
                        <a:noAutofit/>
                      </wps:bodyPr>
                    </wps:wsp>
                  </a:graphicData>
                </a:graphic>
              </wp:anchor>
            </w:drawing>
          </mc:Choice>
          <mc:Fallback>
            <w:drawing>
              <wp:anchor allowOverlap="1" behindDoc="0" distB="0" distT="0" distL="182880" distR="182880" hidden="0" layoutInCell="1" locked="0" relativeHeight="0" simplePos="0">
                <wp:simplePos x="0" y="0"/>
                <wp:positionH relativeFrom="margin">
                  <wp:posOffset>-320090</wp:posOffset>
                </wp:positionH>
                <wp:positionV relativeFrom="page">
                  <wp:posOffset>1978913</wp:posOffset>
                </wp:positionV>
                <wp:extent cx="5305425" cy="6731615"/>
                <wp:effectExtent b="0" l="0" r="0" t="0"/>
                <wp:wrapSquare wrapText="bothSides" distB="0" distT="0" distL="182880" distR="18288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305425" cy="6731615"/>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Offences Against the Person Act (1861) is the main law in dealing with non-fatal offences and has been attempted to be reformed for a number of years due to the assumption that it is outdated and not fit for practise. As of today, the current stage it is at is reported and is awaiting government response since their recommendations in 2015 (Law Commission, 2001).</w:t>
      </w:r>
    </w:p>
    <w:p w:rsidR="00000000" w:rsidDel="00000000" w:rsidP="00000000" w:rsidRDefault="00000000" w:rsidRPr="00000000" w14:paraId="00000004">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Non-Fatal offences are the result of bodily harm. This can include wounding, significant bodily harm with the intent to do so, assault and battery, an example could be the case laws of Tuberville v Savage (1669)  the judgements made was that it is not assault when one is not intended no harm or strike another in discourse however it is assault when there is an intent to harm even if an attempt was made and missed. Another case that is involving battery is R v DPP (2003) More examples of what comes under non-fatal offences are administering poison, corrosive fluids such as an acid attack and explosive substances. It is to cause serious damage to another person without it resulting in death (Herring, 2014). </w:t>
      </w:r>
    </w:p>
    <w:p w:rsidR="00000000" w:rsidDel="00000000" w:rsidP="00000000" w:rsidRDefault="00000000" w:rsidRPr="00000000" w14:paraId="00000005">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is important to emphasise that it is understood and recognised that this is not the only legislation that is relevant however is the main focus of this essay. </w:t>
      </w:r>
    </w:p>
    <w:p w:rsidR="00000000" w:rsidDel="00000000" w:rsidP="00000000" w:rsidRDefault="00000000" w:rsidRPr="00000000" w14:paraId="00000006">
      <w:pPr>
        <w:spacing w:line="480" w:lineRule="auto"/>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Professor David Ormerod QC says that there is an extensive amount of evidence that shows that it is in need of a reform as the 1861 act is lacking in more than just one way. One problem he says is how the act does not provide a rational well laid out hierarchy of offences of violence where offences can lap over which is unnecessary and cause confusion (Law Commission England and Wales, 2015)</w:t>
      </w:r>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007">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within issues relating to the hierarchy of offences, within the act there are three main offences; actual bodily harm (ABH) and the more serious offences which are in section 20 of the offences against the person act, inflicting grievous bodily harm (GBH) with intent and malicious wounding (Law Commission 2014).</w:t>
      </w:r>
    </w:p>
    <w:p w:rsidR="00000000" w:rsidDel="00000000" w:rsidP="00000000" w:rsidRDefault="00000000" w:rsidRPr="00000000" w14:paraId="00000008">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ABH which is under section 47 states that a person who is convicted of any assault occasioning ABH can be imprisoned for up to five years (OAPA 1861 s 47). ABH can be demonstrated through the case Faulkner v Talbot (1981) where the main judgments are any intentional touching of another person without consent  and R v Miller (1982) which the main points include injury calculated to an interference of the comfort of a person.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GBH under section 18 of the offences against the person act is the most serious offence, this is where the defendant had caused the victim serious psychiatric or physical harm. The imprisonment time is the maximum of life </w:t>
      </w:r>
      <w:r w:rsidDel="00000000" w:rsidR="00000000" w:rsidRPr="00000000">
        <w:rPr>
          <w:rFonts w:ascii="Arial" w:cs="Arial" w:eastAsia="Arial" w:hAnsi="Arial"/>
          <w:sz w:val="24"/>
          <w:szCs w:val="24"/>
          <w:rtl w:val="0"/>
        </w:rPr>
        <w:t xml:space="preserve"> (Child, 2017)</w:t>
      </w:r>
      <w:r w:rsidDel="00000000" w:rsidR="00000000" w:rsidRPr="00000000">
        <w:rPr>
          <w:rFonts w:ascii="Arial" w:cs="Arial" w:eastAsia="Arial" w:hAnsi="Arial"/>
          <w:sz w:val="24"/>
          <w:szCs w:val="24"/>
          <w:rtl w:val="0"/>
        </w:rPr>
        <w:t xml:space="preserve">. An example of this could be demo</w:t>
      </w:r>
      <w:r w:rsidDel="00000000" w:rsidR="00000000" w:rsidRPr="00000000">
        <w:rPr>
          <w:rFonts w:ascii="Arial" w:cs="Arial" w:eastAsia="Arial" w:hAnsi="Arial"/>
          <w:sz w:val="24"/>
          <w:szCs w:val="24"/>
          <w:rtl w:val="0"/>
        </w:rPr>
        <w:t xml:space="preserve">nstrated through R v Saunders (1573).</w:t>
      </w:r>
      <w:r w:rsidDel="00000000" w:rsidR="00000000" w:rsidRPr="00000000">
        <w:rPr>
          <w:rtl w:val="0"/>
        </w:rPr>
      </w:r>
    </w:p>
    <w:p w:rsidR="00000000" w:rsidDel="00000000" w:rsidP="00000000" w:rsidRDefault="00000000" w:rsidRPr="00000000" w14:paraId="00000009">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un-coordination of this act shows through the statistics as throughout these three categories there are more than 25,000 prosecutions a year additional to</w:t>
      </w:r>
      <w:r w:rsidDel="00000000" w:rsidR="00000000" w:rsidRPr="00000000">
        <w:rPr>
          <w:rFonts w:ascii="Arial" w:cs="Arial" w:eastAsia="Arial" w:hAnsi="Arial"/>
          <w:sz w:val="24"/>
          <w:szCs w:val="24"/>
          <w:rtl w:val="0"/>
        </w:rPr>
        <w:t xml:space="preserve"> the 100,000 prosecutions within the assault and battery offence. This backs up the statement of the act being disorganized and it is demonstrated within the case R v Lynsey (1995) where common assault was exchanble to common battery when tried at crown courts, this caused a lot of confusion and was to be said that there were better things to do (Tabbush, 2014).</w:t>
      </w:r>
    </w:p>
    <w:p w:rsidR="00000000" w:rsidDel="00000000" w:rsidP="00000000" w:rsidRDefault="00000000" w:rsidRPr="00000000" w14:paraId="0000000A">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recommendations made to help this have been clear, The Law Commission has recommended that they have a revised version of the Home Offices Draft Bill 1998 to replace the outdated OAPA. They also recommend that a new offence, “aggravated assault” is put into place as this will help fill the gap between existing offences of ABH and common assault. This will then differentiate them and show them in a category that they did not commit more than mere assault. A case law where an aggravated assault charge was given is in R v S.A.T (2016) where he was sentenced to 36 months within a federal system.</w:t>
      </w:r>
    </w:p>
    <w:p w:rsidR="00000000" w:rsidDel="00000000" w:rsidP="00000000" w:rsidRDefault="00000000" w:rsidRPr="00000000" w14:paraId="0000000B">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Another recommendation was that they would within the offence of threat to kill, to expand this to also threats to cause serious injury and rape. All three would then be punishable by up to ten years in prison. These along with more, such as the repeal of twenty-five offences to be replaced by fifteen will help the criticism of the hierarchy of offences if the reform is approved. Slight changes within offences that help open up the areas so they are not so narrow minded (Law Commission 2015).</w:t>
      </w:r>
    </w:p>
    <w:p w:rsidR="00000000" w:rsidDel="00000000" w:rsidP="00000000" w:rsidRDefault="00000000" w:rsidRPr="00000000" w14:paraId="0000000C">
      <w:pPr>
        <w:spacing w:line="480" w:lineRule="auto"/>
        <w:jc w:val="both"/>
        <w:rPr>
          <w:rFonts w:ascii="Arial" w:cs="Arial" w:eastAsia="Arial" w:hAnsi="Arial"/>
          <w:sz w:val="24"/>
          <w:szCs w:val="24"/>
          <w:shd w:fill="9900ff" w:val="clear"/>
        </w:rPr>
      </w:pPr>
      <w:r w:rsidDel="00000000" w:rsidR="00000000" w:rsidRPr="00000000">
        <w:rPr>
          <w:rFonts w:ascii="Arial" w:cs="Arial" w:eastAsia="Arial" w:hAnsi="Arial"/>
          <w:sz w:val="24"/>
          <w:szCs w:val="24"/>
          <w:rtl w:val="0"/>
        </w:rPr>
        <w:t xml:space="preserve">There are justifications for this particular shortcoming within the OAPA where it has been said that changing these laws and charging someone with common assault may be problematic. This conclusion came through thinking of a scenario where if one person was charged with common assault, then they would only be facing up to six months maximum where this may not be suitable in regards to the said person's crime they committed (Demetriou, 2016).</w:t>
      </w:r>
      <w:r w:rsidDel="00000000" w:rsidR="00000000" w:rsidRPr="00000000">
        <w:rPr>
          <w:rtl w:val="0"/>
        </w:rPr>
      </w:r>
    </w:p>
    <w:p w:rsidR="00000000" w:rsidDel="00000000" w:rsidP="00000000" w:rsidRDefault="00000000" w:rsidRPr="00000000" w14:paraId="0000000D">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issue and argument for a reform is the terminology used. It is shown that there are references used to concepts that no longer exist , and may be a cause of confusion, that include “felony” and “penal servitude” (Law Commission,2015). When further looking, the OAPA uses old language and may now be inapplicable. For example within the act the term ‘bodily’ is used and according to the Law Commision Report this is old fashioned (Law Commision 2014). For further evidence, Professors David Ormerod QC research and the scoping paper, he says how the language used is “obscure” and “inaccurate” and is confident in the fact this is one of the biggest arguments for a reform. He also says how within courts this can also be a big problem where the judges may waste time by trying to explain the different and real meanings of legal terms (Law Commission England and Wales 2015). This is shown through the case law R v Cunningham (1957) where within the court, the term ‘maliciously’ was wrongly interpreted to mean reckless as opposed to the real legal meaning of substantially certain to cause injury, this caused a lot of confusion within the trial. </w:t>
      </w:r>
    </w:p>
    <w:p w:rsidR="00000000" w:rsidDel="00000000" w:rsidP="00000000" w:rsidRDefault="00000000" w:rsidRPr="00000000" w14:paraId="0000000E">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is shown, however, that there is a nonage of people who are disagreeing with the idea of a reform for the Offences Against the Person act. There is the Criminal Bar Association and the Bar Council who have the justification that the art is simply theoretical and within case laws, legal meaning has already been demonstrated and accepted. They also think, terminology is not the biggest downfall and repeals of unnecessary offences is enough to suffice (Eugenicos, 2017).</w:t>
      </w:r>
    </w:p>
    <w:p w:rsidR="00000000" w:rsidDel="00000000" w:rsidP="00000000" w:rsidRDefault="00000000" w:rsidRPr="00000000" w14:paraId="0000000F">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London Criminal Courts Solicitors’ Association also agree that terminology is not the biggest downfall as even though they recognize and appropriate that some of the terminology may be outdated, the majority is still used, accepted and widely known within the courts and law sector (Law Commission, 2015). </w:t>
      </w:r>
    </w:p>
    <w:p w:rsidR="00000000" w:rsidDel="00000000" w:rsidP="00000000" w:rsidRDefault="00000000" w:rsidRPr="00000000" w14:paraId="00000010">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Within the Law Commission 2015 scoping paper, there are recommendations for this particular problem as said before, is to modify the Home Office 1998 draft Bill that will replace all the outdated jargon as well as outdated offences . With further research into an analysis of the scoping paper it is clear that there are more recommendations to help with the confusion regarding labels of offences. The author explains there are suggestions to overcome this; they suggest that every offence should be given a different, more clear and concise label. An example of this is to have physical assault instead of battery and have the label, threatened assault in regards to the offence ‘assault’. these are both to be judicious and rational options. </w:t>
      </w:r>
    </w:p>
    <w:p w:rsidR="00000000" w:rsidDel="00000000" w:rsidP="00000000" w:rsidRDefault="00000000" w:rsidRPr="00000000" w14:paraId="00000011">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offences against the person act are over 160 years old and have been named outdated and in need of reform by a lot of people including the law commission (Law Commision 2015). This is evident within the legislation there is an act which mentions the offence regarding a shipwreck, which says “impeding an escape from a shipwreck”. This has no relevance within today and shows the importance to have the reform (Eugenicos, 2017 &amp; Offences against the Person Act 1861). The case law found surrounding this legislation is R v Dudley and Stephens (1884), they murdered another young man to help themselves from starvation, they were found of murder. However, the age of this case law is proof of how old and outdated it is. This is now the only part of the act where there are outdated legislations that need to be looked at and whether they are needed today. These are “failing to feed apprentices” as well as “causing assault with the intention of preventing the sale of grain or its free passage” along with reckless transmission of sexually transmitted disease which can also be demonstrated within the case law R v Dica (Love, nd</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12">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looking at recommendations for this particular section, within the scoping paper and law commission 2015, they are urging for the new reform to abolish the old, outdated legislations which include, impending an escape on a shipwreck and failing to feed servants (Law Commision 2015 &amp; Law Commision 2014).</w:t>
      </w:r>
    </w:p>
    <w:p w:rsidR="00000000" w:rsidDel="00000000" w:rsidP="00000000" w:rsidRDefault="00000000" w:rsidRPr="00000000" w14:paraId="00000013">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there are some contradictory arguments on whether the legislation of preserving shipwrecks should stay and have relevance today. Runyan (1990) even though outdated itself this still has importance within this argument that says it is important to have these legislations to preserve and maintain shipwrecks and its contents for archaeologists who look into history and want to explore and expand their research as well as increasing awareness within the public eye to see the values of shipwrecks. This particular argument was not well looked at so they proposed two developments, more media coverage and more advanced technology (Runyan, 1990).</w:t>
      </w:r>
    </w:p>
    <w:p w:rsidR="00000000" w:rsidDel="00000000" w:rsidP="00000000" w:rsidRDefault="00000000" w:rsidRPr="00000000" w14:paraId="00000014">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term bodily harm, which has been shown to be an outdated phrase has been used within section 47, 20 and 18 however what has not been recognised is the changes of fear causing psychiatric injury which further proves the outdatedness of the act (Offences Against the Person Act 1861). This can be demonstrated through the case law R v Ireland and Burstow (1997) where harassment caused her to sustain severe depression. As there was no physical force, it was a question of whether or not it would be possible to have a charge of ABH. To further the argument, this was a victorian approach as said by Lord Steyn as he raised that ‘the victorian legislator would not have in mind psychiatric illness’ This could also be demonstrated within the more recent  scottish case law Dow v Amec Group Ltd (2017) and Young v Charles Church (1997). The both of these cases are very similar where the victim was in a work related injury and suffered psychiatric related illness’ </w:t>
      </w:r>
    </w:p>
    <w:p w:rsidR="00000000" w:rsidDel="00000000" w:rsidP="00000000" w:rsidRDefault="00000000" w:rsidRPr="00000000" w14:paraId="00000015">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disapproval of that statement, it has been said that fear </w:t>
      </w:r>
      <w:r w:rsidDel="00000000" w:rsidR="00000000" w:rsidRPr="00000000">
        <w:rPr>
          <w:rFonts w:ascii="Arial" w:cs="Arial" w:eastAsia="Arial" w:hAnsi="Arial"/>
          <w:sz w:val="24"/>
          <w:szCs w:val="24"/>
          <w:rtl w:val="0"/>
        </w:rPr>
        <w:t xml:space="preserve">causing</w:t>
      </w:r>
      <w:r w:rsidDel="00000000" w:rsidR="00000000" w:rsidRPr="00000000">
        <w:rPr>
          <w:rFonts w:ascii="Arial" w:cs="Arial" w:eastAsia="Arial" w:hAnsi="Arial"/>
          <w:sz w:val="24"/>
          <w:szCs w:val="24"/>
          <w:rtl w:val="0"/>
        </w:rPr>
        <w:t xml:space="preserve"> psychiatric injury may be a difficult topic to have widely accepted within the courts, one reason for this is that it has been said to “clog up” the courts which in effect will then take divert community resources into this, and leaving the many who may not receive the compensation they deserve. It is also said that there needs to be a diagnosis to meet the claim, however it is understood that there may be fraudulent issues. This is enough for them to be opposed for this to be widely accepted within courts (Law Commission, 2015). </w:t>
      </w:r>
    </w:p>
    <w:p w:rsidR="00000000" w:rsidDel="00000000" w:rsidP="00000000" w:rsidRDefault="00000000" w:rsidRPr="00000000" w14:paraId="00000016">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this essay, it is a shame that six years on since the first law commission 2015 reform when there have been so many downfalls addressed with a rationale and evidence to back it up, the law hasn’t changed and are still awaiting government response to tackle the problems faced and criticisms made. However, the Law Commision (2015) has made it aware there are organizations and people that include the Bar Council, The criminal Bar Association along with John Spencer and others who have their reasons being opposed to reform. Some of the reasons include believing  this was only a good starting point but is missing some major gaps with flaws also linking to a judgement that further mistakes may be presented when the difficult task of amending happens. </w:t>
      </w:r>
    </w:p>
    <w:p w:rsidR="00000000" w:rsidDel="00000000" w:rsidP="00000000" w:rsidRDefault="00000000" w:rsidRPr="00000000" w14:paraId="00000017">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9">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1">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5">
      <w:pPr>
        <w:spacing w:line="48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References </w:t>
      </w:r>
    </w:p>
    <w:p w:rsidR="00000000" w:rsidDel="00000000" w:rsidP="00000000" w:rsidRDefault="00000000" w:rsidRPr="00000000" w14:paraId="00000026">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 J (2017), </w:t>
      </w:r>
      <w:r w:rsidDel="00000000" w:rsidR="00000000" w:rsidRPr="00000000">
        <w:rPr>
          <w:rFonts w:ascii="Arial" w:cs="Arial" w:eastAsia="Arial" w:hAnsi="Arial"/>
          <w:i w:val="1"/>
          <w:sz w:val="24"/>
          <w:szCs w:val="24"/>
          <w:rtl w:val="0"/>
        </w:rPr>
        <w:t xml:space="preserve">Smith, Hogan and Ormerod’s essentials of criminal law </w:t>
      </w:r>
      <w:r w:rsidDel="00000000" w:rsidR="00000000" w:rsidRPr="00000000">
        <w:rPr>
          <w:rFonts w:ascii="Arial" w:cs="Arial" w:eastAsia="Arial" w:hAnsi="Arial"/>
          <w:sz w:val="24"/>
          <w:szCs w:val="24"/>
          <w:rtl w:val="0"/>
        </w:rPr>
        <w:t xml:space="preserve">2nd Ed Oxford University Press: Oxford, Available at: </w:t>
      </w:r>
      <w:hyperlink r:id="rId7">
        <w:r w:rsidDel="00000000" w:rsidR="00000000" w:rsidRPr="00000000">
          <w:rPr>
            <w:rFonts w:ascii="Arial" w:cs="Arial" w:eastAsia="Arial" w:hAnsi="Arial"/>
            <w:color w:val="1155cc"/>
            <w:sz w:val="24"/>
            <w:szCs w:val="24"/>
            <w:u w:val="single"/>
            <w:rtl w:val="0"/>
          </w:rPr>
          <w:t xml:space="preserve">https://books.google.co.uk/books?hl=en&amp;lr=&amp;id=cfd0DgAAQBAJ&amp;oi=fnd&amp;pg=PP1&amp;dq=Child,+J+(2017),+Smith,+Hogan+and+Ormerod%E2%80%99s+essentials+of+criminal+law+2nd+Ed+Oxford+University+Press:+Oxford+&amp;ots=sA9EjzhIdU&amp;sig=ySEGn4oFFQhQ33mQWPaEEToTSBU&amp;redir_esc=y#v=onepage&amp;q=Child%2C%20J%20(2017)%2C%20Smith%2C%20Hogan%20and%20Ormerod%E2%80%99s%20essentials%20of%20criminal%20law%202nd%20Ed%20Oxford%20University%20Press%3A%20Oxford&amp;f=false</w:t>
        </w:r>
      </w:hyperlink>
      <w:r w:rsidDel="00000000" w:rsidR="00000000" w:rsidRPr="00000000">
        <w:rPr>
          <w:rFonts w:ascii="Arial" w:cs="Arial" w:eastAsia="Arial" w:hAnsi="Arial"/>
          <w:sz w:val="24"/>
          <w:szCs w:val="24"/>
          <w:rtl w:val="0"/>
        </w:rPr>
        <w:t xml:space="preserve"> (accessed on 10/03/21)</w:t>
      </w:r>
    </w:p>
    <w:p w:rsidR="00000000" w:rsidDel="00000000" w:rsidP="00000000" w:rsidRDefault="00000000" w:rsidRPr="00000000" w14:paraId="00000027">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Demetriou, S, (2016), </w:t>
      </w:r>
      <w:r w:rsidDel="00000000" w:rsidR="00000000" w:rsidRPr="00000000">
        <w:rPr>
          <w:rFonts w:ascii="Arial" w:cs="Arial" w:eastAsia="Arial" w:hAnsi="Arial"/>
          <w:i w:val="1"/>
          <w:sz w:val="24"/>
          <w:szCs w:val="24"/>
          <w:rtl w:val="0"/>
        </w:rPr>
        <w:t xml:space="preserve">Not Giving Up the Fight: A Review of the Law Commission’s Scoping Report on Non-fatal Offences Against the Person, The Journal of Criminal Law,</w:t>
      </w:r>
      <w:r w:rsidDel="00000000" w:rsidR="00000000" w:rsidRPr="00000000">
        <w:rPr>
          <w:rFonts w:ascii="Arial" w:cs="Arial" w:eastAsia="Arial" w:hAnsi="Arial"/>
          <w:sz w:val="24"/>
          <w:szCs w:val="24"/>
          <w:rtl w:val="0"/>
        </w:rPr>
        <w:t xml:space="preserve"> SAGE Productions: Sussex, Available at: </w:t>
      </w:r>
      <w:hyperlink r:id="rId8">
        <w:r w:rsidDel="00000000" w:rsidR="00000000" w:rsidRPr="00000000">
          <w:rPr>
            <w:rFonts w:ascii="Arial" w:cs="Arial" w:eastAsia="Arial" w:hAnsi="Arial"/>
            <w:color w:val="1155cc"/>
            <w:sz w:val="24"/>
            <w:szCs w:val="24"/>
            <w:u w:val="single"/>
            <w:rtl w:val="0"/>
          </w:rPr>
          <w:t xml:space="preserve">http://sro.sussex.ac.uk/id/eprint/61946/4/Not%20Giving%20up%20the%20Fight%20-%20A%20Review%20of%20the%20Law%20Commission%E2%80%99s%20Scoping%20Report%20on%20the%20Non-Fatal%20Offences%20Against%20the%20Person-1.pdf</w:t>
        </w:r>
      </w:hyperlink>
      <w:r w:rsidDel="00000000" w:rsidR="00000000" w:rsidRPr="00000000">
        <w:rPr>
          <w:rFonts w:ascii="Arial" w:cs="Arial" w:eastAsia="Arial" w:hAnsi="Arial"/>
          <w:sz w:val="24"/>
          <w:szCs w:val="24"/>
          <w:rtl w:val="0"/>
        </w:rPr>
        <w:t xml:space="preserve"> (accessed on 18/03/21)</w:t>
      </w:r>
    </w:p>
    <w:p w:rsidR="00000000" w:rsidDel="00000000" w:rsidP="00000000" w:rsidRDefault="00000000" w:rsidRPr="00000000" w14:paraId="00000028">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Eugenicos, A.-M. (2017) </w:t>
      </w:r>
      <w:r w:rsidDel="00000000" w:rsidR="00000000" w:rsidRPr="00000000">
        <w:rPr>
          <w:rFonts w:ascii="Arial" w:cs="Arial" w:eastAsia="Arial" w:hAnsi="Arial"/>
          <w:i w:val="1"/>
          <w:sz w:val="24"/>
          <w:szCs w:val="24"/>
          <w:rtl w:val="0"/>
        </w:rPr>
        <w:t xml:space="preserve">‘Should We Reform the Offences Against the Person Act 1861?’, The Journal of Criminal Law</w:t>
      </w:r>
      <w:r w:rsidDel="00000000" w:rsidR="00000000" w:rsidRPr="00000000">
        <w:rPr>
          <w:rFonts w:ascii="Arial" w:cs="Arial" w:eastAsia="Arial" w:hAnsi="Arial"/>
          <w:sz w:val="24"/>
          <w:szCs w:val="24"/>
          <w:rtl w:val="0"/>
        </w:rPr>
        <w:t xml:space="preserve">, SAGE Productions: London </w:t>
      </w:r>
    </w:p>
    <w:p w:rsidR="00000000" w:rsidDel="00000000" w:rsidP="00000000" w:rsidRDefault="00000000" w:rsidRPr="00000000" w14:paraId="00000029">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Herring, J., 2014. Criminal law: text, cases, and materials. Oxford University Press, USA. Available at: </w:t>
      </w:r>
      <w:hyperlink r:id="rId9">
        <w:r w:rsidDel="00000000" w:rsidR="00000000" w:rsidRPr="00000000">
          <w:rPr>
            <w:rFonts w:ascii="Arial" w:cs="Arial" w:eastAsia="Arial" w:hAnsi="Arial"/>
            <w:color w:val="1155cc"/>
            <w:sz w:val="24"/>
            <w:szCs w:val="24"/>
            <w:u w:val="single"/>
            <w:rtl w:val="0"/>
          </w:rPr>
          <w:t xml:space="preserve">https://journals.sagepub.com/doi/full/10.1177/0022018316685478?casa_token=eMJmpeDzIzcAAAAA%3A3MlxAcGMQRoMjBxR7bN77RMxLMPojTdkeYsX182HqLIYyEq4KZlFCrCiJUSe3yyLUIuAeXui1xwe</w:t>
        </w:r>
      </w:hyperlink>
      <w:r w:rsidDel="00000000" w:rsidR="00000000" w:rsidRPr="00000000">
        <w:rPr>
          <w:rFonts w:ascii="Arial" w:cs="Arial" w:eastAsia="Arial" w:hAnsi="Arial"/>
          <w:sz w:val="24"/>
          <w:szCs w:val="24"/>
          <w:rtl w:val="0"/>
        </w:rPr>
        <w:t xml:space="preserve"> (accessed on 18/03/21)</w:t>
      </w:r>
    </w:p>
    <w:p w:rsidR="00000000" w:rsidDel="00000000" w:rsidP="00000000" w:rsidRDefault="00000000" w:rsidRPr="00000000" w14:paraId="0000002A">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 Commission, (2014) </w:t>
      </w:r>
      <w:r w:rsidDel="00000000" w:rsidR="00000000" w:rsidRPr="00000000">
        <w:rPr>
          <w:rFonts w:ascii="Arial" w:cs="Arial" w:eastAsia="Arial" w:hAnsi="Arial"/>
          <w:i w:val="1"/>
          <w:sz w:val="24"/>
          <w:szCs w:val="24"/>
          <w:rtl w:val="0"/>
        </w:rPr>
        <w:t xml:space="preserve">Reform of Offences against the Person A Scoping Consultation Paper. </w:t>
      </w:r>
      <w:r w:rsidDel="00000000" w:rsidR="00000000" w:rsidRPr="00000000">
        <w:rPr>
          <w:rFonts w:ascii="Arial" w:cs="Arial" w:eastAsia="Arial" w:hAnsi="Arial"/>
          <w:sz w:val="24"/>
          <w:szCs w:val="24"/>
          <w:rtl w:val="0"/>
        </w:rPr>
        <w:t xml:space="preserve">Available at: </w:t>
      </w:r>
      <w:hyperlink r:id="rId10">
        <w:r w:rsidDel="00000000" w:rsidR="00000000" w:rsidRPr="00000000">
          <w:rPr>
            <w:rFonts w:ascii="Arial" w:cs="Arial" w:eastAsia="Arial" w:hAnsi="Arial"/>
            <w:color w:val="0563c1"/>
            <w:sz w:val="24"/>
            <w:szCs w:val="24"/>
            <w:u w:val="single"/>
            <w:rtl w:val="0"/>
          </w:rPr>
          <w:t xml:space="preserve">https://lawcom.gov.uk/app/uploads/2015/06/cp217_offences_against_the_person.pdf</w:t>
        </w:r>
      </w:hyperlink>
      <w:r w:rsidDel="00000000" w:rsidR="00000000" w:rsidRPr="00000000">
        <w:rPr>
          <w:rFonts w:ascii="Arial" w:cs="Arial" w:eastAsia="Arial" w:hAnsi="Arial"/>
          <w:sz w:val="24"/>
          <w:szCs w:val="24"/>
          <w:rtl w:val="0"/>
        </w:rPr>
        <w:t xml:space="preserve"> (accessed on 13/03/21)</w:t>
      </w:r>
    </w:p>
    <w:p w:rsidR="00000000" w:rsidDel="00000000" w:rsidP="00000000" w:rsidRDefault="00000000" w:rsidRPr="00000000" w14:paraId="0000002B">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 Commission, (2015), </w:t>
      </w:r>
      <w:r w:rsidDel="00000000" w:rsidR="00000000" w:rsidRPr="00000000">
        <w:rPr>
          <w:rFonts w:ascii="Arial" w:cs="Arial" w:eastAsia="Arial" w:hAnsi="Arial"/>
          <w:i w:val="1"/>
          <w:sz w:val="24"/>
          <w:szCs w:val="24"/>
          <w:rtl w:val="0"/>
        </w:rPr>
        <w:t xml:space="preserve">Offences Against the Person: Overview </w:t>
      </w:r>
      <w:r w:rsidDel="00000000" w:rsidR="00000000" w:rsidRPr="00000000">
        <w:rPr>
          <w:rFonts w:ascii="Arial" w:cs="Arial" w:eastAsia="Arial" w:hAnsi="Arial"/>
          <w:sz w:val="24"/>
          <w:szCs w:val="24"/>
          <w:rtl w:val="0"/>
        </w:rPr>
        <w:t xml:space="preserve">available at: </w:t>
      </w:r>
      <w:hyperlink r:id="rId11">
        <w:r w:rsidDel="00000000" w:rsidR="00000000" w:rsidRPr="00000000">
          <w:rPr>
            <w:rFonts w:ascii="Arial" w:cs="Arial" w:eastAsia="Arial" w:hAnsi="Arial"/>
            <w:color w:val="0563c1"/>
            <w:sz w:val="24"/>
            <w:szCs w:val="24"/>
            <w:u w:val="single"/>
            <w:rtl w:val="0"/>
          </w:rPr>
          <w:t xml:space="preserve">https://s3-eu-west-2.amazonaws.com/lawcom-prod-storage-11jsxou24uy7q/uploads/2015/11/lc361_offences_against_the_person_overview_new-1.pdf</w:t>
        </w:r>
      </w:hyperlink>
      <w:r w:rsidDel="00000000" w:rsidR="00000000" w:rsidRPr="00000000">
        <w:rPr>
          <w:rFonts w:ascii="Arial" w:cs="Arial" w:eastAsia="Arial" w:hAnsi="Arial"/>
          <w:sz w:val="24"/>
          <w:szCs w:val="24"/>
          <w:rtl w:val="0"/>
        </w:rPr>
        <w:t xml:space="preserve"> (accessed on 10/03/21)</w:t>
      </w:r>
    </w:p>
    <w:p w:rsidR="00000000" w:rsidDel="00000000" w:rsidP="00000000" w:rsidRDefault="00000000" w:rsidRPr="00000000" w14:paraId="0000002C">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 Commission (2015) </w:t>
      </w:r>
      <w:r w:rsidDel="00000000" w:rsidR="00000000" w:rsidRPr="00000000">
        <w:rPr>
          <w:rFonts w:ascii="Arial" w:cs="Arial" w:eastAsia="Arial" w:hAnsi="Arial"/>
          <w:i w:val="1"/>
          <w:sz w:val="24"/>
          <w:szCs w:val="24"/>
          <w:rtl w:val="0"/>
        </w:rPr>
        <w:t xml:space="preserve">Offences against the person,</w:t>
      </w:r>
      <w:r w:rsidDel="00000000" w:rsidR="00000000" w:rsidRPr="00000000">
        <w:rPr>
          <w:rFonts w:ascii="Arial" w:cs="Arial" w:eastAsia="Arial" w:hAnsi="Arial"/>
          <w:sz w:val="24"/>
          <w:szCs w:val="24"/>
          <w:rtl w:val="0"/>
        </w:rPr>
        <w:t xml:space="preserve"> available at: </w:t>
      </w:r>
      <w:hyperlink r:id="rId12">
        <w:r w:rsidDel="00000000" w:rsidR="00000000" w:rsidRPr="00000000">
          <w:rPr>
            <w:rFonts w:ascii="Arial" w:cs="Arial" w:eastAsia="Arial" w:hAnsi="Arial"/>
            <w:color w:val="0563c1"/>
            <w:sz w:val="24"/>
            <w:szCs w:val="24"/>
            <w:u w:val="single"/>
            <w:rtl w:val="0"/>
          </w:rPr>
          <w:t xml:space="preserve">https://www.lawcom.gov.uk/project/offences-against-the-person/</w:t>
        </w:r>
      </w:hyperlink>
      <w:r w:rsidDel="00000000" w:rsidR="00000000" w:rsidRPr="00000000">
        <w:rPr>
          <w:rFonts w:ascii="Arial" w:cs="Arial" w:eastAsia="Arial" w:hAnsi="Arial"/>
          <w:sz w:val="24"/>
          <w:szCs w:val="24"/>
          <w:rtl w:val="0"/>
        </w:rPr>
        <w:t xml:space="preserve"> (accessed on 07/03/2021)</w:t>
      </w:r>
    </w:p>
    <w:p w:rsidR="00000000" w:rsidDel="00000000" w:rsidP="00000000" w:rsidRDefault="00000000" w:rsidRPr="00000000" w14:paraId="0000002D">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 Commision (2015) </w:t>
      </w:r>
      <w:r w:rsidDel="00000000" w:rsidR="00000000" w:rsidRPr="00000000">
        <w:rPr>
          <w:rFonts w:ascii="Arial" w:cs="Arial" w:eastAsia="Arial" w:hAnsi="Arial"/>
          <w:i w:val="1"/>
          <w:sz w:val="24"/>
          <w:szCs w:val="24"/>
          <w:rtl w:val="0"/>
        </w:rPr>
        <w:t xml:space="preserve">Reform of Offences against the Person Law Com No 361 Reform of Offences against the Person</w:t>
      </w:r>
      <w:r w:rsidDel="00000000" w:rsidR="00000000" w:rsidRPr="00000000">
        <w:rPr>
          <w:rFonts w:ascii="Arial" w:cs="Arial" w:eastAsia="Arial" w:hAnsi="Arial"/>
          <w:sz w:val="24"/>
          <w:szCs w:val="24"/>
          <w:rtl w:val="0"/>
        </w:rPr>
        <w:t xml:space="preserve">, available at: </w:t>
      </w:r>
      <w:hyperlink r:id="rId13">
        <w:r w:rsidDel="00000000" w:rsidR="00000000" w:rsidRPr="00000000">
          <w:rPr>
            <w:rFonts w:ascii="Arial" w:cs="Arial" w:eastAsia="Arial" w:hAnsi="Arial"/>
            <w:color w:val="1155cc"/>
            <w:sz w:val="24"/>
            <w:szCs w:val="24"/>
            <w:u w:val="single"/>
            <w:rtl w:val="0"/>
          </w:rPr>
          <w:t xml:space="preserve">http://www.lawcom.gov.uk/app/uploads/2015/11/51950-LC-HC555_Web.pdf</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E">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Law Commission England and Wales (2015) </w:t>
      </w:r>
      <w:r w:rsidDel="00000000" w:rsidR="00000000" w:rsidRPr="00000000">
        <w:rPr>
          <w:rFonts w:ascii="Arial" w:cs="Arial" w:eastAsia="Arial" w:hAnsi="Arial"/>
          <w:i w:val="1"/>
          <w:sz w:val="24"/>
          <w:szCs w:val="24"/>
          <w:rtl w:val="0"/>
        </w:rPr>
        <w:t xml:space="preserve">Offences against the person – the need for a reform</w:t>
      </w:r>
      <w:r w:rsidDel="00000000" w:rsidR="00000000" w:rsidRPr="00000000">
        <w:rPr>
          <w:rFonts w:ascii="Arial" w:cs="Arial" w:eastAsia="Arial" w:hAnsi="Arial"/>
          <w:sz w:val="24"/>
          <w:szCs w:val="24"/>
          <w:rtl w:val="0"/>
        </w:rPr>
        <w:t xml:space="preserve"> [video] available at: </w:t>
      </w:r>
      <w:hyperlink r:id="rId14">
        <w:r w:rsidDel="00000000" w:rsidR="00000000" w:rsidRPr="00000000">
          <w:rPr>
            <w:rFonts w:ascii="Arial" w:cs="Arial" w:eastAsia="Arial" w:hAnsi="Arial"/>
            <w:color w:val="0563c1"/>
            <w:sz w:val="24"/>
            <w:szCs w:val="24"/>
            <w:u w:val="single"/>
            <w:rtl w:val="0"/>
          </w:rPr>
          <w:t xml:space="preserve">https://www.youtube.com/watch?v=diWKWOdY8IQ&amp;t=16s</w:t>
        </w:r>
      </w:hyperlink>
      <w:r w:rsidDel="00000000" w:rsidR="00000000" w:rsidRPr="00000000">
        <w:rPr>
          <w:rFonts w:ascii="Arial" w:cs="Arial" w:eastAsia="Arial" w:hAnsi="Arial"/>
          <w:sz w:val="24"/>
          <w:szCs w:val="24"/>
          <w:rtl w:val="0"/>
        </w:rPr>
        <w:t xml:space="preserve"> (accessed on 07/03/2021)</w:t>
      </w:r>
    </w:p>
    <w:p w:rsidR="00000000" w:rsidDel="00000000" w:rsidP="00000000" w:rsidRDefault="00000000" w:rsidRPr="00000000" w14:paraId="0000002F">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Legislation Gov (No date) </w:t>
      </w:r>
      <w:r w:rsidDel="00000000" w:rsidR="00000000" w:rsidRPr="00000000">
        <w:rPr>
          <w:rFonts w:ascii="Arial" w:cs="Arial" w:eastAsia="Arial" w:hAnsi="Arial"/>
          <w:i w:val="1"/>
          <w:sz w:val="24"/>
          <w:szCs w:val="24"/>
          <w:rtl w:val="0"/>
        </w:rPr>
        <w:t xml:space="preserve">Offences against the Person Act 1861</w:t>
      </w:r>
      <w:r w:rsidDel="00000000" w:rsidR="00000000" w:rsidRPr="00000000">
        <w:rPr>
          <w:rFonts w:ascii="Arial" w:cs="Arial" w:eastAsia="Arial" w:hAnsi="Arial"/>
          <w:sz w:val="24"/>
          <w:szCs w:val="24"/>
          <w:rtl w:val="0"/>
        </w:rPr>
        <w:t xml:space="preserve"> available at:</w:t>
      </w:r>
      <w:r w:rsidDel="00000000" w:rsidR="00000000" w:rsidRPr="00000000">
        <w:rPr>
          <w:rtl w:val="0"/>
        </w:rPr>
        <w:t xml:space="preserve"> </w:t>
      </w:r>
      <w:hyperlink r:id="rId15">
        <w:r w:rsidDel="00000000" w:rsidR="00000000" w:rsidRPr="00000000">
          <w:rPr>
            <w:rFonts w:ascii="Arial" w:cs="Arial" w:eastAsia="Arial" w:hAnsi="Arial"/>
            <w:color w:val="0563c1"/>
            <w:sz w:val="24"/>
            <w:szCs w:val="24"/>
            <w:u w:val="single"/>
            <w:rtl w:val="0"/>
          </w:rPr>
          <w:t xml:space="preserve">https://www.legislation.gov.uk/ukpga/Vict/24-25/100/crossheading/acts-causing-or-tending-to-cause-danger-to-life-or-bodily-harm-impeding-a-person-endeavouring-to-save-himself-from-shipwreck/enacted</w:t>
        </w:r>
      </w:hyperlink>
      <w:r w:rsidDel="00000000" w:rsidR="00000000" w:rsidRPr="00000000">
        <w:rPr>
          <w:rFonts w:ascii="Arial" w:cs="Arial" w:eastAsia="Arial" w:hAnsi="Arial"/>
          <w:sz w:val="24"/>
          <w:szCs w:val="24"/>
          <w:rtl w:val="0"/>
        </w:rPr>
        <w:t xml:space="preserve"> (accessed on 07/03/2021) </w:t>
      </w:r>
    </w:p>
    <w:p w:rsidR="00000000" w:rsidDel="00000000" w:rsidP="00000000" w:rsidRDefault="00000000" w:rsidRPr="00000000" w14:paraId="00000030">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Legislation Gov (no date) </w:t>
      </w:r>
      <w:r w:rsidDel="00000000" w:rsidR="00000000" w:rsidRPr="00000000">
        <w:rPr>
          <w:rFonts w:ascii="Arial" w:cs="Arial" w:eastAsia="Arial" w:hAnsi="Arial"/>
          <w:i w:val="1"/>
          <w:sz w:val="24"/>
          <w:szCs w:val="24"/>
          <w:rtl w:val="0"/>
        </w:rPr>
        <w:t xml:space="preserve">Offences against the Person Act 1861 </w:t>
      </w:r>
      <w:r w:rsidDel="00000000" w:rsidR="00000000" w:rsidRPr="00000000">
        <w:rPr>
          <w:rFonts w:ascii="Arial" w:cs="Arial" w:eastAsia="Arial" w:hAnsi="Arial"/>
          <w:sz w:val="24"/>
          <w:szCs w:val="24"/>
          <w:rtl w:val="0"/>
        </w:rPr>
        <w:t xml:space="preserve">available at: </w:t>
      </w:r>
      <w:hyperlink r:id="rId16">
        <w:r w:rsidDel="00000000" w:rsidR="00000000" w:rsidRPr="00000000">
          <w:rPr>
            <w:rFonts w:ascii="Arial" w:cs="Arial" w:eastAsia="Arial" w:hAnsi="Arial"/>
            <w:color w:val="1155cc"/>
            <w:sz w:val="24"/>
            <w:szCs w:val="24"/>
            <w:u w:val="single"/>
            <w:rtl w:val="0"/>
          </w:rPr>
          <w:t xml:space="preserve">https://www.legislation.gov.uk/ukpga/Vict/24-25/100/section/47/enacted</w:t>
        </w:r>
      </w:hyperlink>
      <w:r w:rsidDel="00000000" w:rsidR="00000000" w:rsidRPr="00000000">
        <w:rPr>
          <w:rFonts w:ascii="Arial" w:cs="Arial" w:eastAsia="Arial" w:hAnsi="Arial"/>
          <w:sz w:val="24"/>
          <w:szCs w:val="24"/>
          <w:rtl w:val="0"/>
        </w:rPr>
        <w:t xml:space="preserve"> (accessed 15/03/21)</w:t>
      </w:r>
    </w:p>
    <w:p w:rsidR="00000000" w:rsidDel="00000000" w:rsidP="00000000" w:rsidRDefault="00000000" w:rsidRPr="00000000" w14:paraId="00000031">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Love, S (no Date) </w:t>
      </w:r>
      <w:r w:rsidDel="00000000" w:rsidR="00000000" w:rsidRPr="00000000">
        <w:rPr>
          <w:rFonts w:ascii="Arial" w:cs="Arial" w:eastAsia="Arial" w:hAnsi="Arial"/>
          <w:i w:val="1"/>
          <w:sz w:val="24"/>
          <w:szCs w:val="24"/>
          <w:rtl w:val="0"/>
        </w:rPr>
        <w:t xml:space="preserve">The massively Outdated Offences Against the Person Act 1861 Shows How Well the Common Law System Works</w:t>
      </w:r>
      <w:r w:rsidDel="00000000" w:rsidR="00000000" w:rsidRPr="00000000">
        <w:rPr>
          <w:rFonts w:ascii="Arial" w:cs="Arial" w:eastAsia="Arial" w:hAnsi="Arial"/>
          <w:sz w:val="24"/>
          <w:szCs w:val="24"/>
          <w:rtl w:val="0"/>
        </w:rPr>
        <w:t xml:space="preserve"> [ARTICLE] available at: </w:t>
      </w:r>
      <w:hyperlink r:id="rId17">
        <w:r w:rsidDel="00000000" w:rsidR="00000000" w:rsidRPr="00000000">
          <w:rPr>
            <w:rFonts w:ascii="Arial" w:cs="Arial" w:eastAsia="Arial" w:hAnsi="Arial"/>
            <w:color w:val="0563c1"/>
            <w:sz w:val="24"/>
            <w:szCs w:val="24"/>
            <w:u w:val="single"/>
            <w:rtl w:val="0"/>
          </w:rPr>
          <w:t xml:space="preserve">https://www.oxford-royale.com/articles/offences-against-the-person-act-1861-needs-reform/</w:t>
        </w:r>
      </w:hyperlink>
      <w:r w:rsidDel="00000000" w:rsidR="00000000" w:rsidRPr="00000000">
        <w:rPr>
          <w:rFonts w:ascii="Arial" w:cs="Arial" w:eastAsia="Arial" w:hAnsi="Arial"/>
          <w:sz w:val="24"/>
          <w:szCs w:val="24"/>
          <w:rtl w:val="0"/>
        </w:rPr>
        <w:t xml:space="preserve"> (accessed on 11/03/21)</w:t>
      </w:r>
    </w:p>
    <w:p w:rsidR="00000000" w:rsidDel="00000000" w:rsidP="00000000" w:rsidRDefault="00000000" w:rsidRPr="00000000" w14:paraId="00000032">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Runyan, T.J (1990), </w:t>
      </w:r>
      <w:r w:rsidDel="00000000" w:rsidR="00000000" w:rsidRPr="00000000">
        <w:rPr>
          <w:rFonts w:ascii="Arial" w:cs="Arial" w:eastAsia="Arial" w:hAnsi="Arial"/>
          <w:i w:val="1"/>
          <w:sz w:val="24"/>
          <w:szCs w:val="24"/>
          <w:rtl w:val="0"/>
        </w:rPr>
        <w:t xml:space="preserve">Shipwreck Legislation and the Preservation of Submerged Artifacts Case W</w:t>
      </w:r>
      <w:r w:rsidDel="00000000" w:rsidR="00000000" w:rsidRPr="00000000">
        <w:rPr>
          <w:rFonts w:ascii="Arial" w:cs="Arial" w:eastAsia="Arial" w:hAnsi="Arial"/>
          <w:sz w:val="24"/>
          <w:szCs w:val="24"/>
          <w:rtl w:val="0"/>
        </w:rPr>
        <w:t xml:space="preserve">. Res J 22, p31 </w:t>
      </w:r>
    </w:p>
    <w:p w:rsidR="00000000" w:rsidDel="00000000" w:rsidP="00000000" w:rsidRDefault="00000000" w:rsidRPr="00000000" w14:paraId="00000033">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Simon Tabbush, (2014), </w:t>
      </w:r>
      <w:r w:rsidDel="00000000" w:rsidR="00000000" w:rsidRPr="00000000">
        <w:rPr>
          <w:rFonts w:ascii="Arial" w:cs="Arial" w:eastAsia="Arial" w:hAnsi="Arial"/>
          <w:i w:val="1"/>
          <w:sz w:val="24"/>
          <w:szCs w:val="24"/>
          <w:rtl w:val="0"/>
        </w:rPr>
        <w:t xml:space="preserve">Reforming the Offences Against the Person Act 1861 </w:t>
      </w:r>
      <w:r w:rsidDel="00000000" w:rsidR="00000000" w:rsidRPr="00000000">
        <w:rPr>
          <w:rFonts w:ascii="Arial" w:cs="Arial" w:eastAsia="Arial" w:hAnsi="Arial"/>
          <w:sz w:val="24"/>
          <w:szCs w:val="24"/>
          <w:rtl w:val="0"/>
        </w:rPr>
        <w:t xml:space="preserve">[journal] available at: </w:t>
      </w:r>
      <w:hyperlink r:id="rId18">
        <w:r w:rsidDel="00000000" w:rsidR="00000000" w:rsidRPr="00000000">
          <w:rPr>
            <w:rFonts w:ascii="Arial" w:cs="Arial" w:eastAsia="Arial" w:hAnsi="Arial"/>
            <w:color w:val="1155cc"/>
            <w:sz w:val="24"/>
            <w:szCs w:val="24"/>
            <w:u w:val="single"/>
            <w:rtl w:val="0"/>
          </w:rPr>
          <w:t xml:space="preserve">https://heinonline.org/HOL/LandingPage?handle=hein.journals/cljw178&amp;div=43&amp;id=&amp;page=</w:t>
        </w:r>
      </w:hyperlink>
      <w:r w:rsidDel="00000000" w:rsidR="00000000" w:rsidRPr="00000000">
        <w:rPr>
          <w:rFonts w:ascii="Arial" w:cs="Arial" w:eastAsia="Arial" w:hAnsi="Arial"/>
          <w:sz w:val="24"/>
          <w:szCs w:val="24"/>
          <w:rtl w:val="0"/>
        </w:rPr>
        <w:t xml:space="preserve"> (accessed on 16/03/21)</w:t>
      </w:r>
    </w:p>
    <w:p w:rsidR="00000000" w:rsidDel="00000000" w:rsidP="00000000" w:rsidRDefault="00000000" w:rsidRPr="00000000" w14:paraId="00000034">
      <w:pPr>
        <w:spacing w:line="48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48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Case Law References </w:t>
      </w:r>
    </w:p>
    <w:p w:rsidR="00000000" w:rsidDel="00000000" w:rsidP="00000000" w:rsidRDefault="00000000" w:rsidRPr="00000000" w14:paraId="00000036">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Faulkner v Talbot (1981) CACD</w:t>
      </w:r>
    </w:p>
    <w:p w:rsidR="00000000" w:rsidDel="00000000" w:rsidP="00000000" w:rsidRDefault="00000000" w:rsidRPr="00000000" w14:paraId="00000037">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Melville Dow v Amec Group Ltd (2017) CSIH 75</w:t>
      </w:r>
    </w:p>
    <w:p w:rsidR="00000000" w:rsidDel="00000000" w:rsidP="00000000" w:rsidRDefault="00000000" w:rsidRPr="00000000" w14:paraId="00000038">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Cunningham (1957) 2 QB 369</w:t>
      </w:r>
    </w:p>
    <w:p w:rsidR="00000000" w:rsidDel="00000000" w:rsidP="00000000" w:rsidRDefault="00000000" w:rsidRPr="00000000" w14:paraId="00000039">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Dica (2004) EWCA Crim 1103 </w:t>
      </w:r>
    </w:p>
    <w:p w:rsidR="00000000" w:rsidDel="00000000" w:rsidP="00000000" w:rsidRDefault="00000000" w:rsidRPr="00000000" w14:paraId="0000003A">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DPP (2003) EWHC 693</w:t>
      </w:r>
    </w:p>
    <w:p w:rsidR="00000000" w:rsidDel="00000000" w:rsidP="00000000" w:rsidRDefault="00000000" w:rsidRPr="00000000" w14:paraId="0000003B">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Dudley and Stephens (1884) 14 QBD 273 DC</w:t>
      </w:r>
    </w:p>
    <w:p w:rsidR="00000000" w:rsidDel="00000000" w:rsidP="00000000" w:rsidRDefault="00000000" w:rsidRPr="00000000" w14:paraId="0000003C">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Ireland (1997) UKHL 34</w:t>
      </w:r>
    </w:p>
    <w:p w:rsidR="00000000" w:rsidDel="00000000" w:rsidP="00000000" w:rsidRDefault="00000000" w:rsidRPr="00000000" w14:paraId="0000003D">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Lynsey (1995) 3 All ER 6547</w:t>
      </w:r>
    </w:p>
    <w:p w:rsidR="00000000" w:rsidDel="00000000" w:rsidP="00000000" w:rsidRDefault="00000000" w:rsidRPr="00000000" w14:paraId="0000003E">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MIller (1982) UKHL</w:t>
      </w:r>
    </w:p>
    <w:p w:rsidR="00000000" w:rsidDel="00000000" w:rsidP="00000000" w:rsidRDefault="00000000" w:rsidRPr="00000000" w14:paraId="0000003F">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S.A.T (2016) BCPC 355</w:t>
      </w:r>
    </w:p>
    <w:p w:rsidR="00000000" w:rsidDel="00000000" w:rsidP="00000000" w:rsidRDefault="00000000" w:rsidRPr="00000000" w14:paraId="00000040">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Saunders (1573) 2 Plowd 473</w:t>
      </w:r>
    </w:p>
    <w:p w:rsidR="00000000" w:rsidDel="00000000" w:rsidP="00000000" w:rsidRDefault="00000000" w:rsidRPr="00000000" w14:paraId="00000041">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 v Savage (1991) 94 Cr App R 193</w:t>
      </w:r>
    </w:p>
    <w:p w:rsidR="00000000" w:rsidDel="00000000" w:rsidP="00000000" w:rsidRDefault="00000000" w:rsidRPr="00000000" w14:paraId="00000042">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Tuberville v Savage (1669) EWHC KB J25</w:t>
      </w:r>
    </w:p>
    <w:p w:rsidR="00000000" w:rsidDel="00000000" w:rsidP="00000000" w:rsidRDefault="00000000" w:rsidRPr="00000000" w14:paraId="00000043">
      <w:pPr>
        <w:spacing w:line="48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Young v Charles Church (Southern) Ltd: CA 24 1997</w:t>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hyperlink" Target="https://s3-eu-west-2.amazonaws.com/lawcom-prod-storage-11jsxou24uy7q/uploads/2015/11/lc361_offences_against_the_person_overview_new-1.pdf" TargetMode="External"/><Relationship Id="rId10" Type="http://schemas.openxmlformats.org/officeDocument/2006/relationships/hyperlink" Target="https://lawcom.gov.uk/app/uploads/2015/06/cp217_offences_against_the_person.pdf" TargetMode="External"/><Relationship Id="rId13" Type="http://schemas.openxmlformats.org/officeDocument/2006/relationships/hyperlink" Target="http://www.lawcom.gov.uk/app/uploads/2015/11/51950-LC-HC555_Web.pdf" TargetMode="External"/><Relationship Id="rId12" Type="http://schemas.openxmlformats.org/officeDocument/2006/relationships/hyperlink" Target="https://www.lawcom.gov.uk/project/offences-against-the-pers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ournals.sagepub.com/doi/full/10.1177/0022018316685478?casa_token=eMJmpeDzIzcAAAAA%3A3MlxAcGMQRoMjBxR7bN77RMxLMPojTdkeYsX182HqLIYyEq4KZlFCrCiJUSe3yyLUIuAeXui1xwe" TargetMode="External"/><Relationship Id="rId15" Type="http://schemas.openxmlformats.org/officeDocument/2006/relationships/hyperlink" Target="https://www.legislation.gov.uk/ukpga/Vict/24-25/100/crossheading/acts-causing-or-tending-to-cause-danger-to-life-or-bodily-harm-impeding-a-person-endeavouring-to-save-himself-from-shipwreck/enacted" TargetMode="External"/><Relationship Id="rId14" Type="http://schemas.openxmlformats.org/officeDocument/2006/relationships/hyperlink" Target="https://www.youtube.com/watch?v=diWKWOdY8IQ&amp;t=16s" TargetMode="External"/><Relationship Id="rId17" Type="http://schemas.openxmlformats.org/officeDocument/2006/relationships/hyperlink" Target="https://www.oxford-royale.com/articles/offences-against-the-person-act-1861-needs-reform/" TargetMode="External"/><Relationship Id="rId16" Type="http://schemas.openxmlformats.org/officeDocument/2006/relationships/hyperlink" Target="https://www.legislation.gov.uk/ukpga/Vict/24-25/100/section/47/enacted"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heinonline.org/HOL/LandingPage?handle=hein.journals/cljw178&amp;div=43&amp;id=&amp;page=" TargetMode="External"/><Relationship Id="rId7" Type="http://schemas.openxmlformats.org/officeDocument/2006/relationships/hyperlink" Target="https://books.google.co.uk/books?hl=en&amp;lr=&amp;id=cfd0DgAAQBAJ&amp;oi=fnd&amp;pg=PP1&amp;dq=Child,+J+(2017),+Smith,+Hogan+and+Ormerod%E2%80%99s+essentials+of+criminal+law+2nd+Ed+Oxford+University+Press:+Oxford+&amp;ots=sA9EjzhIdU&amp;sig=ySEGn4oFFQhQ33mQWPaEEToTSBU&amp;redir_esc=y#v=onepage&amp;q=Child%2C%20J%20(2017)%2C%20Smith%2C%20Hogan%20and%20Ormerod%E2%80%99s%20essentials%20of%20criminal%20law%202nd%20Ed%20Oxford%20University%20Press%3A%20Oxford&amp;f=false" TargetMode="External"/><Relationship Id="rId8" Type="http://schemas.openxmlformats.org/officeDocument/2006/relationships/hyperlink" Target="http://sro.sussex.ac.uk/id/eprint/61946/4/Not%20Giving%20up%20the%20Fight%20-%20A%20Review%20of%20the%20Law%20Commission%E2%80%99s%20Scoping%20Report%20on%20the%20Non-Fatal%20Offences%20Against%20the%20Person-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