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980538F" w:rsidR="7908378C" w:rsidRDefault="7908378C" w:rsidP="33572C6E">
            <w:pPr>
              <w:ind w:right="237"/>
              <w:rPr>
                <w:b/>
                <w:bCs/>
                <w:color w:val="auto"/>
                <w:sz w:val="32"/>
                <w:szCs w:val="32"/>
              </w:rPr>
            </w:pPr>
            <w:r w:rsidRPr="33572C6E">
              <w:rPr>
                <w:b/>
                <w:bCs/>
                <w:color w:val="auto"/>
                <w:sz w:val="32"/>
                <w:szCs w:val="32"/>
              </w:rPr>
              <w:t xml:space="preserve">Learner name: </w:t>
            </w:r>
            <w:r w:rsidR="00062556">
              <w:rPr>
                <w:b/>
                <w:bCs/>
                <w:color w:val="auto"/>
                <w:sz w:val="32"/>
                <w:szCs w:val="32"/>
              </w:rPr>
              <w:t xml:space="preserve"> Sally George</w:t>
            </w:r>
          </w:p>
          <w:p w14:paraId="3A3A802D" w14:textId="77777777" w:rsidR="33572C6E" w:rsidRDefault="33572C6E" w:rsidP="33572C6E">
            <w:pPr>
              <w:ind w:right="237"/>
              <w:rPr>
                <w:b/>
                <w:bCs/>
                <w:color w:val="auto"/>
                <w:sz w:val="32"/>
                <w:szCs w:val="32"/>
              </w:rPr>
            </w:pPr>
          </w:p>
          <w:p w14:paraId="7883A53E" w14:textId="15D80CF2" w:rsidR="7908378C" w:rsidRDefault="7908378C" w:rsidP="33572C6E">
            <w:pPr>
              <w:ind w:right="237"/>
              <w:rPr>
                <w:b/>
                <w:bCs/>
                <w:color w:val="auto"/>
                <w:sz w:val="32"/>
                <w:szCs w:val="32"/>
              </w:rPr>
            </w:pPr>
            <w:r w:rsidRPr="33572C6E">
              <w:rPr>
                <w:b/>
                <w:bCs/>
                <w:color w:val="auto"/>
                <w:sz w:val="32"/>
                <w:szCs w:val="32"/>
              </w:rPr>
              <w:t>Learner’s University Registration Number:</w:t>
            </w:r>
            <w:r w:rsidR="00062556">
              <w:rPr>
                <w:b/>
                <w:bCs/>
                <w:color w:val="auto"/>
                <w:sz w:val="32"/>
                <w:szCs w:val="32"/>
              </w:rPr>
              <w:t xml:space="preserve">  2131899</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D047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556B64F0" w14:textId="77777777" w:rsidR="00025650" w:rsidRPr="00E676F7" w:rsidRDefault="00025650" w:rsidP="00340E9A">
      <w:pPr>
        <w:ind w:right="237"/>
        <w:jc w:val="both"/>
        <w:rPr>
          <w:sz w:val="24"/>
          <w:szCs w:val="24"/>
        </w:rPr>
      </w:pPr>
    </w:p>
    <w:p w14:paraId="1FB28BD0" w14:textId="77777777" w:rsidR="003F57E6" w:rsidRDefault="003F57E6" w:rsidP="5CE196A1">
      <w:pPr>
        <w:ind w:right="237"/>
        <w:jc w:val="both"/>
        <w:rPr>
          <w:b/>
          <w:bCs/>
          <w:sz w:val="24"/>
          <w:szCs w:val="24"/>
        </w:rPr>
      </w:pPr>
    </w:p>
    <w:p w14:paraId="55885AA0" w14:textId="7EFA72F8" w:rsidR="008B28E7" w:rsidRPr="003F57E6" w:rsidRDefault="008B28E7" w:rsidP="003F57E6">
      <w:pPr>
        <w:ind w:right="237"/>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25165616" w14:textId="77777777" w:rsidR="006E5AAD" w:rsidRDefault="006E5AAD" w:rsidP="006E5AAD">
      <w:pPr>
        <w:ind w:right="237"/>
        <w:rPr>
          <w:rFonts w:eastAsia="Arial"/>
          <w:color w:val="000000" w:themeColor="text1"/>
          <w:sz w:val="24"/>
          <w:szCs w:val="24"/>
        </w:rPr>
      </w:pPr>
    </w:p>
    <w:p w14:paraId="6E4F2595"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This essay is going to discuss a public order incident during which I played a significant role in arresting the suspect, providing support to the victim and attending court to give evidence on their behalf.  Whilst there were no issues in relation to culture, ethnicity or language barriers the victim and witness involved in the incident were two females in a lesbian relationship, however homophobia did not appear to be a relevant factor during the incident, and it was therefore not treated as a hate crime.  The essay will discuss social and legislative contexts around knife crime and anti-social behaviour and evaluate different approaches in providing support to people at risk of harm and what can be done to tackle repeat victimisation and offending.</w:t>
      </w:r>
    </w:p>
    <w:p w14:paraId="6D61BA8A"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593E323F"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 xml:space="preserve">The incident in question involved a female who had been threatened with a knife by another female in the street outside her own home.  The victim had been standing on her doorstep with her partner waiting for an ambulance for her niece when the suspect arrived in a taxi to attend at the property next door.  The victim had a long standing history of anti-social behaviour involving the residents of the neighbouring property and the persons who frequently visited at all hours of the day and night.  On this occasion the suspect was drunk and banging on the neighbouring property’s door and when asked to keep the noise down due to the time of night has allegedly brandished a knife and threatened to stab the victim.  The female carrying the knife was arrested inside the neighbouring property and upon being searched was not found to be in possession of a knife so was subsequently arrested for a public order offence and found guilty at court in her absence after failing to attend her trial.  </w:t>
      </w:r>
    </w:p>
    <w:p w14:paraId="421A8D4D"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0FABAAD4"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The UK has seen a rise in crimes involving knives in recent years with knife crime in England and Wales increasing by 75% between 2013 and 2023 (The Ben Kinsella Trust, 2023).  Legislatively there are a number of offences that can be committed involving a knife, from simple possession in a public place,  using a knife to harm someone or make threats to selling a knife to someone under the age of 18.</w:t>
      </w:r>
    </w:p>
    <w:p w14:paraId="47C5310D"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72F795BD"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 xml:space="preserve">Knife crime offences in Wales have remained lower than in other parts of the UK with the Dyfed Powys force area having the lowest rate of knife crime per 100,000 of the population (Allen and Burton, 2023).  However, in the year ending March 2022 knives were responsible for 282 homicides in the UK, the highest number since records began in 1946 (Office for National Statistics, 2023a).  Research has shown that the majority of both the victims and perpetrators of offences involving knives are young people aged between 10 and 25 years old and are males predominantly from BAME communities (Vinnakota </w:t>
      </w:r>
      <w:r w:rsidRPr="006E5AAD">
        <w:rPr>
          <w:rFonts w:asciiTheme="minorHAnsi" w:eastAsiaTheme="minorHAnsi" w:hAnsiTheme="minorHAnsi" w:cstheme="minorBidi"/>
          <w:i/>
          <w:iCs/>
          <w:color w:val="auto"/>
          <w:kern w:val="2"/>
          <w:sz w:val="24"/>
          <w:szCs w:val="24"/>
          <w:lang w:eastAsia="en-US"/>
          <w14:ligatures w14:val="standardContextual"/>
        </w:rPr>
        <w:t>et al</w:t>
      </w:r>
      <w:r w:rsidRPr="006E5AAD">
        <w:rPr>
          <w:rFonts w:asciiTheme="minorHAnsi" w:eastAsiaTheme="minorHAnsi" w:hAnsiTheme="minorHAnsi" w:cstheme="minorBidi"/>
          <w:color w:val="auto"/>
          <w:kern w:val="2"/>
          <w:sz w:val="24"/>
          <w:szCs w:val="24"/>
          <w:lang w:eastAsia="en-US"/>
          <w14:ligatures w14:val="standardContextual"/>
        </w:rPr>
        <w:t>., 2022).  In relation to ethnicity, it is likely that these statistics derive from the significantly higher BAME community residing in London where in 2022 research found that black Londoners were responsible for 61% of murders involving a knife and 53% of knife crime offences (London Assembly, 2022).</w:t>
      </w:r>
    </w:p>
    <w:p w14:paraId="1F386195"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51045696"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 xml:space="preserve">When looking at the gender of those committing offences with knives, research has found that males are more likely to use knives, become involved in gangs and involve themselves in violent offending in a community setting, whereas females are more likely to use a knife in a domestic setting (Brown </w:t>
      </w:r>
      <w:r w:rsidRPr="006E5AAD">
        <w:rPr>
          <w:rFonts w:asciiTheme="minorHAnsi" w:eastAsiaTheme="minorHAnsi" w:hAnsiTheme="minorHAnsi" w:cstheme="minorBidi"/>
          <w:i/>
          <w:iCs/>
          <w:color w:val="auto"/>
          <w:kern w:val="2"/>
          <w:sz w:val="24"/>
          <w:szCs w:val="24"/>
          <w:lang w:eastAsia="en-US"/>
          <w14:ligatures w14:val="standardContextual"/>
        </w:rPr>
        <w:t>et al.,</w:t>
      </w:r>
      <w:r w:rsidRPr="006E5AAD">
        <w:rPr>
          <w:rFonts w:asciiTheme="minorHAnsi" w:eastAsiaTheme="minorHAnsi" w:hAnsiTheme="minorHAnsi" w:cstheme="minorBidi"/>
          <w:color w:val="auto"/>
          <w:kern w:val="2"/>
          <w:sz w:val="24"/>
          <w:szCs w:val="24"/>
          <w:lang w:eastAsia="en-US"/>
          <w14:ligatures w14:val="standardContextual"/>
        </w:rPr>
        <w:t xml:space="preserve"> 2022).  This incident therefore, whilst falling outside of the statistical norm, formed part of broader picture from the perspective of the victim.</w:t>
      </w:r>
    </w:p>
    <w:p w14:paraId="2E7AA0F2"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317D1F55"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As previously adhered to, there had been significant issues between the victim and the tenant of the neighbouring property for some time.  This had led to many complaints to both the police and the local council in relation to noise complaints and anti-social behaviour (ASB) and I personally had attended previous calls in relation to persons attending at this property who were involved in drinking, drug taking and general nuisance behaviour.  The victim was a female who lived alone and had expressed her feelings of vulnerability in relation to the persons residing and attending at this property and the affect that their behaviour was having on her day to day life and the fear of repercussions when she made complaints.</w:t>
      </w:r>
    </w:p>
    <w:p w14:paraId="2827DB4B"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1C1496CD"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 xml:space="preserve">ASB is defined as “Conduct that has caused or is likely to cause harassment, alarm or distress to any person” (Anti-social Behaviour, Crime and Policing Act 2014) and covers a wide range of behaviours from shouting and swearing in the street to criminal damage or playing loud music.  Incidents of ASB can be difficult to quantify due to issues such as excessive noise or littering which may be reported to local authorities as opposed to the police and are often deemed a low level concern.  Nevertheless, in the year ending March 2023 police forces in </w:t>
      </w:r>
      <w:r w:rsidRPr="006E5AAD">
        <w:rPr>
          <w:rFonts w:asciiTheme="minorHAnsi" w:eastAsiaTheme="minorHAnsi" w:hAnsiTheme="minorHAnsi" w:cstheme="minorBidi"/>
          <w:color w:val="auto"/>
          <w:kern w:val="2"/>
          <w:sz w:val="24"/>
          <w:szCs w:val="24"/>
          <w:lang w:eastAsia="en-US"/>
          <w14:ligatures w14:val="standardContextual"/>
        </w:rPr>
        <w:lastRenderedPageBreak/>
        <w:t>England and Wales still received one million reports of incidents involving ASB (Office for National Statistics, 2023b).  Undisputedly the impact of ASB on victims, specifically repeat victims, should not be disregarded.  Research has found that repeat victims of long term ASB cannot only have a significantly impacted quality of life but also suffer from negative impacts on their physical and mental health, suffering from fear, stress, anxiety, depression and lack of sleep (Heap, 2020).  Additionally, research has been conducted into how ASB is perceived and who is more likely to experience it.  Studies found that in areas where there is a higher level of deprivation and socio-economic issues there is likely to be a higher level of ASB being carried out on a community level as opposed to individual incidents and interestingly, whilst it can be perceived that the elderly may be more likely to suffer the consequences of this behaviour, 18-34 year olds were actually found to experience a more negative impact in comparison to other age groups (Home Office, 2023a).</w:t>
      </w:r>
    </w:p>
    <w:p w14:paraId="5CEA060C"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18F6D074"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When looking at the perpetrators of ASB this appears to be very much dependent on the behaviour in question.  One study found that males would be more likely to perpetrate incidents involving racial or religious abuse or rude behaviour, whereas there was a far less pronounced gender distinction in incidents such as graffiti and criminal damage or neighbour complaints.  Additionally, individuals who suffer from a mental illness or alcohol and substance misuse may also be deemed anti-social if they are seen frequenting areas where ASB has previously been experienced (Begum, Johnson and Ekblom, 2009).  The perpetrator in this incident was a female in her 50’s who has suffered for a number of years with alcohol addiction and has an extensive antecedent history involving offences of drunk and disorderly and public order offences.  It should therefore also be considered what can be done to look at the wider picture in an attempt to tackle repeat offending and in turn repeat victimisation.</w:t>
      </w:r>
    </w:p>
    <w:p w14:paraId="4FA7C0AA"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4DE88E75" w14:textId="76F87E53"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 xml:space="preserve">The government’s Anti-Social Behaviour Action Plan, updated in May 2023, vowed to treat ASB as the urgent problem that it is by promising a zero-tolerance approach by drug testing perpetrators, issuing on the spot fines, having perpetrators undertake reparative work to repair damage caused and bringing in stronger laws for landlords to deal with permanently disruptive tenants (Home Office, 2023b).  However, the Victim’s Commissioner in their 2019 report, Anti-Social Behaviour: Living a Nightmare, found that previous legislation introduced by the Home Office in 2012 in the form of ASB Case Reviews, or Community Triggers as they are more commonly referred to, were largely inaccessible to victims, had been poorly advertised or ignored and found to be generally ineffective (Victims Commissioner, 2019).  Community Triggers can be activated by victims through the police or their local authorities once the threshold of three or more incidents in a period of six months has been met.  If utilised properly Community Triggers can tackle repeat behaviours at an early stage, forcing action to be taken by identifying perpetrators whose behaviour could be addressed by early intervention and providing support to repeat victims.  However, research has found that there is a lack of ownership not only in respect of Community Triggers but, from the perspective of victims, any aspect of anti-social behaviour, leaving vulnerable victims with nowhere to turn and remaining persistently targeted (Herrera, 2019).  </w:t>
      </w:r>
    </w:p>
    <w:p w14:paraId="6DAE0108"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lastRenderedPageBreak/>
        <w:t xml:space="preserve">Whilst Community Triggers can manage ASB in a specific area sometimes countering this behaviour is more effective on an individual level.  There are a number of remedies which can be used to target persistent offenders such as civil injunctions, dispersal notices (used to exclude individuals from specific locations for a set amount of time), criminal behaviour orders and community protection notices (Wood </w:t>
      </w:r>
      <w:r w:rsidRPr="006E5AAD">
        <w:rPr>
          <w:rFonts w:asciiTheme="minorHAnsi" w:eastAsiaTheme="minorHAnsi" w:hAnsiTheme="minorHAnsi" w:cstheme="minorBidi"/>
          <w:i/>
          <w:iCs/>
          <w:color w:val="auto"/>
          <w:kern w:val="2"/>
          <w:sz w:val="24"/>
          <w:szCs w:val="24"/>
          <w:lang w:eastAsia="en-US"/>
          <w14:ligatures w14:val="standardContextual"/>
        </w:rPr>
        <w:t>et al.,</w:t>
      </w:r>
      <w:r w:rsidRPr="006E5AAD">
        <w:rPr>
          <w:rFonts w:asciiTheme="minorHAnsi" w:eastAsiaTheme="minorHAnsi" w:hAnsiTheme="minorHAnsi" w:cstheme="minorBidi"/>
          <w:color w:val="auto"/>
          <w:kern w:val="2"/>
          <w:sz w:val="24"/>
          <w:szCs w:val="24"/>
          <w:lang w:eastAsia="en-US"/>
          <w14:ligatures w14:val="standardContextual"/>
        </w:rPr>
        <w:t xml:space="preserve"> 2022).  However, it should be acknowledged that not all ASB constitutes a crime and whilst the responsibility is shared with other partner agencies such as local authorities and social housing, perhaps educating young people as to the effects of ASB on individuals and communities through schools and colleges would assist in addressing the issue through early intervention.</w:t>
      </w:r>
    </w:p>
    <w:p w14:paraId="476A8AA4"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5D557D6F"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Whilst the importance of tackling offenders must be acknowledged, ensuring appropriate support is provided to vulnerable victims and those at risk of becoming victims is paramount.  As defined by the College of Policing “a person is vulnerable if, as a result of their situation or circumstances, they are unable to take care of or protect themselves or others from harm or exploitation” and the THRIVE approach is applied to identify, understand and assess levels of vulnerability, harm and risk in order to take appropriate action (College of Policing, 2023b).  However as alluded to above, not all ASB is classed as a crime and therefore this can make identifying both victims and risk more challenging.</w:t>
      </w:r>
    </w:p>
    <w:p w14:paraId="33B9EC95"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7EB5E11F"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The South Wales Police &amp; Crime Plan 2021 – 2025 has pledged to reduce and prevent ASB by increasing the number of Police Community Support Officers to build relationships with and empower local communities, work with schools, local authorities and social housing providers and to work with and promote local Neighbourhood Watch schemes and Community Safety Partnerships (Police and Crime Commissioner, 2021a).  In research conducted by Resolve into community safety from a victim focused approach, 43% of victims stated that they would be more likely to report anti-social behaviour if there was a more visible police presence in the area, however 51% stated that they would not report it at all as they did not think anything would be done about it (Resolve, 2022) evidencing the requirement for these positive community relationships.</w:t>
      </w:r>
    </w:p>
    <w:p w14:paraId="228A7007"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33F8897F"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Whilst the Victims Code of Practice and the Police and Crime Commissioner, Supporting Victims &amp; Witnesses strategy 2021 – 2026 sets out the fundamental responsibility that police officers have to victims of crime and documents that effective services include raising awareness of available support, consistent and accurate communication, signposting and access to support services and support through the criminal justice system (Police and Crime Commissioner, 2021b).  However, from it is clear from the above statistics that victims of ASB do not feel that they are receiving this support.</w:t>
      </w:r>
    </w:p>
    <w:p w14:paraId="60BF9584"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 xml:space="preserve">Drawing this essay to a conclusion, it is clear that whilst ASB is not always a criminal act and can sometimes be perceived as ‘not as serious’ as other crimes, it can have a significant detrimental impact not only on victims as individuals but entire communities.  From reviewing </w:t>
      </w:r>
      <w:r w:rsidRPr="006E5AAD">
        <w:rPr>
          <w:rFonts w:asciiTheme="minorHAnsi" w:eastAsiaTheme="minorHAnsi" w:hAnsiTheme="minorHAnsi" w:cstheme="minorBidi"/>
          <w:color w:val="auto"/>
          <w:kern w:val="2"/>
          <w:sz w:val="24"/>
          <w:szCs w:val="24"/>
          <w:lang w:eastAsia="en-US"/>
          <w14:ligatures w14:val="standardContextual"/>
        </w:rPr>
        <w:lastRenderedPageBreak/>
        <w:t>the existing research that has been conducted and existing legislation and policies, ASB is an issue which needs a multi-agency approach when it comes to tackling repeat victimisation and offending.  The offender in this incident, whilst not being your ‘typical’ perpetrator of either knife crime or anti-social behaviour, was a persistent offender with many of her crimes being as a direct result of her alcoholism and being under the influence of alcohol at the time of offending.  This evidences that working with vulnerable offenders is just as important as working with victims if repeat offending and victimisation is to be prevented.</w:t>
      </w:r>
    </w:p>
    <w:p w14:paraId="30D7D4A0"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6304D8A3"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Whilst education in relation to the carrying of knives and acting in an anti-social manner can be delivered to young people in an attempt to prevent such incidents, those perpetrators who fall outside of this age range and who are already suffering from a range of vulnerabilities such as alcohol and substance abuse also need sign posting to support services to address offending behaviour.</w:t>
      </w:r>
    </w:p>
    <w:p w14:paraId="4BF7CF3D" w14:textId="77777777" w:rsidR="006E5AAD" w:rsidRPr="006E5AAD" w:rsidRDefault="006E5AAD" w:rsidP="006E5AAD">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11449AB8" w14:textId="2C292540" w:rsidR="006E5AAD" w:rsidRPr="00206508" w:rsidRDefault="006E5AAD" w:rsidP="00206508">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6E5AAD">
        <w:rPr>
          <w:rFonts w:asciiTheme="minorHAnsi" w:eastAsiaTheme="minorHAnsi" w:hAnsiTheme="minorHAnsi" w:cstheme="minorBidi"/>
          <w:color w:val="auto"/>
          <w:kern w:val="2"/>
          <w:sz w:val="24"/>
          <w:szCs w:val="24"/>
          <w:lang w:eastAsia="en-US"/>
          <w14:ligatures w14:val="standardContextual"/>
        </w:rPr>
        <w:t>What is also evident from existing research is that victims do not appear to be aware of the options available to them if they are repeat victims of ASB.   Whilst the police have many risk assessment tools available to them to assist in identifying vulnerability and repeat victims, it would appear that these are not being utilised for victims of anti-social behaviour.  Whether through a lack of knowledge, understanding or communication Community Triggers are not being requested with only 12 applications for review being received in 2022 in South Wales (ASB Review Wales, 2023).  However, tackling ASB, repeat offenders and providing support to victims is not just the job of the police but of its partner agencies and in order to address all of these issues it appears that of paramount importance is improved communication and co-ordination amongst those practitioners best suited to shaping the responses and policies needed to do this successfully.</w:t>
      </w:r>
    </w:p>
    <w:p w14:paraId="467EF3FC" w14:textId="77777777" w:rsidR="00206508" w:rsidRPr="00206508" w:rsidRDefault="00206508" w:rsidP="00206508">
      <w:pPr>
        <w:ind w:right="237"/>
        <w:rPr>
          <w:rFonts w:asciiTheme="minorHAnsi" w:eastAsiaTheme="minorHAnsi" w:hAnsiTheme="minorHAnsi" w:cstheme="minorBidi"/>
          <w:color w:val="auto"/>
          <w:kern w:val="2"/>
          <w:sz w:val="24"/>
          <w:szCs w:val="24"/>
          <w:lang w:eastAsia="en-US"/>
          <w14:ligatures w14:val="standardContextual"/>
        </w:rPr>
      </w:pPr>
    </w:p>
    <w:p w14:paraId="623660BC" w14:textId="14406A7F" w:rsidR="00206508" w:rsidRPr="00206508" w:rsidRDefault="00206508" w:rsidP="00206508">
      <w:pPr>
        <w:ind w:right="237"/>
        <w:rPr>
          <w:rFonts w:asciiTheme="minorHAnsi" w:eastAsiaTheme="minorHAnsi" w:hAnsiTheme="minorHAnsi" w:cstheme="minorBidi"/>
          <w:b/>
          <w:bCs/>
          <w:color w:val="auto"/>
          <w:kern w:val="2"/>
          <w:sz w:val="24"/>
          <w:szCs w:val="24"/>
          <w:lang w:eastAsia="en-US"/>
          <w14:ligatures w14:val="standardContextual"/>
        </w:rPr>
      </w:pPr>
      <w:r w:rsidRPr="00206508">
        <w:rPr>
          <w:rFonts w:asciiTheme="minorHAnsi" w:eastAsiaTheme="minorHAnsi" w:hAnsiTheme="minorHAnsi" w:cstheme="minorBidi"/>
          <w:b/>
          <w:bCs/>
          <w:color w:val="auto"/>
          <w:kern w:val="2"/>
          <w:sz w:val="24"/>
          <w:szCs w:val="24"/>
          <w:lang w:eastAsia="en-US"/>
          <w14:ligatures w14:val="standardContextual"/>
        </w:rPr>
        <w:t>WORD COUNT – 2,189</w:t>
      </w:r>
    </w:p>
    <w:p w14:paraId="37C0D082" w14:textId="77777777" w:rsidR="00206508" w:rsidRDefault="00206508" w:rsidP="00206508">
      <w:pPr>
        <w:ind w:right="237"/>
        <w:rPr>
          <w:rFonts w:asciiTheme="minorHAnsi" w:eastAsiaTheme="minorHAnsi" w:hAnsiTheme="minorHAnsi" w:cstheme="minorBidi"/>
          <w:color w:val="auto"/>
          <w:kern w:val="2"/>
          <w:sz w:val="22"/>
          <w:szCs w:val="22"/>
          <w:lang w:eastAsia="en-US"/>
          <w14:ligatures w14:val="standardContextual"/>
        </w:rPr>
      </w:pPr>
    </w:p>
    <w:p w14:paraId="10A7C2A3" w14:textId="77777777" w:rsidR="00206508" w:rsidRDefault="00206508" w:rsidP="00206508">
      <w:pPr>
        <w:ind w:right="237"/>
        <w:rPr>
          <w:rFonts w:asciiTheme="minorHAnsi" w:eastAsiaTheme="minorHAnsi" w:hAnsiTheme="minorHAnsi" w:cstheme="minorBidi"/>
          <w:color w:val="auto"/>
          <w:kern w:val="2"/>
          <w:sz w:val="22"/>
          <w:szCs w:val="22"/>
          <w:lang w:eastAsia="en-US"/>
          <w14:ligatures w14:val="standardContextual"/>
        </w:rPr>
      </w:pPr>
    </w:p>
    <w:p w14:paraId="28C7EDC8" w14:textId="77777777" w:rsidR="00206508" w:rsidRDefault="00206508" w:rsidP="00206508">
      <w:pPr>
        <w:ind w:right="237"/>
        <w:rPr>
          <w:b/>
          <w:bCs/>
          <w:sz w:val="24"/>
          <w:szCs w:val="24"/>
        </w:rPr>
      </w:pPr>
    </w:p>
    <w:p w14:paraId="180B0A66" w14:textId="77777777" w:rsidR="003F57E6" w:rsidRDefault="003F57E6" w:rsidP="00206508">
      <w:pPr>
        <w:ind w:right="237"/>
        <w:rPr>
          <w:b/>
          <w:bCs/>
          <w:sz w:val="24"/>
          <w:szCs w:val="24"/>
        </w:rPr>
      </w:pPr>
    </w:p>
    <w:p w14:paraId="1C780E46" w14:textId="77777777" w:rsidR="003F57E6" w:rsidRDefault="003F57E6" w:rsidP="00206508">
      <w:pPr>
        <w:ind w:right="237"/>
        <w:rPr>
          <w:b/>
          <w:bCs/>
          <w:sz w:val="24"/>
          <w:szCs w:val="24"/>
        </w:rPr>
      </w:pPr>
    </w:p>
    <w:p w14:paraId="54D3273E" w14:textId="77777777" w:rsidR="003F57E6" w:rsidRDefault="003F57E6" w:rsidP="00206508">
      <w:pPr>
        <w:ind w:right="237"/>
        <w:rPr>
          <w:b/>
          <w:bCs/>
          <w:sz w:val="24"/>
          <w:szCs w:val="24"/>
        </w:rPr>
      </w:pPr>
    </w:p>
    <w:p w14:paraId="52E16B25" w14:textId="77777777" w:rsidR="003F57E6" w:rsidRDefault="003F57E6" w:rsidP="00206508">
      <w:pPr>
        <w:ind w:right="237"/>
        <w:rPr>
          <w:b/>
          <w:bCs/>
          <w:sz w:val="24"/>
          <w:szCs w:val="24"/>
        </w:rPr>
      </w:pPr>
    </w:p>
    <w:p w14:paraId="0135FF05" w14:textId="77777777" w:rsidR="003F57E6" w:rsidRDefault="003F57E6" w:rsidP="00206508">
      <w:pPr>
        <w:ind w:right="237"/>
        <w:rPr>
          <w:b/>
          <w:bCs/>
          <w:sz w:val="24"/>
          <w:szCs w:val="24"/>
        </w:rPr>
      </w:pPr>
    </w:p>
    <w:p w14:paraId="7FD78B5D" w14:textId="77777777" w:rsidR="003F57E6" w:rsidRDefault="003F57E6" w:rsidP="00206508">
      <w:pPr>
        <w:ind w:right="237"/>
        <w:rPr>
          <w:b/>
          <w:bCs/>
          <w:sz w:val="24"/>
          <w:szCs w:val="24"/>
        </w:rPr>
      </w:pPr>
    </w:p>
    <w:p w14:paraId="2A4F41C3" w14:textId="77777777" w:rsidR="003F57E6" w:rsidRDefault="003F57E6" w:rsidP="00206508">
      <w:pPr>
        <w:ind w:right="237"/>
        <w:rPr>
          <w:b/>
          <w:bCs/>
          <w:sz w:val="24"/>
          <w:szCs w:val="24"/>
        </w:rPr>
      </w:pPr>
    </w:p>
    <w:p w14:paraId="6E618546" w14:textId="77777777" w:rsidR="003F57E6" w:rsidRDefault="003F57E6" w:rsidP="00206508">
      <w:pPr>
        <w:ind w:right="237"/>
        <w:rPr>
          <w:b/>
          <w:bCs/>
          <w:sz w:val="24"/>
          <w:szCs w:val="24"/>
        </w:rPr>
      </w:pPr>
    </w:p>
    <w:p w14:paraId="523AA2FA" w14:textId="77777777" w:rsidR="003F57E6" w:rsidRDefault="003F57E6" w:rsidP="00206508">
      <w:pPr>
        <w:ind w:right="237"/>
        <w:rPr>
          <w:b/>
          <w:bCs/>
          <w:sz w:val="24"/>
          <w:szCs w:val="24"/>
        </w:rPr>
      </w:pPr>
    </w:p>
    <w:p w14:paraId="2D2F78B6" w14:textId="77777777" w:rsidR="003F57E6" w:rsidRDefault="003F57E6" w:rsidP="00206508">
      <w:pPr>
        <w:ind w:right="237"/>
        <w:rPr>
          <w:b/>
          <w:bCs/>
          <w:sz w:val="24"/>
          <w:szCs w:val="24"/>
        </w:rPr>
      </w:pPr>
    </w:p>
    <w:p w14:paraId="7B9ADF68" w14:textId="77777777" w:rsidR="003F57E6" w:rsidRDefault="003F57E6" w:rsidP="00206508">
      <w:pPr>
        <w:ind w:right="237"/>
        <w:rPr>
          <w:b/>
          <w:bCs/>
          <w:sz w:val="24"/>
          <w:szCs w:val="24"/>
        </w:rPr>
      </w:pPr>
    </w:p>
    <w:p w14:paraId="73BB9239" w14:textId="77777777" w:rsidR="003F57E6" w:rsidRDefault="003F57E6" w:rsidP="00206508">
      <w:pPr>
        <w:ind w:right="237"/>
        <w:rPr>
          <w:b/>
          <w:bCs/>
          <w:sz w:val="24"/>
          <w:szCs w:val="24"/>
        </w:rPr>
      </w:pPr>
    </w:p>
    <w:p w14:paraId="55722F8A" w14:textId="77777777" w:rsidR="003F57E6" w:rsidRDefault="003F57E6" w:rsidP="00206508">
      <w:pPr>
        <w:ind w:right="237"/>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59DE1689" w14:textId="0B8B3109" w:rsidR="00025650" w:rsidRDefault="005C76DE" w:rsidP="0FF883D4">
      <w:pPr>
        <w:ind w:right="237"/>
        <w:jc w:val="both"/>
        <w:rPr>
          <w:b/>
          <w:bCs/>
          <w:sz w:val="24"/>
          <w:szCs w:val="24"/>
        </w:rPr>
      </w:pPr>
      <w:r w:rsidRPr="5CE196A1">
        <w:rPr>
          <w:b/>
          <w:bCs/>
          <w:sz w:val="24"/>
          <w:szCs w:val="24"/>
        </w:rPr>
        <w:t>ANSWER:</w:t>
      </w:r>
    </w:p>
    <w:p w14:paraId="3BB15C74" w14:textId="77777777" w:rsidR="005D4B52" w:rsidRDefault="005D4B52" w:rsidP="0FF883D4">
      <w:pPr>
        <w:ind w:right="237"/>
        <w:jc w:val="both"/>
        <w:rPr>
          <w:b/>
          <w:bCs/>
          <w:sz w:val="24"/>
          <w:szCs w:val="24"/>
        </w:rPr>
      </w:pPr>
    </w:p>
    <w:p w14:paraId="6A314726" w14:textId="77777777" w:rsidR="006E5AAD" w:rsidRPr="006E5AAD" w:rsidRDefault="006E5AAD" w:rsidP="0FF883D4">
      <w:pPr>
        <w:ind w:right="237"/>
        <w:jc w:val="both"/>
        <w:rPr>
          <w:b/>
          <w:bCs/>
          <w:sz w:val="24"/>
          <w:szCs w:val="24"/>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Default="00025650" w:rsidP="5CE196A1">
      <w:pPr>
        <w:ind w:right="237"/>
        <w:jc w:val="center"/>
        <w:rPr>
          <w:rFonts w:eastAsia="Arial"/>
          <w:color w:val="000000" w:themeColor="text1"/>
          <w:sz w:val="24"/>
          <w:szCs w:val="24"/>
        </w:rPr>
      </w:pPr>
    </w:p>
    <w:p w14:paraId="561F33B2" w14:textId="4244A05E" w:rsidR="00025650" w:rsidRDefault="00025650" w:rsidP="005D4B52">
      <w:pPr>
        <w:ind w:right="237"/>
        <w:rPr>
          <w:rFonts w:eastAsia="Arial"/>
          <w:color w:val="000000" w:themeColor="text1"/>
          <w:sz w:val="24"/>
          <w:szCs w:val="24"/>
        </w:rPr>
      </w:pPr>
    </w:p>
    <w:p w14:paraId="64F3E27D" w14:textId="77777777" w:rsidR="005D4B52" w:rsidRDefault="005D4B52" w:rsidP="005D4B52">
      <w:pPr>
        <w:ind w:right="237"/>
        <w:rPr>
          <w:rFonts w:eastAsia="Arial"/>
          <w:color w:val="000000" w:themeColor="text1"/>
          <w:sz w:val="24"/>
          <w:szCs w:val="24"/>
        </w:rPr>
      </w:pPr>
    </w:p>
    <w:p w14:paraId="17CCDBDA" w14:textId="77777777" w:rsidR="005D4B52" w:rsidRPr="00E676F7" w:rsidRDefault="005D4B52" w:rsidP="005D4B52">
      <w:pPr>
        <w:ind w:right="237"/>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1896B4E6" w:rsidR="740317DF" w:rsidRDefault="003F57E6" w:rsidP="5CE196A1">
            <w:pPr>
              <w:ind w:right="237"/>
              <w:jc w:val="both"/>
              <w:rPr>
                <w:i/>
                <w:iCs/>
                <w:sz w:val="24"/>
                <w:szCs w:val="24"/>
              </w:rPr>
            </w:pPr>
            <w:r>
              <w:rPr>
                <w:sz w:val="24"/>
                <w:szCs w:val="24"/>
              </w:rPr>
              <w:t>G</w:t>
            </w:r>
            <w:r w:rsidR="6E24A492" w:rsidRPr="5CE196A1">
              <w:rPr>
                <w:sz w:val="24"/>
                <w:szCs w:val="24"/>
              </w:rPr>
              <w:t>2</w:t>
            </w:r>
            <w:r w:rsidR="717C278A" w:rsidRPr="5CE196A1">
              <w:rPr>
                <w:sz w:val="24"/>
                <w:szCs w:val="24"/>
              </w:rPr>
              <w:t>000</w:t>
            </w:r>
            <w:r w:rsidR="6E24A492" w:rsidRPr="5CE196A1">
              <w:rPr>
                <w:sz w:val="24"/>
                <w:szCs w:val="24"/>
              </w:rPr>
              <w:t xml:space="preserve"> words </w:t>
            </w:r>
            <w:r w:rsidR="6E24A492"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5FA1E420"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 xml:space="preserve">This essay is going to focus on roads policing and specifically an incident involving a serious fatal road traffic collision at which I was one of the first officers on scene.  It is going to critically evaluate the evidence base that was dealt with and look at strategies that have been or could be implemented to reduce the risk of such an incident reoccurring.  </w:t>
      </w:r>
    </w:p>
    <w:p w14:paraId="60B979B0"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467E3B84"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The incident in question involved a motorcycle which at the time was being ridden at speed by a young male in a built up area, unfortunately resulting in a collision with a car emerging from a junction.  The young rider of the motorcycle died at the scene while the driver of the car was taken to hospital and treated for minor injuries including shock.  Initially it was thought that the motorcycle may have been stolen due to it not displaying a number plate and that may have been a contributory factor in the manner in which it was being ridden.  However, following the relevant checks being made it was found that the motorcycle was not stolen and was fully insured, taxed and had an up to date MOT.  It therefore became apparent that the tragic accident had occurred purely as a result of the motorcycle being driven without due care and attention and at excessive speed.</w:t>
      </w:r>
    </w:p>
    <w:p w14:paraId="73BE03FA"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5BAB8388"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 xml:space="preserve">In an annual report compiled by the Department of Transport in 2021 it was found that in 2020, whilst motorcycles made up only 1% of vehicle traffic, they were still responsible for 20% of deaths on British roads.  Interestingly and perhaps pertinent to the incident in </w:t>
      </w:r>
      <w:r w:rsidRPr="005D4B52">
        <w:rPr>
          <w:rFonts w:asciiTheme="minorHAnsi" w:eastAsiaTheme="minorHAnsi" w:hAnsiTheme="minorHAnsi" w:cstheme="minorBidi"/>
          <w:color w:val="auto"/>
          <w:kern w:val="2"/>
          <w:sz w:val="24"/>
          <w:szCs w:val="24"/>
          <w:lang w:eastAsia="en-US"/>
          <w14:ligatures w14:val="standardContextual"/>
        </w:rPr>
        <w:lastRenderedPageBreak/>
        <w:t>question, the same report also found that 40% of fatal motorcycle accidents involving other vehicles involve a car (Rabone, 2023).  Statistics also show that males make up 92% of motorcycle fatalities with those males aged between 16 and 24 making up 27% of those casualties (Department for Transport, 2021).  When looking at the common causes of motorcycle accidents, within the top six were collisions at junctions, speeding and loss of control and with 70% of these accidents occurring on motorways or urban roads (Off Your Bike, 2023) consideration needs to be given as to what, if any, measures are in place to prevent these accidents from occurring.</w:t>
      </w:r>
    </w:p>
    <w:p w14:paraId="5DE1E008"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3D5C74C3"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In 2014 the Association of Chief Police Officers produced their Motorcycle Safety Strategy 2014 – 2018, the aim of which was to reduce the number of injuries and fatalities experienced by motorcyclists.  At the heart of the strategy was education and training specific to motorcycle users as opposed to generic courses aimed at all road users. The aim of this was to focus on reforming error and inexperience and reserving prosecution for extreme or repeat offenders (ACPO, 2013).</w:t>
      </w:r>
    </w:p>
    <w:p w14:paraId="1EF83F39"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349E3424"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 xml:space="preserve">Whilst the above strategy focused primarily on motorcycle users on the roads, the National Police Chiefs’ Council, National Roads Policing Strategy 2022 – 2025 is aimed at all road users and stakeholders with a role in road safety.  The four pillared approach to ‘Policing Our Roads Together’ looks at preventing harm and saving lives; changing minds, for example, in respect of attitudes towards speeding and its acceptability; tackling crime, not only in relation to driving offences but also in respect of disrupting those who plan and commission their crimes through the facilitation of road networks, and driving technology and innovation (NPCC, 2022).  </w:t>
      </w:r>
    </w:p>
    <w:p w14:paraId="34431907"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0D23F41E"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 xml:space="preserve">New technology in the forms of e-bikes and e-scooters has presented policing roads in the UK with a new set of challenges.  The danger to the public due to the speed and silent nature of these vehicles is in itself of great concern.  However, the young ages from which these can be ridden, without the need for a licence or a protective helmet, is seeing a rise in the number of these vehicles being used on British roads and is proving an increased pressure on the police in England and Wales (POLFED, 2023).  In the year ending June 2022 e-scooters were involved in approximately 1,349 collisions, a significant rise from the 978 in the previous 12 months and 12 of which resulted in fatalities (Department for Transport, 2022a).  However, whilst there is clearly a cause for concern in relation to safety, the manner in which these vehicles are being ridden and the risks they pose, there are equally significant concerns in relation to the increased use of e-scooters and e-bikes in the commission of a range of crimes and anti-social behaviour offences.  A number of forces throughout the UK have reported that e-bikes and e-scooters are not only increasingly being stolen but also being exploited by criminals and being used to aid criminality.  This has led to the government’s Defence and Security Accelerator (DASA) department to research and aim to identify new concepts that can assist the police in preventing e-bikes and e-scooters from being used in offences from a </w:t>
      </w:r>
      <w:r w:rsidRPr="005D4B52">
        <w:rPr>
          <w:rFonts w:asciiTheme="minorHAnsi" w:eastAsiaTheme="minorHAnsi" w:hAnsiTheme="minorHAnsi" w:cstheme="minorBidi"/>
          <w:color w:val="auto"/>
          <w:kern w:val="2"/>
          <w:sz w:val="24"/>
          <w:szCs w:val="24"/>
          <w:lang w:eastAsia="en-US"/>
          <w14:ligatures w14:val="standardContextual"/>
        </w:rPr>
        <w:lastRenderedPageBreak/>
        <w:t>technological perspective.  DASA are looking at ways in which technology can be used to stop or render these vehicles immobile remotely, thereby negating the requirement for a police pursuit (DASA, 2021).</w:t>
      </w:r>
    </w:p>
    <w:p w14:paraId="3758DCD2"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671C276C"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Road traffic accidents as a result of police pursuits is a topic which has been particularly prominent for South Wales Police in the media recently following the deaths of two young boys on an e-bike in Cardiff.  The IOPC is investigating the incident after it was alleged that officers were pursuing  the e-bike shortly before it was involved in a collision which resulted in the deaths of the two boys.  In its annual report on deaths following police contact in 2022 to 2023, the IOPC found that of the 18 incidents as a result of police pursuit, there were 20 fatalities (IOPC, 2023).  The incident in Cardiff therefore not only reiterates the dangers around e-bikes and e-scooters but that young males driving or riding at speed are putting themselves and others at great risk of seriously harming or killing themselves and/or others.</w:t>
      </w:r>
    </w:p>
    <w:p w14:paraId="3E2150D9"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1F275CEA"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 xml:space="preserve">Whilst drivers are ultimately responsible for the speeds at which they drive, managing speed through a range of education, engineering and enforcement measures is essential to deter people from speeding.  By enforcing and implementing a greater range of sanctions against those who break road traffic regulations and laws, together with a criminal justice system who is seen to deal with those people robustly, a greater level of compliance should be seen by road users as a result. </w:t>
      </w:r>
    </w:p>
    <w:p w14:paraId="44244CCE"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3FA365D5"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 xml:space="preserve">Whilst the speed limits on trunk roads is determined by The Highways Agency, local traffic authorities set speed limits in conjunction with the economic needs and conditions of their communities.  Although settling speed limits is an effective measure by which to manage speed in an area, these are often used alongside other traffic calming measures such as road humps, roundabouts and speed cameras.  Research has shown that speed reduction and traffic calming measures can significantly  impact not only the number of accidents but also the severity of those accidents and the injuries and fatalities sustained (Jateikiene </w:t>
      </w:r>
      <w:r w:rsidRPr="005D4B52">
        <w:rPr>
          <w:rFonts w:asciiTheme="minorHAnsi" w:eastAsiaTheme="minorHAnsi" w:hAnsiTheme="minorHAnsi" w:cstheme="minorBidi"/>
          <w:i/>
          <w:iCs/>
          <w:color w:val="auto"/>
          <w:kern w:val="2"/>
          <w:sz w:val="24"/>
          <w:szCs w:val="24"/>
          <w:lang w:eastAsia="en-US"/>
          <w14:ligatures w14:val="standardContextual"/>
        </w:rPr>
        <w:t>et al</w:t>
      </w:r>
      <w:r w:rsidRPr="005D4B52">
        <w:rPr>
          <w:rFonts w:asciiTheme="minorHAnsi" w:eastAsiaTheme="minorHAnsi" w:hAnsiTheme="minorHAnsi" w:cstheme="minorBidi"/>
          <w:color w:val="auto"/>
          <w:kern w:val="2"/>
          <w:sz w:val="24"/>
          <w:szCs w:val="24"/>
          <w:lang w:eastAsia="en-US"/>
          <w14:ligatures w14:val="standardContextual"/>
        </w:rPr>
        <w:t>., 2016).  Ironically, the incident in question was on a road where road humps had been placed to assist in reducing speed.  However, the road humps started further down the road from the location of the accident so it is not known whether these would have had the desired affect and slowed the rider down, potentially preventing the accident or at least impacting on the seriousness.</w:t>
      </w:r>
    </w:p>
    <w:p w14:paraId="7A8684E7"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085FC991" w14:textId="68A6A761"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In 2022 the Welsh Government passed a law introducing a new 20mph speed limit on Welsh roads where the speed limit was previously 30mph.  This change came into effect in September 2023 and has already been piloted in several parts of the country.  The rationale for this change is reported as being not only to reduce injuries and deaths which occur as a result of speed related incidents on roads, but also to encourage changes in travel related behaviour and to reduce the negative effects on the environment as a result of vehicle use (Welsh Government, 2023).</w:t>
      </w:r>
    </w:p>
    <w:p w14:paraId="5DC4722D"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lastRenderedPageBreak/>
        <w:t>A review of the evidence on 20mph speed limits carried out by a Consultant on Transport and Health in 2018 reported that where 20mph speed limits had been implemented there was a significant reduction in casualties and that studies in the UK have found that where there is just a 1mph reduction in speed, collisions are reduced by 6% (Davis, 2018).  However, conversely, similar research carried out by the UK government in 2018 stated that there was insufficient evidence that 20mph speed limits had resulted in any significant impact on collisions and injuries (Atkins, AECOM and Maher, 2018).  Interestingly, both reports and initial data gathered from the pilot schemes in Wales have all found that the reduction to 20mph has had no material effect on the quality of air and the review carried out by Davis (2018) actually reporting that the speed reduction has had an adverse effect.</w:t>
      </w:r>
    </w:p>
    <w:p w14:paraId="545D1285"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119C60EB"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As alluded to above, speed limits are not just considered on a national level but at local levels by those in the communities which they affect.  One such project is the Community Speed Watch (CPW) Scheme which, under the support and supervision of their local police force, enables volunteers to monitor speeds in their communities using approved devices and subsequently recording the details of any speeding vehicles (College of Policing, 2023a).  Vehicles that are recorded as exceeding the speed limits will see their registered keepers initially contacted via letter outlining the risks and potential consequences of dangerous driving.  However, persons repeatedly found to be recorded as speeding will be visited by local officers and subsequently face enforcement procedure or prosecution if repeatedly offending (Community Speedwatch UK, 2023).  This scheme reiterates the objectives set out in the aforementioned Motorcycle Safety Strategy and National Roads Policing Strategy, that education, raising awareness and early intervention are vitally important in improving road safety, nationally and locally.</w:t>
      </w:r>
    </w:p>
    <w:p w14:paraId="373EE0BA"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024012BF"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 xml:space="preserve">When looking to the police and how they can proactively impact on speeding on the roads reference is often made to mobile or handheld enforcement cameras at designated ‘hotspots’ where vehicles are known to speed.  Research has shown that mere police presence at a location can have a positive effect on driver behaviour (Wu, Lum and Koper, 2021) however these methods, whilst they prevent the opportunity for poor driving behaviour for a short period of time, sees drivers often revert to breaking speed limits once officers have gone.  In Wales the ‘GoSafe’ camera partnership uses enforcement cameras not only to monitor vehicles exceeding the speed limit but also to detect drivers who may be using their mobile phone whilst driving or not wearing a seatbelt (GoSafe, 2023).  Proactive policing on British roads is also used to detect drivers who may be under the influence of alcohol or drugs, however, the number of roads policing officers has decreased significantly over the last ten years which as a consequence has seen a reduction in the number of motor offences which are being detected (Norbury, 2020).  </w:t>
      </w:r>
    </w:p>
    <w:p w14:paraId="6F1BCE53"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18C7350D"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 xml:space="preserve">To conclude, and when considering the points raised above in relation to the road traffic accident in question, it would appear that whilst strategies can be implemented at both </w:t>
      </w:r>
      <w:r w:rsidRPr="005D4B52">
        <w:rPr>
          <w:rFonts w:asciiTheme="minorHAnsi" w:eastAsiaTheme="minorHAnsi" w:hAnsiTheme="minorHAnsi" w:cstheme="minorBidi"/>
          <w:color w:val="auto"/>
          <w:kern w:val="2"/>
          <w:sz w:val="24"/>
          <w:szCs w:val="24"/>
          <w:lang w:eastAsia="en-US"/>
          <w14:ligatures w14:val="standardContextual"/>
        </w:rPr>
        <w:lastRenderedPageBreak/>
        <w:t>national and local levels and roads policed on a proactive and reactive basis, ultimately driver or rider actions can neither be pre-empted or controlled.  The road on which the accident occurred is a busy city centre main road with many pedestrians and vehicles at most hours of the day and night and numerous side streets.  It is well lit and at certain points on the road has road humps to reduce speed and a set of traffic lights with a pedestrian crossing.  However, despite all of these factors one witness stated “I’ve never seen a motorbike going so fast”.</w:t>
      </w:r>
    </w:p>
    <w:p w14:paraId="2D4AF7AF"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300CC4C0"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Speed limit offences accounted for 33% of motoring offences in 2021 with 90% of persons prosecuted for speeding offences convicted and punished.  In addition, a further 1.39 million drivers undertook a speed awareness course (Department for Transport, 2022b).  These figures show the prevalence of speeding on British roads and whilst these offences are not going unpunished it would seem that prosecution does not appear to be a deterrent.</w:t>
      </w:r>
    </w:p>
    <w:p w14:paraId="74E4BADC"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05E18435"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5D4B52">
        <w:rPr>
          <w:rFonts w:asciiTheme="minorHAnsi" w:eastAsiaTheme="minorHAnsi" w:hAnsiTheme="minorHAnsi" w:cstheme="minorBidi"/>
          <w:color w:val="auto"/>
          <w:kern w:val="2"/>
          <w:sz w:val="24"/>
          <w:szCs w:val="24"/>
          <w:lang w:eastAsia="en-US"/>
          <w14:ligatures w14:val="standardContextual"/>
        </w:rPr>
        <w:t>As was the focus of the Motorcycle Safety Strategy 2014 – 2018 the aim needs to be tackling error and inexperience and educating road users, especially young new drivers in relation to the risks and dangers around speeding, speed enforcement and the results of prosecutions.  The growth of using social media accounts to publicise ongoing operations and campaigns promoting roads policing has provided a far reaching platform on which to target young people and may prove beneficial in encouraging changes in behaviour and safer choices when using their vehicles.  Perhaps by reinforcing the dangers of speeding through as many platforms as possible it would be hoped that lessons can be learned and lives saved.</w:t>
      </w:r>
    </w:p>
    <w:p w14:paraId="3799A984"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p>
    <w:p w14:paraId="1D08F2A4" w14:textId="77777777" w:rsidR="005D4B52" w:rsidRPr="005D4B52" w:rsidRDefault="005D4B52" w:rsidP="005D4B52">
      <w:pPr>
        <w:overflowPunct/>
        <w:autoSpaceDE/>
        <w:autoSpaceDN/>
        <w:adjustRightInd/>
        <w:spacing w:after="160" w:line="259" w:lineRule="auto"/>
        <w:jc w:val="both"/>
        <w:textAlignment w:val="auto"/>
        <w:rPr>
          <w:rFonts w:asciiTheme="minorHAnsi" w:eastAsiaTheme="minorHAnsi" w:hAnsiTheme="minorHAnsi" w:cstheme="minorBidi"/>
          <w:b/>
          <w:bCs/>
          <w:color w:val="auto"/>
          <w:kern w:val="2"/>
          <w:sz w:val="24"/>
          <w:szCs w:val="24"/>
          <w:lang w:eastAsia="en-US"/>
          <w14:ligatures w14:val="standardContextual"/>
        </w:rPr>
      </w:pPr>
      <w:r w:rsidRPr="005D4B52">
        <w:rPr>
          <w:rFonts w:asciiTheme="minorHAnsi" w:eastAsiaTheme="minorHAnsi" w:hAnsiTheme="minorHAnsi" w:cstheme="minorBidi"/>
          <w:b/>
          <w:bCs/>
          <w:color w:val="auto"/>
          <w:kern w:val="2"/>
          <w:sz w:val="24"/>
          <w:szCs w:val="24"/>
          <w:lang w:eastAsia="en-US"/>
          <w14:ligatures w14:val="standardContextual"/>
        </w:rPr>
        <w:t>WORD COUNT – 2,116</w:t>
      </w: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2F990202" w14:textId="33561417" w:rsidR="0FF883D4" w:rsidRDefault="0FF883D4" w:rsidP="005D4B52">
      <w:pPr>
        <w:ind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5690309F" w14:textId="77777777" w:rsidR="003F57E6" w:rsidRDefault="003F57E6"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1CE5C03D" w14:textId="77777777" w:rsidR="005D4B52" w:rsidRDefault="005D4B52" w:rsidP="0FF883D4">
      <w:pPr>
        <w:ind w:right="237"/>
        <w:jc w:val="both"/>
        <w:rPr>
          <w:color w:val="000000" w:themeColor="text1"/>
          <w:sz w:val="24"/>
          <w:szCs w:val="24"/>
        </w:rPr>
      </w:pPr>
    </w:p>
    <w:p w14:paraId="40782A7F" w14:textId="77777777" w:rsidR="005D4B52" w:rsidRDefault="005D4B52" w:rsidP="0FF883D4">
      <w:pPr>
        <w:ind w:right="237"/>
        <w:jc w:val="both"/>
        <w:rPr>
          <w:color w:val="000000" w:themeColor="text1"/>
          <w:sz w:val="24"/>
          <w:szCs w:val="24"/>
        </w:rPr>
      </w:pPr>
    </w:p>
    <w:p w14:paraId="5DB5D1E9" w14:textId="77777777" w:rsidR="005D4B52" w:rsidRDefault="005D4B52" w:rsidP="0FF883D4">
      <w:pPr>
        <w:ind w:right="237"/>
        <w:jc w:val="both"/>
        <w:rPr>
          <w:color w:val="000000" w:themeColor="text1"/>
          <w:sz w:val="24"/>
          <w:szCs w:val="24"/>
        </w:rPr>
      </w:pPr>
    </w:p>
    <w:p w14:paraId="54B324C6" w14:textId="77777777" w:rsidR="005D4B52" w:rsidRDefault="005D4B52" w:rsidP="0FF883D4">
      <w:pPr>
        <w:ind w:right="237"/>
        <w:jc w:val="both"/>
        <w:rPr>
          <w:color w:val="000000" w:themeColor="text1"/>
          <w:sz w:val="24"/>
          <w:szCs w:val="24"/>
        </w:rPr>
      </w:pPr>
    </w:p>
    <w:p w14:paraId="678D4CA0" w14:textId="77777777" w:rsidR="005D4B52" w:rsidRDefault="005D4B52" w:rsidP="0FF883D4">
      <w:pPr>
        <w:ind w:right="237"/>
        <w:jc w:val="both"/>
        <w:rPr>
          <w:color w:val="000000" w:themeColor="text1"/>
          <w:sz w:val="24"/>
          <w:szCs w:val="24"/>
        </w:rPr>
      </w:pPr>
    </w:p>
    <w:p w14:paraId="43BD13B6" w14:textId="77777777" w:rsidR="005D4B52" w:rsidRDefault="005D4B52" w:rsidP="0FF883D4">
      <w:pPr>
        <w:ind w:right="237"/>
        <w:jc w:val="both"/>
        <w:rPr>
          <w:color w:val="000000" w:themeColor="text1"/>
          <w:sz w:val="24"/>
          <w:szCs w:val="24"/>
        </w:rPr>
      </w:pPr>
    </w:p>
    <w:p w14:paraId="5FB483DE" w14:textId="77777777" w:rsidR="005D4B52" w:rsidRDefault="005D4B52"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230CB728" w14:textId="77777777" w:rsidR="003F57E6" w:rsidRDefault="003F57E6" w:rsidP="0FF883D4">
      <w:pPr>
        <w:ind w:right="237"/>
        <w:jc w:val="both"/>
        <w:rPr>
          <w:color w:val="000000" w:themeColor="text1"/>
          <w:sz w:val="24"/>
          <w:szCs w:val="24"/>
        </w:rPr>
      </w:pPr>
    </w:p>
    <w:p w14:paraId="28CD723A" w14:textId="77777777" w:rsidR="003F57E6" w:rsidRDefault="003F57E6"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76B6FAAC" w14:textId="6CA3E911" w:rsidR="0FF883D4" w:rsidRPr="003F57E6" w:rsidRDefault="00025650" w:rsidP="003F57E6">
      <w:pPr>
        <w:ind w:right="237"/>
      </w:pPr>
      <w:r>
        <w:br w:type="page"/>
      </w:r>
    </w:p>
    <w:p w14:paraId="1ADEFAE5" w14:textId="382C9CE8"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9514372" w:rsidR="0FF883D4" w:rsidRDefault="5CE196A1" w:rsidP="5CE196A1">
      <w:r w:rsidRPr="5CE196A1">
        <w:rPr>
          <w:rFonts w:eastAsia="Arial"/>
          <w:b/>
          <w:bCs/>
          <w:color w:val="000000" w:themeColor="text1"/>
          <w:sz w:val="24"/>
          <w:szCs w:val="24"/>
        </w:rPr>
        <w:t xml:space="preserve">Signed: </w:t>
      </w:r>
      <w:r w:rsidR="006E5AAD">
        <w:rPr>
          <w:rFonts w:eastAsia="Arial"/>
          <w:b/>
          <w:bCs/>
          <w:color w:val="000000" w:themeColor="text1"/>
          <w:sz w:val="24"/>
          <w:szCs w:val="24"/>
        </w:rPr>
        <w:t>Sally George</w:t>
      </w:r>
    </w:p>
    <w:p w14:paraId="563192E7" w14:textId="7A83C86F" w:rsidR="0FF883D4" w:rsidRDefault="5CE196A1" w:rsidP="5CE196A1">
      <w:r w:rsidRPr="5CE196A1">
        <w:rPr>
          <w:rFonts w:eastAsia="Arial"/>
          <w:b/>
          <w:bCs/>
          <w:color w:val="000000" w:themeColor="text1"/>
          <w:sz w:val="24"/>
          <w:szCs w:val="24"/>
        </w:rPr>
        <w:t xml:space="preserve"> </w:t>
      </w:r>
    </w:p>
    <w:p w14:paraId="482B2B3A" w14:textId="2442503D" w:rsidR="0FF883D4" w:rsidRPr="00AD047A" w:rsidRDefault="5CE196A1" w:rsidP="00AD047A">
      <w:pPr>
        <w:sectPr w:rsidR="0FF883D4" w:rsidRPr="00AD047A"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AD047A">
        <w:rPr>
          <w:rFonts w:eastAsia="Arial"/>
          <w:b/>
          <w:bCs/>
          <w:color w:val="000000" w:themeColor="text1"/>
          <w:sz w:val="24"/>
          <w:szCs w:val="24"/>
        </w:rPr>
        <w:t>: 29 October 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797872D" w14:textId="77777777" w:rsidR="00564C75" w:rsidRDefault="00564C75" w:rsidP="00EA28F1">
      <w:pPr>
        <w:keepNext/>
        <w:spacing w:before="240" w:after="60"/>
        <w:ind w:right="237"/>
        <w:jc w:val="both"/>
        <w:rPr>
          <w:sz w:val="24"/>
          <w:szCs w:val="24"/>
        </w:rPr>
      </w:pPr>
    </w:p>
    <w:p w14:paraId="566771F3"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ACPO (2013) </w:t>
      </w:r>
      <w:r w:rsidRPr="00564C75">
        <w:rPr>
          <w:rFonts w:asciiTheme="minorHAnsi" w:eastAsiaTheme="minorHAnsi" w:hAnsiTheme="minorHAnsi" w:cstheme="minorBidi"/>
          <w:i/>
          <w:iCs/>
          <w:color w:val="auto"/>
          <w:sz w:val="24"/>
          <w:szCs w:val="24"/>
          <w:lang w:eastAsia="en-US"/>
        </w:rPr>
        <w:t>ACPO Motorcycle Safety Strategy 2014 – 2018</w:t>
      </w:r>
      <w:r w:rsidRPr="00564C75">
        <w:rPr>
          <w:rFonts w:asciiTheme="minorHAnsi" w:eastAsiaTheme="minorHAnsi" w:hAnsiTheme="minorHAnsi" w:cstheme="minorBidi"/>
          <w:color w:val="auto"/>
          <w:sz w:val="24"/>
          <w:szCs w:val="24"/>
          <w:lang w:eastAsia="en-US"/>
        </w:rPr>
        <w:t xml:space="preserve">.  Available at: </w:t>
      </w:r>
      <w:hyperlink r:id="rId16" w:history="1">
        <w:r w:rsidRPr="00564C75">
          <w:rPr>
            <w:rFonts w:asciiTheme="minorHAnsi" w:eastAsiaTheme="minorHAnsi" w:hAnsiTheme="minorHAnsi" w:cstheme="minorBidi"/>
            <w:color w:val="0000FF"/>
            <w:sz w:val="24"/>
            <w:szCs w:val="24"/>
            <w:u w:val="single"/>
            <w:lang w:eastAsia="en-US"/>
          </w:rPr>
          <w:t>ACPO-motorcycle-safety-strategy-2014.pdf (college.police.uk)</w:t>
        </w:r>
      </w:hyperlink>
      <w:r w:rsidRPr="00564C75">
        <w:rPr>
          <w:rFonts w:asciiTheme="minorHAnsi" w:eastAsiaTheme="minorHAnsi" w:hAnsiTheme="minorHAnsi" w:cstheme="minorBidi"/>
          <w:color w:val="auto"/>
          <w:sz w:val="24"/>
          <w:szCs w:val="24"/>
          <w:lang w:eastAsia="en-US"/>
        </w:rPr>
        <w:t xml:space="preserve">  (Accessed on: 22 August 2023).</w:t>
      </w:r>
      <w:r w:rsidRPr="00564C75">
        <w:rPr>
          <w:rFonts w:asciiTheme="minorHAnsi" w:eastAsiaTheme="minorHAnsi" w:hAnsiTheme="minorHAnsi" w:cstheme="minorBidi"/>
          <w:color w:val="auto"/>
          <w:sz w:val="24"/>
          <w:szCs w:val="24"/>
          <w:lang w:eastAsia="en-US"/>
        </w:rPr>
        <w:tab/>
      </w:r>
    </w:p>
    <w:p w14:paraId="598B6D37"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Allen, G. and Burton, M. (2023) Knife crime in England and Wales: statistics, </w:t>
      </w:r>
      <w:r w:rsidRPr="00564C75">
        <w:rPr>
          <w:rFonts w:asciiTheme="minorHAnsi" w:eastAsiaTheme="minorHAnsi" w:hAnsiTheme="minorHAnsi" w:cstheme="minorBidi"/>
          <w:i/>
          <w:iCs/>
          <w:color w:val="auto"/>
          <w:sz w:val="24"/>
          <w:szCs w:val="24"/>
          <w:lang w:eastAsia="en-US"/>
        </w:rPr>
        <w:t>House of Commons Library</w:t>
      </w:r>
      <w:r w:rsidRPr="00564C75">
        <w:rPr>
          <w:rFonts w:asciiTheme="minorHAnsi" w:eastAsiaTheme="minorHAnsi" w:hAnsiTheme="minorHAnsi" w:cstheme="minorBidi"/>
          <w:color w:val="auto"/>
          <w:sz w:val="24"/>
          <w:szCs w:val="24"/>
          <w:lang w:eastAsia="en-US"/>
        </w:rPr>
        <w:t xml:space="preserve">.  Available at: </w:t>
      </w:r>
      <w:hyperlink r:id="rId17" w:history="1">
        <w:r w:rsidRPr="00564C75">
          <w:rPr>
            <w:rFonts w:asciiTheme="minorHAnsi" w:eastAsiaTheme="minorHAnsi" w:hAnsiTheme="minorHAnsi" w:cstheme="minorBidi"/>
            <w:color w:val="0000FF"/>
            <w:sz w:val="24"/>
            <w:szCs w:val="24"/>
            <w:u w:val="single"/>
            <w:lang w:eastAsia="en-US"/>
          </w:rPr>
          <w:t>SN04304.pdf (parliament.uk)</w:t>
        </w:r>
      </w:hyperlink>
      <w:r w:rsidRPr="00564C75">
        <w:rPr>
          <w:rFonts w:asciiTheme="minorHAnsi" w:eastAsiaTheme="minorHAnsi" w:hAnsiTheme="minorHAnsi" w:cstheme="minorBidi"/>
          <w:color w:val="auto"/>
          <w:sz w:val="24"/>
          <w:szCs w:val="24"/>
          <w:lang w:eastAsia="en-US"/>
        </w:rPr>
        <w:t xml:space="preserve">  (Accessed on: 11 October 2023).</w:t>
      </w:r>
    </w:p>
    <w:p w14:paraId="54E9AD12"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Anti-social Behaviour Crime and Policing Act (2014) Available at: </w:t>
      </w:r>
      <w:hyperlink r:id="rId18" w:history="1">
        <w:r w:rsidRPr="00564C75">
          <w:rPr>
            <w:rFonts w:asciiTheme="minorHAnsi" w:eastAsiaTheme="minorHAnsi" w:hAnsiTheme="minorHAnsi" w:cstheme="minorBidi"/>
            <w:color w:val="0000FF"/>
            <w:sz w:val="24"/>
            <w:szCs w:val="24"/>
            <w:u w:val="single"/>
            <w:lang w:eastAsia="en-US"/>
          </w:rPr>
          <w:t>Anti-social Behaviour, Crime and Policing Act 2014 (legislation.gov.uk)</w:t>
        </w:r>
      </w:hyperlink>
      <w:r w:rsidRPr="00564C75">
        <w:rPr>
          <w:rFonts w:asciiTheme="minorHAnsi" w:eastAsiaTheme="minorHAnsi" w:hAnsiTheme="minorHAnsi" w:cstheme="minorBidi"/>
          <w:color w:val="auto"/>
          <w:sz w:val="24"/>
          <w:szCs w:val="24"/>
          <w:lang w:eastAsia="en-US"/>
        </w:rPr>
        <w:t xml:space="preserve">  (Accessed on: 12 October 2023).</w:t>
      </w:r>
    </w:p>
    <w:p w14:paraId="23A1806E"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ASB Review Wales (2023) </w:t>
      </w:r>
      <w:r w:rsidRPr="00564C75">
        <w:rPr>
          <w:rFonts w:asciiTheme="minorHAnsi" w:eastAsiaTheme="minorHAnsi" w:hAnsiTheme="minorHAnsi" w:cstheme="minorBidi"/>
          <w:i/>
          <w:iCs/>
          <w:color w:val="auto"/>
          <w:sz w:val="24"/>
          <w:szCs w:val="24"/>
          <w:lang w:eastAsia="en-US"/>
        </w:rPr>
        <w:t>Anti-social Behaviour Case Review South Wales</w:t>
      </w:r>
      <w:r w:rsidRPr="00564C75">
        <w:rPr>
          <w:rFonts w:asciiTheme="minorHAnsi" w:eastAsiaTheme="minorHAnsi" w:hAnsiTheme="minorHAnsi" w:cstheme="minorBidi"/>
          <w:color w:val="auto"/>
          <w:sz w:val="24"/>
          <w:szCs w:val="24"/>
          <w:lang w:eastAsia="en-US"/>
        </w:rPr>
        <w:t xml:space="preserve">.  Available at: </w:t>
      </w:r>
      <w:hyperlink r:id="rId19" w:history="1">
        <w:r w:rsidRPr="00564C75">
          <w:rPr>
            <w:rFonts w:asciiTheme="minorHAnsi" w:eastAsiaTheme="minorHAnsi" w:hAnsiTheme="minorHAnsi" w:cstheme="minorBidi"/>
            <w:color w:val="0000FF"/>
            <w:sz w:val="24"/>
            <w:szCs w:val="24"/>
            <w:u w:val="single"/>
            <w:lang w:eastAsia="en-US"/>
          </w:rPr>
          <w:t>Community Trigger 2020 – ASB Case Review</w:t>
        </w:r>
      </w:hyperlink>
      <w:r w:rsidRPr="00564C75">
        <w:rPr>
          <w:rFonts w:asciiTheme="minorHAnsi" w:eastAsiaTheme="minorHAnsi" w:hAnsiTheme="minorHAnsi" w:cstheme="minorBidi"/>
          <w:color w:val="auto"/>
          <w:sz w:val="24"/>
          <w:szCs w:val="24"/>
          <w:lang w:eastAsia="en-US"/>
        </w:rPr>
        <w:t xml:space="preserve">  (Accessed on: 25 October 2023).</w:t>
      </w:r>
    </w:p>
    <w:p w14:paraId="05C8BD3A"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Atkins, AECOM and Maher, M. (2018) </w:t>
      </w:r>
      <w:r w:rsidRPr="00564C75">
        <w:rPr>
          <w:rFonts w:asciiTheme="minorHAnsi" w:eastAsiaTheme="minorHAnsi" w:hAnsiTheme="minorHAnsi" w:cstheme="minorBidi"/>
          <w:i/>
          <w:iCs/>
          <w:color w:val="auto"/>
          <w:sz w:val="24"/>
          <w:szCs w:val="24"/>
          <w:lang w:eastAsia="en-US"/>
        </w:rPr>
        <w:t>20mph Research Study, Process and Impact Evaluation Headline Report</w:t>
      </w:r>
      <w:r w:rsidRPr="00564C75">
        <w:rPr>
          <w:rFonts w:asciiTheme="minorHAnsi" w:eastAsiaTheme="minorHAnsi" w:hAnsiTheme="minorHAnsi" w:cstheme="minorBidi"/>
          <w:color w:val="auto"/>
          <w:sz w:val="24"/>
          <w:szCs w:val="24"/>
          <w:lang w:eastAsia="en-US"/>
        </w:rPr>
        <w:t xml:space="preserve">.  Available at:  </w:t>
      </w:r>
      <w:hyperlink r:id="rId20" w:history="1">
        <w:r w:rsidRPr="00564C75">
          <w:rPr>
            <w:rFonts w:asciiTheme="minorHAnsi" w:eastAsiaTheme="minorHAnsi" w:hAnsiTheme="minorHAnsi" w:cstheme="minorBidi"/>
            <w:color w:val="0000FF"/>
            <w:sz w:val="24"/>
            <w:szCs w:val="24"/>
            <w:u w:val="single"/>
            <w:lang w:eastAsia="en-US"/>
          </w:rPr>
          <w:t>20mph research study - process and impact evaluation: headline report (publishing.service.gov.uk)</w:t>
        </w:r>
      </w:hyperlink>
      <w:r w:rsidRPr="00564C75">
        <w:rPr>
          <w:rFonts w:asciiTheme="minorHAnsi" w:eastAsiaTheme="minorHAnsi" w:hAnsiTheme="minorHAnsi" w:cstheme="minorBidi"/>
          <w:color w:val="auto"/>
          <w:sz w:val="24"/>
          <w:szCs w:val="24"/>
          <w:lang w:eastAsia="en-US"/>
        </w:rPr>
        <w:t xml:space="preserve">  (Accessed on: 27 August 2023).</w:t>
      </w:r>
    </w:p>
    <w:p w14:paraId="01101591"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Begum, B., Johnson, S.D. and Ekblom, P. (2009) </w:t>
      </w:r>
      <w:r w:rsidRPr="00564C75">
        <w:rPr>
          <w:rFonts w:asciiTheme="minorHAnsi" w:eastAsiaTheme="minorHAnsi" w:hAnsiTheme="minorHAnsi" w:cstheme="minorBidi"/>
          <w:i/>
          <w:iCs/>
          <w:color w:val="auto"/>
          <w:sz w:val="24"/>
          <w:szCs w:val="24"/>
          <w:lang w:eastAsia="en-US"/>
        </w:rPr>
        <w:t>Anti-Social Behaviour: A Practitioners Guide</w:t>
      </w:r>
      <w:r w:rsidRPr="00564C75">
        <w:rPr>
          <w:rFonts w:asciiTheme="minorHAnsi" w:eastAsiaTheme="minorHAnsi" w:hAnsiTheme="minorHAnsi" w:cstheme="minorBidi"/>
          <w:color w:val="auto"/>
          <w:sz w:val="24"/>
          <w:szCs w:val="24"/>
          <w:lang w:eastAsia="en-US"/>
        </w:rPr>
        <w:t xml:space="preserve">. UCL Jill Dando Institute of Crime Science, University College London.  Available at: </w:t>
      </w:r>
      <w:hyperlink r:id="rId21" w:history="1">
        <w:r w:rsidRPr="00564C75">
          <w:rPr>
            <w:rFonts w:asciiTheme="minorHAnsi" w:eastAsiaTheme="minorHAnsi" w:hAnsiTheme="minorHAnsi" w:cstheme="minorBidi"/>
            <w:color w:val="0000FF"/>
            <w:sz w:val="24"/>
            <w:szCs w:val="24"/>
            <w:u w:val="single"/>
            <w:lang w:eastAsia="en-US"/>
          </w:rPr>
          <w:t>Microsoft Word - AntiSocial Behaviour_A Practitioners Guide_FINAL F (uel.ac.uk)</w:t>
        </w:r>
      </w:hyperlink>
      <w:r w:rsidRPr="00564C75">
        <w:rPr>
          <w:rFonts w:asciiTheme="minorHAnsi" w:eastAsiaTheme="minorHAnsi" w:hAnsiTheme="minorHAnsi" w:cstheme="minorBidi"/>
          <w:color w:val="auto"/>
          <w:sz w:val="24"/>
          <w:szCs w:val="24"/>
          <w:lang w:eastAsia="en-US"/>
        </w:rPr>
        <w:t xml:space="preserve">  (Accessed on: 17 October 2023).</w:t>
      </w:r>
    </w:p>
    <w:p w14:paraId="611817B1"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Brown, K.D. </w:t>
      </w:r>
      <w:r w:rsidRPr="00564C75">
        <w:rPr>
          <w:rFonts w:asciiTheme="minorHAnsi" w:eastAsiaTheme="minorHAnsi" w:hAnsiTheme="minorHAnsi" w:cstheme="minorBidi"/>
          <w:i/>
          <w:iCs/>
          <w:color w:val="auto"/>
          <w:sz w:val="24"/>
          <w:szCs w:val="24"/>
          <w:lang w:eastAsia="en-US"/>
        </w:rPr>
        <w:t>et al.</w:t>
      </w:r>
      <w:r w:rsidRPr="00564C75">
        <w:rPr>
          <w:rFonts w:asciiTheme="minorHAnsi" w:eastAsiaTheme="minorHAnsi" w:hAnsiTheme="minorHAnsi" w:cstheme="minorBidi"/>
          <w:color w:val="auto"/>
          <w:sz w:val="24"/>
          <w:szCs w:val="24"/>
          <w:lang w:eastAsia="en-US"/>
        </w:rPr>
        <w:t xml:space="preserve"> (2022) ‘Knife crime offender characteristics and interventions – A systematic review, </w:t>
      </w:r>
      <w:r w:rsidRPr="00564C75">
        <w:rPr>
          <w:rFonts w:asciiTheme="minorHAnsi" w:eastAsiaTheme="minorHAnsi" w:hAnsiTheme="minorHAnsi" w:cstheme="minorBidi"/>
          <w:i/>
          <w:iCs/>
          <w:color w:val="auto"/>
          <w:sz w:val="24"/>
          <w:szCs w:val="24"/>
          <w:lang w:eastAsia="en-US"/>
        </w:rPr>
        <w:t>Aggression and Violent Behaviour</w:t>
      </w:r>
      <w:r w:rsidRPr="00564C75">
        <w:rPr>
          <w:rFonts w:asciiTheme="minorHAnsi" w:eastAsiaTheme="minorHAnsi" w:hAnsiTheme="minorHAnsi" w:cstheme="minorBidi"/>
          <w:color w:val="auto"/>
          <w:sz w:val="24"/>
          <w:szCs w:val="24"/>
          <w:lang w:eastAsia="en-US"/>
        </w:rPr>
        <w:t xml:space="preserve">, 67, pp. 1-14.  Available at: </w:t>
      </w:r>
      <w:hyperlink r:id="rId22" w:history="1">
        <w:r w:rsidRPr="00564C75">
          <w:rPr>
            <w:rFonts w:asciiTheme="minorHAnsi" w:eastAsiaTheme="minorHAnsi" w:hAnsiTheme="minorHAnsi" w:cstheme="minorBidi"/>
            <w:color w:val="0000FF"/>
            <w:sz w:val="24"/>
            <w:szCs w:val="24"/>
            <w:u w:val="single"/>
            <w:lang w:eastAsia="en-US"/>
          </w:rPr>
          <w:t>Knife crime offender characteristics and interventions – A systematic review (sciencedirectassets.com)</w:t>
        </w:r>
      </w:hyperlink>
      <w:r w:rsidRPr="00564C75">
        <w:rPr>
          <w:rFonts w:asciiTheme="minorHAnsi" w:eastAsiaTheme="minorHAnsi" w:hAnsiTheme="minorHAnsi" w:cstheme="minorBidi"/>
          <w:color w:val="auto"/>
          <w:sz w:val="24"/>
          <w:szCs w:val="24"/>
          <w:lang w:eastAsia="en-US"/>
        </w:rPr>
        <w:t xml:space="preserve">  (Accessed on: 12 October 2023).</w:t>
      </w:r>
    </w:p>
    <w:p w14:paraId="7451CE18"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College of Policing (2023a) </w:t>
      </w:r>
      <w:r w:rsidRPr="00564C75">
        <w:rPr>
          <w:rFonts w:asciiTheme="minorHAnsi" w:eastAsiaTheme="minorHAnsi" w:hAnsiTheme="minorHAnsi" w:cstheme="minorBidi"/>
          <w:i/>
          <w:iCs/>
          <w:color w:val="auto"/>
          <w:sz w:val="24"/>
          <w:szCs w:val="24"/>
          <w:lang w:eastAsia="en-US"/>
        </w:rPr>
        <w:t>Routes to speed safety: Understanding and measuring the contribution of Community Speedwatch</w:t>
      </w:r>
      <w:r w:rsidRPr="00564C75">
        <w:rPr>
          <w:rFonts w:asciiTheme="minorHAnsi" w:eastAsiaTheme="minorHAnsi" w:hAnsiTheme="minorHAnsi" w:cstheme="minorBidi"/>
          <w:color w:val="auto"/>
          <w:sz w:val="24"/>
          <w:szCs w:val="24"/>
          <w:lang w:eastAsia="en-US"/>
        </w:rPr>
        <w:t xml:space="preserve">.  Available at: </w:t>
      </w:r>
      <w:hyperlink r:id="rId23" w:history="1">
        <w:r w:rsidRPr="00564C75">
          <w:rPr>
            <w:rFonts w:asciiTheme="minorHAnsi" w:eastAsiaTheme="minorHAnsi" w:hAnsiTheme="minorHAnsi" w:cstheme="minorBidi"/>
            <w:color w:val="0000FF"/>
            <w:sz w:val="24"/>
            <w:szCs w:val="24"/>
            <w:u w:val="single"/>
            <w:lang w:eastAsia="en-US"/>
          </w:rPr>
          <w:t>Routes to speed safety: Understanding and measuring the contribution of Community Speedwatch | College of Policing</w:t>
        </w:r>
      </w:hyperlink>
      <w:r w:rsidRPr="00564C75">
        <w:rPr>
          <w:rFonts w:asciiTheme="minorHAnsi" w:eastAsiaTheme="minorHAnsi" w:hAnsiTheme="minorHAnsi" w:cstheme="minorBidi"/>
          <w:color w:val="auto"/>
          <w:sz w:val="24"/>
          <w:szCs w:val="24"/>
          <w:lang w:eastAsia="en-US"/>
        </w:rPr>
        <w:t xml:space="preserve">  (Accessed on: 27 August 2023).</w:t>
      </w:r>
    </w:p>
    <w:p w14:paraId="015C7080"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College of Policing (2023b) </w:t>
      </w:r>
      <w:r w:rsidRPr="00564C75">
        <w:rPr>
          <w:rFonts w:asciiTheme="minorHAnsi" w:eastAsiaTheme="minorHAnsi" w:hAnsiTheme="minorHAnsi" w:cstheme="minorBidi"/>
          <w:i/>
          <w:iCs/>
          <w:color w:val="auto"/>
          <w:sz w:val="24"/>
          <w:szCs w:val="24"/>
          <w:lang w:eastAsia="en-US"/>
        </w:rPr>
        <w:t>Introduction to vulnerability-related risk</w:t>
      </w:r>
      <w:r w:rsidRPr="00564C75">
        <w:rPr>
          <w:rFonts w:asciiTheme="minorHAnsi" w:eastAsiaTheme="minorHAnsi" w:hAnsiTheme="minorHAnsi" w:cstheme="minorBidi"/>
          <w:color w:val="auto"/>
          <w:sz w:val="24"/>
          <w:szCs w:val="24"/>
          <w:lang w:eastAsia="en-US"/>
        </w:rPr>
        <w:t xml:space="preserve">.  Available at: </w:t>
      </w:r>
      <w:hyperlink r:id="rId24" w:history="1">
        <w:r w:rsidRPr="00564C75">
          <w:rPr>
            <w:rFonts w:asciiTheme="minorHAnsi" w:eastAsiaTheme="minorHAnsi" w:hAnsiTheme="minorHAnsi" w:cstheme="minorBidi"/>
            <w:color w:val="0000FF"/>
            <w:sz w:val="24"/>
            <w:szCs w:val="24"/>
            <w:u w:val="single"/>
            <w:lang w:eastAsia="en-US"/>
          </w:rPr>
          <w:t>Introduction to vulnerability-related risk | College of Policing</w:t>
        </w:r>
      </w:hyperlink>
      <w:r w:rsidRPr="00564C75">
        <w:rPr>
          <w:rFonts w:asciiTheme="minorHAnsi" w:eastAsiaTheme="minorHAnsi" w:hAnsiTheme="minorHAnsi" w:cstheme="minorBidi"/>
          <w:color w:val="auto"/>
          <w:sz w:val="24"/>
          <w:szCs w:val="24"/>
          <w:lang w:eastAsia="en-US"/>
        </w:rPr>
        <w:t xml:space="preserve">  (Accessed on: 24 October 2023).</w:t>
      </w:r>
    </w:p>
    <w:p w14:paraId="525482B1"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DASA (2021) </w:t>
      </w:r>
      <w:r w:rsidRPr="00564C75">
        <w:rPr>
          <w:rFonts w:asciiTheme="minorHAnsi" w:eastAsiaTheme="minorHAnsi" w:hAnsiTheme="minorHAnsi" w:cstheme="minorBidi"/>
          <w:i/>
          <w:iCs/>
          <w:color w:val="auto"/>
          <w:sz w:val="24"/>
          <w:szCs w:val="24"/>
          <w:lang w:eastAsia="en-US"/>
        </w:rPr>
        <w:t>Tackling E-Scooter and E-Bike enabled crime: Market Exploration Document</w:t>
      </w:r>
      <w:r w:rsidRPr="00564C75">
        <w:rPr>
          <w:rFonts w:asciiTheme="minorHAnsi" w:eastAsiaTheme="minorHAnsi" w:hAnsiTheme="minorHAnsi" w:cstheme="minorBidi"/>
          <w:color w:val="auto"/>
          <w:sz w:val="24"/>
          <w:szCs w:val="24"/>
          <w:lang w:eastAsia="en-US"/>
        </w:rPr>
        <w:t xml:space="preserve">.  Available at: </w:t>
      </w:r>
      <w:hyperlink r:id="rId25" w:history="1">
        <w:r w:rsidRPr="00564C75">
          <w:rPr>
            <w:rFonts w:asciiTheme="minorHAnsi" w:eastAsiaTheme="minorHAnsi" w:hAnsiTheme="minorHAnsi" w:cstheme="minorBidi"/>
            <w:color w:val="0000FF"/>
            <w:sz w:val="24"/>
            <w:szCs w:val="24"/>
            <w:u w:val="single"/>
            <w:lang w:eastAsia="en-US"/>
          </w:rPr>
          <w:t>Tackling E-Scooter and E-Bike enabled crime: Market Exploration Document - GOV.UK (www.gov.uk)</w:t>
        </w:r>
      </w:hyperlink>
      <w:r w:rsidRPr="00564C75">
        <w:rPr>
          <w:rFonts w:asciiTheme="minorHAnsi" w:eastAsiaTheme="minorHAnsi" w:hAnsiTheme="minorHAnsi" w:cstheme="minorBidi"/>
          <w:color w:val="auto"/>
          <w:sz w:val="24"/>
          <w:szCs w:val="24"/>
          <w:lang w:eastAsia="en-US"/>
        </w:rPr>
        <w:t xml:space="preserve"> (Accessed on: 24 August 2023).</w:t>
      </w:r>
    </w:p>
    <w:p w14:paraId="0F268FE1"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lastRenderedPageBreak/>
        <w:t xml:space="preserve">Davis, A.L. (2018) </w:t>
      </w:r>
      <w:r w:rsidRPr="00564C75">
        <w:rPr>
          <w:rFonts w:asciiTheme="minorHAnsi" w:eastAsiaTheme="minorHAnsi" w:hAnsiTheme="minorHAnsi" w:cstheme="minorBidi"/>
          <w:i/>
          <w:iCs/>
          <w:color w:val="auto"/>
          <w:sz w:val="24"/>
          <w:szCs w:val="24"/>
          <w:lang w:eastAsia="en-US"/>
        </w:rPr>
        <w:t>The state of the evidence on 20mph speed limits with regards to road safety, active travel and air pollution impacts, A Literature Review of the Evidence</w:t>
      </w:r>
      <w:r w:rsidRPr="00564C75">
        <w:rPr>
          <w:rFonts w:asciiTheme="minorHAnsi" w:eastAsiaTheme="minorHAnsi" w:hAnsiTheme="minorHAnsi" w:cstheme="minorBidi"/>
          <w:color w:val="auto"/>
          <w:sz w:val="24"/>
          <w:szCs w:val="24"/>
          <w:lang w:eastAsia="en-US"/>
        </w:rPr>
        <w:t xml:space="preserve">.  Available at: </w:t>
      </w:r>
      <w:hyperlink r:id="rId26" w:history="1">
        <w:r w:rsidRPr="00564C75">
          <w:rPr>
            <w:rFonts w:asciiTheme="minorHAnsi" w:eastAsiaTheme="minorHAnsi" w:hAnsiTheme="minorHAnsi" w:cstheme="minorBidi"/>
            <w:color w:val="0000FF"/>
            <w:sz w:val="24"/>
            <w:szCs w:val="24"/>
            <w:u w:val="single"/>
            <w:lang w:eastAsia="en-US"/>
          </w:rPr>
          <w:t>The state of the evidence on 20mph speed limits with regards to road safety, active travel and air pollution impacts: August 2018 (gov.wales)</w:t>
        </w:r>
      </w:hyperlink>
      <w:r w:rsidRPr="00564C75">
        <w:rPr>
          <w:rFonts w:asciiTheme="minorHAnsi" w:eastAsiaTheme="minorHAnsi" w:hAnsiTheme="minorHAnsi" w:cstheme="minorBidi"/>
          <w:color w:val="auto"/>
          <w:sz w:val="24"/>
          <w:szCs w:val="24"/>
          <w:lang w:eastAsia="en-US"/>
        </w:rPr>
        <w:t xml:space="preserve">  (Accessed on: 27 August 2023).</w:t>
      </w:r>
    </w:p>
    <w:p w14:paraId="556A65EE"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Department for Transport (2021) </w:t>
      </w:r>
      <w:r w:rsidRPr="00564C75">
        <w:rPr>
          <w:rFonts w:asciiTheme="minorHAnsi" w:eastAsiaTheme="minorHAnsi" w:hAnsiTheme="minorHAnsi" w:cstheme="minorBidi"/>
          <w:i/>
          <w:iCs/>
          <w:color w:val="auto"/>
          <w:sz w:val="24"/>
          <w:szCs w:val="24"/>
          <w:lang w:eastAsia="en-US"/>
        </w:rPr>
        <w:t>National statistics, Reported road casualties in Great Britain: motorcycle factsheet, 2020</w:t>
      </w:r>
      <w:r w:rsidRPr="00564C75">
        <w:rPr>
          <w:rFonts w:asciiTheme="minorHAnsi" w:eastAsiaTheme="minorHAnsi" w:hAnsiTheme="minorHAnsi" w:cstheme="minorBidi"/>
          <w:color w:val="auto"/>
          <w:sz w:val="24"/>
          <w:szCs w:val="24"/>
          <w:lang w:eastAsia="en-US"/>
        </w:rPr>
        <w:t xml:space="preserve">.  Available at: </w:t>
      </w:r>
      <w:hyperlink w:history="1">
        <w:r w:rsidRPr="00564C75">
          <w:rPr>
            <w:rFonts w:asciiTheme="minorHAnsi" w:eastAsiaTheme="minorHAnsi" w:hAnsiTheme="minorHAnsi" w:cstheme="minorBidi"/>
            <w:color w:val="0000FF"/>
            <w:sz w:val="24"/>
            <w:szCs w:val="24"/>
            <w:u w:val="single"/>
            <w:lang w:eastAsia="en-US"/>
          </w:rPr>
          <w:t>Reported road casualties in Great Britain: motorcycle factsheet, 2020 - GOV.UK (www.gov.uk)</w:t>
        </w:r>
      </w:hyperlink>
      <w:r w:rsidRPr="00564C75">
        <w:rPr>
          <w:rFonts w:asciiTheme="minorHAnsi" w:eastAsiaTheme="minorHAnsi" w:hAnsiTheme="minorHAnsi" w:cstheme="minorBidi"/>
          <w:color w:val="auto"/>
          <w:sz w:val="24"/>
          <w:szCs w:val="24"/>
          <w:lang w:eastAsia="en-US"/>
        </w:rPr>
        <w:t xml:space="preserve">  (Accessed on: 21 August 2023).</w:t>
      </w:r>
    </w:p>
    <w:p w14:paraId="6DD54854"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Department for Transport (2022a) </w:t>
      </w:r>
      <w:r w:rsidRPr="00564C75">
        <w:rPr>
          <w:rFonts w:asciiTheme="minorHAnsi" w:eastAsiaTheme="minorHAnsi" w:hAnsiTheme="minorHAnsi" w:cstheme="minorBidi"/>
          <w:i/>
          <w:iCs/>
          <w:color w:val="auto"/>
          <w:sz w:val="24"/>
          <w:szCs w:val="24"/>
          <w:lang w:eastAsia="en-US"/>
        </w:rPr>
        <w:t>National Statistics, Report road casualties Great Britain, e-Scooter factsheet year ending June 2022</w:t>
      </w:r>
      <w:r w:rsidRPr="00564C75">
        <w:rPr>
          <w:rFonts w:asciiTheme="minorHAnsi" w:eastAsiaTheme="minorHAnsi" w:hAnsiTheme="minorHAnsi" w:cstheme="minorBidi"/>
          <w:color w:val="auto"/>
          <w:sz w:val="24"/>
          <w:szCs w:val="24"/>
          <w:lang w:eastAsia="en-US"/>
        </w:rPr>
        <w:t xml:space="preserve">.  Available at: </w:t>
      </w:r>
      <w:hyperlink r:id="rId27" w:history="1">
        <w:r w:rsidRPr="00564C75">
          <w:rPr>
            <w:rFonts w:asciiTheme="minorHAnsi" w:eastAsiaTheme="minorHAnsi" w:hAnsiTheme="minorHAnsi" w:cstheme="minorBidi"/>
            <w:color w:val="0000FF"/>
            <w:sz w:val="24"/>
            <w:szCs w:val="24"/>
            <w:u w:val="single"/>
            <w:lang w:eastAsia="en-US"/>
          </w:rPr>
          <w:t>Reported road casualties Great Britain: e-Scooter factsheet year ending June 2022 - GOV.UK (www.gov.uk)</w:t>
        </w:r>
      </w:hyperlink>
      <w:r w:rsidRPr="00564C75">
        <w:rPr>
          <w:rFonts w:asciiTheme="minorHAnsi" w:eastAsiaTheme="minorHAnsi" w:hAnsiTheme="minorHAnsi" w:cstheme="minorBidi"/>
          <w:color w:val="auto"/>
          <w:sz w:val="24"/>
          <w:szCs w:val="24"/>
          <w:lang w:eastAsia="en-US"/>
        </w:rPr>
        <w:t xml:space="preserve">  (Accessed on: 24 August 2023).</w:t>
      </w:r>
    </w:p>
    <w:p w14:paraId="2A44BBCC"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Department for Transport (2022b) </w:t>
      </w:r>
      <w:r w:rsidRPr="00564C75">
        <w:rPr>
          <w:rFonts w:asciiTheme="minorHAnsi" w:eastAsiaTheme="minorHAnsi" w:hAnsiTheme="minorHAnsi" w:cstheme="minorBidi"/>
          <w:i/>
          <w:iCs/>
          <w:color w:val="auto"/>
          <w:sz w:val="24"/>
          <w:szCs w:val="24"/>
          <w:lang w:eastAsia="en-US"/>
        </w:rPr>
        <w:t>National Statistics, Vehicle speed compliance statistics for Great Britain: 2021</w:t>
      </w:r>
      <w:r w:rsidRPr="00564C75">
        <w:rPr>
          <w:rFonts w:asciiTheme="minorHAnsi" w:eastAsiaTheme="minorHAnsi" w:hAnsiTheme="minorHAnsi" w:cstheme="minorBidi"/>
          <w:color w:val="auto"/>
          <w:sz w:val="24"/>
          <w:szCs w:val="24"/>
          <w:lang w:eastAsia="en-US"/>
        </w:rPr>
        <w:t xml:space="preserve">.  Available at: </w:t>
      </w:r>
      <w:hyperlink r:id="rId28" w:anchor=":~:text=Speeding%20offences,offences%20has%20increased%20since%202020." w:history="1">
        <w:r w:rsidRPr="00564C75">
          <w:rPr>
            <w:rFonts w:asciiTheme="minorHAnsi" w:eastAsiaTheme="minorHAnsi" w:hAnsiTheme="minorHAnsi" w:cstheme="minorBidi"/>
            <w:color w:val="0000FF"/>
            <w:sz w:val="24"/>
            <w:szCs w:val="24"/>
            <w:u w:val="single"/>
            <w:lang w:eastAsia="en-US"/>
          </w:rPr>
          <w:t>Vehicle speed compliance statistics for Great Britain: 2021 - GOV.UK (www.gov.uk)</w:t>
        </w:r>
      </w:hyperlink>
      <w:r w:rsidRPr="00564C75">
        <w:rPr>
          <w:rFonts w:asciiTheme="minorHAnsi" w:eastAsiaTheme="minorHAnsi" w:hAnsiTheme="minorHAnsi" w:cstheme="minorBidi"/>
          <w:color w:val="auto"/>
          <w:sz w:val="24"/>
          <w:szCs w:val="24"/>
          <w:lang w:eastAsia="en-US"/>
        </w:rPr>
        <w:t xml:space="preserve">  (Accessed on: 28 August 2023).</w:t>
      </w:r>
    </w:p>
    <w:p w14:paraId="29E54F90"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GoSafe (2023</w:t>
      </w:r>
      <w:r w:rsidRPr="00564C75">
        <w:rPr>
          <w:rFonts w:asciiTheme="minorHAnsi" w:eastAsiaTheme="minorHAnsi" w:hAnsiTheme="minorHAnsi" w:cstheme="minorBidi"/>
          <w:i/>
          <w:iCs/>
          <w:color w:val="auto"/>
          <w:sz w:val="24"/>
          <w:szCs w:val="24"/>
          <w:lang w:eastAsia="en-US"/>
        </w:rPr>
        <w:t>) Keeping Welsh Roads Safe</w:t>
      </w:r>
      <w:r w:rsidRPr="00564C75">
        <w:rPr>
          <w:rFonts w:asciiTheme="minorHAnsi" w:eastAsiaTheme="minorHAnsi" w:hAnsiTheme="minorHAnsi" w:cstheme="minorBidi"/>
          <w:color w:val="auto"/>
          <w:sz w:val="24"/>
          <w:szCs w:val="24"/>
          <w:lang w:eastAsia="en-US"/>
        </w:rPr>
        <w:t xml:space="preserve">.  Available at: </w:t>
      </w:r>
      <w:hyperlink r:id="rId29" w:history="1">
        <w:r w:rsidRPr="00564C75">
          <w:rPr>
            <w:rFonts w:asciiTheme="minorHAnsi" w:eastAsiaTheme="minorHAnsi" w:hAnsiTheme="minorHAnsi" w:cstheme="minorBidi"/>
            <w:color w:val="0000FF"/>
            <w:sz w:val="24"/>
            <w:szCs w:val="24"/>
            <w:u w:val="single"/>
            <w:lang w:eastAsia="en-US"/>
          </w:rPr>
          <w:t>GoSafe | Wales Road Casualty Reduction Partnership</w:t>
        </w:r>
      </w:hyperlink>
      <w:r w:rsidRPr="00564C75">
        <w:rPr>
          <w:rFonts w:asciiTheme="minorHAnsi" w:eastAsiaTheme="minorHAnsi" w:hAnsiTheme="minorHAnsi" w:cstheme="minorBidi"/>
          <w:color w:val="auto"/>
          <w:sz w:val="24"/>
          <w:szCs w:val="24"/>
          <w:lang w:eastAsia="en-US"/>
        </w:rPr>
        <w:t xml:space="preserve">  (Accessed on: 28 August 2023).</w:t>
      </w:r>
    </w:p>
    <w:p w14:paraId="5D2A019B"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Heap, V. (2020) ‘Exploring the effects of long-term anti-social behaviour victimisation’, </w:t>
      </w:r>
      <w:r w:rsidRPr="00564C75">
        <w:rPr>
          <w:rFonts w:asciiTheme="minorHAnsi" w:eastAsiaTheme="minorHAnsi" w:hAnsiTheme="minorHAnsi" w:cstheme="minorBidi"/>
          <w:i/>
          <w:iCs/>
          <w:color w:val="auto"/>
          <w:sz w:val="24"/>
          <w:szCs w:val="24"/>
          <w:lang w:eastAsia="en-US"/>
        </w:rPr>
        <w:t>International Review of Victimology</w:t>
      </w:r>
      <w:r w:rsidRPr="00564C75">
        <w:rPr>
          <w:rFonts w:asciiTheme="minorHAnsi" w:eastAsiaTheme="minorHAnsi" w:hAnsiTheme="minorHAnsi" w:cstheme="minorBidi"/>
          <w:color w:val="auto"/>
          <w:sz w:val="24"/>
          <w:szCs w:val="24"/>
          <w:lang w:eastAsia="en-US"/>
        </w:rPr>
        <w:t xml:space="preserve">, 27(2), pp. 227-242.  Available at: </w:t>
      </w:r>
      <w:hyperlink r:id="rId30" w:history="1">
        <w:r w:rsidRPr="00564C75">
          <w:rPr>
            <w:rFonts w:asciiTheme="minorHAnsi" w:eastAsiaTheme="minorHAnsi" w:hAnsiTheme="minorHAnsi" w:cstheme="minorBidi"/>
            <w:color w:val="0000FF"/>
            <w:sz w:val="24"/>
            <w:szCs w:val="24"/>
            <w:u w:val="single"/>
            <w:lang w:eastAsia="en-US"/>
          </w:rPr>
          <w:t>Exploring the effects of long-term anti-social behaviour victimisation (sagepub.com)</w:t>
        </w:r>
      </w:hyperlink>
      <w:r w:rsidRPr="00564C75">
        <w:rPr>
          <w:rFonts w:asciiTheme="minorHAnsi" w:eastAsiaTheme="minorHAnsi" w:hAnsiTheme="minorHAnsi" w:cstheme="minorBidi"/>
          <w:color w:val="auto"/>
          <w:sz w:val="24"/>
          <w:szCs w:val="24"/>
          <w:lang w:eastAsia="en-US"/>
        </w:rPr>
        <w:t xml:space="preserve">  (Accessed on: 16 October 2023).</w:t>
      </w:r>
    </w:p>
    <w:p w14:paraId="2F8C7D4A"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Herrera, J. (2019) </w:t>
      </w:r>
      <w:r w:rsidRPr="00564C75">
        <w:rPr>
          <w:rFonts w:asciiTheme="minorHAnsi" w:eastAsiaTheme="minorHAnsi" w:hAnsiTheme="minorHAnsi" w:cstheme="minorBidi"/>
          <w:i/>
          <w:iCs/>
          <w:color w:val="auto"/>
          <w:sz w:val="24"/>
          <w:szCs w:val="24"/>
          <w:lang w:eastAsia="en-US"/>
        </w:rPr>
        <w:t>The Community Trigger: Where We Are Today</w:t>
      </w:r>
      <w:r w:rsidRPr="00564C75">
        <w:rPr>
          <w:rFonts w:asciiTheme="minorHAnsi" w:eastAsiaTheme="minorHAnsi" w:hAnsiTheme="minorHAnsi" w:cstheme="minorBidi"/>
          <w:color w:val="auto"/>
          <w:sz w:val="24"/>
          <w:szCs w:val="24"/>
          <w:lang w:eastAsia="en-US"/>
        </w:rPr>
        <w:t xml:space="preserve">. ASB Help. Available at: </w:t>
      </w:r>
      <w:hyperlink r:id="rId31" w:history="1">
        <w:r w:rsidRPr="00564C75">
          <w:rPr>
            <w:rFonts w:asciiTheme="minorHAnsi" w:eastAsiaTheme="minorHAnsi" w:hAnsiTheme="minorHAnsi" w:cstheme="minorBidi"/>
            <w:color w:val="0000FF"/>
            <w:sz w:val="24"/>
            <w:szCs w:val="24"/>
            <w:u w:val="single"/>
            <w:lang w:eastAsia="en-US"/>
          </w:rPr>
          <w:t>ASB-Help-The-Community-Trigger.-Where-We-Are-Today.pdf (asbhelp.co.uk)</w:t>
        </w:r>
      </w:hyperlink>
      <w:r w:rsidRPr="00564C75">
        <w:rPr>
          <w:rFonts w:asciiTheme="minorHAnsi" w:eastAsiaTheme="minorHAnsi" w:hAnsiTheme="minorHAnsi" w:cstheme="minorBidi"/>
          <w:color w:val="auto"/>
          <w:sz w:val="24"/>
          <w:szCs w:val="24"/>
          <w:lang w:eastAsia="en-US"/>
        </w:rPr>
        <w:t xml:space="preserve">  (Accessed: 23 October 2023).</w:t>
      </w:r>
    </w:p>
    <w:p w14:paraId="3BAF3B87"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Home Office (2023a) </w:t>
      </w:r>
      <w:r w:rsidRPr="00564C75">
        <w:rPr>
          <w:rFonts w:asciiTheme="minorHAnsi" w:eastAsiaTheme="minorHAnsi" w:hAnsiTheme="minorHAnsi" w:cstheme="minorBidi"/>
          <w:i/>
          <w:iCs/>
          <w:color w:val="auto"/>
          <w:sz w:val="24"/>
          <w:szCs w:val="24"/>
          <w:lang w:eastAsia="en-US"/>
        </w:rPr>
        <w:t>Anti-social behaviour: impacts on individuals and local communities</w:t>
      </w:r>
      <w:r w:rsidRPr="00564C75">
        <w:rPr>
          <w:rFonts w:asciiTheme="minorHAnsi" w:eastAsiaTheme="minorHAnsi" w:hAnsiTheme="minorHAnsi" w:cstheme="minorBidi"/>
          <w:color w:val="auto"/>
          <w:sz w:val="24"/>
          <w:szCs w:val="24"/>
          <w:lang w:eastAsia="en-US"/>
        </w:rPr>
        <w:t xml:space="preserve">. Home Office: London.  Available at: </w:t>
      </w:r>
      <w:hyperlink r:id="rId32" w:history="1">
        <w:r w:rsidRPr="00564C75">
          <w:rPr>
            <w:rFonts w:asciiTheme="minorHAnsi" w:eastAsiaTheme="minorHAnsi" w:hAnsiTheme="minorHAnsi" w:cstheme="minorBidi"/>
            <w:color w:val="0000FF"/>
            <w:sz w:val="24"/>
            <w:szCs w:val="24"/>
            <w:u w:val="single"/>
            <w:lang w:eastAsia="en-US"/>
          </w:rPr>
          <w:t>Anti-social behaviour: impacts on individuals and local communities - GOV.UK (www.gov.uk)</w:t>
        </w:r>
      </w:hyperlink>
      <w:r w:rsidRPr="00564C75">
        <w:rPr>
          <w:rFonts w:asciiTheme="minorHAnsi" w:eastAsiaTheme="minorHAnsi" w:hAnsiTheme="minorHAnsi" w:cstheme="minorBidi"/>
          <w:color w:val="auto"/>
          <w:sz w:val="24"/>
          <w:szCs w:val="24"/>
          <w:lang w:eastAsia="en-US"/>
        </w:rPr>
        <w:t xml:space="preserve">  (Accessed on: 16 October 2023).</w:t>
      </w:r>
    </w:p>
    <w:p w14:paraId="4C8B73FF"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Home Office (2023b) </w:t>
      </w:r>
      <w:r w:rsidRPr="00564C75">
        <w:rPr>
          <w:rFonts w:asciiTheme="minorHAnsi" w:eastAsiaTheme="minorHAnsi" w:hAnsiTheme="minorHAnsi" w:cstheme="minorBidi"/>
          <w:i/>
          <w:iCs/>
          <w:color w:val="auto"/>
          <w:sz w:val="24"/>
          <w:szCs w:val="24"/>
          <w:lang w:eastAsia="en-US"/>
        </w:rPr>
        <w:t>Anti-Social Behaviour Action Plan</w:t>
      </w:r>
      <w:r w:rsidRPr="00564C75">
        <w:rPr>
          <w:rFonts w:asciiTheme="minorHAnsi" w:eastAsiaTheme="minorHAnsi" w:hAnsiTheme="minorHAnsi" w:cstheme="minorBidi"/>
          <w:color w:val="auto"/>
          <w:sz w:val="24"/>
          <w:szCs w:val="24"/>
          <w:lang w:eastAsia="en-US"/>
        </w:rPr>
        <w:t xml:space="preserve">. Home Office: London.  Available at: </w:t>
      </w:r>
      <w:hyperlink r:id="rId33" w:history="1">
        <w:r w:rsidRPr="00564C75">
          <w:rPr>
            <w:rFonts w:asciiTheme="minorHAnsi" w:eastAsiaTheme="minorHAnsi" w:hAnsiTheme="minorHAnsi" w:cstheme="minorBidi"/>
            <w:color w:val="0000FF"/>
            <w:sz w:val="24"/>
            <w:szCs w:val="24"/>
            <w:u w:val="single"/>
            <w:lang w:eastAsia="en-US"/>
          </w:rPr>
          <w:t>Anti-Social Behaviour Action Plan - GOV.UK (www.gov.uk)</w:t>
        </w:r>
      </w:hyperlink>
      <w:r w:rsidRPr="00564C75">
        <w:rPr>
          <w:rFonts w:asciiTheme="minorHAnsi" w:eastAsiaTheme="minorHAnsi" w:hAnsiTheme="minorHAnsi" w:cstheme="minorBidi"/>
          <w:color w:val="auto"/>
          <w:sz w:val="24"/>
          <w:szCs w:val="24"/>
          <w:lang w:eastAsia="en-US"/>
        </w:rPr>
        <w:t xml:space="preserve">  (Accessed on: 17 October 2023).</w:t>
      </w:r>
    </w:p>
    <w:p w14:paraId="1CEDE231"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IOPC (2023) </w:t>
      </w:r>
      <w:r w:rsidRPr="00564C75">
        <w:rPr>
          <w:rFonts w:asciiTheme="minorHAnsi" w:eastAsiaTheme="minorHAnsi" w:hAnsiTheme="minorHAnsi" w:cstheme="minorBidi"/>
          <w:i/>
          <w:iCs/>
          <w:color w:val="auto"/>
          <w:sz w:val="24"/>
          <w:szCs w:val="24"/>
          <w:lang w:eastAsia="en-US"/>
        </w:rPr>
        <w:t>IOPC publishes figures on deaths during or following police contact for 2022/23</w:t>
      </w:r>
      <w:r w:rsidRPr="00564C75">
        <w:rPr>
          <w:rFonts w:asciiTheme="minorHAnsi" w:eastAsiaTheme="minorHAnsi" w:hAnsiTheme="minorHAnsi" w:cstheme="minorBidi"/>
          <w:color w:val="auto"/>
          <w:sz w:val="24"/>
          <w:szCs w:val="24"/>
          <w:lang w:eastAsia="en-US"/>
        </w:rPr>
        <w:t xml:space="preserve">.  Available at: </w:t>
      </w:r>
      <w:hyperlink r:id="rId34" w:anchor=":~:text=There%20were%20three%20fatal%20police,18%20police%20pursuit%2Drelated%20incidents." w:history="1">
        <w:r w:rsidRPr="00564C75">
          <w:rPr>
            <w:rFonts w:asciiTheme="minorHAnsi" w:eastAsiaTheme="minorHAnsi" w:hAnsiTheme="minorHAnsi" w:cstheme="minorBidi"/>
            <w:color w:val="0000FF"/>
            <w:sz w:val="24"/>
            <w:szCs w:val="24"/>
            <w:u w:val="single"/>
            <w:lang w:eastAsia="en-US"/>
          </w:rPr>
          <w:t>IOPC publishes figures on deaths during or following police contact for 2022/23 | Independent Office for Police Conduct (IOPC)</w:t>
        </w:r>
      </w:hyperlink>
      <w:r w:rsidRPr="00564C75">
        <w:rPr>
          <w:rFonts w:asciiTheme="minorHAnsi" w:eastAsiaTheme="minorHAnsi" w:hAnsiTheme="minorHAnsi" w:cstheme="minorBidi"/>
          <w:color w:val="auto"/>
          <w:sz w:val="24"/>
          <w:szCs w:val="24"/>
          <w:lang w:eastAsia="en-US"/>
        </w:rPr>
        <w:t xml:space="preserve">  (Accessed on: 26 August 2023).</w:t>
      </w:r>
    </w:p>
    <w:p w14:paraId="6D0B427F"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Jateikiene, L., Andriejauskas, T., Lingyte, I. and Jasiuniene, V. (2016) ‘Impact assessment of speed calming measures on road safety’, </w:t>
      </w:r>
      <w:r w:rsidRPr="00564C75">
        <w:rPr>
          <w:rFonts w:asciiTheme="minorHAnsi" w:eastAsiaTheme="minorHAnsi" w:hAnsiTheme="minorHAnsi" w:cstheme="minorBidi"/>
          <w:i/>
          <w:iCs/>
          <w:color w:val="auto"/>
          <w:sz w:val="24"/>
          <w:szCs w:val="24"/>
          <w:lang w:eastAsia="en-US"/>
        </w:rPr>
        <w:t>Transportation Research Procedia</w:t>
      </w:r>
      <w:r w:rsidRPr="00564C75">
        <w:rPr>
          <w:rFonts w:asciiTheme="minorHAnsi" w:eastAsiaTheme="minorHAnsi" w:hAnsiTheme="minorHAnsi" w:cstheme="minorBidi"/>
          <w:color w:val="auto"/>
          <w:sz w:val="24"/>
          <w:szCs w:val="24"/>
          <w:lang w:eastAsia="en-US"/>
        </w:rPr>
        <w:t xml:space="preserve">, 14, pp. 4228-4238.  Available at: </w:t>
      </w:r>
      <w:hyperlink r:id="rId35" w:history="1">
        <w:r w:rsidRPr="00564C75">
          <w:rPr>
            <w:rFonts w:asciiTheme="minorHAnsi" w:eastAsiaTheme="minorHAnsi" w:hAnsiTheme="minorHAnsi" w:cstheme="minorBidi"/>
            <w:color w:val="0000FF"/>
            <w:sz w:val="24"/>
            <w:szCs w:val="24"/>
            <w:u w:val="single"/>
            <w:lang w:eastAsia="en-US"/>
          </w:rPr>
          <w:t>Impact Assessment of Speed Calming Measures on Road Safety (core.ac.uk)</w:t>
        </w:r>
      </w:hyperlink>
      <w:r w:rsidRPr="00564C75">
        <w:rPr>
          <w:rFonts w:asciiTheme="minorHAnsi" w:eastAsiaTheme="minorHAnsi" w:hAnsiTheme="minorHAnsi" w:cstheme="minorBidi"/>
          <w:color w:val="auto"/>
          <w:sz w:val="24"/>
          <w:szCs w:val="24"/>
          <w:lang w:eastAsia="en-US"/>
        </w:rPr>
        <w:t xml:space="preserve">  (Accessed on: 26 August 2023).</w:t>
      </w:r>
    </w:p>
    <w:p w14:paraId="6402F407"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London Assembly (2022) </w:t>
      </w:r>
      <w:r w:rsidRPr="00564C75">
        <w:rPr>
          <w:rFonts w:asciiTheme="minorHAnsi" w:eastAsiaTheme="minorHAnsi" w:hAnsiTheme="minorHAnsi" w:cstheme="minorBidi"/>
          <w:i/>
          <w:iCs/>
          <w:color w:val="auto"/>
          <w:sz w:val="24"/>
          <w:szCs w:val="24"/>
          <w:lang w:eastAsia="en-US"/>
        </w:rPr>
        <w:t>Calls for a commission on knife crime in the black community</w:t>
      </w:r>
      <w:r w:rsidRPr="00564C75">
        <w:rPr>
          <w:rFonts w:asciiTheme="minorHAnsi" w:eastAsiaTheme="minorHAnsi" w:hAnsiTheme="minorHAnsi" w:cstheme="minorBidi"/>
          <w:color w:val="auto"/>
          <w:sz w:val="24"/>
          <w:szCs w:val="24"/>
          <w:lang w:eastAsia="en-US"/>
        </w:rPr>
        <w:t xml:space="preserve">, London Assembly.  Available at: </w:t>
      </w:r>
      <w:hyperlink r:id="rId36" w:history="1">
        <w:r w:rsidRPr="00564C75">
          <w:rPr>
            <w:rFonts w:asciiTheme="minorHAnsi" w:eastAsiaTheme="minorHAnsi" w:hAnsiTheme="minorHAnsi" w:cstheme="minorBidi"/>
            <w:color w:val="0000FF"/>
            <w:sz w:val="24"/>
            <w:szCs w:val="24"/>
            <w:u w:val="single"/>
            <w:lang w:eastAsia="en-US"/>
          </w:rPr>
          <w:t>Calls for a commission on knife crime in the black community | London City Hall</w:t>
        </w:r>
      </w:hyperlink>
      <w:r w:rsidRPr="00564C75">
        <w:rPr>
          <w:rFonts w:asciiTheme="minorHAnsi" w:eastAsiaTheme="minorHAnsi" w:hAnsiTheme="minorHAnsi" w:cstheme="minorBidi"/>
          <w:color w:val="auto"/>
          <w:sz w:val="24"/>
          <w:szCs w:val="24"/>
          <w:lang w:eastAsia="en-US"/>
        </w:rPr>
        <w:t xml:space="preserve">  (Accessed on: 12 October 2023).</w:t>
      </w:r>
    </w:p>
    <w:p w14:paraId="60588DFA"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lastRenderedPageBreak/>
        <w:t xml:space="preserve">Norbury, F. (2020) </w:t>
      </w:r>
      <w:r w:rsidRPr="00564C75">
        <w:rPr>
          <w:rFonts w:asciiTheme="minorHAnsi" w:eastAsiaTheme="minorHAnsi" w:hAnsiTheme="minorHAnsi" w:cstheme="minorBidi"/>
          <w:i/>
          <w:iCs/>
          <w:color w:val="auto"/>
          <w:sz w:val="24"/>
          <w:szCs w:val="24"/>
          <w:lang w:eastAsia="en-US"/>
        </w:rPr>
        <w:t>Roads policing and its contribution to road safety, Parliamentary Advisory Council for Transport Safety</w:t>
      </w:r>
      <w:r w:rsidRPr="00564C75">
        <w:rPr>
          <w:rFonts w:asciiTheme="minorHAnsi" w:eastAsiaTheme="minorHAnsi" w:hAnsiTheme="minorHAnsi" w:cstheme="minorBidi"/>
          <w:color w:val="auto"/>
          <w:sz w:val="24"/>
          <w:szCs w:val="24"/>
          <w:lang w:eastAsia="en-US"/>
        </w:rPr>
        <w:t xml:space="preserve">.  Available at: </w:t>
      </w:r>
      <w:hyperlink r:id="rId37" w:history="1">
        <w:r w:rsidRPr="00564C75">
          <w:rPr>
            <w:rFonts w:asciiTheme="minorHAnsi" w:eastAsiaTheme="minorHAnsi" w:hAnsiTheme="minorHAnsi" w:cstheme="minorBidi"/>
            <w:color w:val="0000FF"/>
            <w:sz w:val="24"/>
            <w:szCs w:val="24"/>
            <w:u w:val="single"/>
            <w:lang w:eastAsia="en-US"/>
          </w:rPr>
          <w:t>Back Cover.jpg (pacts.org.uk)</w:t>
        </w:r>
      </w:hyperlink>
      <w:r w:rsidRPr="00564C75">
        <w:rPr>
          <w:rFonts w:asciiTheme="minorHAnsi" w:eastAsiaTheme="minorHAnsi" w:hAnsiTheme="minorHAnsi" w:cstheme="minorBidi"/>
          <w:color w:val="auto"/>
          <w:sz w:val="24"/>
          <w:szCs w:val="24"/>
          <w:lang w:eastAsia="en-US"/>
        </w:rPr>
        <w:t xml:space="preserve">  (Accessed on: 28 August 2023).</w:t>
      </w:r>
    </w:p>
    <w:p w14:paraId="404B9D11"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NPCC (2022) </w:t>
      </w:r>
      <w:r w:rsidRPr="00564C75">
        <w:rPr>
          <w:rFonts w:asciiTheme="minorHAnsi" w:eastAsiaTheme="minorHAnsi" w:hAnsiTheme="minorHAnsi" w:cstheme="minorBidi"/>
          <w:i/>
          <w:iCs/>
          <w:color w:val="auto"/>
          <w:sz w:val="24"/>
          <w:szCs w:val="24"/>
          <w:lang w:eastAsia="en-US"/>
        </w:rPr>
        <w:t>National Roads Policing Strategy 2022 – 2025</w:t>
      </w:r>
      <w:r w:rsidRPr="00564C75">
        <w:rPr>
          <w:rFonts w:asciiTheme="minorHAnsi" w:eastAsiaTheme="minorHAnsi" w:hAnsiTheme="minorHAnsi" w:cstheme="minorBidi"/>
          <w:color w:val="auto"/>
          <w:sz w:val="24"/>
          <w:szCs w:val="24"/>
          <w:lang w:eastAsia="en-US"/>
        </w:rPr>
        <w:t xml:space="preserve">.  Available at: </w:t>
      </w:r>
      <w:hyperlink r:id="rId38" w:history="1">
        <w:r w:rsidRPr="00564C75">
          <w:rPr>
            <w:rFonts w:asciiTheme="minorHAnsi" w:eastAsiaTheme="minorHAnsi" w:hAnsiTheme="minorHAnsi" w:cstheme="minorBidi"/>
            <w:color w:val="0000FF"/>
            <w:sz w:val="24"/>
            <w:szCs w:val="24"/>
            <w:u w:val="single"/>
            <w:lang w:eastAsia="en-US"/>
          </w:rPr>
          <w:t>PowerPoint Presentation (college.police.uk)</w:t>
        </w:r>
      </w:hyperlink>
      <w:r w:rsidRPr="00564C75">
        <w:rPr>
          <w:rFonts w:asciiTheme="minorHAnsi" w:eastAsiaTheme="minorHAnsi" w:hAnsiTheme="minorHAnsi" w:cstheme="minorBidi"/>
          <w:color w:val="auto"/>
          <w:sz w:val="24"/>
          <w:szCs w:val="24"/>
          <w:lang w:eastAsia="en-US"/>
        </w:rPr>
        <w:t xml:space="preserve">  (Accessed on: 23 August 2023).</w:t>
      </w:r>
    </w:p>
    <w:p w14:paraId="2FD56893"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Off Your Bike (2023) </w:t>
      </w:r>
      <w:r w:rsidRPr="00564C75">
        <w:rPr>
          <w:rFonts w:asciiTheme="minorHAnsi" w:eastAsiaTheme="minorHAnsi" w:hAnsiTheme="minorHAnsi" w:cstheme="minorBidi"/>
          <w:i/>
          <w:iCs/>
          <w:color w:val="auto"/>
          <w:sz w:val="24"/>
          <w:szCs w:val="24"/>
          <w:lang w:eastAsia="en-US"/>
        </w:rPr>
        <w:t>Accident Stats &amp; Prevention, Motorcyclist Safety</w:t>
      </w:r>
      <w:r w:rsidRPr="00564C75">
        <w:rPr>
          <w:rFonts w:asciiTheme="minorHAnsi" w:eastAsiaTheme="minorHAnsi" w:hAnsiTheme="minorHAnsi" w:cstheme="minorBidi"/>
          <w:color w:val="auto"/>
          <w:sz w:val="24"/>
          <w:szCs w:val="24"/>
          <w:lang w:eastAsia="en-US"/>
        </w:rPr>
        <w:t xml:space="preserve">.  Available at: </w:t>
      </w:r>
      <w:hyperlink r:id="rId39" w:history="1">
        <w:r w:rsidRPr="00564C75">
          <w:rPr>
            <w:rFonts w:asciiTheme="minorHAnsi" w:eastAsiaTheme="minorHAnsi" w:hAnsiTheme="minorHAnsi" w:cstheme="minorBidi"/>
            <w:color w:val="0000FF"/>
            <w:sz w:val="24"/>
            <w:szCs w:val="24"/>
            <w:u w:val="single"/>
            <w:lang w:eastAsia="en-US"/>
          </w:rPr>
          <w:t>Off Your Bike | Motorcyclist Safety</w:t>
        </w:r>
      </w:hyperlink>
      <w:r w:rsidRPr="00564C75">
        <w:rPr>
          <w:rFonts w:asciiTheme="minorHAnsi" w:eastAsiaTheme="minorHAnsi" w:hAnsiTheme="minorHAnsi" w:cstheme="minorBidi"/>
          <w:color w:val="auto"/>
          <w:sz w:val="24"/>
          <w:szCs w:val="24"/>
          <w:lang w:eastAsia="en-US"/>
        </w:rPr>
        <w:t xml:space="preserve">  (Accessed on: 21 August 2023).</w:t>
      </w:r>
    </w:p>
    <w:p w14:paraId="29198940"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Office for National Statistics (2023a) Homicide in England and Wales: year ending March 2022.  Available at: </w:t>
      </w:r>
      <w:hyperlink r:id="rId40" w:history="1">
        <w:r w:rsidRPr="00564C75">
          <w:rPr>
            <w:rFonts w:asciiTheme="minorHAnsi" w:eastAsiaTheme="minorHAnsi" w:hAnsiTheme="minorHAnsi" w:cstheme="minorBidi"/>
            <w:color w:val="0000FF"/>
            <w:sz w:val="24"/>
            <w:szCs w:val="24"/>
            <w:u w:val="single"/>
            <w:lang w:eastAsia="en-US"/>
          </w:rPr>
          <w:t>Homicide in England and Wales - Office for National Statistics (ons.gov.uk)</w:t>
        </w:r>
      </w:hyperlink>
      <w:r w:rsidRPr="00564C75">
        <w:rPr>
          <w:rFonts w:asciiTheme="minorHAnsi" w:eastAsiaTheme="minorHAnsi" w:hAnsiTheme="minorHAnsi" w:cstheme="minorBidi"/>
          <w:color w:val="auto"/>
          <w:sz w:val="24"/>
          <w:szCs w:val="24"/>
          <w:lang w:eastAsia="en-US"/>
        </w:rPr>
        <w:t xml:space="preserve">  (Accessed on: 11 October 2023).</w:t>
      </w:r>
    </w:p>
    <w:p w14:paraId="53B3186B"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Office for National Statistics (2023b) Crime in England and Wales: year ending March 2023.  Available at: </w:t>
      </w:r>
      <w:hyperlink r:id="rId41" w:history="1">
        <w:r w:rsidRPr="00564C75">
          <w:rPr>
            <w:rFonts w:asciiTheme="minorHAnsi" w:eastAsiaTheme="minorHAnsi" w:hAnsiTheme="minorHAnsi" w:cstheme="minorBidi"/>
            <w:color w:val="0000FF"/>
            <w:sz w:val="24"/>
            <w:szCs w:val="24"/>
            <w:u w:val="single"/>
            <w:lang w:eastAsia="en-US"/>
          </w:rPr>
          <w:t>Crime in England and Wales - Office for National Statistics (ons.gov.uk)</w:t>
        </w:r>
      </w:hyperlink>
      <w:r w:rsidRPr="00564C75">
        <w:rPr>
          <w:rFonts w:asciiTheme="minorHAnsi" w:eastAsiaTheme="minorHAnsi" w:hAnsiTheme="minorHAnsi" w:cstheme="minorBidi"/>
          <w:color w:val="auto"/>
          <w:sz w:val="24"/>
          <w:szCs w:val="24"/>
          <w:lang w:eastAsia="en-US"/>
        </w:rPr>
        <w:t xml:space="preserve">  (Accessed on: 16 October 2023).</w:t>
      </w:r>
    </w:p>
    <w:p w14:paraId="18BC953E"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POLFED (2023) </w:t>
      </w:r>
      <w:r w:rsidRPr="00564C75">
        <w:rPr>
          <w:rFonts w:asciiTheme="minorHAnsi" w:eastAsiaTheme="minorHAnsi" w:hAnsiTheme="minorHAnsi" w:cstheme="minorBidi"/>
          <w:i/>
          <w:iCs/>
          <w:color w:val="auto"/>
          <w:sz w:val="24"/>
          <w:szCs w:val="24"/>
          <w:lang w:eastAsia="en-US"/>
        </w:rPr>
        <w:t>The challenge of policing e-bikes</w:t>
      </w:r>
      <w:r w:rsidRPr="00564C75">
        <w:rPr>
          <w:rFonts w:asciiTheme="minorHAnsi" w:eastAsiaTheme="minorHAnsi" w:hAnsiTheme="minorHAnsi" w:cstheme="minorBidi"/>
          <w:color w:val="auto"/>
          <w:sz w:val="24"/>
          <w:szCs w:val="24"/>
          <w:lang w:eastAsia="en-US"/>
        </w:rPr>
        <w:t xml:space="preserve">.  Available at: </w:t>
      </w:r>
      <w:hyperlink r:id="rId42" w:history="1">
        <w:r w:rsidRPr="00564C75">
          <w:rPr>
            <w:rFonts w:asciiTheme="minorHAnsi" w:eastAsiaTheme="minorHAnsi" w:hAnsiTheme="minorHAnsi" w:cstheme="minorBidi"/>
            <w:color w:val="0000FF"/>
            <w:sz w:val="24"/>
            <w:szCs w:val="24"/>
            <w:u w:val="single"/>
            <w:lang w:eastAsia="en-US"/>
          </w:rPr>
          <w:t>The challenge of policing e-bikes (polfed.org)</w:t>
        </w:r>
      </w:hyperlink>
      <w:r w:rsidRPr="00564C75">
        <w:rPr>
          <w:rFonts w:asciiTheme="minorHAnsi" w:eastAsiaTheme="minorHAnsi" w:hAnsiTheme="minorHAnsi" w:cstheme="minorBidi"/>
          <w:color w:val="auto"/>
          <w:sz w:val="24"/>
          <w:szCs w:val="24"/>
          <w:lang w:eastAsia="en-US"/>
        </w:rPr>
        <w:t xml:space="preserve">  (Accessed on: 24 August 2023).</w:t>
      </w:r>
    </w:p>
    <w:p w14:paraId="15B6333C"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Police and Crime Commissioner (2021a) </w:t>
      </w:r>
      <w:r w:rsidRPr="00564C75">
        <w:rPr>
          <w:rFonts w:asciiTheme="minorHAnsi" w:eastAsiaTheme="minorHAnsi" w:hAnsiTheme="minorHAnsi" w:cstheme="minorBidi"/>
          <w:i/>
          <w:iCs/>
          <w:color w:val="auto"/>
          <w:sz w:val="24"/>
          <w:szCs w:val="24"/>
          <w:lang w:eastAsia="en-US"/>
        </w:rPr>
        <w:t>South Wales Police and Crime Plan 2021 – 2025, Executive Summary</w:t>
      </w:r>
      <w:r w:rsidRPr="00564C75">
        <w:rPr>
          <w:rFonts w:asciiTheme="minorHAnsi" w:eastAsiaTheme="minorHAnsi" w:hAnsiTheme="minorHAnsi" w:cstheme="minorBidi"/>
          <w:color w:val="auto"/>
          <w:sz w:val="24"/>
          <w:szCs w:val="24"/>
          <w:lang w:eastAsia="en-US"/>
        </w:rPr>
        <w:t xml:space="preserve">.  Available at: </w:t>
      </w:r>
      <w:hyperlink r:id="rId43" w:history="1">
        <w:r w:rsidRPr="00564C75">
          <w:rPr>
            <w:rFonts w:asciiTheme="minorHAnsi" w:eastAsiaTheme="minorHAnsi" w:hAnsiTheme="minorHAnsi" w:cstheme="minorBidi"/>
            <w:color w:val="0000FF"/>
            <w:sz w:val="24"/>
            <w:szCs w:val="24"/>
            <w:u w:val="single"/>
            <w:lang w:eastAsia="en-US"/>
          </w:rPr>
          <w:t>eng-police-and-crime-plan-2021-25.pdf (apccs.police.uk)</w:t>
        </w:r>
      </w:hyperlink>
      <w:r w:rsidRPr="00564C75">
        <w:rPr>
          <w:rFonts w:asciiTheme="minorHAnsi" w:eastAsiaTheme="minorHAnsi" w:hAnsiTheme="minorHAnsi" w:cstheme="minorBidi"/>
          <w:color w:val="auto"/>
          <w:sz w:val="24"/>
          <w:szCs w:val="24"/>
          <w:lang w:eastAsia="en-US"/>
        </w:rPr>
        <w:t xml:space="preserve">  (Accessed on: 25 October 2023).</w:t>
      </w:r>
    </w:p>
    <w:p w14:paraId="09D831C2"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Police and Crime Commissioner (2021b) </w:t>
      </w:r>
      <w:r w:rsidRPr="00564C75">
        <w:rPr>
          <w:rFonts w:asciiTheme="minorHAnsi" w:eastAsiaTheme="minorHAnsi" w:hAnsiTheme="minorHAnsi" w:cstheme="minorBidi"/>
          <w:i/>
          <w:iCs/>
          <w:color w:val="auto"/>
          <w:sz w:val="24"/>
          <w:szCs w:val="24"/>
          <w:lang w:eastAsia="en-US"/>
        </w:rPr>
        <w:t>Supporting Victims &amp; Witnesses, A Joint Strategy for South Wales 2021 – 2026</w:t>
      </w:r>
      <w:r w:rsidRPr="00564C75">
        <w:rPr>
          <w:rFonts w:asciiTheme="minorHAnsi" w:eastAsiaTheme="minorHAnsi" w:hAnsiTheme="minorHAnsi" w:cstheme="minorBidi"/>
          <w:color w:val="auto"/>
          <w:sz w:val="24"/>
          <w:szCs w:val="24"/>
          <w:lang w:eastAsia="en-US"/>
        </w:rPr>
        <w:t xml:space="preserve">.  Available at: </w:t>
      </w:r>
      <w:hyperlink r:id="rId44" w:history="1">
        <w:r w:rsidRPr="00564C75">
          <w:rPr>
            <w:rFonts w:asciiTheme="minorHAnsi" w:eastAsiaTheme="minorHAnsi" w:hAnsiTheme="minorHAnsi" w:cstheme="minorBidi"/>
            <w:color w:val="0000FF"/>
            <w:sz w:val="24"/>
            <w:szCs w:val="24"/>
            <w:u w:val="single"/>
            <w:lang w:eastAsia="en-US"/>
          </w:rPr>
          <w:t>Layout 1 (south-wales.police.uk)</w:t>
        </w:r>
      </w:hyperlink>
      <w:r w:rsidRPr="00564C75">
        <w:rPr>
          <w:rFonts w:asciiTheme="minorHAnsi" w:eastAsiaTheme="minorHAnsi" w:hAnsiTheme="minorHAnsi" w:cstheme="minorBidi"/>
          <w:color w:val="auto"/>
          <w:sz w:val="24"/>
          <w:szCs w:val="24"/>
          <w:lang w:eastAsia="en-US"/>
        </w:rPr>
        <w:t xml:space="preserve">  (Accessed on: 25 October 2023).</w:t>
      </w:r>
    </w:p>
    <w:p w14:paraId="45F9925A"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Rabone, E. (2023) </w:t>
      </w:r>
      <w:r w:rsidRPr="00564C75">
        <w:rPr>
          <w:rFonts w:asciiTheme="minorHAnsi" w:eastAsiaTheme="minorHAnsi" w:hAnsiTheme="minorHAnsi" w:cstheme="minorBidi"/>
          <w:i/>
          <w:iCs/>
          <w:color w:val="auto"/>
          <w:sz w:val="24"/>
          <w:szCs w:val="24"/>
          <w:lang w:eastAsia="en-US"/>
        </w:rPr>
        <w:t>UK Motorcycle Accident Statistics: The Complete 2023 Guide</w:t>
      </w:r>
      <w:r w:rsidRPr="00564C75">
        <w:rPr>
          <w:rFonts w:asciiTheme="minorHAnsi" w:eastAsiaTheme="minorHAnsi" w:hAnsiTheme="minorHAnsi" w:cstheme="minorBidi"/>
          <w:color w:val="auto"/>
          <w:sz w:val="24"/>
          <w:szCs w:val="24"/>
          <w:lang w:eastAsia="en-US"/>
        </w:rPr>
        <w:t xml:space="preserve">. Available at: </w:t>
      </w:r>
      <w:hyperlink r:id="rId45" w:history="1">
        <w:r w:rsidRPr="00564C75">
          <w:rPr>
            <w:rFonts w:asciiTheme="minorHAnsi" w:eastAsiaTheme="minorHAnsi" w:hAnsiTheme="minorHAnsi" w:cstheme="minorBidi"/>
            <w:color w:val="0000FF"/>
            <w:sz w:val="24"/>
            <w:szCs w:val="24"/>
            <w:u w:val="single"/>
            <w:lang w:eastAsia="en-US"/>
          </w:rPr>
          <w:t>UK Motorcycle Accident Statistics: The Complete 2023 Guide (begin-motorcycling.co.uk)</w:t>
        </w:r>
      </w:hyperlink>
      <w:r w:rsidRPr="00564C75">
        <w:rPr>
          <w:rFonts w:asciiTheme="minorHAnsi" w:eastAsiaTheme="minorHAnsi" w:hAnsiTheme="minorHAnsi" w:cstheme="minorBidi"/>
          <w:color w:val="auto"/>
          <w:sz w:val="24"/>
          <w:szCs w:val="24"/>
          <w:lang w:eastAsia="en-US"/>
        </w:rPr>
        <w:t xml:space="preserve">  (Accessed on: 21 August 2023).</w:t>
      </w:r>
    </w:p>
    <w:p w14:paraId="12706D5A"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Resolve (2022) </w:t>
      </w:r>
      <w:r w:rsidRPr="00564C75">
        <w:rPr>
          <w:rFonts w:asciiTheme="minorHAnsi" w:eastAsiaTheme="minorHAnsi" w:hAnsiTheme="minorHAnsi" w:cstheme="minorBidi"/>
          <w:i/>
          <w:iCs/>
          <w:color w:val="auto"/>
          <w:sz w:val="24"/>
          <w:szCs w:val="24"/>
          <w:lang w:eastAsia="en-US"/>
        </w:rPr>
        <w:t>We hear you – A victim-focused approach to community safety</w:t>
      </w:r>
      <w:r w:rsidRPr="00564C75">
        <w:rPr>
          <w:rFonts w:asciiTheme="minorHAnsi" w:eastAsiaTheme="minorHAnsi" w:hAnsiTheme="minorHAnsi" w:cstheme="minorBidi"/>
          <w:color w:val="auto"/>
          <w:sz w:val="24"/>
          <w:szCs w:val="24"/>
          <w:lang w:eastAsia="en-US"/>
        </w:rPr>
        <w:t xml:space="preserve">.  Available at: </w:t>
      </w:r>
      <w:hyperlink r:id="rId46" w:history="1">
        <w:r w:rsidRPr="00564C75">
          <w:rPr>
            <w:rFonts w:asciiTheme="minorHAnsi" w:eastAsiaTheme="minorHAnsi" w:hAnsiTheme="minorHAnsi" w:cstheme="minorBidi"/>
            <w:color w:val="0000FF"/>
            <w:sz w:val="24"/>
            <w:szCs w:val="24"/>
            <w:u w:val="single"/>
            <w:lang w:eastAsia="en-US"/>
          </w:rPr>
          <w:t>YouGov_Report.pdf (resolveuk.org.uk)</w:t>
        </w:r>
      </w:hyperlink>
      <w:r w:rsidRPr="00564C75">
        <w:rPr>
          <w:rFonts w:asciiTheme="minorHAnsi" w:eastAsiaTheme="minorHAnsi" w:hAnsiTheme="minorHAnsi" w:cstheme="minorBidi"/>
          <w:color w:val="auto"/>
          <w:sz w:val="24"/>
          <w:szCs w:val="24"/>
          <w:lang w:eastAsia="en-US"/>
        </w:rPr>
        <w:t xml:space="preserve">  (Accessed on: 25 October 2023). </w:t>
      </w:r>
    </w:p>
    <w:p w14:paraId="7E1FC353"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The Ben Kinsella Trust (2023) </w:t>
      </w:r>
      <w:r w:rsidRPr="00564C75">
        <w:rPr>
          <w:rFonts w:asciiTheme="minorHAnsi" w:eastAsiaTheme="minorHAnsi" w:hAnsiTheme="minorHAnsi" w:cstheme="minorBidi"/>
          <w:i/>
          <w:iCs/>
          <w:color w:val="auto"/>
          <w:sz w:val="24"/>
          <w:szCs w:val="24"/>
          <w:lang w:eastAsia="en-US"/>
        </w:rPr>
        <w:t>Knife Crime Statistics</w:t>
      </w:r>
      <w:r w:rsidRPr="00564C75">
        <w:rPr>
          <w:rFonts w:asciiTheme="minorHAnsi" w:eastAsiaTheme="minorHAnsi" w:hAnsiTheme="minorHAnsi" w:cstheme="minorBidi"/>
          <w:color w:val="auto"/>
          <w:sz w:val="24"/>
          <w:szCs w:val="24"/>
          <w:lang w:eastAsia="en-US"/>
        </w:rPr>
        <w:t xml:space="preserve">.  Available at: </w:t>
      </w:r>
      <w:hyperlink r:id="rId47" w:history="1">
        <w:r w:rsidRPr="00564C75">
          <w:rPr>
            <w:rFonts w:asciiTheme="minorHAnsi" w:eastAsiaTheme="minorHAnsi" w:hAnsiTheme="minorHAnsi" w:cstheme="minorBidi"/>
            <w:color w:val="0000FF"/>
            <w:sz w:val="24"/>
            <w:szCs w:val="24"/>
            <w:u w:val="single"/>
            <w:lang w:eastAsia="en-US"/>
          </w:rPr>
          <w:t>Knife Crime Statistics | The Ben Kinsella Trust</w:t>
        </w:r>
      </w:hyperlink>
      <w:r w:rsidRPr="00564C75">
        <w:rPr>
          <w:rFonts w:asciiTheme="minorHAnsi" w:eastAsiaTheme="minorHAnsi" w:hAnsiTheme="minorHAnsi" w:cstheme="minorBidi"/>
          <w:color w:val="auto"/>
          <w:sz w:val="24"/>
          <w:szCs w:val="24"/>
          <w:lang w:eastAsia="en-US"/>
        </w:rPr>
        <w:t xml:space="preserve">  (Accessed on: 17 September 2023).</w:t>
      </w:r>
    </w:p>
    <w:p w14:paraId="239538BF"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Victims Commissioner (2019) </w:t>
      </w:r>
      <w:r w:rsidRPr="00564C75">
        <w:rPr>
          <w:rFonts w:asciiTheme="minorHAnsi" w:eastAsiaTheme="minorHAnsi" w:hAnsiTheme="minorHAnsi" w:cstheme="minorBidi"/>
          <w:i/>
          <w:iCs/>
          <w:color w:val="auto"/>
          <w:sz w:val="24"/>
          <w:szCs w:val="24"/>
          <w:lang w:eastAsia="en-US"/>
        </w:rPr>
        <w:t>Anti-Social Behaviour: Living a Nightmare</w:t>
      </w:r>
      <w:r w:rsidRPr="00564C75">
        <w:rPr>
          <w:rFonts w:asciiTheme="minorHAnsi" w:eastAsiaTheme="minorHAnsi" w:hAnsiTheme="minorHAnsi" w:cstheme="minorBidi"/>
          <w:color w:val="auto"/>
          <w:sz w:val="24"/>
          <w:szCs w:val="24"/>
          <w:lang w:eastAsia="en-US"/>
        </w:rPr>
        <w:t xml:space="preserve">. Victims’ Commissioner for England and Wales, ASB Help &amp; Nottingham Trent University.  Available at: </w:t>
      </w:r>
      <w:hyperlink r:id="rId48" w:history="1">
        <w:r w:rsidRPr="00564C75">
          <w:rPr>
            <w:rFonts w:asciiTheme="minorHAnsi" w:eastAsiaTheme="minorHAnsi" w:hAnsiTheme="minorHAnsi" w:cstheme="minorBidi"/>
            <w:color w:val="0000FF"/>
            <w:sz w:val="24"/>
            <w:szCs w:val="24"/>
            <w:u w:val="single"/>
            <w:lang w:eastAsia="en-US"/>
          </w:rPr>
          <w:t>ASB-report.pdf (cloud-platform-e218f50a4812967ba1215eaecede923f.s3.amazonaws.com)</w:t>
        </w:r>
      </w:hyperlink>
      <w:r w:rsidRPr="00564C75">
        <w:rPr>
          <w:rFonts w:asciiTheme="minorHAnsi" w:eastAsiaTheme="minorHAnsi" w:hAnsiTheme="minorHAnsi" w:cstheme="minorBidi"/>
          <w:color w:val="auto"/>
          <w:sz w:val="24"/>
          <w:szCs w:val="24"/>
          <w:lang w:eastAsia="en-US"/>
        </w:rPr>
        <w:t xml:space="preserve">  (Accessed: 23 October 2023).</w:t>
      </w:r>
    </w:p>
    <w:p w14:paraId="2EAEB8F3"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Vinnakota, D. </w:t>
      </w:r>
      <w:r w:rsidRPr="00564C75">
        <w:rPr>
          <w:rFonts w:asciiTheme="minorHAnsi" w:eastAsiaTheme="minorHAnsi" w:hAnsiTheme="minorHAnsi" w:cstheme="minorBidi"/>
          <w:i/>
          <w:iCs/>
          <w:color w:val="auto"/>
          <w:sz w:val="24"/>
          <w:szCs w:val="24"/>
          <w:lang w:eastAsia="en-US"/>
        </w:rPr>
        <w:t>et al.</w:t>
      </w:r>
      <w:r w:rsidRPr="00564C75">
        <w:rPr>
          <w:rFonts w:asciiTheme="minorHAnsi" w:eastAsiaTheme="minorHAnsi" w:hAnsiTheme="minorHAnsi" w:cstheme="minorBidi"/>
          <w:color w:val="auto"/>
          <w:sz w:val="24"/>
          <w:szCs w:val="24"/>
          <w:lang w:eastAsia="en-US"/>
        </w:rPr>
        <w:t xml:space="preserve"> (2022) ‘Exploring UK knife crime and its associated factors: A content analysis of online newspapers’, </w:t>
      </w:r>
      <w:r w:rsidRPr="00564C75">
        <w:rPr>
          <w:rFonts w:asciiTheme="minorHAnsi" w:eastAsiaTheme="minorHAnsi" w:hAnsiTheme="minorHAnsi" w:cstheme="minorBidi"/>
          <w:i/>
          <w:iCs/>
          <w:color w:val="auto"/>
          <w:sz w:val="24"/>
          <w:szCs w:val="24"/>
          <w:lang w:eastAsia="en-US"/>
        </w:rPr>
        <w:t>Nepal Journal of Epidemiology</w:t>
      </w:r>
      <w:r w:rsidRPr="00564C75">
        <w:rPr>
          <w:rFonts w:asciiTheme="minorHAnsi" w:eastAsiaTheme="minorHAnsi" w:hAnsiTheme="minorHAnsi" w:cstheme="minorBidi"/>
          <w:color w:val="auto"/>
          <w:sz w:val="24"/>
          <w:szCs w:val="24"/>
          <w:lang w:eastAsia="en-US"/>
        </w:rPr>
        <w:t xml:space="preserve">, 12(4), pp. 1242-1247. Available at: </w:t>
      </w:r>
      <w:hyperlink r:id="rId49" w:history="1">
        <w:r w:rsidRPr="00564C75">
          <w:rPr>
            <w:rFonts w:asciiTheme="minorHAnsi" w:eastAsiaTheme="minorHAnsi" w:hAnsiTheme="minorHAnsi" w:cstheme="minorBidi"/>
            <w:color w:val="0000FF"/>
            <w:sz w:val="24"/>
            <w:szCs w:val="24"/>
            <w:u w:val="single"/>
            <w:lang w:eastAsia="en-US"/>
          </w:rPr>
          <w:t>Exploring UK Knife crime and its associated factors: A content analysis of online newspapers - PMC (nih.gov)</w:t>
        </w:r>
      </w:hyperlink>
      <w:r w:rsidRPr="00564C75">
        <w:rPr>
          <w:rFonts w:asciiTheme="minorHAnsi" w:eastAsiaTheme="minorHAnsi" w:hAnsiTheme="minorHAnsi" w:cstheme="minorBidi"/>
          <w:color w:val="auto"/>
          <w:sz w:val="24"/>
          <w:szCs w:val="24"/>
          <w:lang w:eastAsia="en-US"/>
        </w:rPr>
        <w:t xml:space="preserve">  (Accessed on: 11 October 2023).</w:t>
      </w:r>
    </w:p>
    <w:p w14:paraId="7FFA19A4"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lastRenderedPageBreak/>
        <w:t xml:space="preserve">Welsh Government (2023) </w:t>
      </w:r>
      <w:r w:rsidRPr="00564C75">
        <w:rPr>
          <w:rFonts w:asciiTheme="minorHAnsi" w:eastAsiaTheme="minorHAnsi" w:hAnsiTheme="minorHAnsi" w:cstheme="minorBidi"/>
          <w:i/>
          <w:iCs/>
          <w:color w:val="auto"/>
          <w:sz w:val="24"/>
          <w:szCs w:val="24"/>
          <w:lang w:eastAsia="en-US"/>
        </w:rPr>
        <w:t>Policy and Strategy, Introducing default 20mph speed limits</w:t>
      </w:r>
      <w:r w:rsidRPr="00564C75">
        <w:rPr>
          <w:rFonts w:asciiTheme="minorHAnsi" w:eastAsiaTheme="minorHAnsi" w:hAnsiTheme="minorHAnsi" w:cstheme="minorBidi"/>
          <w:color w:val="auto"/>
          <w:sz w:val="24"/>
          <w:szCs w:val="24"/>
          <w:lang w:eastAsia="en-US"/>
        </w:rPr>
        <w:t xml:space="preserve">.  Available at: </w:t>
      </w:r>
      <w:hyperlink r:id="rId50" w:history="1">
        <w:r w:rsidRPr="00564C75">
          <w:rPr>
            <w:rFonts w:asciiTheme="minorHAnsi" w:eastAsiaTheme="minorHAnsi" w:hAnsiTheme="minorHAnsi" w:cstheme="minorBidi"/>
            <w:color w:val="0000FF"/>
            <w:sz w:val="24"/>
            <w:szCs w:val="24"/>
            <w:u w:val="single"/>
            <w:lang w:eastAsia="en-US"/>
          </w:rPr>
          <w:t>Introducing default 20mph speed limits | GOV.WALES</w:t>
        </w:r>
      </w:hyperlink>
      <w:r w:rsidRPr="00564C75">
        <w:rPr>
          <w:rFonts w:asciiTheme="minorHAnsi" w:eastAsiaTheme="minorHAnsi" w:hAnsiTheme="minorHAnsi" w:cstheme="minorBidi"/>
          <w:color w:val="auto"/>
          <w:sz w:val="24"/>
          <w:szCs w:val="24"/>
          <w:lang w:eastAsia="en-US"/>
        </w:rPr>
        <w:t xml:space="preserve">  (Accessed on: 27 August 2023).</w:t>
      </w:r>
    </w:p>
    <w:p w14:paraId="38B6A0D7"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Wood, D. et. al., (2022) ‘Policing Anti-social Behaviour, Public Order, and Harassment’ in </w:t>
      </w:r>
      <w:r w:rsidRPr="00564C75">
        <w:rPr>
          <w:rFonts w:asciiTheme="minorHAnsi" w:eastAsiaTheme="minorHAnsi" w:hAnsiTheme="minorHAnsi" w:cstheme="minorBidi"/>
          <w:i/>
          <w:iCs/>
          <w:color w:val="auto"/>
          <w:sz w:val="24"/>
          <w:szCs w:val="24"/>
          <w:lang w:eastAsia="en-US"/>
        </w:rPr>
        <w:t>Blackstone’s Handbook for Policing Students</w:t>
      </w:r>
      <w:r w:rsidRPr="00564C75">
        <w:rPr>
          <w:rFonts w:asciiTheme="minorHAnsi" w:eastAsiaTheme="minorHAnsi" w:hAnsiTheme="minorHAnsi" w:cstheme="minorBidi"/>
          <w:color w:val="auto"/>
          <w:sz w:val="24"/>
          <w:szCs w:val="24"/>
          <w:lang w:eastAsia="en-US"/>
        </w:rPr>
        <w:t>. 16</w:t>
      </w:r>
      <w:r w:rsidRPr="00564C75">
        <w:rPr>
          <w:rFonts w:asciiTheme="minorHAnsi" w:eastAsiaTheme="minorHAnsi" w:hAnsiTheme="minorHAnsi" w:cstheme="minorBidi"/>
          <w:color w:val="auto"/>
          <w:sz w:val="24"/>
          <w:szCs w:val="24"/>
          <w:vertAlign w:val="superscript"/>
          <w:lang w:eastAsia="en-US"/>
        </w:rPr>
        <w:t>th</w:t>
      </w:r>
      <w:r w:rsidRPr="00564C75">
        <w:rPr>
          <w:rFonts w:asciiTheme="minorHAnsi" w:eastAsiaTheme="minorHAnsi" w:hAnsiTheme="minorHAnsi" w:cstheme="minorBidi"/>
          <w:color w:val="auto"/>
          <w:sz w:val="24"/>
          <w:szCs w:val="24"/>
          <w:lang w:eastAsia="en-US"/>
        </w:rPr>
        <w:t xml:space="preserve"> edn. Oxford University Press.</w:t>
      </w:r>
    </w:p>
    <w:p w14:paraId="5145201C"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64C75">
        <w:rPr>
          <w:rFonts w:asciiTheme="minorHAnsi" w:eastAsiaTheme="minorHAnsi" w:hAnsiTheme="minorHAnsi" w:cstheme="minorBidi"/>
          <w:color w:val="auto"/>
          <w:sz w:val="24"/>
          <w:szCs w:val="24"/>
          <w:lang w:eastAsia="en-US"/>
        </w:rPr>
        <w:t xml:space="preserve">Wu, X., Lum, C. and Koper, C. (2021) ‘Do everyday proactive policing activities reduce vehicle crashes? Examining a commonly held law enforcement belief using a novel method’, </w:t>
      </w:r>
      <w:r w:rsidRPr="00564C75">
        <w:rPr>
          <w:rFonts w:asciiTheme="minorHAnsi" w:eastAsiaTheme="minorHAnsi" w:hAnsiTheme="minorHAnsi" w:cstheme="minorBidi"/>
          <w:i/>
          <w:iCs/>
          <w:color w:val="auto"/>
          <w:sz w:val="24"/>
          <w:szCs w:val="24"/>
          <w:lang w:eastAsia="en-US"/>
        </w:rPr>
        <w:t>Journal of Criminal Justice</w:t>
      </w:r>
      <w:r w:rsidRPr="00564C75">
        <w:rPr>
          <w:rFonts w:asciiTheme="minorHAnsi" w:eastAsiaTheme="minorHAnsi" w:hAnsiTheme="minorHAnsi" w:cstheme="minorBidi"/>
          <w:color w:val="auto"/>
          <w:sz w:val="24"/>
          <w:szCs w:val="24"/>
          <w:lang w:eastAsia="en-US"/>
        </w:rPr>
        <w:t xml:space="preserve">, 76, pp. 1-9.  Available at: </w:t>
      </w:r>
      <w:hyperlink r:id="rId51" w:history="1">
        <w:r w:rsidRPr="00564C75">
          <w:rPr>
            <w:rFonts w:asciiTheme="minorHAnsi" w:eastAsiaTheme="minorHAnsi" w:hAnsiTheme="minorHAnsi" w:cstheme="minorBidi"/>
            <w:color w:val="0000FF"/>
            <w:sz w:val="24"/>
            <w:szCs w:val="24"/>
            <w:u w:val="single"/>
            <w:lang w:eastAsia="en-US"/>
          </w:rPr>
          <w:t>Do everyday proactive policing activities reduce vehicle crashes? Examining a commonly held law enforcement belief using a novel method - ScienceDirect</w:t>
        </w:r>
      </w:hyperlink>
      <w:r w:rsidRPr="00564C75">
        <w:rPr>
          <w:rFonts w:asciiTheme="minorHAnsi" w:eastAsiaTheme="minorHAnsi" w:hAnsiTheme="minorHAnsi" w:cstheme="minorBidi"/>
          <w:color w:val="auto"/>
          <w:sz w:val="24"/>
          <w:szCs w:val="24"/>
          <w:lang w:eastAsia="en-US"/>
        </w:rPr>
        <w:t xml:space="preserve">  (Accessed on: 27 August 2023).</w:t>
      </w:r>
    </w:p>
    <w:p w14:paraId="63EDC15D" w14:textId="77777777" w:rsidR="00564C75" w:rsidRPr="00564C75" w:rsidRDefault="00564C75" w:rsidP="00564C75">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32ACC853" w14:textId="77777777" w:rsidR="00564C75" w:rsidRDefault="00564C75" w:rsidP="00EA28F1">
      <w:pPr>
        <w:keepNext/>
        <w:spacing w:before="240" w:after="60"/>
        <w:ind w:right="237"/>
        <w:jc w:val="both"/>
      </w:pPr>
    </w:p>
    <w:sectPr w:rsidR="00564C7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4A6A337E"/>
    <w:lvl w:ilvl="0" w:tplc="C6E6DE0E">
      <w:start w:val="1"/>
      <w:numFmt w:val="decimal"/>
      <w:lvlText w:val="%1."/>
      <w:lvlJc w:val="left"/>
      <w:pPr>
        <w:ind w:left="720" w:hanging="360"/>
      </w:pPr>
    </w:lvl>
    <w:lvl w:ilvl="1" w:tplc="4934A1E2">
      <w:start w:val="1"/>
      <w:numFmt w:val="lowerLetter"/>
      <w:lvlText w:val="%2."/>
      <w:lvlJc w:val="left"/>
      <w:pPr>
        <w:ind w:left="1440" w:hanging="360"/>
      </w:pPr>
    </w:lvl>
    <w:lvl w:ilvl="2" w:tplc="0E6807B6">
      <w:start w:val="1"/>
      <w:numFmt w:val="lowerRoman"/>
      <w:lvlText w:val="%3."/>
      <w:lvlJc w:val="right"/>
      <w:pPr>
        <w:ind w:left="2160" w:hanging="180"/>
      </w:pPr>
    </w:lvl>
    <w:lvl w:ilvl="3" w:tplc="0DD03CD0">
      <w:start w:val="1"/>
      <w:numFmt w:val="decimal"/>
      <w:lvlText w:val="%4."/>
      <w:lvlJc w:val="left"/>
      <w:pPr>
        <w:ind w:left="2880" w:hanging="360"/>
      </w:pPr>
    </w:lvl>
    <w:lvl w:ilvl="4" w:tplc="78D02772">
      <w:start w:val="1"/>
      <w:numFmt w:val="lowerLetter"/>
      <w:lvlText w:val="%5."/>
      <w:lvlJc w:val="left"/>
      <w:pPr>
        <w:ind w:left="3600" w:hanging="360"/>
      </w:pPr>
    </w:lvl>
    <w:lvl w:ilvl="5" w:tplc="B8681AA4">
      <w:start w:val="1"/>
      <w:numFmt w:val="lowerRoman"/>
      <w:lvlText w:val="%6."/>
      <w:lvlJc w:val="right"/>
      <w:pPr>
        <w:ind w:left="4320" w:hanging="180"/>
      </w:pPr>
    </w:lvl>
    <w:lvl w:ilvl="6" w:tplc="5088E406">
      <w:start w:val="1"/>
      <w:numFmt w:val="decimal"/>
      <w:lvlText w:val="%7."/>
      <w:lvlJc w:val="left"/>
      <w:pPr>
        <w:ind w:left="5040" w:hanging="360"/>
      </w:pPr>
    </w:lvl>
    <w:lvl w:ilvl="7" w:tplc="724EBA28">
      <w:start w:val="1"/>
      <w:numFmt w:val="lowerLetter"/>
      <w:lvlText w:val="%8."/>
      <w:lvlJc w:val="left"/>
      <w:pPr>
        <w:ind w:left="5760" w:hanging="360"/>
      </w:pPr>
    </w:lvl>
    <w:lvl w:ilvl="8" w:tplc="2FB248AC">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04CC5460"/>
    <w:lvl w:ilvl="0" w:tplc="68AADA2E">
      <w:start w:val="1"/>
      <w:numFmt w:val="decimal"/>
      <w:lvlText w:val="%1."/>
      <w:lvlJc w:val="left"/>
      <w:pPr>
        <w:ind w:left="720" w:hanging="360"/>
      </w:pPr>
    </w:lvl>
    <w:lvl w:ilvl="1" w:tplc="9D3A5BCA">
      <w:start w:val="1"/>
      <w:numFmt w:val="decimal"/>
      <w:lvlText w:val="%2."/>
      <w:lvlJc w:val="left"/>
      <w:pPr>
        <w:ind w:left="1440" w:hanging="360"/>
      </w:pPr>
    </w:lvl>
    <w:lvl w:ilvl="2" w:tplc="A8F2E8F8">
      <w:start w:val="1"/>
      <w:numFmt w:val="lowerRoman"/>
      <w:lvlText w:val="%3."/>
      <w:lvlJc w:val="right"/>
      <w:pPr>
        <w:ind w:left="2160" w:hanging="180"/>
      </w:pPr>
    </w:lvl>
    <w:lvl w:ilvl="3" w:tplc="09521280">
      <w:start w:val="1"/>
      <w:numFmt w:val="decimal"/>
      <w:lvlText w:val="%4."/>
      <w:lvlJc w:val="left"/>
      <w:pPr>
        <w:ind w:left="2880" w:hanging="360"/>
      </w:pPr>
    </w:lvl>
    <w:lvl w:ilvl="4" w:tplc="21DC71C6">
      <w:start w:val="1"/>
      <w:numFmt w:val="lowerLetter"/>
      <w:lvlText w:val="%5."/>
      <w:lvlJc w:val="left"/>
      <w:pPr>
        <w:ind w:left="3600" w:hanging="360"/>
      </w:pPr>
    </w:lvl>
    <w:lvl w:ilvl="5" w:tplc="3362A34A">
      <w:start w:val="1"/>
      <w:numFmt w:val="lowerRoman"/>
      <w:lvlText w:val="%6."/>
      <w:lvlJc w:val="right"/>
      <w:pPr>
        <w:ind w:left="4320" w:hanging="180"/>
      </w:pPr>
    </w:lvl>
    <w:lvl w:ilvl="6" w:tplc="F91C4C6A">
      <w:start w:val="1"/>
      <w:numFmt w:val="decimal"/>
      <w:lvlText w:val="%7."/>
      <w:lvlJc w:val="left"/>
      <w:pPr>
        <w:ind w:left="5040" w:hanging="360"/>
      </w:pPr>
    </w:lvl>
    <w:lvl w:ilvl="7" w:tplc="E3DABB54">
      <w:start w:val="1"/>
      <w:numFmt w:val="lowerLetter"/>
      <w:lvlText w:val="%8."/>
      <w:lvlJc w:val="left"/>
      <w:pPr>
        <w:ind w:left="5760" w:hanging="360"/>
      </w:pPr>
    </w:lvl>
    <w:lvl w:ilvl="8" w:tplc="31DC5046">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1290692">
    <w:abstractNumId w:val="47"/>
  </w:num>
  <w:num w:numId="2" w16cid:durableId="1025863800">
    <w:abstractNumId w:val="10"/>
  </w:num>
  <w:num w:numId="3" w16cid:durableId="1883009733">
    <w:abstractNumId w:val="1"/>
    <w:lvlOverride w:ilvl="0">
      <w:lvl w:ilvl="0">
        <w:start w:val="1"/>
        <w:numFmt w:val="bullet"/>
        <w:lvlText w:val=""/>
        <w:lvlJc w:val="left"/>
        <w:pPr>
          <w:ind w:left="720" w:hanging="360"/>
        </w:pPr>
        <w:rPr>
          <w:rFonts w:ascii="Symbol" w:hAnsi="Symbol" w:hint="default"/>
        </w:rPr>
      </w:lvl>
    </w:lvlOverride>
  </w:num>
  <w:num w:numId="4" w16cid:durableId="1072507474">
    <w:abstractNumId w:val="22"/>
  </w:num>
  <w:num w:numId="5" w16cid:durableId="1191408649">
    <w:abstractNumId w:val="44"/>
  </w:num>
  <w:num w:numId="6" w16cid:durableId="2079548539">
    <w:abstractNumId w:val="46"/>
  </w:num>
  <w:num w:numId="7" w16cid:durableId="2017225126">
    <w:abstractNumId w:val="34"/>
  </w:num>
  <w:num w:numId="8" w16cid:durableId="938486045">
    <w:abstractNumId w:val="32"/>
  </w:num>
  <w:num w:numId="9" w16cid:durableId="227616063">
    <w:abstractNumId w:val="29"/>
  </w:num>
  <w:num w:numId="10" w16cid:durableId="2045397265">
    <w:abstractNumId w:val="30"/>
  </w:num>
  <w:num w:numId="11" w16cid:durableId="1521554071">
    <w:abstractNumId w:val="9"/>
  </w:num>
  <w:num w:numId="12" w16cid:durableId="428935622">
    <w:abstractNumId w:val="33"/>
  </w:num>
  <w:num w:numId="13" w16cid:durableId="759638978">
    <w:abstractNumId w:val="17"/>
  </w:num>
  <w:num w:numId="14" w16cid:durableId="185875727">
    <w:abstractNumId w:val="16"/>
  </w:num>
  <w:num w:numId="15" w16cid:durableId="1900169863">
    <w:abstractNumId w:val="26"/>
  </w:num>
  <w:num w:numId="16" w16cid:durableId="341857374">
    <w:abstractNumId w:val="7"/>
  </w:num>
  <w:num w:numId="17" w16cid:durableId="1918783677">
    <w:abstractNumId w:val="25"/>
  </w:num>
  <w:num w:numId="18" w16cid:durableId="933199851">
    <w:abstractNumId w:val="15"/>
  </w:num>
  <w:num w:numId="19" w16cid:durableId="664237934">
    <w:abstractNumId w:val="13"/>
  </w:num>
  <w:num w:numId="20" w16cid:durableId="57809964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480804366">
    <w:abstractNumId w:val="23"/>
  </w:num>
  <w:num w:numId="22" w16cid:durableId="621229790">
    <w:abstractNumId w:val="18"/>
  </w:num>
  <w:num w:numId="23" w16cid:durableId="422190403">
    <w:abstractNumId w:val="14"/>
  </w:num>
  <w:num w:numId="24" w16cid:durableId="1882550305">
    <w:abstractNumId w:val="11"/>
  </w:num>
  <w:num w:numId="25" w16cid:durableId="1639263434">
    <w:abstractNumId w:val="27"/>
  </w:num>
  <w:num w:numId="26" w16cid:durableId="33772228">
    <w:abstractNumId w:val="19"/>
  </w:num>
  <w:num w:numId="27" w16cid:durableId="2138524804">
    <w:abstractNumId w:val="40"/>
  </w:num>
  <w:num w:numId="28" w16cid:durableId="556281046">
    <w:abstractNumId w:val="35"/>
  </w:num>
  <w:num w:numId="29" w16cid:durableId="1645239773">
    <w:abstractNumId w:val="39"/>
  </w:num>
  <w:num w:numId="30" w16cid:durableId="1796215641">
    <w:abstractNumId w:val="20"/>
  </w:num>
  <w:num w:numId="31" w16cid:durableId="927352125">
    <w:abstractNumId w:val="42"/>
  </w:num>
  <w:num w:numId="32" w16cid:durableId="710421209">
    <w:abstractNumId w:val="31"/>
  </w:num>
  <w:num w:numId="33" w16cid:durableId="346714549">
    <w:abstractNumId w:val="12"/>
  </w:num>
  <w:num w:numId="34" w16cid:durableId="1913541648">
    <w:abstractNumId w:val="43"/>
  </w:num>
  <w:num w:numId="35" w16cid:durableId="1944604540">
    <w:abstractNumId w:val="38"/>
  </w:num>
  <w:num w:numId="36" w16cid:durableId="28378624">
    <w:abstractNumId w:val="4"/>
  </w:num>
  <w:num w:numId="37" w16cid:durableId="1978686027">
    <w:abstractNumId w:val="45"/>
  </w:num>
  <w:num w:numId="38" w16cid:durableId="644747910">
    <w:abstractNumId w:val="41"/>
  </w:num>
  <w:num w:numId="39" w16cid:durableId="2051493390">
    <w:abstractNumId w:val="36"/>
  </w:num>
  <w:num w:numId="40" w16cid:durableId="1792896008">
    <w:abstractNumId w:val="37"/>
  </w:num>
  <w:num w:numId="41" w16cid:durableId="379591501">
    <w:abstractNumId w:val="3"/>
  </w:num>
  <w:num w:numId="42" w16cid:durableId="608389370">
    <w:abstractNumId w:val="5"/>
  </w:num>
  <w:num w:numId="43" w16cid:durableId="1950157705">
    <w:abstractNumId w:val="24"/>
  </w:num>
  <w:num w:numId="44" w16cid:durableId="1262949688">
    <w:abstractNumId w:val="6"/>
  </w:num>
  <w:num w:numId="45" w16cid:durableId="122160682">
    <w:abstractNumId w:val="2"/>
  </w:num>
  <w:num w:numId="46" w16cid:durableId="1678078582">
    <w:abstractNumId w:val="0"/>
  </w:num>
  <w:num w:numId="47" w16cid:durableId="1079015255">
    <w:abstractNumId w:val="21"/>
  </w:num>
  <w:num w:numId="48" w16cid:durableId="890924893">
    <w:abstractNumId w:val="28"/>
  </w:num>
  <w:num w:numId="49" w16cid:durableId="368116831">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556"/>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06508"/>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57E6"/>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4C75"/>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4B52"/>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5AAD"/>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047A"/>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2014/12/body" TargetMode="External"/><Relationship Id="rId26" Type="http://schemas.openxmlformats.org/officeDocument/2006/relationships/hyperlink" Target="https://www.gov.wales/sites/default/files/publications/2019-08/the-state-of-the-evidence-on-20mph-speed-limits-with-regards-to-road-safety-active-travel-and-air-pollution-impacts-august-2018.pdf" TargetMode="External"/><Relationship Id="rId39" Type="http://schemas.openxmlformats.org/officeDocument/2006/relationships/hyperlink" Target="https://www.offyourbike.co.uk/motorcyclist-safety" TargetMode="External"/><Relationship Id="rId21" Type="http://schemas.openxmlformats.org/officeDocument/2006/relationships/hyperlink" Target="https://uel.ac.uk/sites/default/files/anti-social-behaviour-a-practitioners-guide.pdf" TargetMode="External"/><Relationship Id="rId34" Type="http://schemas.openxmlformats.org/officeDocument/2006/relationships/hyperlink" Target="https://www.policeconduct.gov.uk/news/iopc-publishes-figures-deaths-during-or-following-police-contact-202223" TargetMode="External"/><Relationship Id="rId42" Type="http://schemas.openxmlformats.org/officeDocument/2006/relationships/hyperlink" Target="https://www.polfed.org/news/latest-news/2023/the-challenge-of-policing-e-bikes/" TargetMode="External"/><Relationship Id="rId47" Type="http://schemas.openxmlformats.org/officeDocument/2006/relationships/hyperlink" Target="https://benkinsella.org.uk/knife-crime-statistics/?gclid=EAIaIQobChMIsobDuJ-ygQMVkolQBh0EOwe9EAAYASAAEgKpDPD_BwE" TargetMode="External"/><Relationship Id="rId50" Type="http://schemas.openxmlformats.org/officeDocument/2006/relationships/hyperlink" Target="https://www.gov.wales/introducing-default-20mph-speed-limit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library.college.police.uk/docs/APPREF/ACPO-motorcycle-safety-strategy-2014.pdf" TargetMode="External"/><Relationship Id="rId29" Type="http://schemas.openxmlformats.org/officeDocument/2006/relationships/hyperlink" Target="https://www.gosafe.org/" TargetMode="External"/><Relationship Id="rId11" Type="http://schemas.openxmlformats.org/officeDocument/2006/relationships/image" Target="media/image1.png"/><Relationship Id="rId24" Type="http://schemas.openxmlformats.org/officeDocument/2006/relationships/hyperlink" Target="https://www.college.police.uk/guidance/vulnerability-related-risks/introduction-vulnerability-related-risk" TargetMode="External"/><Relationship Id="rId32" Type="http://schemas.openxmlformats.org/officeDocument/2006/relationships/hyperlink" Target="https://www.gov.uk/government/publications/impacts-of-anti-social-behaviour-on-individuals-and-communities/anti-social-behaviour-impacts-on-individuals-and-local-communities" TargetMode="External"/><Relationship Id="rId37" Type="http://schemas.openxmlformats.org/officeDocument/2006/relationships/hyperlink" Target="http://www.pacts.org.uk/wp-content/uploads/Roads-Policing-Report-FinalV1-merged-1.pdf" TargetMode="External"/><Relationship Id="rId40" Type="http://schemas.openxmlformats.org/officeDocument/2006/relationships/hyperlink" Target="https://www.ons.gov.uk/peoplepopulationandcommunity/crimeandjustice/articles/homicideinenglandandwales/march2022" TargetMode="External"/><Relationship Id="rId45" Type="http://schemas.openxmlformats.org/officeDocument/2006/relationships/hyperlink" Target="https://begin-motorcycling.co.uk/uk-motorcycle-accident-statistics/"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asbcasereview.wales/" TargetMode="External"/><Relationship Id="rId31" Type="http://schemas.openxmlformats.org/officeDocument/2006/relationships/hyperlink" Target="https://asbhelp.co.uk/wp-content/uploads/2019/03/ASB-Help-The-Community-Trigger.-Where-We-Are-Today.pdf" TargetMode="External"/><Relationship Id="rId44" Type="http://schemas.openxmlformats.org/officeDocument/2006/relationships/hyperlink" Target="https://commissioner.south-wales.police.uk/media/2069/2900-21-victims-witnesses-strategy.pdf"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pdf.sciencedirectassets.com/271839/1-s2.0-S1359178922X00062/1-s2.0-S1359178922000556/main.pdf?X-Amz-Security-Token=IQoJb3JpZ2luX2VjEPv%2F%2F%2F%2F%2F%2F%2F%2F%2F%2FwEaCXVzLWVhc3QtMSJGMEQCIDmKzNqCfyQ7oZTK3sAsHWPpNsvK2aua5ga65s%2FyvThoAiBqEnArv5SYlhSkhrw9PiofdeHuztnCXnhqb38CIU2OtiqzBQgUEAUaDDA1OTAwMzU0Njg2NSIMfI5eM9jpPXnCrGqmKpAF3iO6kzfIYeuFCslZs0UNKlMtUS8SEx5THDLGhkeaLE08PjgI9l%2BtdW18Ehtg%2BC1y9WUtMymp0Yp7u%2FhBax8meTlt1OEW0UB4Gq0dn7MQPsON4y1aBdLGXEuFnLrydwa4KDYRhPkSz0lZnlM6rkrWN%2BJkV1c%2FaRk4miq%2FjIj3LyuTBnDPrHnD5%2FNemNwCpiOEmgjYXxDrKXqFhbFaIOPQL60E7CzZWFmprk9QVOoO%2Fa60bzMpyV%2F3pmQxkex%2Bbg0aK5sRiSvZTzzaJ%2FIW%2BHRKM0jPtfUKx1RZ2gaWBia2MoPl4Kr%2BFlNEUQp5X4dWpmVSK%2FjO0mjh423JgLs7MjNN0JWJCdoNTf1BNTf1ROiB6UW8IAOlfhbZAwM8mKDAgxZFgR5syRXOdF0HQaUPe8Mfg8sd2waW%2F7mGBSyWqmb19rTH0Qik2SMYB%2BnMuCmElwu0FjFnWj1UmLuK3dAExo8a13eVoQJHDfIQgnpt8G2IgVor9iS8%2BkKfEXOpwBRhwnCyUOv5yiQArRVD11PQSHQxTPxEaGUO6EwCNtjoGZoZvKfBBWUpWzTYrvbBIBHsAfnb7%2FefUXUZQ44TWQcm4u5vI%2FPNSy2FleKjz%2B1W3xIZCdvLabX80LLN8ZT9%2FQbY5ryr4FLpQcZBf49nJPGdWK6QUJ%2FdEXir2z60DaZmo%2BXMJjMzLCEL8oeow5ccDKIIhVNU9PecgJyY7HZbsIvPI49UYqpi4l8AgyhU7x%2BqPpEsPvD4UhTkWX6WDwGSF1OILMnQDSD2PpsFfgHCCN4CYB2PamZJ%2BFk8CV6NHH%2FLCtgiYLh%2B%2BYUD4DVPOIk5Pj%2FK3ARc15hLMn1%2BN6quYT6m7tRHCwRmEoCcf3WFizEtgd72fdcw3qKfqQY6sgE5WmsHoubvA9uQc3y5cjgxYYyjV1IwrOnWiuY5Ptu%2BC3t1TbHFltwV%2BTJTBYE9jUGeBUr0RtNKmDOcmJjzU2Bm4t7saajHu49khhAoiAoVsVWzPqMlbTIvD%2BRkiKTCnberjMGeLuV%2BQiOnQ263Ok%2BKhyo%2FybIWeYeuW5qw8YJS1%2BmudG8ugPKgSviZBnKk1Rkv%2FfMwkJmxpTlKE51Bzfmal4aNPznVyhX4TprAHdD4xb%2Bh&amp;X-Amz-Algorithm=AWS4-HMAC-SHA256&amp;X-Amz-Date=20231012T113200Z&amp;X-Amz-SignedHeaders=host&amp;X-Amz-Expires=300&amp;X-Amz-Credential=ASIAQ3PHCVTY4YKU4CWS%2F20231012%2Fus-east-1%2Fs3%2Faws4_request&amp;X-Amz-Signature=0c23c3c797b014f2a48436733220066cf6f8a944846418e307ed9adcd811359e&amp;hash=55bbaa5b314e76d5c6ca08154df756444fcb67d48a5e528fc23abfe12aa0987c&amp;host=68042c943591013ac2b2430a89b270f6af2c76d8dfd086a07176afe7c76c2c61&amp;pii=S1359178922000556&amp;tid=spdf-40f6a488-67ee-4223-8a8d-e9a831726ea0&amp;sid=d32263cc46b7814f401a5942882202382dadgxrqb&amp;type=client&amp;tsoh=d3d3LnN" TargetMode="External"/><Relationship Id="rId27" Type="http://schemas.openxmlformats.org/officeDocument/2006/relationships/hyperlink" Target="https://www.gov.uk/government/statistics/reported-road-casualties-great-britain-e-scooter-factsheet-year-ending-june-2022/reported-road-casualties-great-britain-e-scooter-factsheet-year-ending-june-2022" TargetMode="External"/><Relationship Id="rId30" Type="http://schemas.openxmlformats.org/officeDocument/2006/relationships/hyperlink" Target="https://journals.sagepub.com/doi/pdf/10.1177/0269758020961979" TargetMode="External"/><Relationship Id="rId35" Type="http://schemas.openxmlformats.org/officeDocument/2006/relationships/hyperlink" Target="https://core.ac.uk/download/pdf/82627544.pdf" TargetMode="External"/><Relationship Id="rId43" Type="http://schemas.openxmlformats.org/officeDocument/2006/relationships/hyperlink" Target="https://www.apccs.police.uk/media/6362/eng-police-and-crime-plan-2021-25.pdf" TargetMode="External"/><Relationship Id="rId48" Type="http://schemas.openxmlformats.org/officeDocument/2006/relationships/hyperlink" Target="https://cloud-platform-e218f50a4812967ba1215eaecede923f.s3.amazonaws.com/uploads/sites/6/2021/12/ASB-report.pdf" TargetMode="External"/><Relationship Id="rId8" Type="http://schemas.openxmlformats.org/officeDocument/2006/relationships/webSettings" Target="webSettings.xml"/><Relationship Id="rId51" Type="http://schemas.openxmlformats.org/officeDocument/2006/relationships/hyperlink" Target="https://www.sciencedirect.com/science/article/pii/S0047235221000660"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researchbriefings.files.parliament.uk/documents/SN04304/SN04304.pdf" TargetMode="External"/><Relationship Id="rId25" Type="http://schemas.openxmlformats.org/officeDocument/2006/relationships/hyperlink" Target="https://www.gov.uk/government/publications/market-exploration-tackling-e-scooter-and-e-bike-enabled-crime/tackling-e-scooter-and-e-bike-enabled-crime-market-exploration-document" TargetMode="External"/><Relationship Id="rId33" Type="http://schemas.openxmlformats.org/officeDocument/2006/relationships/hyperlink" Target="https://www.gov.uk/government/publications/anti-social-behaviour-action-plan/anti-social-behaviour-action-plan" TargetMode="External"/><Relationship Id="rId38" Type="http://schemas.openxmlformats.org/officeDocument/2006/relationships/hyperlink" Target="https://library.college.police.uk/docs/NPCC/Roads_Policing_Strategy_2022.25.pdf" TargetMode="External"/><Relationship Id="rId46" Type="http://schemas.openxmlformats.org/officeDocument/2006/relationships/hyperlink" Target="https://www.resolveuk.org.uk/images/YouGov_Report.pdf" TargetMode="External"/><Relationship Id="rId20" Type="http://schemas.openxmlformats.org/officeDocument/2006/relationships/hyperlink" Target="https://assets.publishing.service.gov.uk/government/uploads/system/uploads/attachment_data/file/757307/20mph-headline-report.pdf" TargetMode="External"/><Relationship Id="rId41" Type="http://schemas.openxmlformats.org/officeDocument/2006/relationships/hyperlink" Target="https://www.ons.gov.uk/peoplepopulationandcommunity/crimeandjustice/bulletins/crimeinenglandandwales/yearendingmarch2023" TargetMode="External"/><Relationship Id="rId54"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hyperlink" Target="https://www.college.police.uk/research/projects/routes-speed-safety-understanding-and-measuring-contribution-community-speedwatch" TargetMode="External"/><Relationship Id="rId28" Type="http://schemas.openxmlformats.org/officeDocument/2006/relationships/hyperlink" Target="https://www.gov.uk/government/statistics/vehicle-speed-compliance-statistics-for-great-britain-2021/vehicle-speed-compliance-statistics-for-great-britain-2021" TargetMode="External"/><Relationship Id="rId36" Type="http://schemas.openxmlformats.org/officeDocument/2006/relationships/hyperlink" Target="https://www.london.gov.uk/press-releases/assembly/commission-on-knife-crime-in-black-community" TargetMode="External"/><Relationship Id="rId49" Type="http://schemas.openxmlformats.org/officeDocument/2006/relationships/hyperlink" Target="https://www.ncbi.nlm.nih.gov/pmc/articles/PMC98865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24</Pages>
  <Words>7120</Words>
  <Characters>45978</Characters>
  <Application>Microsoft Office Word</Application>
  <DocSecurity>0</DocSecurity>
  <Lines>383</Lines>
  <Paragraphs>105</Paragraphs>
  <ScaleCrop>false</ScaleCrop>
  <Company>Powys County Council</Company>
  <LinksUpToDate>false</LinksUpToDate>
  <CharactersWithSpaces>52993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George,Sally swp8260</cp:lastModifiedBy>
  <cp:revision>8</cp:revision>
  <cp:lastPrinted>2014-08-26T08:55:00Z</cp:lastPrinted>
  <dcterms:created xsi:type="dcterms:W3CDTF">2023-10-26T07:22:00Z</dcterms:created>
  <dcterms:modified xsi:type="dcterms:W3CDTF">2023-10-29T19:07:00Z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2023-10-26T07:22:30Z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f3d7a2ef-5b25-42d7-a5fb-b5c90aed7683</vt:lpwstr>
  </property>
  <property fmtid="{D5CDD505-2E9C-101B-9397-08002B2CF9AE}" pid="9" name="MSIP_Label_66cf8fe5-b7b7-4df7-b38d-1c61ac2f6639_ContentBits">
    <vt:lpwstr>0</vt:lpwstr>
  </property>
</Properties>
</file>