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93E728" w14:textId="77777777" w:rsidR="00D46012" w:rsidRPr="00C05173" w:rsidRDefault="00D46012" w:rsidP="00A24D9C">
      <w:pPr>
        <w:spacing w:line="360" w:lineRule="auto"/>
        <w:jc w:val="center"/>
        <w:rPr>
          <w:rFonts w:ascii="Arial" w:hAnsi="Arial" w:cs="Arial"/>
          <w:b/>
          <w:sz w:val="32"/>
          <w:lang w:eastAsia="en-GB"/>
        </w:rPr>
      </w:pPr>
    </w:p>
    <w:p w14:paraId="4817DB7F" w14:textId="77777777" w:rsidR="00D46012" w:rsidRPr="00C05173" w:rsidRDefault="00D46012" w:rsidP="00A24D9C">
      <w:pPr>
        <w:spacing w:line="360" w:lineRule="auto"/>
        <w:jc w:val="center"/>
        <w:rPr>
          <w:rFonts w:ascii="Arial" w:hAnsi="Arial" w:cs="Arial"/>
          <w:b/>
          <w:sz w:val="32"/>
          <w:lang w:eastAsia="en-GB"/>
        </w:rPr>
      </w:pPr>
    </w:p>
    <w:p w14:paraId="564C7B8A" w14:textId="77777777" w:rsidR="00D46012" w:rsidRPr="00C05173" w:rsidRDefault="00D46012" w:rsidP="00A24D9C">
      <w:pPr>
        <w:spacing w:line="360" w:lineRule="auto"/>
        <w:jc w:val="center"/>
        <w:rPr>
          <w:rFonts w:ascii="Arial" w:hAnsi="Arial" w:cs="Arial"/>
          <w:b/>
          <w:sz w:val="32"/>
          <w:lang w:eastAsia="en-GB"/>
        </w:rPr>
      </w:pPr>
    </w:p>
    <w:p w14:paraId="4F2C4642" w14:textId="77777777" w:rsidR="00D46012" w:rsidRPr="00C05173" w:rsidRDefault="00D46012" w:rsidP="00A24D9C">
      <w:pPr>
        <w:spacing w:line="360" w:lineRule="auto"/>
        <w:jc w:val="center"/>
        <w:rPr>
          <w:rFonts w:ascii="Arial" w:hAnsi="Arial" w:cs="Arial"/>
          <w:b/>
          <w:sz w:val="32"/>
          <w:lang w:eastAsia="en-GB"/>
        </w:rPr>
      </w:pPr>
    </w:p>
    <w:p w14:paraId="709025BE" w14:textId="77777777" w:rsidR="00D46012" w:rsidRPr="00C05173" w:rsidRDefault="00D46012" w:rsidP="00A24D9C">
      <w:pPr>
        <w:spacing w:line="360" w:lineRule="auto"/>
        <w:jc w:val="center"/>
        <w:rPr>
          <w:rFonts w:ascii="Arial" w:hAnsi="Arial" w:cs="Arial"/>
          <w:b/>
          <w:sz w:val="32"/>
          <w:lang w:eastAsia="en-GB"/>
        </w:rPr>
      </w:pPr>
    </w:p>
    <w:p w14:paraId="6504ED12" w14:textId="77777777" w:rsidR="00D46012" w:rsidRPr="00C05173" w:rsidRDefault="00D46012" w:rsidP="00A24D9C">
      <w:pPr>
        <w:spacing w:line="360" w:lineRule="auto"/>
        <w:jc w:val="center"/>
        <w:rPr>
          <w:rFonts w:ascii="Arial" w:hAnsi="Arial" w:cs="Arial"/>
          <w:b/>
          <w:sz w:val="32"/>
          <w:lang w:eastAsia="en-GB"/>
        </w:rPr>
      </w:pPr>
    </w:p>
    <w:p w14:paraId="0907BFE8" w14:textId="77777777" w:rsidR="00D46012" w:rsidRPr="00C05173" w:rsidRDefault="00D46012" w:rsidP="00A24D9C">
      <w:pPr>
        <w:spacing w:line="360" w:lineRule="auto"/>
        <w:jc w:val="center"/>
        <w:rPr>
          <w:rFonts w:ascii="Arial" w:hAnsi="Arial" w:cs="Arial"/>
          <w:b/>
          <w:sz w:val="32"/>
          <w:lang w:eastAsia="en-GB"/>
        </w:rPr>
      </w:pPr>
    </w:p>
    <w:p w14:paraId="0959DE22" w14:textId="77777777" w:rsidR="00D46012" w:rsidRPr="00C05173" w:rsidRDefault="00D46012" w:rsidP="00A24D9C">
      <w:pPr>
        <w:spacing w:line="360" w:lineRule="auto"/>
        <w:jc w:val="center"/>
        <w:rPr>
          <w:rFonts w:ascii="Arial" w:hAnsi="Arial" w:cs="Arial"/>
          <w:b/>
          <w:sz w:val="32"/>
          <w:lang w:eastAsia="en-GB"/>
        </w:rPr>
      </w:pPr>
      <w:r w:rsidRPr="00C05173">
        <w:rPr>
          <w:rFonts w:ascii="Arial" w:hAnsi="Arial" w:cs="Arial"/>
          <w:b/>
          <w:sz w:val="32"/>
          <w:lang w:eastAsia="en-GB"/>
        </w:rPr>
        <w:t xml:space="preserve">An Evaluation of Management Accounting Tools and Techniques in Financial Decision-Making at </w:t>
      </w:r>
      <w:r w:rsidR="00803135" w:rsidRPr="00C05173">
        <w:rPr>
          <w:rFonts w:ascii="Arial" w:hAnsi="Arial" w:cs="Arial"/>
          <w:b/>
          <w:sz w:val="32"/>
          <w:lang w:eastAsia="en-GB"/>
        </w:rPr>
        <w:t>Airbnb</w:t>
      </w:r>
    </w:p>
    <w:p w14:paraId="57AB7054" w14:textId="03DE230B" w:rsidR="00D00E60" w:rsidRDefault="00651D31" w:rsidP="00A24D9C">
      <w:pPr>
        <w:spacing w:line="360" w:lineRule="auto"/>
        <w:jc w:val="center"/>
        <w:rPr>
          <w:rFonts w:ascii="Arial" w:hAnsi="Arial" w:cs="Arial"/>
          <w:b/>
          <w:sz w:val="28"/>
          <w:lang w:eastAsia="en-GB"/>
        </w:rPr>
      </w:pPr>
      <w:r>
        <w:rPr>
          <w:rFonts w:ascii="Arial" w:hAnsi="Arial" w:cs="Arial"/>
          <w:b/>
          <w:sz w:val="28"/>
          <w:lang w:eastAsia="en-GB"/>
        </w:rPr>
        <w:t>Eugen Roca</w:t>
      </w:r>
      <w:r w:rsidR="00CE3A5F">
        <w:rPr>
          <w:rFonts w:ascii="Arial" w:hAnsi="Arial" w:cs="Arial"/>
          <w:b/>
          <w:sz w:val="28"/>
          <w:lang w:eastAsia="en-GB"/>
        </w:rPr>
        <w:t xml:space="preserve"> </w:t>
      </w:r>
      <w:r w:rsidR="008B3471">
        <w:rPr>
          <w:rFonts w:ascii="Arial" w:hAnsi="Arial" w:cs="Arial"/>
          <w:b/>
          <w:sz w:val="28"/>
          <w:lang w:eastAsia="en-GB"/>
        </w:rPr>
        <w:t>–</w:t>
      </w:r>
      <w:r w:rsidR="00CE3A5F">
        <w:rPr>
          <w:rFonts w:ascii="Arial" w:hAnsi="Arial" w:cs="Arial"/>
          <w:b/>
          <w:sz w:val="28"/>
          <w:lang w:eastAsia="en-GB"/>
        </w:rPr>
        <w:t xml:space="preserve"> 2311590</w:t>
      </w:r>
    </w:p>
    <w:p w14:paraId="61F32297" w14:textId="78372AA3" w:rsidR="008B3471" w:rsidRPr="00C05173" w:rsidRDefault="008B3471" w:rsidP="00A24D9C">
      <w:pPr>
        <w:spacing w:line="360" w:lineRule="auto"/>
        <w:jc w:val="center"/>
        <w:rPr>
          <w:rFonts w:ascii="Arial" w:hAnsi="Arial" w:cs="Arial"/>
          <w:b/>
          <w:sz w:val="28"/>
          <w:lang w:eastAsia="en-GB"/>
        </w:rPr>
      </w:pPr>
      <w:r>
        <w:rPr>
          <w:rFonts w:ascii="Arial" w:hAnsi="Arial" w:cs="Arial"/>
          <w:b/>
          <w:sz w:val="28"/>
          <w:lang w:eastAsia="en-GB"/>
        </w:rPr>
        <w:t>LCBB5010</w:t>
      </w:r>
    </w:p>
    <w:p w14:paraId="67012646" w14:textId="77777777" w:rsidR="00D46012" w:rsidRPr="00C05173" w:rsidRDefault="00D46012" w:rsidP="00A24D9C">
      <w:pPr>
        <w:spacing w:line="360" w:lineRule="auto"/>
        <w:jc w:val="both"/>
        <w:rPr>
          <w:rFonts w:ascii="Arial" w:eastAsia="Times New Roman" w:hAnsi="Arial" w:cs="Arial"/>
          <w:b/>
          <w:sz w:val="28"/>
          <w:szCs w:val="32"/>
          <w:lang w:eastAsia="en-GB"/>
        </w:rPr>
      </w:pPr>
      <w:r w:rsidRPr="00C05173">
        <w:rPr>
          <w:rFonts w:ascii="Arial" w:eastAsia="Times New Roman" w:hAnsi="Arial" w:cs="Arial"/>
          <w:lang w:eastAsia="en-GB"/>
        </w:rPr>
        <w:br w:type="page"/>
      </w:r>
    </w:p>
    <w:sdt>
      <w:sdtPr>
        <w:rPr>
          <w:rFonts w:ascii="Arial" w:eastAsiaTheme="minorHAnsi" w:hAnsi="Arial" w:cs="Arial"/>
          <w:b/>
          <w:color w:val="auto"/>
          <w:sz w:val="24"/>
          <w:szCs w:val="22"/>
          <w:lang w:val="en-GB"/>
        </w:rPr>
        <w:id w:val="675386217"/>
        <w:docPartObj>
          <w:docPartGallery w:val="Table of Contents"/>
          <w:docPartUnique/>
        </w:docPartObj>
      </w:sdtPr>
      <w:sdtEndPr>
        <w:rPr>
          <w:bCs/>
          <w:noProof/>
        </w:rPr>
      </w:sdtEndPr>
      <w:sdtContent>
        <w:p w14:paraId="32262A84" w14:textId="77777777" w:rsidR="00A24D9C" w:rsidRPr="00C05173" w:rsidRDefault="00A24D9C" w:rsidP="00A24D9C">
          <w:pPr>
            <w:pStyle w:val="TOCHeading"/>
            <w:spacing w:line="360" w:lineRule="auto"/>
            <w:jc w:val="center"/>
            <w:rPr>
              <w:rFonts w:ascii="Arial" w:hAnsi="Arial" w:cs="Arial"/>
              <w:b/>
              <w:color w:val="auto"/>
            </w:rPr>
          </w:pPr>
          <w:r w:rsidRPr="00C05173">
            <w:rPr>
              <w:rFonts w:ascii="Arial" w:hAnsi="Arial" w:cs="Arial"/>
              <w:b/>
              <w:color w:val="auto"/>
            </w:rPr>
            <w:t>Table of Contents</w:t>
          </w:r>
        </w:p>
        <w:p w14:paraId="7D39D0AF" w14:textId="77777777" w:rsidR="00A24D9C" w:rsidRPr="00C05173" w:rsidRDefault="00A24D9C" w:rsidP="00A24D9C">
          <w:pPr>
            <w:pStyle w:val="TOC1"/>
            <w:tabs>
              <w:tab w:val="right" w:leader="dot" w:pos="9016"/>
            </w:tabs>
            <w:spacing w:line="360" w:lineRule="auto"/>
            <w:jc w:val="both"/>
            <w:rPr>
              <w:rFonts w:ascii="Arial" w:hAnsi="Arial" w:cs="Arial"/>
              <w:noProof/>
            </w:rPr>
          </w:pPr>
          <w:r w:rsidRPr="00C05173">
            <w:rPr>
              <w:rFonts w:ascii="Arial" w:hAnsi="Arial" w:cs="Arial"/>
            </w:rPr>
            <w:fldChar w:fldCharType="begin"/>
          </w:r>
          <w:r w:rsidRPr="00C05173">
            <w:rPr>
              <w:rFonts w:ascii="Arial" w:hAnsi="Arial" w:cs="Arial"/>
            </w:rPr>
            <w:instrText xml:space="preserve"> TOC \o "1-3" \h \z \u </w:instrText>
          </w:r>
          <w:r w:rsidRPr="00C05173">
            <w:rPr>
              <w:rFonts w:ascii="Arial" w:hAnsi="Arial" w:cs="Arial"/>
            </w:rPr>
            <w:fldChar w:fldCharType="separate"/>
          </w:r>
          <w:hyperlink w:anchor="_Toc233050374" w:history="1">
            <w:r w:rsidRPr="00C05173">
              <w:rPr>
                <w:rStyle w:val="Hyperlink"/>
                <w:rFonts w:ascii="Arial" w:eastAsia="Times New Roman" w:hAnsi="Arial" w:cs="Arial"/>
                <w:noProof/>
                <w:color w:val="auto"/>
                <w:lang w:eastAsia="en-GB"/>
              </w:rPr>
              <w:t>1. Introduction</w:t>
            </w:r>
            <w:r w:rsidRPr="00C05173">
              <w:rPr>
                <w:rFonts w:ascii="Arial" w:hAnsi="Arial" w:cs="Arial"/>
                <w:noProof/>
                <w:webHidden/>
              </w:rPr>
              <w:tab/>
            </w:r>
            <w:r w:rsidRPr="00C05173">
              <w:rPr>
                <w:rFonts w:ascii="Arial" w:hAnsi="Arial" w:cs="Arial"/>
                <w:noProof/>
                <w:webHidden/>
              </w:rPr>
              <w:fldChar w:fldCharType="begin"/>
            </w:r>
            <w:r w:rsidRPr="00C05173">
              <w:rPr>
                <w:rFonts w:ascii="Arial" w:hAnsi="Arial" w:cs="Arial"/>
                <w:noProof/>
                <w:webHidden/>
              </w:rPr>
              <w:instrText xml:space="preserve"> PAGEREF _Toc233050374 \h </w:instrText>
            </w:r>
            <w:r w:rsidRPr="00C05173">
              <w:rPr>
                <w:rFonts w:ascii="Arial" w:hAnsi="Arial" w:cs="Arial"/>
                <w:noProof/>
                <w:webHidden/>
              </w:rPr>
            </w:r>
            <w:r w:rsidRPr="00C05173">
              <w:rPr>
                <w:rFonts w:ascii="Arial" w:hAnsi="Arial" w:cs="Arial"/>
                <w:noProof/>
                <w:webHidden/>
              </w:rPr>
              <w:fldChar w:fldCharType="separate"/>
            </w:r>
            <w:r w:rsidRPr="00C05173">
              <w:rPr>
                <w:rFonts w:ascii="Arial" w:hAnsi="Arial" w:cs="Arial"/>
                <w:noProof/>
                <w:webHidden/>
              </w:rPr>
              <w:t>3</w:t>
            </w:r>
            <w:r w:rsidRPr="00C05173">
              <w:rPr>
                <w:rFonts w:ascii="Arial" w:hAnsi="Arial" w:cs="Arial"/>
                <w:noProof/>
                <w:webHidden/>
              </w:rPr>
              <w:fldChar w:fldCharType="end"/>
            </w:r>
          </w:hyperlink>
        </w:p>
        <w:p w14:paraId="2E07B566" w14:textId="77777777" w:rsidR="00A24D9C" w:rsidRPr="00C05173" w:rsidRDefault="00A24D9C" w:rsidP="00A24D9C">
          <w:pPr>
            <w:pStyle w:val="TOC1"/>
            <w:tabs>
              <w:tab w:val="right" w:leader="dot" w:pos="9016"/>
            </w:tabs>
            <w:spacing w:line="360" w:lineRule="auto"/>
            <w:jc w:val="both"/>
            <w:rPr>
              <w:rFonts w:ascii="Arial" w:hAnsi="Arial" w:cs="Arial"/>
              <w:noProof/>
            </w:rPr>
          </w:pPr>
          <w:hyperlink w:anchor="_Toc233050375" w:history="1">
            <w:r w:rsidRPr="00C05173">
              <w:rPr>
                <w:rStyle w:val="Hyperlink"/>
                <w:rFonts w:ascii="Arial" w:eastAsia="Times New Roman" w:hAnsi="Arial" w:cs="Arial"/>
                <w:noProof/>
                <w:color w:val="auto"/>
                <w:lang w:eastAsia="en-GB"/>
              </w:rPr>
              <w:t>2. Cost Analysis and Business Model</w:t>
            </w:r>
            <w:r w:rsidRPr="00C05173">
              <w:rPr>
                <w:rFonts w:ascii="Arial" w:hAnsi="Arial" w:cs="Arial"/>
                <w:noProof/>
                <w:webHidden/>
              </w:rPr>
              <w:tab/>
            </w:r>
            <w:r w:rsidRPr="00C05173">
              <w:rPr>
                <w:rFonts w:ascii="Arial" w:hAnsi="Arial" w:cs="Arial"/>
                <w:noProof/>
                <w:webHidden/>
              </w:rPr>
              <w:fldChar w:fldCharType="begin"/>
            </w:r>
            <w:r w:rsidRPr="00C05173">
              <w:rPr>
                <w:rFonts w:ascii="Arial" w:hAnsi="Arial" w:cs="Arial"/>
                <w:noProof/>
                <w:webHidden/>
              </w:rPr>
              <w:instrText xml:space="preserve"> PAGEREF _Toc233050375 \h </w:instrText>
            </w:r>
            <w:r w:rsidRPr="00C05173">
              <w:rPr>
                <w:rFonts w:ascii="Arial" w:hAnsi="Arial" w:cs="Arial"/>
                <w:noProof/>
                <w:webHidden/>
              </w:rPr>
            </w:r>
            <w:r w:rsidRPr="00C05173">
              <w:rPr>
                <w:rFonts w:ascii="Arial" w:hAnsi="Arial" w:cs="Arial"/>
                <w:noProof/>
                <w:webHidden/>
              </w:rPr>
              <w:fldChar w:fldCharType="separate"/>
            </w:r>
            <w:r w:rsidRPr="00C05173">
              <w:rPr>
                <w:rFonts w:ascii="Arial" w:hAnsi="Arial" w:cs="Arial"/>
                <w:noProof/>
                <w:webHidden/>
              </w:rPr>
              <w:t>3</w:t>
            </w:r>
            <w:r w:rsidRPr="00C05173">
              <w:rPr>
                <w:rFonts w:ascii="Arial" w:hAnsi="Arial" w:cs="Arial"/>
                <w:noProof/>
                <w:webHidden/>
              </w:rPr>
              <w:fldChar w:fldCharType="end"/>
            </w:r>
          </w:hyperlink>
        </w:p>
        <w:p w14:paraId="78C6CC37" w14:textId="77777777" w:rsidR="00A24D9C" w:rsidRPr="00C05173" w:rsidRDefault="00A24D9C" w:rsidP="00A24D9C">
          <w:pPr>
            <w:pStyle w:val="TOC1"/>
            <w:tabs>
              <w:tab w:val="right" w:leader="dot" w:pos="9016"/>
            </w:tabs>
            <w:spacing w:line="360" w:lineRule="auto"/>
            <w:jc w:val="both"/>
            <w:rPr>
              <w:rFonts w:ascii="Arial" w:hAnsi="Arial" w:cs="Arial"/>
              <w:noProof/>
            </w:rPr>
          </w:pPr>
          <w:hyperlink w:anchor="_Toc233050376" w:history="1">
            <w:r w:rsidRPr="00C05173">
              <w:rPr>
                <w:rStyle w:val="Hyperlink"/>
                <w:rFonts w:ascii="Arial" w:eastAsia="Times New Roman" w:hAnsi="Arial" w:cs="Arial"/>
                <w:noProof/>
                <w:color w:val="auto"/>
                <w:lang w:eastAsia="en-GB"/>
              </w:rPr>
              <w:t>3. Budgeting and Financial Planning</w:t>
            </w:r>
            <w:r w:rsidRPr="00C05173">
              <w:rPr>
                <w:rFonts w:ascii="Arial" w:hAnsi="Arial" w:cs="Arial"/>
                <w:noProof/>
                <w:webHidden/>
              </w:rPr>
              <w:tab/>
            </w:r>
            <w:r w:rsidRPr="00C05173">
              <w:rPr>
                <w:rFonts w:ascii="Arial" w:hAnsi="Arial" w:cs="Arial"/>
                <w:noProof/>
                <w:webHidden/>
              </w:rPr>
              <w:fldChar w:fldCharType="begin"/>
            </w:r>
            <w:r w:rsidRPr="00C05173">
              <w:rPr>
                <w:rFonts w:ascii="Arial" w:hAnsi="Arial" w:cs="Arial"/>
                <w:noProof/>
                <w:webHidden/>
              </w:rPr>
              <w:instrText xml:space="preserve"> PAGEREF _Toc233050376 \h </w:instrText>
            </w:r>
            <w:r w:rsidRPr="00C05173">
              <w:rPr>
                <w:rFonts w:ascii="Arial" w:hAnsi="Arial" w:cs="Arial"/>
                <w:noProof/>
                <w:webHidden/>
              </w:rPr>
            </w:r>
            <w:r w:rsidRPr="00C05173">
              <w:rPr>
                <w:rFonts w:ascii="Arial" w:hAnsi="Arial" w:cs="Arial"/>
                <w:noProof/>
                <w:webHidden/>
              </w:rPr>
              <w:fldChar w:fldCharType="separate"/>
            </w:r>
            <w:r w:rsidRPr="00C05173">
              <w:rPr>
                <w:rFonts w:ascii="Arial" w:hAnsi="Arial" w:cs="Arial"/>
                <w:noProof/>
                <w:webHidden/>
              </w:rPr>
              <w:t>4</w:t>
            </w:r>
            <w:r w:rsidRPr="00C05173">
              <w:rPr>
                <w:rFonts w:ascii="Arial" w:hAnsi="Arial" w:cs="Arial"/>
                <w:noProof/>
                <w:webHidden/>
              </w:rPr>
              <w:fldChar w:fldCharType="end"/>
            </w:r>
          </w:hyperlink>
        </w:p>
        <w:p w14:paraId="7D9542BA" w14:textId="77777777" w:rsidR="00A24D9C" w:rsidRPr="00C05173" w:rsidRDefault="00A24D9C" w:rsidP="00A24D9C">
          <w:pPr>
            <w:pStyle w:val="TOC1"/>
            <w:tabs>
              <w:tab w:val="right" w:leader="dot" w:pos="9016"/>
            </w:tabs>
            <w:spacing w:line="360" w:lineRule="auto"/>
            <w:jc w:val="both"/>
            <w:rPr>
              <w:rFonts w:ascii="Arial" w:hAnsi="Arial" w:cs="Arial"/>
              <w:noProof/>
            </w:rPr>
          </w:pPr>
          <w:hyperlink w:anchor="_Toc233050377" w:history="1">
            <w:r w:rsidRPr="00C05173">
              <w:rPr>
                <w:rStyle w:val="Hyperlink"/>
                <w:rFonts w:ascii="Arial" w:eastAsia="Times New Roman" w:hAnsi="Arial" w:cs="Arial"/>
                <w:noProof/>
                <w:color w:val="auto"/>
                <w:lang w:eastAsia="en-GB"/>
              </w:rPr>
              <w:t>4. Performance Measurement and Decision-Making</w:t>
            </w:r>
            <w:r w:rsidRPr="00C05173">
              <w:rPr>
                <w:rFonts w:ascii="Arial" w:hAnsi="Arial" w:cs="Arial"/>
                <w:noProof/>
                <w:webHidden/>
              </w:rPr>
              <w:tab/>
            </w:r>
            <w:r w:rsidRPr="00C05173">
              <w:rPr>
                <w:rFonts w:ascii="Arial" w:hAnsi="Arial" w:cs="Arial"/>
                <w:noProof/>
                <w:webHidden/>
              </w:rPr>
              <w:fldChar w:fldCharType="begin"/>
            </w:r>
            <w:r w:rsidRPr="00C05173">
              <w:rPr>
                <w:rFonts w:ascii="Arial" w:hAnsi="Arial" w:cs="Arial"/>
                <w:noProof/>
                <w:webHidden/>
              </w:rPr>
              <w:instrText xml:space="preserve"> PAGEREF _Toc233050377 \h </w:instrText>
            </w:r>
            <w:r w:rsidRPr="00C05173">
              <w:rPr>
                <w:rFonts w:ascii="Arial" w:hAnsi="Arial" w:cs="Arial"/>
                <w:noProof/>
                <w:webHidden/>
              </w:rPr>
            </w:r>
            <w:r w:rsidRPr="00C05173">
              <w:rPr>
                <w:rFonts w:ascii="Arial" w:hAnsi="Arial" w:cs="Arial"/>
                <w:noProof/>
                <w:webHidden/>
              </w:rPr>
              <w:fldChar w:fldCharType="separate"/>
            </w:r>
            <w:r w:rsidRPr="00C05173">
              <w:rPr>
                <w:rFonts w:ascii="Arial" w:hAnsi="Arial" w:cs="Arial"/>
                <w:noProof/>
                <w:webHidden/>
              </w:rPr>
              <w:t>5</w:t>
            </w:r>
            <w:r w:rsidRPr="00C05173">
              <w:rPr>
                <w:rFonts w:ascii="Arial" w:hAnsi="Arial" w:cs="Arial"/>
                <w:noProof/>
                <w:webHidden/>
              </w:rPr>
              <w:fldChar w:fldCharType="end"/>
            </w:r>
          </w:hyperlink>
        </w:p>
        <w:p w14:paraId="622DD739" w14:textId="77777777" w:rsidR="00A24D9C" w:rsidRPr="00C05173" w:rsidRDefault="00A24D9C" w:rsidP="00A24D9C">
          <w:pPr>
            <w:pStyle w:val="TOC1"/>
            <w:tabs>
              <w:tab w:val="right" w:leader="dot" w:pos="9016"/>
            </w:tabs>
            <w:spacing w:line="360" w:lineRule="auto"/>
            <w:jc w:val="both"/>
            <w:rPr>
              <w:rFonts w:ascii="Arial" w:hAnsi="Arial" w:cs="Arial"/>
              <w:noProof/>
            </w:rPr>
          </w:pPr>
          <w:hyperlink w:anchor="_Toc233050378" w:history="1">
            <w:r w:rsidRPr="00C05173">
              <w:rPr>
                <w:rStyle w:val="Hyperlink"/>
                <w:rFonts w:ascii="Arial" w:eastAsia="Times New Roman" w:hAnsi="Arial" w:cs="Arial"/>
                <w:noProof/>
                <w:color w:val="auto"/>
                <w:lang w:eastAsia="en-GB"/>
              </w:rPr>
              <w:t>5. Sustainability and Ethical Considerations</w:t>
            </w:r>
            <w:r w:rsidRPr="00C05173">
              <w:rPr>
                <w:rFonts w:ascii="Arial" w:hAnsi="Arial" w:cs="Arial"/>
                <w:noProof/>
                <w:webHidden/>
              </w:rPr>
              <w:tab/>
            </w:r>
            <w:r w:rsidRPr="00C05173">
              <w:rPr>
                <w:rFonts w:ascii="Arial" w:hAnsi="Arial" w:cs="Arial"/>
                <w:noProof/>
                <w:webHidden/>
              </w:rPr>
              <w:fldChar w:fldCharType="begin"/>
            </w:r>
            <w:r w:rsidRPr="00C05173">
              <w:rPr>
                <w:rFonts w:ascii="Arial" w:hAnsi="Arial" w:cs="Arial"/>
                <w:noProof/>
                <w:webHidden/>
              </w:rPr>
              <w:instrText xml:space="preserve"> PAGEREF _Toc233050378 \h </w:instrText>
            </w:r>
            <w:r w:rsidRPr="00C05173">
              <w:rPr>
                <w:rFonts w:ascii="Arial" w:hAnsi="Arial" w:cs="Arial"/>
                <w:noProof/>
                <w:webHidden/>
              </w:rPr>
            </w:r>
            <w:r w:rsidRPr="00C05173">
              <w:rPr>
                <w:rFonts w:ascii="Arial" w:hAnsi="Arial" w:cs="Arial"/>
                <w:noProof/>
                <w:webHidden/>
              </w:rPr>
              <w:fldChar w:fldCharType="separate"/>
            </w:r>
            <w:r w:rsidRPr="00C05173">
              <w:rPr>
                <w:rFonts w:ascii="Arial" w:hAnsi="Arial" w:cs="Arial"/>
                <w:noProof/>
                <w:webHidden/>
              </w:rPr>
              <w:t>7</w:t>
            </w:r>
            <w:r w:rsidRPr="00C05173">
              <w:rPr>
                <w:rFonts w:ascii="Arial" w:hAnsi="Arial" w:cs="Arial"/>
                <w:noProof/>
                <w:webHidden/>
              </w:rPr>
              <w:fldChar w:fldCharType="end"/>
            </w:r>
          </w:hyperlink>
        </w:p>
        <w:p w14:paraId="13A69714" w14:textId="77777777" w:rsidR="00A24D9C" w:rsidRPr="00C05173" w:rsidRDefault="00A24D9C" w:rsidP="00A24D9C">
          <w:pPr>
            <w:pStyle w:val="TOC1"/>
            <w:tabs>
              <w:tab w:val="right" w:leader="dot" w:pos="9016"/>
            </w:tabs>
            <w:spacing w:line="360" w:lineRule="auto"/>
            <w:jc w:val="both"/>
            <w:rPr>
              <w:rFonts w:ascii="Arial" w:hAnsi="Arial" w:cs="Arial"/>
              <w:noProof/>
            </w:rPr>
          </w:pPr>
          <w:hyperlink w:anchor="_Toc233050379" w:history="1">
            <w:r w:rsidRPr="00C05173">
              <w:rPr>
                <w:rStyle w:val="Hyperlink"/>
                <w:rFonts w:ascii="Arial" w:eastAsia="Times New Roman" w:hAnsi="Arial" w:cs="Arial"/>
                <w:noProof/>
                <w:color w:val="auto"/>
                <w:lang w:eastAsia="en-GB"/>
              </w:rPr>
              <w:t>6. Conclusion and Recommendations</w:t>
            </w:r>
            <w:r w:rsidRPr="00C05173">
              <w:rPr>
                <w:rFonts w:ascii="Arial" w:hAnsi="Arial" w:cs="Arial"/>
                <w:noProof/>
                <w:webHidden/>
              </w:rPr>
              <w:tab/>
            </w:r>
            <w:r w:rsidRPr="00C05173">
              <w:rPr>
                <w:rFonts w:ascii="Arial" w:hAnsi="Arial" w:cs="Arial"/>
                <w:noProof/>
                <w:webHidden/>
              </w:rPr>
              <w:fldChar w:fldCharType="begin"/>
            </w:r>
            <w:r w:rsidRPr="00C05173">
              <w:rPr>
                <w:rFonts w:ascii="Arial" w:hAnsi="Arial" w:cs="Arial"/>
                <w:noProof/>
                <w:webHidden/>
              </w:rPr>
              <w:instrText xml:space="preserve"> PAGEREF _Toc233050379 \h </w:instrText>
            </w:r>
            <w:r w:rsidRPr="00C05173">
              <w:rPr>
                <w:rFonts w:ascii="Arial" w:hAnsi="Arial" w:cs="Arial"/>
                <w:noProof/>
                <w:webHidden/>
              </w:rPr>
            </w:r>
            <w:r w:rsidRPr="00C05173">
              <w:rPr>
                <w:rFonts w:ascii="Arial" w:hAnsi="Arial" w:cs="Arial"/>
                <w:noProof/>
                <w:webHidden/>
              </w:rPr>
              <w:fldChar w:fldCharType="separate"/>
            </w:r>
            <w:r w:rsidRPr="00C05173">
              <w:rPr>
                <w:rFonts w:ascii="Arial" w:hAnsi="Arial" w:cs="Arial"/>
                <w:noProof/>
                <w:webHidden/>
              </w:rPr>
              <w:t>8</w:t>
            </w:r>
            <w:r w:rsidRPr="00C05173">
              <w:rPr>
                <w:rFonts w:ascii="Arial" w:hAnsi="Arial" w:cs="Arial"/>
                <w:noProof/>
                <w:webHidden/>
              </w:rPr>
              <w:fldChar w:fldCharType="end"/>
            </w:r>
          </w:hyperlink>
        </w:p>
        <w:p w14:paraId="78FE86EB" w14:textId="77777777" w:rsidR="00A24D9C" w:rsidRPr="00C05173" w:rsidRDefault="00A24D9C" w:rsidP="00A24D9C">
          <w:pPr>
            <w:pStyle w:val="TOC1"/>
            <w:tabs>
              <w:tab w:val="right" w:leader="dot" w:pos="9016"/>
            </w:tabs>
            <w:spacing w:line="360" w:lineRule="auto"/>
            <w:jc w:val="both"/>
            <w:rPr>
              <w:rFonts w:ascii="Arial" w:hAnsi="Arial" w:cs="Arial"/>
              <w:noProof/>
            </w:rPr>
          </w:pPr>
          <w:hyperlink w:anchor="_Toc233050380" w:history="1">
            <w:r w:rsidRPr="00C05173">
              <w:rPr>
                <w:rStyle w:val="Hyperlink"/>
                <w:rFonts w:ascii="Arial" w:eastAsia="Times New Roman" w:hAnsi="Arial" w:cs="Arial"/>
                <w:noProof/>
                <w:color w:val="auto"/>
                <w:lang w:eastAsia="en-GB"/>
              </w:rPr>
              <w:t>7. Reference List</w:t>
            </w:r>
            <w:r w:rsidRPr="00C05173">
              <w:rPr>
                <w:rFonts w:ascii="Arial" w:hAnsi="Arial" w:cs="Arial"/>
                <w:noProof/>
                <w:webHidden/>
              </w:rPr>
              <w:tab/>
            </w:r>
            <w:r w:rsidRPr="00C05173">
              <w:rPr>
                <w:rFonts w:ascii="Arial" w:hAnsi="Arial" w:cs="Arial"/>
                <w:noProof/>
                <w:webHidden/>
              </w:rPr>
              <w:fldChar w:fldCharType="begin"/>
            </w:r>
            <w:r w:rsidRPr="00C05173">
              <w:rPr>
                <w:rFonts w:ascii="Arial" w:hAnsi="Arial" w:cs="Arial"/>
                <w:noProof/>
                <w:webHidden/>
              </w:rPr>
              <w:instrText xml:space="preserve"> PAGEREF _Toc233050380 \h </w:instrText>
            </w:r>
            <w:r w:rsidRPr="00C05173">
              <w:rPr>
                <w:rFonts w:ascii="Arial" w:hAnsi="Arial" w:cs="Arial"/>
                <w:noProof/>
                <w:webHidden/>
              </w:rPr>
            </w:r>
            <w:r w:rsidRPr="00C05173">
              <w:rPr>
                <w:rFonts w:ascii="Arial" w:hAnsi="Arial" w:cs="Arial"/>
                <w:noProof/>
                <w:webHidden/>
              </w:rPr>
              <w:fldChar w:fldCharType="separate"/>
            </w:r>
            <w:r w:rsidRPr="00C05173">
              <w:rPr>
                <w:rFonts w:ascii="Arial" w:hAnsi="Arial" w:cs="Arial"/>
                <w:noProof/>
                <w:webHidden/>
              </w:rPr>
              <w:t>9</w:t>
            </w:r>
            <w:r w:rsidRPr="00C05173">
              <w:rPr>
                <w:rFonts w:ascii="Arial" w:hAnsi="Arial" w:cs="Arial"/>
                <w:noProof/>
                <w:webHidden/>
              </w:rPr>
              <w:fldChar w:fldCharType="end"/>
            </w:r>
          </w:hyperlink>
        </w:p>
        <w:p w14:paraId="578AEF76" w14:textId="77777777" w:rsidR="00A24D9C" w:rsidRPr="00C05173" w:rsidRDefault="00A24D9C" w:rsidP="00A24D9C">
          <w:pPr>
            <w:spacing w:line="360" w:lineRule="auto"/>
            <w:jc w:val="both"/>
            <w:rPr>
              <w:rFonts w:ascii="Arial" w:hAnsi="Arial" w:cs="Arial"/>
            </w:rPr>
          </w:pPr>
          <w:r w:rsidRPr="00C05173">
            <w:rPr>
              <w:rFonts w:ascii="Arial" w:hAnsi="Arial" w:cs="Arial"/>
              <w:b/>
              <w:bCs/>
              <w:noProof/>
            </w:rPr>
            <w:fldChar w:fldCharType="end"/>
          </w:r>
        </w:p>
      </w:sdtContent>
    </w:sdt>
    <w:p w14:paraId="08117915" w14:textId="77777777" w:rsidR="00A24D9C" w:rsidRPr="00C05173" w:rsidRDefault="00A24D9C" w:rsidP="00A24D9C">
      <w:pPr>
        <w:spacing w:line="360" w:lineRule="auto"/>
        <w:jc w:val="both"/>
        <w:rPr>
          <w:rFonts w:ascii="Arial" w:eastAsia="Times New Roman" w:hAnsi="Arial" w:cs="Arial"/>
          <w:b/>
          <w:sz w:val="28"/>
          <w:szCs w:val="32"/>
          <w:lang w:eastAsia="en-GB"/>
        </w:rPr>
      </w:pPr>
      <w:r w:rsidRPr="00C05173">
        <w:rPr>
          <w:rFonts w:ascii="Arial" w:eastAsia="Times New Roman" w:hAnsi="Arial" w:cs="Arial"/>
          <w:lang w:eastAsia="en-GB"/>
        </w:rPr>
        <w:br w:type="page"/>
      </w:r>
    </w:p>
    <w:p w14:paraId="215ECDBB" w14:textId="77777777" w:rsidR="00D46012" w:rsidRPr="00C05173" w:rsidRDefault="00D46012" w:rsidP="00A24D9C">
      <w:pPr>
        <w:pStyle w:val="Heading1"/>
        <w:spacing w:line="360" w:lineRule="auto"/>
        <w:jc w:val="both"/>
        <w:rPr>
          <w:rFonts w:eastAsia="Times New Roman" w:cs="Arial"/>
          <w:lang w:eastAsia="en-GB"/>
        </w:rPr>
      </w:pPr>
      <w:bookmarkStart w:id="0" w:name="_Toc233050374"/>
      <w:r w:rsidRPr="00C05173">
        <w:rPr>
          <w:rFonts w:eastAsia="Times New Roman" w:cs="Arial"/>
          <w:lang w:eastAsia="en-GB"/>
        </w:rPr>
        <w:lastRenderedPageBreak/>
        <w:t>1. Introduction</w:t>
      </w:r>
      <w:bookmarkEnd w:id="0"/>
    </w:p>
    <w:p w14:paraId="4D075420" w14:textId="77777777" w:rsidR="0001452E" w:rsidRPr="00D46012" w:rsidRDefault="00803135" w:rsidP="00A24D9C">
      <w:pPr>
        <w:spacing w:before="100" w:beforeAutospacing="1" w:after="100" w:afterAutospacing="1" w:line="360" w:lineRule="auto"/>
        <w:ind w:firstLine="720"/>
        <w:jc w:val="both"/>
        <w:rPr>
          <w:rFonts w:ascii="Arial" w:eastAsia="Times New Roman" w:hAnsi="Arial" w:cs="Arial"/>
          <w:szCs w:val="24"/>
          <w:lang w:eastAsia="en-GB"/>
        </w:rPr>
      </w:pPr>
      <w:r w:rsidRPr="00C05173">
        <w:rPr>
          <w:rFonts w:ascii="Arial" w:eastAsia="Times New Roman" w:hAnsi="Arial" w:cs="Arial"/>
          <w:szCs w:val="24"/>
          <w:lang w:eastAsia="en-GB"/>
        </w:rPr>
        <w:t>Airbnb</w:t>
      </w:r>
      <w:r w:rsidR="004C2B0C" w:rsidRPr="00C05173">
        <w:rPr>
          <w:rFonts w:ascii="Arial" w:eastAsia="Times New Roman" w:hAnsi="Arial" w:cs="Arial"/>
          <w:szCs w:val="24"/>
          <w:lang w:eastAsia="en-GB"/>
        </w:rPr>
        <w:t xml:space="preserve"> is a digital marketplace that connects guests with over five million hosts in more than 220 countries and regions around the world and generates service fees as its primary source of revenue for stays, experiences and services (</w:t>
      </w:r>
      <w:r w:rsidRPr="00C05173">
        <w:rPr>
          <w:rFonts w:ascii="Arial" w:eastAsia="Times New Roman" w:hAnsi="Arial" w:cs="Arial"/>
          <w:szCs w:val="24"/>
          <w:lang w:eastAsia="en-GB"/>
        </w:rPr>
        <w:t>Airbnb</w:t>
      </w:r>
      <w:r w:rsidR="003A7369" w:rsidRPr="00C05173">
        <w:rPr>
          <w:rFonts w:ascii="Arial" w:eastAsia="Times New Roman" w:hAnsi="Arial" w:cs="Arial"/>
          <w:szCs w:val="24"/>
          <w:lang w:eastAsia="en-GB"/>
        </w:rPr>
        <w:t>, 2026</w:t>
      </w:r>
      <w:r w:rsidR="004C2B0C" w:rsidRPr="00C05173">
        <w:rPr>
          <w:rFonts w:ascii="Arial" w:eastAsia="Times New Roman" w:hAnsi="Arial" w:cs="Arial"/>
          <w:szCs w:val="24"/>
          <w:lang w:eastAsia="en-GB"/>
        </w:rPr>
        <w:t xml:space="preserve">). Such platforms are defined by Akbar and </w:t>
      </w:r>
      <w:proofErr w:type="spellStart"/>
      <w:r w:rsidR="004C2B0C" w:rsidRPr="00C05173">
        <w:rPr>
          <w:rFonts w:ascii="Arial" w:eastAsia="Times New Roman" w:hAnsi="Arial" w:cs="Arial"/>
          <w:szCs w:val="24"/>
          <w:lang w:eastAsia="en-GB"/>
        </w:rPr>
        <w:t>Tracogna</w:t>
      </w:r>
      <w:proofErr w:type="spellEnd"/>
      <w:r w:rsidR="004C2B0C" w:rsidRPr="00C05173">
        <w:rPr>
          <w:rFonts w:ascii="Arial" w:eastAsia="Times New Roman" w:hAnsi="Arial" w:cs="Arial"/>
          <w:szCs w:val="24"/>
          <w:lang w:eastAsia="en-GB"/>
        </w:rPr>
        <w:t xml:space="preserve"> (2018) as transaction-cost reducing intermediaries whose size depends on the participation of the network of places, not necessarily the ownership of the accommodations themselves. Thus, </w:t>
      </w:r>
      <w:r w:rsidRPr="00C05173">
        <w:rPr>
          <w:rFonts w:ascii="Arial" w:eastAsia="Times New Roman" w:hAnsi="Arial" w:cs="Arial"/>
          <w:szCs w:val="24"/>
          <w:lang w:eastAsia="en-GB"/>
        </w:rPr>
        <w:t>management accounting plays a central role</w:t>
      </w:r>
      <w:r w:rsidR="004C2B0C" w:rsidRPr="00C05173">
        <w:rPr>
          <w:rFonts w:ascii="Arial" w:eastAsia="Times New Roman" w:hAnsi="Arial" w:cs="Arial"/>
          <w:szCs w:val="24"/>
          <w:lang w:eastAsia="en-GB"/>
        </w:rPr>
        <w:t xml:space="preserve"> as </w:t>
      </w:r>
      <w:r w:rsidRPr="00C05173">
        <w:rPr>
          <w:rFonts w:ascii="Arial" w:eastAsia="Times New Roman" w:hAnsi="Arial" w:cs="Arial"/>
          <w:szCs w:val="24"/>
          <w:lang w:eastAsia="en-GB"/>
        </w:rPr>
        <w:t>Airbnb</w:t>
      </w:r>
      <w:r w:rsidR="004C2B0C" w:rsidRPr="00C05173">
        <w:rPr>
          <w:rFonts w:ascii="Arial" w:eastAsia="Times New Roman" w:hAnsi="Arial" w:cs="Arial"/>
          <w:szCs w:val="24"/>
          <w:lang w:eastAsia="en-GB"/>
        </w:rPr>
        <w:t xml:space="preserve"> has to educate itself about the fluctuation that characterizes travel demand, manage the technology and support costs and, evaluate growth without the usual hotel stocks to rely on. </w:t>
      </w:r>
      <w:proofErr w:type="spellStart"/>
      <w:r w:rsidR="003A7369" w:rsidRPr="00C05173">
        <w:rPr>
          <w:rFonts w:ascii="Arial" w:eastAsia="Times New Roman" w:hAnsi="Arial" w:cs="Arial"/>
          <w:szCs w:val="24"/>
          <w:lang w:eastAsia="en-GB"/>
        </w:rPr>
        <w:t>Atrill</w:t>
      </w:r>
      <w:proofErr w:type="spellEnd"/>
      <w:r w:rsidR="003A7369" w:rsidRPr="00C05173">
        <w:rPr>
          <w:rFonts w:ascii="Arial" w:eastAsia="Times New Roman" w:hAnsi="Arial" w:cs="Arial"/>
          <w:szCs w:val="24"/>
          <w:lang w:eastAsia="en-GB"/>
        </w:rPr>
        <w:t xml:space="preserve"> and </w:t>
      </w:r>
      <w:proofErr w:type="spellStart"/>
      <w:r w:rsidR="003A7369" w:rsidRPr="00C05173">
        <w:rPr>
          <w:rFonts w:ascii="Arial" w:eastAsia="Times New Roman" w:hAnsi="Arial" w:cs="Arial"/>
          <w:szCs w:val="24"/>
          <w:lang w:eastAsia="en-GB"/>
        </w:rPr>
        <w:t>McLaney</w:t>
      </w:r>
      <w:proofErr w:type="spellEnd"/>
      <w:r w:rsidR="003A7369" w:rsidRPr="00C05173">
        <w:rPr>
          <w:rFonts w:ascii="Arial" w:eastAsia="Times New Roman" w:hAnsi="Arial" w:cs="Arial"/>
          <w:szCs w:val="24"/>
          <w:lang w:eastAsia="en-GB"/>
        </w:rPr>
        <w:t xml:space="preserve"> (2024) agree</w:t>
      </w:r>
      <w:r w:rsidR="004C2B0C" w:rsidRPr="00C05173">
        <w:rPr>
          <w:rFonts w:ascii="Arial" w:eastAsia="Times New Roman" w:hAnsi="Arial" w:cs="Arial"/>
          <w:szCs w:val="24"/>
          <w:lang w:eastAsia="en-GB"/>
        </w:rPr>
        <w:t xml:space="preserve"> that relevant managerial information should be linked to costs and revenues and non-financial drivers as well, and Drury and </w:t>
      </w:r>
      <w:proofErr w:type="spellStart"/>
      <w:r w:rsidR="004C2B0C" w:rsidRPr="00C05173">
        <w:rPr>
          <w:rFonts w:ascii="Arial" w:eastAsia="Times New Roman" w:hAnsi="Arial" w:cs="Arial"/>
          <w:szCs w:val="24"/>
          <w:lang w:eastAsia="en-GB"/>
        </w:rPr>
        <w:t>Tayles</w:t>
      </w:r>
      <w:proofErr w:type="spellEnd"/>
      <w:r w:rsidR="004C2B0C" w:rsidRPr="00C05173">
        <w:rPr>
          <w:rFonts w:ascii="Arial" w:eastAsia="Times New Roman" w:hAnsi="Arial" w:cs="Arial"/>
          <w:szCs w:val="24"/>
          <w:lang w:eastAsia="en-GB"/>
        </w:rPr>
        <w:t xml:space="preserve"> (2021) highlight budgeting and performance measurement as connecting mechanisms between strategy and accountable decisions. In this report, the cost model; budgeting; key performance indicators; sustainability and ethical responsibilities of </w:t>
      </w:r>
      <w:r w:rsidRPr="00C05173">
        <w:rPr>
          <w:rFonts w:ascii="Arial" w:eastAsia="Times New Roman" w:hAnsi="Arial" w:cs="Arial"/>
          <w:szCs w:val="24"/>
          <w:lang w:eastAsia="en-GB"/>
        </w:rPr>
        <w:t>Airbnb</w:t>
      </w:r>
      <w:r w:rsidR="004C2B0C" w:rsidRPr="00C05173">
        <w:rPr>
          <w:rFonts w:ascii="Arial" w:eastAsia="Times New Roman" w:hAnsi="Arial" w:cs="Arial"/>
          <w:szCs w:val="24"/>
          <w:lang w:eastAsia="en-GB"/>
        </w:rPr>
        <w:t xml:space="preserve"> are all critically evaluated.</w:t>
      </w:r>
    </w:p>
    <w:p w14:paraId="2D333D9F" w14:textId="77777777" w:rsidR="00D46012" w:rsidRPr="00C05173" w:rsidRDefault="00D46012" w:rsidP="00A24D9C">
      <w:pPr>
        <w:pStyle w:val="Heading1"/>
        <w:spacing w:line="360" w:lineRule="auto"/>
        <w:jc w:val="both"/>
        <w:rPr>
          <w:rFonts w:eastAsia="Times New Roman" w:cs="Arial"/>
          <w:lang w:eastAsia="en-GB"/>
        </w:rPr>
      </w:pPr>
      <w:bookmarkStart w:id="1" w:name="_Toc233050375"/>
      <w:r w:rsidRPr="00C05173">
        <w:rPr>
          <w:rFonts w:eastAsia="Times New Roman" w:cs="Arial"/>
          <w:lang w:eastAsia="en-GB"/>
        </w:rPr>
        <w:t>2. Cost Analysis and Business Model</w:t>
      </w:r>
      <w:bookmarkEnd w:id="1"/>
    </w:p>
    <w:p w14:paraId="21CFC91E" w14:textId="77777777" w:rsidR="004C2B0C" w:rsidRPr="00C05173" w:rsidRDefault="004C2B0C" w:rsidP="00A24D9C">
      <w:pPr>
        <w:spacing w:before="100" w:beforeAutospacing="1" w:after="100" w:afterAutospacing="1" w:line="360" w:lineRule="auto"/>
        <w:ind w:firstLine="720"/>
        <w:jc w:val="both"/>
        <w:rPr>
          <w:rFonts w:ascii="Arial" w:eastAsia="Times New Roman" w:hAnsi="Arial" w:cs="Arial"/>
          <w:szCs w:val="24"/>
          <w:lang w:eastAsia="en-GB"/>
        </w:rPr>
      </w:pPr>
      <w:r w:rsidRPr="00C05173">
        <w:rPr>
          <w:rFonts w:ascii="Arial" w:eastAsia="Times New Roman" w:hAnsi="Arial" w:cs="Arial"/>
          <w:szCs w:val="24"/>
          <w:lang w:eastAsia="en-GB"/>
        </w:rPr>
        <w:t xml:space="preserve">The asset-light revenue model does not necessarily result in a cost-light business model for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The company acts as an agent and records service-fee revenues at guest check-in while keeping no control over the inventory of accommodations and in general not determining the price for the host (</w:t>
      </w:r>
      <w:r w:rsidR="00803135" w:rsidRPr="00C05173">
        <w:rPr>
          <w:rFonts w:ascii="Arial" w:eastAsia="Times New Roman" w:hAnsi="Arial" w:cs="Arial"/>
          <w:szCs w:val="24"/>
          <w:lang w:eastAsia="en-GB"/>
        </w:rPr>
        <w:t>Airbnb</w:t>
      </w:r>
      <w:r w:rsidR="003A7369" w:rsidRPr="00C05173">
        <w:rPr>
          <w:rFonts w:ascii="Arial" w:eastAsia="Times New Roman" w:hAnsi="Arial" w:cs="Arial"/>
          <w:szCs w:val="24"/>
          <w:lang w:eastAsia="en-GB"/>
        </w:rPr>
        <w:t>, 2026</w:t>
      </w:r>
      <w:r w:rsidRPr="00C05173">
        <w:rPr>
          <w:rFonts w:ascii="Arial" w:eastAsia="Times New Roman" w:hAnsi="Arial" w:cs="Arial"/>
          <w:szCs w:val="24"/>
          <w:lang w:eastAsia="en-GB"/>
        </w:rPr>
        <w:t xml:space="preserve">). In the market influence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 is becoming more like a lodging corporation, with the economics still that of a digital platform, </w:t>
      </w:r>
      <w:proofErr w:type="spellStart"/>
      <w:r w:rsidRPr="00C05173">
        <w:rPr>
          <w:rFonts w:ascii="Arial" w:eastAsia="Times New Roman" w:hAnsi="Arial" w:cs="Arial"/>
          <w:szCs w:val="24"/>
          <w:lang w:eastAsia="en-GB"/>
        </w:rPr>
        <w:t>Dogru</w:t>
      </w:r>
      <w:proofErr w:type="spellEnd"/>
      <w:r w:rsidRPr="00C05173">
        <w:rPr>
          <w:rFonts w:ascii="Arial" w:eastAsia="Times New Roman" w:hAnsi="Arial" w:cs="Arial"/>
          <w:szCs w:val="24"/>
          <w:lang w:eastAsia="en-GB"/>
        </w:rPr>
        <w:t xml:space="preserve"> et al. (2020) contend. This is where the scalability comes in, as further bookings do not require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 to buy rooms, but, the revenue is constrained by supply of host rooms, and demand for customer rooms and platform trust. Whereas </w:t>
      </w:r>
      <w:proofErr w:type="spellStart"/>
      <w:r w:rsidRPr="00C05173">
        <w:rPr>
          <w:rFonts w:ascii="Arial" w:eastAsia="Times New Roman" w:hAnsi="Arial" w:cs="Arial"/>
          <w:szCs w:val="24"/>
          <w:lang w:eastAsia="en-GB"/>
        </w:rPr>
        <w:t>Guttentag</w:t>
      </w:r>
      <w:proofErr w:type="spellEnd"/>
      <w:r w:rsidRPr="00C05173">
        <w:rPr>
          <w:rFonts w:ascii="Arial" w:eastAsia="Times New Roman" w:hAnsi="Arial" w:cs="Arial"/>
          <w:szCs w:val="24"/>
          <w:lang w:eastAsia="en-GB"/>
        </w:rPr>
        <w:t xml:space="preserve"> et al. (2018) reveal that users appreciate price, authenticity and convenience, Cheng and Jin (2019) establish that cleanliness, communication and location trend to be featured in the customers' reviews. As a result, cost savings, such as staff downsizing in a customer support capacity or lessening checks on a property and its safety may lower short-term spending, but have long-term adverse impacts on the non-financial measures that drive future revenue.</w:t>
      </w:r>
    </w:p>
    <w:p w14:paraId="3B633AE5" w14:textId="77777777" w:rsidR="0001452E" w:rsidRPr="00D46012" w:rsidRDefault="00803135" w:rsidP="00A24D9C">
      <w:pPr>
        <w:spacing w:before="100" w:beforeAutospacing="1" w:after="100" w:afterAutospacing="1" w:line="360" w:lineRule="auto"/>
        <w:ind w:firstLine="720"/>
        <w:jc w:val="both"/>
        <w:rPr>
          <w:rFonts w:ascii="Arial" w:eastAsia="Times New Roman" w:hAnsi="Arial" w:cs="Arial"/>
          <w:szCs w:val="24"/>
          <w:lang w:eastAsia="en-GB"/>
        </w:rPr>
      </w:pPr>
      <w:r w:rsidRPr="00C05173">
        <w:rPr>
          <w:rFonts w:ascii="Arial" w:eastAsia="Times New Roman" w:hAnsi="Arial" w:cs="Arial"/>
          <w:szCs w:val="24"/>
          <w:lang w:eastAsia="en-GB"/>
        </w:rPr>
        <w:lastRenderedPageBreak/>
        <w:t>Airbnb</w:t>
      </w:r>
      <w:r w:rsidR="004C2B0C" w:rsidRPr="00C05173">
        <w:rPr>
          <w:rFonts w:ascii="Arial" w:eastAsia="Times New Roman" w:hAnsi="Arial" w:cs="Arial"/>
          <w:szCs w:val="24"/>
          <w:lang w:eastAsia="en-GB"/>
        </w:rPr>
        <w:t xml:space="preserve">'s cost structure consists of expenses that have relatively fixed amounts but also volume-sensitive ones. Product-development salaries, corporate administration, compliance legalities and cybersecurity core platform infrastructure, the lion's share of which happens outside of our budget period. This is operating leverage, and as Drury and </w:t>
      </w:r>
      <w:proofErr w:type="spellStart"/>
      <w:r w:rsidR="004C2B0C" w:rsidRPr="00C05173">
        <w:rPr>
          <w:rFonts w:ascii="Arial" w:eastAsia="Times New Roman" w:hAnsi="Arial" w:cs="Arial"/>
          <w:szCs w:val="24"/>
          <w:lang w:eastAsia="en-GB"/>
        </w:rPr>
        <w:t>Tayles</w:t>
      </w:r>
      <w:proofErr w:type="spellEnd"/>
      <w:r w:rsidR="004C2B0C" w:rsidRPr="00C05173">
        <w:rPr>
          <w:rFonts w:ascii="Arial" w:eastAsia="Times New Roman" w:hAnsi="Arial" w:cs="Arial"/>
          <w:szCs w:val="24"/>
          <w:lang w:eastAsia="en-GB"/>
        </w:rPr>
        <w:t xml:space="preserve"> (2021) describe, the growth of revenue causes these costs to be divided across a greater number of transactions, which helps but if revenue declines, the cost base is exposed. Some of the costs that typically scale with transactions are described by </w:t>
      </w:r>
      <w:r w:rsidRPr="00C05173">
        <w:rPr>
          <w:rFonts w:ascii="Arial" w:eastAsia="Times New Roman" w:hAnsi="Arial" w:cs="Arial"/>
          <w:szCs w:val="24"/>
          <w:lang w:eastAsia="en-GB"/>
        </w:rPr>
        <w:t>Airbnb</w:t>
      </w:r>
      <w:r w:rsidR="004C2B0C" w:rsidRPr="00C05173">
        <w:rPr>
          <w:rFonts w:ascii="Arial" w:eastAsia="Times New Roman" w:hAnsi="Arial" w:cs="Arial"/>
          <w:szCs w:val="24"/>
          <w:lang w:eastAsia="en-GB"/>
        </w:rPr>
        <w:t xml:space="preserve"> as variable or semi-variable costs, such as merchant fees, chargebacks, payment processing, data hosting, customer support, refunds, host-protection insurance and performance marketing (</w:t>
      </w:r>
      <w:r w:rsidRPr="00C05173">
        <w:rPr>
          <w:rFonts w:ascii="Arial" w:eastAsia="Times New Roman" w:hAnsi="Arial" w:cs="Arial"/>
          <w:szCs w:val="24"/>
          <w:lang w:eastAsia="en-GB"/>
        </w:rPr>
        <w:t>Airbnb</w:t>
      </w:r>
      <w:r w:rsidR="003A7369" w:rsidRPr="00C05173">
        <w:rPr>
          <w:rFonts w:ascii="Arial" w:eastAsia="Times New Roman" w:hAnsi="Arial" w:cs="Arial"/>
          <w:szCs w:val="24"/>
          <w:lang w:eastAsia="en-GB"/>
        </w:rPr>
        <w:t>, 2026</w:t>
      </w:r>
      <w:r w:rsidR="004C2B0C" w:rsidRPr="00C05173">
        <w:rPr>
          <w:rFonts w:ascii="Arial" w:eastAsia="Times New Roman" w:hAnsi="Arial" w:cs="Arial"/>
          <w:szCs w:val="24"/>
          <w:lang w:eastAsia="en-GB"/>
        </w:rPr>
        <w:t xml:space="preserve">). However, according to Garrison et al. (2021), contribution analysis can be a useful tool if the contribution can be distinguished from the costs. But with </w:t>
      </w:r>
      <w:r w:rsidRPr="00C05173">
        <w:rPr>
          <w:rFonts w:ascii="Arial" w:eastAsia="Times New Roman" w:hAnsi="Arial" w:cs="Arial"/>
          <w:szCs w:val="24"/>
          <w:lang w:eastAsia="en-GB"/>
        </w:rPr>
        <w:t>Airbnb</w:t>
      </w:r>
      <w:r w:rsidR="004C2B0C" w:rsidRPr="00C05173">
        <w:rPr>
          <w:rFonts w:ascii="Arial" w:eastAsia="Times New Roman" w:hAnsi="Arial" w:cs="Arial"/>
          <w:szCs w:val="24"/>
          <w:lang w:eastAsia="en-GB"/>
        </w:rPr>
        <w:t>'s shared technology and trust and safety tools, simple cost calculation cannot be trusted. Activity based costing would thus be more useful than overhead averages in general — payment processing, dispute resolution, fraud prevention and regulatory barriers vary in their use of resources from market to market, and between booking categories.</w:t>
      </w:r>
    </w:p>
    <w:p w14:paraId="68D74977" w14:textId="77777777" w:rsidR="00D46012" w:rsidRPr="00C05173" w:rsidRDefault="00D46012" w:rsidP="00A24D9C">
      <w:pPr>
        <w:pStyle w:val="Heading1"/>
        <w:spacing w:line="360" w:lineRule="auto"/>
        <w:jc w:val="both"/>
        <w:rPr>
          <w:rFonts w:eastAsia="Times New Roman" w:cs="Arial"/>
          <w:lang w:eastAsia="en-GB"/>
        </w:rPr>
      </w:pPr>
      <w:bookmarkStart w:id="2" w:name="_Toc233050376"/>
      <w:r w:rsidRPr="00C05173">
        <w:rPr>
          <w:rFonts w:eastAsia="Times New Roman" w:cs="Arial"/>
          <w:lang w:eastAsia="en-GB"/>
        </w:rPr>
        <w:t>3. Budgeting and Financial Planning</w:t>
      </w:r>
      <w:bookmarkEnd w:id="2"/>
    </w:p>
    <w:p w14:paraId="262A581D" w14:textId="77777777" w:rsidR="004C2B0C" w:rsidRPr="00C05173" w:rsidRDefault="004C2B0C" w:rsidP="00A24D9C">
      <w:pPr>
        <w:spacing w:before="100" w:beforeAutospacing="1" w:after="100" w:afterAutospacing="1" w:line="360" w:lineRule="auto"/>
        <w:ind w:firstLine="720"/>
        <w:jc w:val="both"/>
        <w:rPr>
          <w:rFonts w:ascii="Arial" w:eastAsia="Times New Roman" w:hAnsi="Arial" w:cs="Arial"/>
          <w:szCs w:val="24"/>
          <w:lang w:eastAsia="en-GB"/>
        </w:rPr>
      </w:pPr>
      <w:r w:rsidRPr="00C05173">
        <w:rPr>
          <w:rFonts w:ascii="Arial" w:eastAsia="Times New Roman" w:hAnsi="Arial" w:cs="Arial"/>
          <w:szCs w:val="24"/>
          <w:lang w:eastAsia="en-GB"/>
        </w:rPr>
        <w:t xml:space="preserve">We have to be adaptive when it comes to budgeting in the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 world and not just annual. </w:t>
      </w:r>
      <w:proofErr w:type="spellStart"/>
      <w:r w:rsidRPr="00C05173">
        <w:rPr>
          <w:rFonts w:ascii="Arial" w:eastAsia="Times New Roman" w:hAnsi="Arial" w:cs="Arial"/>
          <w:szCs w:val="24"/>
          <w:lang w:eastAsia="en-GB"/>
        </w:rPr>
        <w:t>Atrill</w:t>
      </w:r>
      <w:proofErr w:type="spellEnd"/>
      <w:r w:rsidRPr="00C05173">
        <w:rPr>
          <w:rFonts w:ascii="Arial" w:eastAsia="Times New Roman" w:hAnsi="Arial" w:cs="Arial"/>
          <w:szCs w:val="24"/>
          <w:lang w:eastAsia="en-GB"/>
        </w:rPr>
        <w:t xml:space="preserve"> and </w:t>
      </w:r>
      <w:proofErr w:type="spellStart"/>
      <w:r w:rsidRPr="00C05173">
        <w:rPr>
          <w:rFonts w:ascii="Arial" w:eastAsia="Times New Roman" w:hAnsi="Arial" w:cs="Arial"/>
          <w:szCs w:val="24"/>
          <w:lang w:eastAsia="en-GB"/>
        </w:rPr>
        <w:t>McLaney</w:t>
      </w:r>
      <w:proofErr w:type="spellEnd"/>
      <w:r w:rsidRPr="00C05173">
        <w:rPr>
          <w:rFonts w:ascii="Arial" w:eastAsia="Times New Roman" w:hAnsi="Arial" w:cs="Arial"/>
          <w:szCs w:val="24"/>
          <w:lang w:eastAsia="en-GB"/>
        </w:rPr>
        <w:t xml:space="preserve"> (2024) describe a budget as one instrument that coordinates the resources of an organisation and sets its expectations of performance; and Garrison et al. (2021) state that flexible budgets split the distinction between an activity-based spending level and what can be controlled by management. This is crucial since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 has seasonal demand, is exposed to the currency, and is subject to inflation, regulation, and unequal growth across the globe. Hossain (2020) also shows that sharing economy players face institutional and competitive uncertainty that traditional budgets may fail to shed light on. Factors like lead times realized for bookings, cancellations, average daily rate, customer acquisition cost and regional demand are then likely to be better decision support for rolling forecasts than for fixed annual forecasts.</w:t>
      </w:r>
    </w:p>
    <w:p w14:paraId="41830A01" w14:textId="77777777" w:rsidR="004C2B0C" w:rsidRPr="00C05173" w:rsidRDefault="004C2B0C" w:rsidP="00A24D9C">
      <w:pPr>
        <w:spacing w:before="100" w:beforeAutospacing="1" w:after="100" w:afterAutospacing="1" w:line="360" w:lineRule="auto"/>
        <w:ind w:firstLine="720"/>
        <w:jc w:val="both"/>
        <w:rPr>
          <w:rFonts w:ascii="Arial" w:eastAsia="Times New Roman" w:hAnsi="Arial" w:cs="Arial"/>
          <w:szCs w:val="24"/>
          <w:lang w:eastAsia="en-GB"/>
        </w:rPr>
      </w:pPr>
      <w:r w:rsidRPr="00C05173">
        <w:rPr>
          <w:rFonts w:ascii="Arial" w:eastAsia="Times New Roman" w:hAnsi="Arial" w:cs="Arial"/>
          <w:szCs w:val="24"/>
          <w:lang w:eastAsia="en-GB"/>
        </w:rPr>
        <w:t xml:space="preserve">Financial implications of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's expansion plans can be seen in the company's 2025 operating expenses. The rise of 13% in total costs and expenses, </w:t>
      </w:r>
      <w:r w:rsidRPr="00C05173">
        <w:rPr>
          <w:rFonts w:ascii="Arial" w:eastAsia="Times New Roman" w:hAnsi="Arial" w:cs="Arial"/>
          <w:szCs w:val="24"/>
          <w:lang w:eastAsia="en-GB"/>
        </w:rPr>
        <w:lastRenderedPageBreak/>
        <w:t>from $8.549 billion to $9.697 billion, was higher than the 10% growth of revenue (</w:t>
      </w:r>
      <w:r w:rsidR="00803135" w:rsidRPr="00C05173">
        <w:rPr>
          <w:rFonts w:ascii="Arial" w:eastAsia="Times New Roman" w:hAnsi="Arial" w:cs="Arial"/>
          <w:szCs w:val="24"/>
          <w:lang w:eastAsia="en-GB"/>
        </w:rPr>
        <w:t>Airbnb</w:t>
      </w:r>
      <w:r w:rsidR="003A7369" w:rsidRPr="00C05173">
        <w:rPr>
          <w:rFonts w:ascii="Arial" w:eastAsia="Times New Roman" w:hAnsi="Arial" w:cs="Arial"/>
          <w:szCs w:val="24"/>
          <w:lang w:eastAsia="en-GB"/>
        </w:rPr>
        <w:t>, 2026</w:t>
      </w:r>
      <w:r w:rsidRPr="00C05173">
        <w:rPr>
          <w:rFonts w:ascii="Arial" w:eastAsia="Times New Roman" w:hAnsi="Arial" w:cs="Arial"/>
          <w:szCs w:val="24"/>
          <w:lang w:eastAsia="en-GB"/>
        </w:rPr>
        <w:t xml:space="preserve">). Product-development spending was up 14% primarily due to the increase in payroll and number of employees and sales and marketing spending grew by 20% driven by increased marketing activity, field operations and third-party service spending. Operations and support grew by 4% only, hinting at some level of economies of scale, but cost of revenue went up 11% on higher merchant fees, software amortisation and data-hosting spend. Important to note here is an adverse expenditure variance is not necessarily a bad thing if the expenditure has added value – as in greater learning space for the future has been </w:t>
      </w:r>
      <w:r w:rsidR="003A7369" w:rsidRPr="00C05173">
        <w:rPr>
          <w:rFonts w:ascii="Arial" w:eastAsia="Times New Roman" w:hAnsi="Arial" w:cs="Arial"/>
          <w:szCs w:val="24"/>
          <w:lang w:eastAsia="en-GB"/>
        </w:rPr>
        <w:t xml:space="preserve">purchased (Drury and </w:t>
      </w:r>
      <w:proofErr w:type="spellStart"/>
      <w:r w:rsidR="003A7369" w:rsidRPr="00C05173">
        <w:rPr>
          <w:rFonts w:ascii="Arial" w:eastAsia="Times New Roman" w:hAnsi="Arial" w:cs="Arial"/>
          <w:szCs w:val="24"/>
          <w:lang w:eastAsia="en-GB"/>
        </w:rPr>
        <w:t>Tayles</w:t>
      </w:r>
      <w:proofErr w:type="spellEnd"/>
      <w:r w:rsidR="003A7369" w:rsidRPr="00C05173">
        <w:rPr>
          <w:rFonts w:ascii="Arial" w:eastAsia="Times New Roman" w:hAnsi="Arial" w:cs="Arial"/>
          <w:szCs w:val="24"/>
          <w:lang w:eastAsia="en-GB"/>
        </w:rPr>
        <w:t>, 2021</w:t>
      </w:r>
      <w:r w:rsidRPr="00C05173">
        <w:rPr>
          <w:rFonts w:ascii="Arial" w:eastAsia="Times New Roman" w:hAnsi="Arial" w:cs="Arial"/>
          <w:szCs w:val="24"/>
          <w:lang w:eastAsia="en-GB"/>
        </w:rPr>
        <w:t xml:space="preserve">). However, it seems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 traded incremental growth for incremental costs, as there was an increase in costs from 77% of revenue to 79% of revenue, and a decrease in operating margin from 23% down to 21%.</w:t>
      </w:r>
    </w:p>
    <w:p w14:paraId="5B23AE6A" w14:textId="77777777" w:rsidR="0001452E" w:rsidRPr="00D46012" w:rsidRDefault="003A7369" w:rsidP="003A7369">
      <w:pPr>
        <w:spacing w:before="100" w:beforeAutospacing="1" w:after="100" w:afterAutospacing="1" w:line="360" w:lineRule="auto"/>
        <w:ind w:firstLine="720"/>
        <w:jc w:val="both"/>
        <w:rPr>
          <w:rFonts w:ascii="Arial" w:eastAsia="Times New Roman" w:hAnsi="Arial" w:cs="Arial"/>
          <w:szCs w:val="24"/>
          <w:lang w:eastAsia="en-GB"/>
        </w:rPr>
      </w:pPr>
      <w:r w:rsidRPr="00C05173">
        <w:rPr>
          <w:rFonts w:ascii="Arial" w:eastAsia="Times New Roman" w:hAnsi="Arial" w:cs="Arial"/>
          <w:szCs w:val="24"/>
          <w:lang w:eastAsia="en-GB"/>
        </w:rPr>
        <w:t xml:space="preserve">According to Google Finance (2026),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's operating expenses grew 16%, while revenue grew 18% during the same period of time, suggesting that costs did not outpace growth. </w:t>
      </w:r>
      <w:r w:rsidR="004C2B0C" w:rsidRPr="00C05173">
        <w:rPr>
          <w:rFonts w:ascii="Arial" w:eastAsia="Times New Roman" w:hAnsi="Arial" w:cs="Arial"/>
          <w:szCs w:val="24"/>
          <w:lang w:eastAsia="en-GB"/>
        </w:rPr>
        <w:t xml:space="preserve">Variance analysis should show the effect due to volume and the effects due to Price/Efficiency. In the case of merchant fees, there is a significant volume component, which is a relevant basis to assess, while additional payroll and marketing spending should be measured in terms of incremental bookings, retention or market penetration. Forecasts should actually account for market mix, as, as shown by Gibbs et al. (2018), prices for </w:t>
      </w:r>
      <w:r w:rsidR="00803135" w:rsidRPr="00C05173">
        <w:rPr>
          <w:rFonts w:ascii="Arial" w:eastAsia="Times New Roman" w:hAnsi="Arial" w:cs="Arial"/>
          <w:szCs w:val="24"/>
          <w:lang w:eastAsia="en-GB"/>
        </w:rPr>
        <w:t>Airbnb</w:t>
      </w:r>
      <w:r w:rsidR="004C2B0C" w:rsidRPr="00C05173">
        <w:rPr>
          <w:rFonts w:ascii="Arial" w:eastAsia="Times New Roman" w:hAnsi="Arial" w:cs="Arial"/>
          <w:szCs w:val="24"/>
          <w:lang w:eastAsia="en-GB"/>
        </w:rPr>
        <w:t xml:space="preserve"> properties are systematically determined by their property and service features and by their location. </w:t>
      </w:r>
      <w:r w:rsidR="00803135" w:rsidRPr="00C05173">
        <w:rPr>
          <w:rFonts w:ascii="Arial" w:eastAsia="Times New Roman" w:hAnsi="Arial" w:cs="Arial"/>
          <w:szCs w:val="24"/>
          <w:lang w:eastAsia="en-GB"/>
        </w:rPr>
        <w:t>Airbnb</w:t>
      </w:r>
      <w:r w:rsidR="004C2B0C" w:rsidRPr="00C05173">
        <w:rPr>
          <w:rFonts w:ascii="Arial" w:eastAsia="Times New Roman" w:hAnsi="Arial" w:cs="Arial"/>
          <w:szCs w:val="24"/>
          <w:lang w:eastAsia="en-GB"/>
        </w:rPr>
        <w:t xml:space="preserve"> also cites macroeconomic risks, such as inflation, interest rates, exchange rate fluctuations and sluggish consumer spending, as ongoing risks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2026</w:t>
      </w:r>
      <w:r w:rsidR="004C2B0C" w:rsidRPr="00C05173">
        <w:rPr>
          <w:rFonts w:ascii="Arial" w:eastAsia="Times New Roman" w:hAnsi="Arial" w:cs="Arial"/>
          <w:szCs w:val="24"/>
          <w:lang w:eastAsia="en-GB"/>
        </w:rPr>
        <w:t>). Scenario budgets thus need to include strain through demand contraction, currency depreciation and tougher regulation but sensitivity analysis should be carried out estimating the changes in contribution and cash generated by changes in booking numbers, average daily rate and the percentage of services fee.</w:t>
      </w:r>
    </w:p>
    <w:p w14:paraId="02E7017D" w14:textId="77777777" w:rsidR="00D46012" w:rsidRPr="00C05173" w:rsidRDefault="00D46012" w:rsidP="00A24D9C">
      <w:pPr>
        <w:pStyle w:val="Heading1"/>
        <w:spacing w:line="360" w:lineRule="auto"/>
        <w:jc w:val="both"/>
        <w:rPr>
          <w:rFonts w:eastAsia="Times New Roman" w:cs="Arial"/>
          <w:lang w:eastAsia="en-GB"/>
        </w:rPr>
      </w:pPr>
      <w:bookmarkStart w:id="3" w:name="_Toc233050377"/>
      <w:r w:rsidRPr="00C05173">
        <w:rPr>
          <w:rFonts w:eastAsia="Times New Roman" w:cs="Arial"/>
          <w:lang w:eastAsia="en-GB"/>
        </w:rPr>
        <w:t>4. Performance Measurement and Decision-Making</w:t>
      </w:r>
      <w:bookmarkEnd w:id="3"/>
    </w:p>
    <w:p w14:paraId="7330B7E1" w14:textId="77777777" w:rsidR="004C2B0C" w:rsidRPr="00C05173" w:rsidRDefault="004C2B0C" w:rsidP="00A24D9C">
      <w:pPr>
        <w:spacing w:before="100" w:beforeAutospacing="1" w:after="100" w:afterAutospacing="1" w:line="360" w:lineRule="auto"/>
        <w:ind w:firstLine="720"/>
        <w:jc w:val="both"/>
        <w:rPr>
          <w:rFonts w:ascii="Arial" w:eastAsia="Times New Roman" w:hAnsi="Arial" w:cs="Arial"/>
          <w:szCs w:val="24"/>
          <w:lang w:eastAsia="en-GB"/>
        </w:rPr>
      </w:pPr>
      <w:r w:rsidRPr="00C05173">
        <w:rPr>
          <w:rFonts w:ascii="Arial" w:eastAsia="Times New Roman" w:hAnsi="Arial" w:cs="Arial"/>
          <w:szCs w:val="24"/>
          <w:lang w:eastAsia="en-GB"/>
        </w:rPr>
        <w:t xml:space="preserve">Since financial performance is a lagging indicator of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 operations, integrated performance indicators, both financial and non-financial, are needed. Revenue has increased by 10% to $12.241 billion, bookings have grown by 8% to </w:t>
      </w:r>
      <w:r w:rsidR="004D0BDE" w:rsidRPr="00C05173">
        <w:rPr>
          <w:rFonts w:ascii="Arial" w:eastAsia="Times New Roman" w:hAnsi="Arial" w:cs="Arial"/>
          <w:szCs w:val="24"/>
          <w:lang w:eastAsia="en-GB"/>
        </w:rPr>
        <w:t xml:space="preserve">533 </w:t>
      </w:r>
      <w:r w:rsidR="004D0BDE" w:rsidRPr="00C05173">
        <w:rPr>
          <w:rFonts w:ascii="Arial" w:eastAsia="Times New Roman" w:hAnsi="Arial" w:cs="Arial"/>
          <w:szCs w:val="24"/>
          <w:lang w:eastAsia="en-GB"/>
        </w:rPr>
        <w:lastRenderedPageBreak/>
        <w:t>million Nights and Seats Booked</w:t>
      </w:r>
      <w:r w:rsidRPr="00C05173">
        <w:rPr>
          <w:rFonts w:ascii="Arial" w:eastAsia="Times New Roman" w:hAnsi="Arial" w:cs="Arial"/>
          <w:szCs w:val="24"/>
          <w:lang w:eastAsia="en-GB"/>
        </w:rPr>
        <w:t>, and gross booking value has gone up by 12% to $91.273 billion (</w:t>
      </w:r>
      <w:r w:rsidR="00803135" w:rsidRPr="00C05173">
        <w:rPr>
          <w:rFonts w:ascii="Arial" w:eastAsia="Times New Roman" w:hAnsi="Arial" w:cs="Arial"/>
          <w:szCs w:val="24"/>
          <w:lang w:eastAsia="en-GB"/>
        </w:rPr>
        <w:t>Airbnb</w:t>
      </w:r>
      <w:r w:rsidR="003A7369" w:rsidRPr="00C05173">
        <w:rPr>
          <w:rFonts w:ascii="Arial" w:eastAsia="Times New Roman" w:hAnsi="Arial" w:cs="Arial"/>
          <w:szCs w:val="24"/>
          <w:lang w:eastAsia="en-GB"/>
        </w:rPr>
        <w:t>, 2026</w:t>
      </w:r>
      <w:r w:rsidRPr="00C05173">
        <w:rPr>
          <w:rFonts w:ascii="Arial" w:eastAsia="Times New Roman" w:hAnsi="Arial" w:cs="Arial"/>
          <w:szCs w:val="24"/>
          <w:lang w:eastAsia="en-GB"/>
        </w:rPr>
        <w:t xml:space="preserve">). Adjusted EBITDA grew 7% from $4.041 billion last year to $4.297 billion with the margin dropping 1 percentage point from 36% to 35%. </w:t>
      </w:r>
      <w:r w:rsidR="004D0BDE" w:rsidRPr="00C05173">
        <w:rPr>
          <w:rFonts w:ascii="Arial" w:eastAsia="Times New Roman" w:hAnsi="Arial" w:cs="Arial"/>
          <w:szCs w:val="24"/>
          <w:lang w:eastAsia="en-GB"/>
        </w:rPr>
        <w:t>Free cash flow increased from $4.484 billion in 2024 to $4.613 billion in 2025</w:t>
      </w:r>
      <w:r w:rsidRPr="00C05173">
        <w:rPr>
          <w:rFonts w:ascii="Arial" w:eastAsia="Times New Roman" w:hAnsi="Arial" w:cs="Arial"/>
          <w:szCs w:val="24"/>
          <w:lang w:eastAsia="en-GB"/>
        </w:rPr>
        <w:t xml:space="preserve"> while the margin fell from 40 percent to 38 percent. </w:t>
      </w:r>
      <w:proofErr w:type="spellStart"/>
      <w:r w:rsidRPr="00C05173">
        <w:rPr>
          <w:rFonts w:ascii="Arial" w:eastAsia="Times New Roman" w:hAnsi="Arial" w:cs="Arial"/>
          <w:szCs w:val="24"/>
          <w:lang w:eastAsia="en-GB"/>
        </w:rPr>
        <w:t>Atrill</w:t>
      </w:r>
      <w:proofErr w:type="spellEnd"/>
      <w:r w:rsidRPr="00C05173">
        <w:rPr>
          <w:rFonts w:ascii="Arial" w:eastAsia="Times New Roman" w:hAnsi="Arial" w:cs="Arial"/>
          <w:szCs w:val="24"/>
          <w:lang w:eastAsia="en-GB"/>
        </w:rPr>
        <w:t xml:space="preserve"> and </w:t>
      </w:r>
      <w:proofErr w:type="spellStart"/>
      <w:r w:rsidRPr="00C05173">
        <w:rPr>
          <w:rFonts w:ascii="Arial" w:eastAsia="Times New Roman" w:hAnsi="Arial" w:cs="Arial"/>
          <w:szCs w:val="24"/>
          <w:lang w:eastAsia="en-GB"/>
        </w:rPr>
        <w:t>McLaney</w:t>
      </w:r>
      <w:proofErr w:type="spellEnd"/>
      <w:r w:rsidRPr="00C05173">
        <w:rPr>
          <w:rFonts w:ascii="Arial" w:eastAsia="Times New Roman" w:hAnsi="Arial" w:cs="Arial"/>
          <w:szCs w:val="24"/>
          <w:lang w:eastAsia="en-GB"/>
        </w:rPr>
        <w:t xml:space="preserve"> (2024) state that financial ratios need to be viewed in conjunction with related factors driving their performance, and </w:t>
      </w:r>
      <w:proofErr w:type="spellStart"/>
      <w:r w:rsidRPr="00C05173">
        <w:rPr>
          <w:rFonts w:ascii="Arial" w:eastAsia="Times New Roman" w:hAnsi="Arial" w:cs="Arial"/>
          <w:szCs w:val="24"/>
          <w:lang w:eastAsia="en-GB"/>
        </w:rPr>
        <w:t>Dogru</w:t>
      </w:r>
      <w:proofErr w:type="spellEnd"/>
      <w:r w:rsidRPr="00C05173">
        <w:rPr>
          <w:rFonts w:ascii="Arial" w:eastAsia="Times New Roman" w:hAnsi="Arial" w:cs="Arial"/>
          <w:szCs w:val="24"/>
          <w:lang w:eastAsia="en-GB"/>
        </w:rPr>
        <w:t xml:space="preserve"> et al. (2019) show that the scale of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's growth can have a tangible impact on existing hotel performance. The KPI mix is accordingly mixed – the transaction scale grew while revenue and cash generation grew but the expenditure grew faster which led to lower margins.</w:t>
      </w:r>
    </w:p>
    <w:p w14:paraId="2F0B17AC" w14:textId="77777777" w:rsidR="004C2B0C" w:rsidRPr="00C05173" w:rsidRDefault="004C2B0C" w:rsidP="00A24D9C">
      <w:pPr>
        <w:spacing w:before="100" w:beforeAutospacing="1" w:after="100" w:afterAutospacing="1" w:line="360" w:lineRule="auto"/>
        <w:ind w:firstLine="720"/>
        <w:jc w:val="both"/>
        <w:rPr>
          <w:rFonts w:ascii="Arial" w:eastAsia="Times New Roman" w:hAnsi="Arial" w:cs="Arial"/>
          <w:szCs w:val="24"/>
          <w:lang w:eastAsia="en-GB"/>
        </w:rPr>
      </w:pPr>
      <w:r w:rsidRPr="00C05173">
        <w:rPr>
          <w:rFonts w:ascii="Arial" w:eastAsia="Times New Roman" w:hAnsi="Arial" w:cs="Arial"/>
          <w:szCs w:val="24"/>
          <w:lang w:eastAsia="en-GB"/>
        </w:rPr>
        <w:t xml:space="preserve">Different decisions can be made using the five selected KPIs. The difference between revenue and nights and seats booked indicates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's skill in monetizing platform-based activity while the number of nights and seats booked highlights transaction growth. Gross booking value also offers a forward-looking indicator; the revenue generated from the services is booked at the time of the client's arrival. Adjusted EBITDA permits the management to evaluate underlying operating performance, but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 recognizes that this measure omits large amounts of spending and should not be a substitute for the generally accepted accounting profit measures (</w:t>
      </w:r>
      <w:r w:rsidR="00803135" w:rsidRPr="00C05173">
        <w:rPr>
          <w:rFonts w:ascii="Arial" w:eastAsia="Times New Roman" w:hAnsi="Arial" w:cs="Arial"/>
          <w:szCs w:val="24"/>
          <w:lang w:eastAsia="en-GB"/>
        </w:rPr>
        <w:t>Airbnb</w:t>
      </w:r>
      <w:r w:rsidR="003A7369" w:rsidRPr="00C05173">
        <w:rPr>
          <w:rFonts w:ascii="Arial" w:eastAsia="Times New Roman" w:hAnsi="Arial" w:cs="Arial"/>
          <w:szCs w:val="24"/>
          <w:lang w:eastAsia="en-GB"/>
        </w:rPr>
        <w:t>, 2026</w:t>
      </w:r>
      <w:r w:rsidRPr="00C05173">
        <w:rPr>
          <w:rFonts w:ascii="Arial" w:eastAsia="Times New Roman" w:hAnsi="Arial" w:cs="Arial"/>
          <w:szCs w:val="24"/>
          <w:lang w:eastAsia="en-GB"/>
        </w:rPr>
        <w:t xml:space="preserve">). A margin of error can be found when comparing free cash flow items for two periods due to the impact from the advance collection of service fees. </w:t>
      </w:r>
      <w:r w:rsidR="003A7369" w:rsidRPr="00C05173">
        <w:rPr>
          <w:rFonts w:ascii="Arial" w:eastAsia="Times New Roman" w:hAnsi="Arial" w:cs="Arial"/>
          <w:szCs w:val="24"/>
          <w:lang w:eastAsia="en-GB"/>
        </w:rPr>
        <w:t>Garrison et al. (2021) suggest</w:t>
      </w:r>
      <w:r w:rsidRPr="00C05173">
        <w:rPr>
          <w:rFonts w:ascii="Arial" w:eastAsia="Times New Roman" w:hAnsi="Arial" w:cs="Arial"/>
          <w:szCs w:val="24"/>
          <w:lang w:eastAsia="en-GB"/>
        </w:rPr>
        <w:t xml:space="preserve"> using a mixture of outcome measures and driver measures in an integrated system. Accordingly, a balanced scorecard should tie these five indicators into guest satisfaction and host retention, as well as safety incidents and reliability of the platform. Cheng and Jin (2019) believe that such approach is recommended as customer reviews provide information on the attributes of services that could only be identified in the accounting information after changes have occurred in demand.</w:t>
      </w:r>
    </w:p>
    <w:p w14:paraId="5797DF4D" w14:textId="77777777" w:rsidR="0001452E" w:rsidRPr="00D46012" w:rsidRDefault="004C2B0C" w:rsidP="00A24D9C">
      <w:pPr>
        <w:spacing w:before="100" w:beforeAutospacing="1" w:after="100" w:afterAutospacing="1" w:line="360" w:lineRule="auto"/>
        <w:ind w:firstLine="720"/>
        <w:jc w:val="both"/>
        <w:rPr>
          <w:rFonts w:ascii="Arial" w:eastAsia="Times New Roman" w:hAnsi="Arial" w:cs="Arial"/>
          <w:szCs w:val="24"/>
          <w:lang w:eastAsia="en-GB"/>
        </w:rPr>
      </w:pPr>
      <w:r w:rsidRPr="00C05173">
        <w:rPr>
          <w:rFonts w:ascii="Arial" w:eastAsia="Times New Roman" w:hAnsi="Arial" w:cs="Arial"/>
          <w:szCs w:val="24"/>
          <w:lang w:eastAsia="en-GB"/>
        </w:rPr>
        <w:t xml:space="preserve">Based on the management decisions taken in 2025, it can be inferred that the company has a growth-oriented strategy and is focusing on diversifying its product offerings.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's approach involved enhancing services and reshaping user experiences, growing its product development team and boosting its marketing budget, all in an effort to sacrifice some short-term profit in exchange for further </w:t>
      </w:r>
      <w:r w:rsidRPr="00C05173">
        <w:rPr>
          <w:rFonts w:ascii="Arial" w:eastAsia="Times New Roman" w:hAnsi="Arial" w:cs="Arial"/>
          <w:szCs w:val="24"/>
          <w:lang w:eastAsia="en-GB"/>
        </w:rPr>
        <w:lastRenderedPageBreak/>
        <w:t>demand building into the future (</w:t>
      </w:r>
      <w:r w:rsidR="00803135" w:rsidRPr="00C05173">
        <w:rPr>
          <w:rFonts w:ascii="Arial" w:eastAsia="Times New Roman" w:hAnsi="Arial" w:cs="Arial"/>
          <w:szCs w:val="24"/>
          <w:lang w:eastAsia="en-GB"/>
        </w:rPr>
        <w:t>Airbnb</w:t>
      </w:r>
      <w:r w:rsidR="003A7369" w:rsidRPr="00C05173">
        <w:rPr>
          <w:rFonts w:ascii="Arial" w:eastAsia="Times New Roman" w:hAnsi="Arial" w:cs="Arial"/>
          <w:szCs w:val="24"/>
          <w:lang w:eastAsia="en-GB"/>
        </w:rPr>
        <w:t>, 2026</w:t>
      </w:r>
      <w:r w:rsidRPr="00C05173">
        <w:rPr>
          <w:rFonts w:ascii="Arial" w:eastAsia="Times New Roman" w:hAnsi="Arial" w:cs="Arial"/>
          <w:szCs w:val="24"/>
          <w:lang w:eastAsia="en-GB"/>
        </w:rPr>
        <w:t xml:space="preserve">). </w:t>
      </w:r>
      <w:proofErr w:type="spellStart"/>
      <w:r w:rsidRPr="00C05173">
        <w:rPr>
          <w:rFonts w:ascii="Arial" w:eastAsia="Times New Roman" w:hAnsi="Arial" w:cs="Arial"/>
          <w:szCs w:val="24"/>
          <w:lang w:eastAsia="en-GB"/>
        </w:rPr>
        <w:t>Guttentag</w:t>
      </w:r>
      <w:proofErr w:type="spellEnd"/>
      <w:r w:rsidRPr="00C05173">
        <w:rPr>
          <w:rFonts w:ascii="Arial" w:eastAsia="Times New Roman" w:hAnsi="Arial" w:cs="Arial"/>
          <w:szCs w:val="24"/>
          <w:lang w:eastAsia="en-GB"/>
        </w:rPr>
        <w:t xml:space="preserve"> et al. (2018) suggest that adding differentiated experiences, such as offering added value beyond the accommodation, can make the platform more desirable. But Akbar and </w:t>
      </w:r>
      <w:proofErr w:type="spellStart"/>
      <w:r w:rsidRPr="00C05173">
        <w:rPr>
          <w:rFonts w:ascii="Arial" w:eastAsia="Times New Roman" w:hAnsi="Arial" w:cs="Arial"/>
          <w:szCs w:val="24"/>
          <w:lang w:eastAsia="en-GB"/>
        </w:rPr>
        <w:t>Tracogna</w:t>
      </w:r>
      <w:proofErr w:type="spellEnd"/>
      <w:r w:rsidRPr="00C05173">
        <w:rPr>
          <w:rFonts w:ascii="Arial" w:eastAsia="Times New Roman" w:hAnsi="Arial" w:cs="Arial"/>
          <w:szCs w:val="24"/>
          <w:lang w:eastAsia="en-GB"/>
        </w:rPr>
        <w:t xml:space="preserve"> (2018) say that competitiveness can only be achieved by keeping the costs of transacting on the platform low, and by fostering trust between players. The key strategic question isn't whether spending went up, however, but whether what was raised in the process of acquiring customers, by bookers using them more, or of booking and engaging more, was worth the money. The definition of headcount-based post-investment analysis needs to be upgraded, with numbers of incremental regional and service contributors benchmarked against the original business case, instead of revenue growth being used as a proxy for successful investment.</w:t>
      </w:r>
    </w:p>
    <w:p w14:paraId="785E6130" w14:textId="77777777" w:rsidR="00D46012" w:rsidRPr="00C05173" w:rsidRDefault="00D46012" w:rsidP="00A24D9C">
      <w:pPr>
        <w:pStyle w:val="Heading1"/>
        <w:spacing w:line="360" w:lineRule="auto"/>
        <w:jc w:val="both"/>
        <w:rPr>
          <w:rFonts w:eastAsia="Times New Roman" w:cs="Arial"/>
          <w:lang w:eastAsia="en-GB"/>
        </w:rPr>
      </w:pPr>
      <w:bookmarkStart w:id="4" w:name="_Toc233050378"/>
      <w:r w:rsidRPr="00C05173">
        <w:rPr>
          <w:rFonts w:eastAsia="Times New Roman" w:cs="Arial"/>
          <w:lang w:eastAsia="en-GB"/>
        </w:rPr>
        <w:t>5. Sustainability and Ethical Considerations</w:t>
      </w:r>
      <w:bookmarkEnd w:id="4"/>
    </w:p>
    <w:p w14:paraId="57C374EF" w14:textId="77777777" w:rsidR="004C2B0C" w:rsidRPr="00C05173" w:rsidRDefault="004C2B0C" w:rsidP="00A24D9C">
      <w:pPr>
        <w:spacing w:before="100" w:beforeAutospacing="1" w:after="100" w:afterAutospacing="1" w:line="360" w:lineRule="auto"/>
        <w:ind w:firstLine="720"/>
        <w:jc w:val="both"/>
        <w:rPr>
          <w:rFonts w:ascii="Arial" w:eastAsia="Times New Roman" w:hAnsi="Arial" w:cs="Arial"/>
          <w:szCs w:val="24"/>
          <w:lang w:eastAsia="en-GB"/>
        </w:rPr>
      </w:pPr>
      <w:r w:rsidRPr="00C05173">
        <w:rPr>
          <w:rFonts w:ascii="Arial" w:eastAsia="Times New Roman" w:hAnsi="Arial" w:cs="Arial"/>
          <w:szCs w:val="24"/>
          <w:lang w:eastAsia="en-GB"/>
        </w:rPr>
        <w:t xml:space="preserve">Energy usage, supplier emissions and community opinion result in operating, reputational and regulatory costs, give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 sustainable credentials financial relevance. The company has pledged to become "Net Zero" by 2030 and reported that the absolute emissions from its "corporate operations" in 2022 were 17% lower than the 2019 baseline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 2023). Curtis and Mont (2020) state that the outcomes that can be attained through SE business models are not merely a reflection of the sustainable inputs they use, but depend on governance factors, as well as on the type of resources used and rebound effects. There are potential environmental and social advantages that can occur from greater utilization of existing </w:t>
      </w:r>
      <w:r w:rsidR="003A7369" w:rsidRPr="00C05173">
        <w:rPr>
          <w:rFonts w:ascii="Arial" w:eastAsia="Times New Roman" w:hAnsi="Arial" w:cs="Arial"/>
          <w:szCs w:val="24"/>
          <w:lang w:eastAsia="en-GB"/>
        </w:rPr>
        <w:t>assets (Mi and Coffman, 2019</w:t>
      </w:r>
      <w:r w:rsidRPr="00C05173">
        <w:rPr>
          <w:rFonts w:ascii="Arial" w:eastAsia="Times New Roman" w:hAnsi="Arial" w:cs="Arial"/>
          <w:szCs w:val="24"/>
          <w:lang w:eastAsia="en-GB"/>
        </w:rPr>
        <w:t xml:space="preserve">). But as </w:t>
      </w:r>
      <w:proofErr w:type="spellStart"/>
      <w:r w:rsidRPr="00C05173">
        <w:rPr>
          <w:rFonts w:ascii="Arial" w:eastAsia="Times New Roman" w:hAnsi="Arial" w:cs="Arial"/>
          <w:szCs w:val="24"/>
          <w:lang w:eastAsia="en-GB"/>
        </w:rPr>
        <w:t>Caldicott</w:t>
      </w:r>
      <w:proofErr w:type="spellEnd"/>
      <w:r w:rsidRPr="00C05173">
        <w:rPr>
          <w:rFonts w:ascii="Arial" w:eastAsia="Times New Roman" w:hAnsi="Arial" w:cs="Arial"/>
          <w:szCs w:val="24"/>
          <w:lang w:eastAsia="en-GB"/>
        </w:rPr>
        <w:t xml:space="preserve"> et al. (2020) show, there can be positive and negative community impacts due to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Allowing emissions, supplier risks, and community impacts consequently, to be included in investment analysis, rather than simply external communications that affect reputation, should be part of sustainability accounting.</w:t>
      </w:r>
    </w:p>
    <w:p w14:paraId="0069D077" w14:textId="77777777" w:rsidR="0001452E" w:rsidRPr="00D46012" w:rsidRDefault="004C2B0C" w:rsidP="00A24D9C">
      <w:pPr>
        <w:spacing w:before="100" w:beforeAutospacing="1" w:after="100" w:afterAutospacing="1" w:line="360" w:lineRule="auto"/>
        <w:ind w:firstLine="720"/>
        <w:jc w:val="both"/>
        <w:rPr>
          <w:rFonts w:ascii="Arial" w:eastAsia="Times New Roman" w:hAnsi="Arial" w:cs="Arial"/>
          <w:szCs w:val="24"/>
          <w:lang w:eastAsia="en-GB"/>
        </w:rPr>
      </w:pPr>
      <w:r w:rsidRPr="00C05173">
        <w:rPr>
          <w:rFonts w:ascii="Arial" w:eastAsia="Times New Roman" w:hAnsi="Arial" w:cs="Arial"/>
          <w:szCs w:val="24"/>
          <w:lang w:eastAsia="en-GB"/>
        </w:rPr>
        <w:t xml:space="preserve">Ethically, Pricing Transparency, housing externalities, etc., are more salient than mere cost minimisation. The rules of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 for the fee for its services, the algorithm used in the search, the cancellation policy and the value of the accommodation influences its price and visibility, although it's not something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 normally controls. Gibbs et al. (2018) illustrate how listing prices flesh out a whole host </w:t>
      </w:r>
      <w:r w:rsidRPr="00C05173">
        <w:rPr>
          <w:rFonts w:ascii="Arial" w:eastAsia="Times New Roman" w:hAnsi="Arial" w:cs="Arial"/>
          <w:szCs w:val="24"/>
          <w:lang w:eastAsia="en-GB"/>
        </w:rPr>
        <w:lastRenderedPageBreak/>
        <w:t>of property and location characteristics, and Barron et al. (2021) find the home-sharing activity is linked to rents and house prices rising in the markets that exhibit it. In the same vein, housing-market effects are also found by Garcia-</w:t>
      </w:r>
      <w:proofErr w:type="spellStart"/>
      <w:r w:rsidRPr="00C05173">
        <w:rPr>
          <w:rFonts w:ascii="Arial" w:eastAsia="Times New Roman" w:hAnsi="Arial" w:cs="Arial"/>
          <w:szCs w:val="24"/>
          <w:lang w:eastAsia="en-GB"/>
        </w:rPr>
        <w:t>López</w:t>
      </w:r>
      <w:proofErr w:type="spellEnd"/>
      <w:r w:rsidRPr="00C05173">
        <w:rPr>
          <w:rFonts w:ascii="Arial" w:eastAsia="Times New Roman" w:hAnsi="Arial" w:cs="Arial"/>
          <w:szCs w:val="24"/>
          <w:lang w:eastAsia="en-GB"/>
        </w:rPr>
        <w:t xml:space="preserve"> et al. (2020) in Barcelona, and </w:t>
      </w:r>
      <w:proofErr w:type="spellStart"/>
      <w:r w:rsidRPr="00C05173">
        <w:rPr>
          <w:rFonts w:ascii="Arial" w:eastAsia="Times New Roman" w:hAnsi="Arial" w:cs="Arial"/>
          <w:szCs w:val="24"/>
          <w:lang w:eastAsia="en-GB"/>
        </w:rPr>
        <w:t>Nieuwland</w:t>
      </w:r>
      <w:proofErr w:type="spellEnd"/>
      <w:r w:rsidRPr="00C05173">
        <w:rPr>
          <w:rFonts w:ascii="Arial" w:eastAsia="Times New Roman" w:hAnsi="Arial" w:cs="Arial"/>
          <w:szCs w:val="24"/>
          <w:lang w:eastAsia="en-GB"/>
        </w:rPr>
        <w:t xml:space="preserve"> and van </w:t>
      </w:r>
      <w:proofErr w:type="spellStart"/>
      <w:r w:rsidRPr="00C05173">
        <w:rPr>
          <w:rFonts w:ascii="Arial" w:eastAsia="Times New Roman" w:hAnsi="Arial" w:cs="Arial"/>
          <w:szCs w:val="24"/>
          <w:lang w:eastAsia="en-GB"/>
        </w:rPr>
        <w:t>Melik</w:t>
      </w:r>
      <w:proofErr w:type="spellEnd"/>
      <w:r w:rsidRPr="00C05173">
        <w:rPr>
          <w:rFonts w:ascii="Arial" w:eastAsia="Times New Roman" w:hAnsi="Arial" w:cs="Arial"/>
          <w:szCs w:val="24"/>
          <w:lang w:eastAsia="en-GB"/>
        </w:rPr>
        <w:t xml:space="preserve"> (2020) report growing municipal regulation in response to perceived externalities of the phenomenon of short-term rentals. Ethical management accounting should therefore be used to monitor complaints, any regulatory breaches, neighbourhood disturbance and neighbourhood affordability as well as booking value. Cutting into customer support costs or compliance spend may benefit customer service margins in the short term, but could result in </w:t>
      </w:r>
      <w:r w:rsidR="00803135" w:rsidRPr="00C05173">
        <w:rPr>
          <w:rFonts w:ascii="Arial" w:eastAsia="Times New Roman" w:hAnsi="Arial" w:cs="Arial"/>
          <w:szCs w:val="24"/>
          <w:lang w:eastAsia="en-GB"/>
        </w:rPr>
        <w:t>repercussions</w:t>
      </w:r>
      <w:r w:rsidRPr="00C05173">
        <w:rPr>
          <w:rFonts w:ascii="Arial" w:eastAsia="Times New Roman" w:hAnsi="Arial" w:cs="Arial"/>
          <w:szCs w:val="24"/>
          <w:lang w:eastAsia="en-GB"/>
        </w:rPr>
        <w:t xml:space="preserve"> for guests, hosts, and communities in the form of litigation, regulation, and reputation.</w:t>
      </w:r>
    </w:p>
    <w:p w14:paraId="766F1E53" w14:textId="77777777" w:rsidR="00D46012" w:rsidRPr="00C05173" w:rsidRDefault="00D46012" w:rsidP="00A24D9C">
      <w:pPr>
        <w:pStyle w:val="Heading1"/>
        <w:spacing w:line="360" w:lineRule="auto"/>
        <w:jc w:val="both"/>
        <w:rPr>
          <w:rFonts w:eastAsia="Times New Roman" w:cs="Arial"/>
          <w:lang w:eastAsia="en-GB"/>
        </w:rPr>
      </w:pPr>
      <w:bookmarkStart w:id="5" w:name="_Toc233050379"/>
      <w:r w:rsidRPr="00C05173">
        <w:rPr>
          <w:rFonts w:eastAsia="Times New Roman" w:cs="Arial"/>
          <w:lang w:eastAsia="en-GB"/>
        </w:rPr>
        <w:t>6. Conclusion and Recommendations</w:t>
      </w:r>
      <w:bookmarkEnd w:id="5"/>
    </w:p>
    <w:p w14:paraId="1FEB3FBB" w14:textId="77777777" w:rsidR="00D46012" w:rsidRPr="00D46012" w:rsidRDefault="004C2B0C" w:rsidP="00A24D9C">
      <w:pPr>
        <w:spacing w:before="100" w:beforeAutospacing="1" w:after="100" w:afterAutospacing="1" w:line="360" w:lineRule="auto"/>
        <w:ind w:firstLine="720"/>
        <w:jc w:val="both"/>
        <w:rPr>
          <w:rFonts w:ascii="Arial" w:eastAsia="Times New Roman" w:hAnsi="Arial" w:cs="Arial"/>
          <w:szCs w:val="24"/>
          <w:lang w:eastAsia="en-GB"/>
        </w:rPr>
      </w:pPr>
      <w:r w:rsidRPr="00C05173">
        <w:rPr>
          <w:rFonts w:ascii="Arial" w:eastAsia="Times New Roman" w:hAnsi="Arial" w:cs="Arial"/>
          <w:szCs w:val="24"/>
          <w:lang w:eastAsia="en-GB"/>
        </w:rPr>
        <w:t xml:space="preserve">The platform business model of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 makes for good scalability, but the company's performance in 2025 illustrates that heightening revenues and bookings were not enough to drive margin expansion. Thus it is necessary for management accounting to measure not only the amount of growth, but also the cost and quality of growth. First, </w:t>
      </w:r>
      <w:r w:rsidR="00803135" w:rsidRPr="00C05173">
        <w:rPr>
          <w:rFonts w:ascii="Arial" w:eastAsia="Times New Roman" w:hAnsi="Arial" w:cs="Arial"/>
          <w:szCs w:val="24"/>
          <w:lang w:eastAsia="en-GB"/>
        </w:rPr>
        <w:t>Airbnb</w:t>
      </w:r>
      <w:r w:rsidRPr="00C05173">
        <w:rPr>
          <w:rFonts w:ascii="Arial" w:eastAsia="Times New Roman" w:hAnsi="Arial" w:cs="Arial"/>
          <w:szCs w:val="24"/>
          <w:lang w:eastAsia="en-GB"/>
        </w:rPr>
        <w:t xml:space="preserve"> should start doing the activity-based costing to the market, to the booking category, to the support activity and thus see the contribution margin after payment-processing, the safety costs, the customer-service, and the compliance costs. Second, use rolling forecasts and flexible-budget variance analysis to separate out the volume-driven spending increases from the controllable overtime spending and to test alternative “scenarios” of macroeconomic activity. Third, a balanced scorecard is one that combines sum-of-the-parts measures like revenue, adjusted EBITDA, and free cash flow with host-measures like retention and safety and guest-measures like surveys. The measures would impact resource allocation, but would also lessen the impact of making quick wins at the expense of platform trust and sustainable </w:t>
      </w:r>
      <w:r w:rsidR="00803135" w:rsidRPr="00C05173">
        <w:rPr>
          <w:rFonts w:ascii="Arial" w:eastAsia="Times New Roman" w:hAnsi="Arial" w:cs="Arial"/>
          <w:szCs w:val="24"/>
          <w:lang w:eastAsia="en-GB"/>
        </w:rPr>
        <w:t>long-term value</w:t>
      </w:r>
      <w:r w:rsidRPr="00C05173">
        <w:rPr>
          <w:rFonts w:ascii="Arial" w:eastAsia="Times New Roman" w:hAnsi="Arial" w:cs="Arial"/>
          <w:szCs w:val="24"/>
          <w:lang w:eastAsia="en-GB"/>
        </w:rPr>
        <w:t xml:space="preserve"> in regulatory eyes.</w:t>
      </w:r>
    </w:p>
    <w:p w14:paraId="1EF8A81A" w14:textId="77777777" w:rsidR="00D46012" w:rsidRPr="00C05173" w:rsidRDefault="00D46012" w:rsidP="00A24D9C">
      <w:pPr>
        <w:spacing w:line="360" w:lineRule="auto"/>
        <w:jc w:val="both"/>
        <w:rPr>
          <w:rFonts w:ascii="Arial" w:eastAsia="Times New Roman" w:hAnsi="Arial" w:cs="Arial"/>
          <w:b/>
          <w:sz w:val="28"/>
          <w:szCs w:val="32"/>
          <w:lang w:eastAsia="en-GB"/>
        </w:rPr>
      </w:pPr>
      <w:r w:rsidRPr="00C05173">
        <w:rPr>
          <w:rFonts w:ascii="Arial" w:eastAsia="Times New Roman" w:hAnsi="Arial" w:cs="Arial"/>
          <w:lang w:eastAsia="en-GB"/>
        </w:rPr>
        <w:br w:type="page"/>
      </w:r>
    </w:p>
    <w:p w14:paraId="4455A5A4" w14:textId="77777777" w:rsidR="00D46012" w:rsidRPr="00C05173" w:rsidRDefault="00D46012" w:rsidP="00A24D9C">
      <w:pPr>
        <w:pStyle w:val="Heading1"/>
        <w:spacing w:line="360" w:lineRule="auto"/>
        <w:jc w:val="center"/>
        <w:rPr>
          <w:rFonts w:eastAsia="Times New Roman" w:cs="Arial"/>
          <w:lang w:eastAsia="en-GB"/>
        </w:rPr>
      </w:pPr>
      <w:bookmarkStart w:id="6" w:name="_Toc233050380"/>
      <w:r w:rsidRPr="00C05173">
        <w:rPr>
          <w:rFonts w:eastAsia="Times New Roman" w:cs="Arial"/>
          <w:lang w:eastAsia="en-GB"/>
        </w:rPr>
        <w:lastRenderedPageBreak/>
        <w:t>7. Reference List</w:t>
      </w:r>
      <w:bookmarkEnd w:id="6"/>
    </w:p>
    <w:p w14:paraId="24C06743" w14:textId="77777777" w:rsidR="003A7369" w:rsidRPr="00D46012" w:rsidRDefault="00803135" w:rsidP="00A24D9C">
      <w:pPr>
        <w:spacing w:before="100" w:beforeAutospacing="1" w:after="100" w:afterAutospacing="1" w:line="360" w:lineRule="auto"/>
        <w:ind w:left="720" w:hanging="720"/>
        <w:jc w:val="both"/>
        <w:rPr>
          <w:rFonts w:ascii="Arial" w:eastAsia="Times New Roman" w:hAnsi="Arial" w:cs="Arial"/>
          <w:szCs w:val="24"/>
          <w:lang w:eastAsia="en-GB"/>
        </w:rPr>
      </w:pPr>
      <w:r w:rsidRPr="00C05173">
        <w:rPr>
          <w:rFonts w:ascii="Arial" w:eastAsia="Times New Roman" w:hAnsi="Arial" w:cs="Arial"/>
          <w:szCs w:val="24"/>
          <w:lang w:eastAsia="en-GB"/>
        </w:rPr>
        <w:t>Airbnb</w:t>
      </w:r>
      <w:r w:rsidR="003A7369" w:rsidRPr="00D46012">
        <w:rPr>
          <w:rFonts w:ascii="Arial" w:eastAsia="Times New Roman" w:hAnsi="Arial" w:cs="Arial"/>
          <w:szCs w:val="24"/>
          <w:lang w:eastAsia="en-GB"/>
        </w:rPr>
        <w:t xml:space="preserve">, Inc. (2023) ‘An update on environmental sustainability at </w:t>
      </w:r>
      <w:r w:rsidRPr="00C05173">
        <w:rPr>
          <w:rFonts w:ascii="Arial" w:eastAsia="Times New Roman" w:hAnsi="Arial" w:cs="Arial"/>
          <w:szCs w:val="24"/>
          <w:lang w:eastAsia="en-GB"/>
        </w:rPr>
        <w:t>Airbnb</w:t>
      </w:r>
      <w:r w:rsidR="003A7369" w:rsidRPr="00D46012">
        <w:rPr>
          <w:rFonts w:ascii="Arial" w:eastAsia="Times New Roman" w:hAnsi="Arial" w:cs="Arial"/>
          <w:szCs w:val="24"/>
          <w:lang w:eastAsia="en-GB"/>
        </w:rPr>
        <w:t xml:space="preserve">’, </w:t>
      </w:r>
      <w:r w:rsidRPr="00C05173">
        <w:rPr>
          <w:rFonts w:ascii="Arial" w:eastAsia="Times New Roman" w:hAnsi="Arial" w:cs="Arial"/>
          <w:i/>
          <w:iCs/>
          <w:szCs w:val="24"/>
          <w:lang w:eastAsia="en-GB"/>
        </w:rPr>
        <w:t>Airbnb</w:t>
      </w:r>
      <w:r w:rsidR="003A7369" w:rsidRPr="00C05173">
        <w:rPr>
          <w:rFonts w:ascii="Arial" w:eastAsia="Times New Roman" w:hAnsi="Arial" w:cs="Arial"/>
          <w:i/>
          <w:iCs/>
          <w:szCs w:val="24"/>
          <w:lang w:eastAsia="en-GB"/>
        </w:rPr>
        <w:t xml:space="preserve"> Newsroom</w:t>
      </w:r>
      <w:r w:rsidR="003A7369" w:rsidRPr="00D46012">
        <w:rPr>
          <w:rFonts w:ascii="Arial" w:eastAsia="Times New Roman" w:hAnsi="Arial" w:cs="Arial"/>
          <w:szCs w:val="24"/>
          <w:lang w:eastAsia="en-GB"/>
        </w:rPr>
        <w:t xml:space="preserve">, 20 November. Available at: </w:t>
      </w:r>
      <w:hyperlink r:id="rId7" w:history="1">
        <w:r w:rsidR="003A7369" w:rsidRPr="00C05173">
          <w:rPr>
            <w:rFonts w:ascii="Arial" w:eastAsia="Times New Roman" w:hAnsi="Arial" w:cs="Arial"/>
            <w:color w:val="0000FF"/>
            <w:szCs w:val="24"/>
            <w:u w:val="single"/>
            <w:lang w:eastAsia="en-GB"/>
          </w:rPr>
          <w:t>https://news.</w:t>
        </w:r>
        <w:r w:rsidRPr="00C05173">
          <w:rPr>
            <w:rFonts w:ascii="Arial" w:eastAsia="Times New Roman" w:hAnsi="Arial" w:cs="Arial"/>
            <w:color w:val="0000FF"/>
            <w:szCs w:val="24"/>
            <w:u w:val="single"/>
            <w:lang w:eastAsia="en-GB"/>
          </w:rPr>
          <w:t>Airbnb</w:t>
        </w:r>
        <w:r w:rsidR="003A7369" w:rsidRPr="00C05173">
          <w:rPr>
            <w:rFonts w:ascii="Arial" w:eastAsia="Times New Roman" w:hAnsi="Arial" w:cs="Arial"/>
            <w:color w:val="0000FF"/>
            <w:szCs w:val="24"/>
            <w:u w:val="single"/>
            <w:lang w:eastAsia="en-GB"/>
          </w:rPr>
          <w:t>.com/an-update-on-environmental-sustainability-at-</w:t>
        </w:r>
        <w:r w:rsidRPr="00C05173">
          <w:rPr>
            <w:rFonts w:ascii="Arial" w:eastAsia="Times New Roman" w:hAnsi="Arial" w:cs="Arial"/>
            <w:color w:val="0000FF"/>
            <w:szCs w:val="24"/>
            <w:u w:val="single"/>
            <w:lang w:eastAsia="en-GB"/>
          </w:rPr>
          <w:t>Airbnb</w:t>
        </w:r>
        <w:r w:rsidR="003A7369" w:rsidRPr="00C05173">
          <w:rPr>
            <w:rFonts w:ascii="Arial" w:eastAsia="Times New Roman" w:hAnsi="Arial" w:cs="Arial"/>
            <w:color w:val="0000FF"/>
            <w:szCs w:val="24"/>
            <w:u w:val="single"/>
            <w:lang w:eastAsia="en-GB"/>
          </w:rPr>
          <w:t>/</w:t>
        </w:r>
      </w:hyperlink>
    </w:p>
    <w:p w14:paraId="04463149" w14:textId="77777777" w:rsidR="003A7369" w:rsidRPr="00D46012" w:rsidRDefault="00803135" w:rsidP="00A24D9C">
      <w:pPr>
        <w:spacing w:before="100" w:beforeAutospacing="1" w:after="100" w:afterAutospacing="1" w:line="360" w:lineRule="auto"/>
        <w:ind w:left="720" w:hanging="720"/>
        <w:jc w:val="both"/>
        <w:rPr>
          <w:rFonts w:ascii="Arial" w:eastAsia="Times New Roman" w:hAnsi="Arial" w:cs="Arial"/>
          <w:szCs w:val="24"/>
          <w:lang w:eastAsia="en-GB"/>
        </w:rPr>
      </w:pPr>
      <w:r w:rsidRPr="00C05173">
        <w:rPr>
          <w:rFonts w:ascii="Arial" w:eastAsia="Times New Roman" w:hAnsi="Arial" w:cs="Arial"/>
          <w:szCs w:val="24"/>
          <w:lang w:eastAsia="en-GB"/>
        </w:rPr>
        <w:t>Airbnb</w:t>
      </w:r>
      <w:r w:rsidR="003A7369" w:rsidRPr="00C05173">
        <w:rPr>
          <w:rFonts w:ascii="Arial" w:eastAsia="Times New Roman" w:hAnsi="Arial" w:cs="Arial"/>
          <w:szCs w:val="24"/>
          <w:lang w:eastAsia="en-GB"/>
        </w:rPr>
        <w:t xml:space="preserve">, Inc. (2026) </w:t>
      </w:r>
      <w:r w:rsidR="003A7369" w:rsidRPr="00C05173">
        <w:rPr>
          <w:rFonts w:ascii="Arial" w:eastAsia="Times New Roman" w:hAnsi="Arial" w:cs="Arial"/>
          <w:i/>
          <w:szCs w:val="24"/>
          <w:lang w:eastAsia="en-GB"/>
        </w:rPr>
        <w:t>Annual Report on Form 10-K for the financial year ended 31 December 2025.</w:t>
      </w:r>
      <w:r w:rsidR="003A7369" w:rsidRPr="00C05173">
        <w:rPr>
          <w:rFonts w:ascii="Arial" w:eastAsia="Times New Roman" w:hAnsi="Arial" w:cs="Arial"/>
          <w:szCs w:val="24"/>
          <w:lang w:eastAsia="en-GB"/>
        </w:rPr>
        <w:t xml:space="preserve"> San Francisco, CA: </w:t>
      </w:r>
      <w:r w:rsidRPr="00C05173">
        <w:rPr>
          <w:rFonts w:ascii="Arial" w:eastAsia="Times New Roman" w:hAnsi="Arial" w:cs="Arial"/>
          <w:szCs w:val="24"/>
          <w:lang w:eastAsia="en-GB"/>
        </w:rPr>
        <w:t>Airbnb</w:t>
      </w:r>
      <w:r w:rsidR="003A7369" w:rsidRPr="00C05173">
        <w:rPr>
          <w:rFonts w:ascii="Arial" w:eastAsia="Times New Roman" w:hAnsi="Arial" w:cs="Arial"/>
          <w:szCs w:val="24"/>
          <w:lang w:eastAsia="en-GB"/>
        </w:rPr>
        <w:t xml:space="preserve">, Inc. Available at: </w:t>
      </w:r>
      <w:hyperlink r:id="rId8" w:history="1">
        <w:r w:rsidR="003A7369" w:rsidRPr="00C05173">
          <w:rPr>
            <w:rStyle w:val="Hyperlink"/>
            <w:rFonts w:ascii="Arial" w:eastAsia="Times New Roman" w:hAnsi="Arial" w:cs="Arial"/>
            <w:szCs w:val="24"/>
            <w:lang w:eastAsia="en-GB"/>
          </w:rPr>
          <w:t>https://www.sec.gov/Archives/edgar/data/1559720/000155972026000004/abnb-20251231.htm</w:t>
        </w:r>
      </w:hyperlink>
      <w:r w:rsidR="003A7369" w:rsidRPr="00C05173">
        <w:rPr>
          <w:rFonts w:ascii="Arial" w:eastAsia="Times New Roman" w:hAnsi="Arial" w:cs="Arial"/>
          <w:szCs w:val="24"/>
          <w:lang w:eastAsia="en-GB"/>
        </w:rPr>
        <w:t xml:space="preserve"> </w:t>
      </w:r>
    </w:p>
    <w:p w14:paraId="13DD7CFD"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r w:rsidRPr="00D46012">
        <w:rPr>
          <w:rFonts w:ascii="Arial" w:eastAsia="Times New Roman" w:hAnsi="Arial" w:cs="Arial"/>
          <w:szCs w:val="24"/>
          <w:lang w:eastAsia="en-GB"/>
        </w:rPr>
        <w:t xml:space="preserve">Akbar, </w:t>
      </w:r>
      <w:proofErr w:type="spellStart"/>
      <w:r w:rsidRPr="00D46012">
        <w:rPr>
          <w:rFonts w:ascii="Arial" w:eastAsia="Times New Roman" w:hAnsi="Arial" w:cs="Arial"/>
          <w:szCs w:val="24"/>
          <w:lang w:eastAsia="en-GB"/>
        </w:rPr>
        <w:t>Yusaf</w:t>
      </w:r>
      <w:proofErr w:type="spellEnd"/>
      <w:r w:rsidRPr="00D46012">
        <w:rPr>
          <w:rFonts w:ascii="Arial" w:eastAsia="Times New Roman" w:hAnsi="Arial" w:cs="Arial"/>
          <w:szCs w:val="24"/>
          <w:lang w:eastAsia="en-GB"/>
        </w:rPr>
        <w:t xml:space="preserve"> H. and </w:t>
      </w:r>
      <w:proofErr w:type="spellStart"/>
      <w:r w:rsidRPr="00D46012">
        <w:rPr>
          <w:rFonts w:ascii="Arial" w:eastAsia="Times New Roman" w:hAnsi="Arial" w:cs="Arial"/>
          <w:szCs w:val="24"/>
          <w:lang w:eastAsia="en-GB"/>
        </w:rPr>
        <w:t>Tracogna</w:t>
      </w:r>
      <w:proofErr w:type="spellEnd"/>
      <w:r w:rsidRPr="00D46012">
        <w:rPr>
          <w:rFonts w:ascii="Arial" w:eastAsia="Times New Roman" w:hAnsi="Arial" w:cs="Arial"/>
          <w:szCs w:val="24"/>
          <w:lang w:eastAsia="en-GB"/>
        </w:rPr>
        <w:t xml:space="preserve">, Andrea (2018) ‘The sharing economy and the future of the hotel industry: transaction cost theory and platform economics’, </w:t>
      </w:r>
      <w:r w:rsidRPr="00C05173">
        <w:rPr>
          <w:rFonts w:ascii="Arial" w:eastAsia="Times New Roman" w:hAnsi="Arial" w:cs="Arial"/>
          <w:i/>
          <w:iCs/>
          <w:szCs w:val="24"/>
          <w:lang w:eastAsia="en-GB"/>
        </w:rPr>
        <w:t>International Journal of Hospitality Management</w:t>
      </w:r>
      <w:r w:rsidRPr="00D46012">
        <w:rPr>
          <w:rFonts w:ascii="Arial" w:eastAsia="Times New Roman" w:hAnsi="Arial" w:cs="Arial"/>
          <w:szCs w:val="24"/>
          <w:lang w:eastAsia="en-GB"/>
        </w:rPr>
        <w:t xml:space="preserve">, 71, pp. 91–101. </w:t>
      </w:r>
      <w:hyperlink r:id="rId9" w:history="1">
        <w:r w:rsidRPr="00C05173">
          <w:rPr>
            <w:rFonts w:ascii="Arial" w:eastAsia="Times New Roman" w:hAnsi="Arial" w:cs="Arial"/>
            <w:color w:val="0000FF"/>
            <w:szCs w:val="24"/>
            <w:u w:val="single"/>
            <w:lang w:eastAsia="en-GB"/>
          </w:rPr>
          <w:t>https://doi.org/10.1016/j.ijhm.2017.12.004</w:t>
        </w:r>
      </w:hyperlink>
    </w:p>
    <w:p w14:paraId="3310A39E"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proofErr w:type="spellStart"/>
      <w:r w:rsidRPr="00D46012">
        <w:rPr>
          <w:rFonts w:ascii="Arial" w:eastAsia="Times New Roman" w:hAnsi="Arial" w:cs="Arial"/>
          <w:szCs w:val="24"/>
          <w:lang w:eastAsia="en-GB"/>
        </w:rPr>
        <w:t>Atrill</w:t>
      </w:r>
      <w:proofErr w:type="spellEnd"/>
      <w:r w:rsidRPr="00D46012">
        <w:rPr>
          <w:rFonts w:ascii="Arial" w:eastAsia="Times New Roman" w:hAnsi="Arial" w:cs="Arial"/>
          <w:szCs w:val="24"/>
          <w:lang w:eastAsia="en-GB"/>
        </w:rPr>
        <w:t xml:space="preserve">, Peter and </w:t>
      </w:r>
      <w:proofErr w:type="spellStart"/>
      <w:r w:rsidRPr="00D46012">
        <w:rPr>
          <w:rFonts w:ascii="Arial" w:eastAsia="Times New Roman" w:hAnsi="Arial" w:cs="Arial"/>
          <w:szCs w:val="24"/>
          <w:lang w:eastAsia="en-GB"/>
        </w:rPr>
        <w:t>McLaney</w:t>
      </w:r>
      <w:proofErr w:type="spellEnd"/>
      <w:r w:rsidRPr="00D46012">
        <w:rPr>
          <w:rFonts w:ascii="Arial" w:eastAsia="Times New Roman" w:hAnsi="Arial" w:cs="Arial"/>
          <w:szCs w:val="24"/>
          <w:lang w:eastAsia="en-GB"/>
        </w:rPr>
        <w:t xml:space="preserve">, Eddie (2024) </w:t>
      </w:r>
      <w:r w:rsidRPr="00C05173">
        <w:rPr>
          <w:rFonts w:ascii="Arial" w:eastAsia="Times New Roman" w:hAnsi="Arial" w:cs="Arial"/>
          <w:i/>
          <w:iCs/>
          <w:szCs w:val="24"/>
          <w:lang w:eastAsia="en-GB"/>
        </w:rPr>
        <w:t>Management Accounting for Decision Makers</w:t>
      </w:r>
      <w:r w:rsidRPr="00D46012">
        <w:rPr>
          <w:rFonts w:ascii="Arial" w:eastAsia="Times New Roman" w:hAnsi="Arial" w:cs="Arial"/>
          <w:szCs w:val="24"/>
          <w:lang w:eastAsia="en-GB"/>
        </w:rPr>
        <w:t xml:space="preserve">. 11th </w:t>
      </w:r>
      <w:proofErr w:type="spellStart"/>
      <w:r w:rsidRPr="00D46012">
        <w:rPr>
          <w:rFonts w:ascii="Arial" w:eastAsia="Times New Roman" w:hAnsi="Arial" w:cs="Arial"/>
          <w:szCs w:val="24"/>
          <w:lang w:eastAsia="en-GB"/>
        </w:rPr>
        <w:t>edn</w:t>
      </w:r>
      <w:proofErr w:type="spellEnd"/>
      <w:r w:rsidRPr="00D46012">
        <w:rPr>
          <w:rFonts w:ascii="Arial" w:eastAsia="Times New Roman" w:hAnsi="Arial" w:cs="Arial"/>
          <w:szCs w:val="24"/>
          <w:lang w:eastAsia="en-GB"/>
        </w:rPr>
        <w:t xml:space="preserve">. Harlow: Pearson. Available at: </w:t>
      </w:r>
      <w:hyperlink r:id="rId10" w:history="1">
        <w:r w:rsidRPr="00C05173">
          <w:rPr>
            <w:rFonts w:ascii="Arial" w:eastAsia="Times New Roman" w:hAnsi="Arial" w:cs="Arial"/>
            <w:color w:val="0000FF"/>
            <w:szCs w:val="24"/>
            <w:u w:val="single"/>
            <w:lang w:eastAsia="en-GB"/>
          </w:rPr>
          <w:t>https://www.pearson.com/en-gb/subject-catalog/p/management-accounting-for-decision-makers/P200000011220</w:t>
        </w:r>
      </w:hyperlink>
    </w:p>
    <w:p w14:paraId="2061B699"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r w:rsidRPr="00D46012">
        <w:rPr>
          <w:rFonts w:ascii="Arial" w:eastAsia="Times New Roman" w:hAnsi="Arial" w:cs="Arial"/>
          <w:szCs w:val="24"/>
          <w:lang w:eastAsia="en-GB"/>
        </w:rPr>
        <w:t xml:space="preserve">Barron, Kyle, Kung, Edward and </w:t>
      </w:r>
      <w:proofErr w:type="spellStart"/>
      <w:r w:rsidRPr="00D46012">
        <w:rPr>
          <w:rFonts w:ascii="Arial" w:eastAsia="Times New Roman" w:hAnsi="Arial" w:cs="Arial"/>
          <w:szCs w:val="24"/>
          <w:lang w:eastAsia="en-GB"/>
        </w:rPr>
        <w:t>Proserpio</w:t>
      </w:r>
      <w:proofErr w:type="spellEnd"/>
      <w:r w:rsidRPr="00D46012">
        <w:rPr>
          <w:rFonts w:ascii="Arial" w:eastAsia="Times New Roman" w:hAnsi="Arial" w:cs="Arial"/>
          <w:szCs w:val="24"/>
          <w:lang w:eastAsia="en-GB"/>
        </w:rPr>
        <w:t xml:space="preserve">, </w:t>
      </w:r>
      <w:proofErr w:type="spellStart"/>
      <w:r w:rsidRPr="00D46012">
        <w:rPr>
          <w:rFonts w:ascii="Arial" w:eastAsia="Times New Roman" w:hAnsi="Arial" w:cs="Arial"/>
          <w:szCs w:val="24"/>
          <w:lang w:eastAsia="en-GB"/>
        </w:rPr>
        <w:t>Davide</w:t>
      </w:r>
      <w:proofErr w:type="spellEnd"/>
      <w:r w:rsidRPr="00D46012">
        <w:rPr>
          <w:rFonts w:ascii="Arial" w:eastAsia="Times New Roman" w:hAnsi="Arial" w:cs="Arial"/>
          <w:szCs w:val="24"/>
          <w:lang w:eastAsia="en-GB"/>
        </w:rPr>
        <w:t xml:space="preserve"> (2021) ‘The effect of home-sharing on house prices and rents: evidence from </w:t>
      </w:r>
      <w:r w:rsidR="00803135" w:rsidRPr="00C05173">
        <w:rPr>
          <w:rFonts w:ascii="Arial" w:eastAsia="Times New Roman" w:hAnsi="Arial" w:cs="Arial"/>
          <w:szCs w:val="24"/>
          <w:lang w:eastAsia="en-GB"/>
        </w:rPr>
        <w:t>Airbnb</w:t>
      </w:r>
      <w:r w:rsidRPr="00D46012">
        <w:rPr>
          <w:rFonts w:ascii="Arial" w:eastAsia="Times New Roman" w:hAnsi="Arial" w:cs="Arial"/>
          <w:szCs w:val="24"/>
          <w:lang w:eastAsia="en-GB"/>
        </w:rPr>
        <w:t xml:space="preserve">’, </w:t>
      </w:r>
      <w:r w:rsidRPr="00C05173">
        <w:rPr>
          <w:rFonts w:ascii="Arial" w:eastAsia="Times New Roman" w:hAnsi="Arial" w:cs="Arial"/>
          <w:i/>
          <w:iCs/>
          <w:szCs w:val="24"/>
          <w:lang w:eastAsia="en-GB"/>
        </w:rPr>
        <w:t>Marketing Science</w:t>
      </w:r>
      <w:r w:rsidRPr="00D46012">
        <w:rPr>
          <w:rFonts w:ascii="Arial" w:eastAsia="Times New Roman" w:hAnsi="Arial" w:cs="Arial"/>
          <w:szCs w:val="24"/>
          <w:lang w:eastAsia="en-GB"/>
        </w:rPr>
        <w:t xml:space="preserve">, 40(1), pp. 23–47. </w:t>
      </w:r>
      <w:hyperlink r:id="rId11" w:history="1">
        <w:r w:rsidRPr="00C05173">
          <w:rPr>
            <w:rFonts w:ascii="Arial" w:eastAsia="Times New Roman" w:hAnsi="Arial" w:cs="Arial"/>
            <w:color w:val="0000FF"/>
            <w:szCs w:val="24"/>
            <w:u w:val="single"/>
            <w:lang w:eastAsia="en-GB"/>
          </w:rPr>
          <w:t>https://doi.org/10.1287/mksc.2020.1227</w:t>
        </w:r>
      </w:hyperlink>
    </w:p>
    <w:p w14:paraId="5FA6C906"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proofErr w:type="spellStart"/>
      <w:r w:rsidRPr="00D46012">
        <w:rPr>
          <w:rFonts w:ascii="Arial" w:eastAsia="Times New Roman" w:hAnsi="Arial" w:cs="Arial"/>
          <w:szCs w:val="24"/>
          <w:lang w:eastAsia="en-GB"/>
        </w:rPr>
        <w:t>Caldicott</w:t>
      </w:r>
      <w:proofErr w:type="spellEnd"/>
      <w:r w:rsidRPr="00D46012">
        <w:rPr>
          <w:rFonts w:ascii="Arial" w:eastAsia="Times New Roman" w:hAnsi="Arial" w:cs="Arial"/>
          <w:szCs w:val="24"/>
          <w:lang w:eastAsia="en-GB"/>
        </w:rPr>
        <w:t xml:space="preserve">, Rodney W., von der </w:t>
      </w:r>
      <w:proofErr w:type="spellStart"/>
      <w:r w:rsidRPr="00D46012">
        <w:rPr>
          <w:rFonts w:ascii="Arial" w:eastAsia="Times New Roman" w:hAnsi="Arial" w:cs="Arial"/>
          <w:szCs w:val="24"/>
          <w:lang w:eastAsia="en-GB"/>
        </w:rPr>
        <w:t>Heidt</w:t>
      </w:r>
      <w:proofErr w:type="spellEnd"/>
      <w:r w:rsidRPr="00D46012">
        <w:rPr>
          <w:rFonts w:ascii="Arial" w:eastAsia="Times New Roman" w:hAnsi="Arial" w:cs="Arial"/>
          <w:szCs w:val="24"/>
          <w:lang w:eastAsia="en-GB"/>
        </w:rPr>
        <w:t xml:space="preserve">, Tania, </w:t>
      </w:r>
      <w:proofErr w:type="spellStart"/>
      <w:r w:rsidRPr="00D46012">
        <w:rPr>
          <w:rFonts w:ascii="Arial" w:eastAsia="Times New Roman" w:hAnsi="Arial" w:cs="Arial"/>
          <w:szCs w:val="24"/>
          <w:lang w:eastAsia="en-GB"/>
        </w:rPr>
        <w:t>Scherrer</w:t>
      </w:r>
      <w:proofErr w:type="spellEnd"/>
      <w:r w:rsidRPr="00D46012">
        <w:rPr>
          <w:rFonts w:ascii="Arial" w:eastAsia="Times New Roman" w:hAnsi="Arial" w:cs="Arial"/>
          <w:szCs w:val="24"/>
          <w:lang w:eastAsia="en-GB"/>
        </w:rPr>
        <w:t xml:space="preserve">, Pascal, </w:t>
      </w:r>
      <w:proofErr w:type="spellStart"/>
      <w:r w:rsidRPr="00D46012">
        <w:rPr>
          <w:rFonts w:ascii="Arial" w:eastAsia="Times New Roman" w:hAnsi="Arial" w:cs="Arial"/>
          <w:szCs w:val="24"/>
          <w:lang w:eastAsia="en-GB"/>
        </w:rPr>
        <w:t>Muschter</w:t>
      </w:r>
      <w:proofErr w:type="spellEnd"/>
      <w:r w:rsidRPr="00D46012">
        <w:rPr>
          <w:rFonts w:ascii="Arial" w:eastAsia="Times New Roman" w:hAnsi="Arial" w:cs="Arial"/>
          <w:szCs w:val="24"/>
          <w:lang w:eastAsia="en-GB"/>
        </w:rPr>
        <w:t xml:space="preserve">, Sabine and </w:t>
      </w:r>
      <w:proofErr w:type="spellStart"/>
      <w:r w:rsidRPr="00D46012">
        <w:rPr>
          <w:rFonts w:ascii="Arial" w:eastAsia="Times New Roman" w:hAnsi="Arial" w:cs="Arial"/>
          <w:szCs w:val="24"/>
          <w:lang w:eastAsia="en-GB"/>
        </w:rPr>
        <w:t>Canosa</w:t>
      </w:r>
      <w:proofErr w:type="spellEnd"/>
      <w:r w:rsidRPr="00D46012">
        <w:rPr>
          <w:rFonts w:ascii="Arial" w:eastAsia="Times New Roman" w:hAnsi="Arial" w:cs="Arial"/>
          <w:szCs w:val="24"/>
          <w:lang w:eastAsia="en-GB"/>
        </w:rPr>
        <w:t>, Antonia (2020) ‘</w:t>
      </w:r>
      <w:r w:rsidR="00803135" w:rsidRPr="00C05173">
        <w:rPr>
          <w:rFonts w:ascii="Arial" w:eastAsia="Times New Roman" w:hAnsi="Arial" w:cs="Arial"/>
          <w:szCs w:val="24"/>
          <w:lang w:eastAsia="en-GB"/>
        </w:rPr>
        <w:t>Airbnb</w:t>
      </w:r>
      <w:r w:rsidRPr="00D46012">
        <w:rPr>
          <w:rFonts w:ascii="Arial" w:eastAsia="Times New Roman" w:hAnsi="Arial" w:cs="Arial"/>
          <w:szCs w:val="24"/>
          <w:lang w:eastAsia="en-GB"/>
        </w:rPr>
        <w:t xml:space="preserve">—exploring triple bottom line impacts on community’, </w:t>
      </w:r>
      <w:r w:rsidRPr="00C05173">
        <w:rPr>
          <w:rFonts w:ascii="Arial" w:eastAsia="Times New Roman" w:hAnsi="Arial" w:cs="Arial"/>
          <w:i/>
          <w:iCs/>
          <w:szCs w:val="24"/>
          <w:lang w:eastAsia="en-GB"/>
        </w:rPr>
        <w:t>International Journal of Culture, Tourism and Hospitality Research</w:t>
      </w:r>
      <w:r w:rsidRPr="00D46012">
        <w:rPr>
          <w:rFonts w:ascii="Arial" w:eastAsia="Times New Roman" w:hAnsi="Arial" w:cs="Arial"/>
          <w:szCs w:val="24"/>
          <w:lang w:eastAsia="en-GB"/>
        </w:rPr>
        <w:t xml:space="preserve">, 14(2), pp. 205–223. </w:t>
      </w:r>
      <w:hyperlink r:id="rId12" w:history="1">
        <w:r w:rsidRPr="00C05173">
          <w:rPr>
            <w:rFonts w:ascii="Arial" w:eastAsia="Times New Roman" w:hAnsi="Arial" w:cs="Arial"/>
            <w:color w:val="0000FF"/>
            <w:szCs w:val="24"/>
            <w:u w:val="single"/>
            <w:lang w:eastAsia="en-GB"/>
          </w:rPr>
          <w:t>https://doi.org/10.1108/IJCTHR-07-2019-0134</w:t>
        </w:r>
      </w:hyperlink>
    </w:p>
    <w:p w14:paraId="1C7AC2EC"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r w:rsidRPr="00D46012">
        <w:rPr>
          <w:rFonts w:ascii="Arial" w:eastAsia="Times New Roman" w:hAnsi="Arial" w:cs="Arial"/>
          <w:szCs w:val="24"/>
          <w:lang w:eastAsia="en-GB"/>
        </w:rPr>
        <w:t xml:space="preserve">Cheng, </w:t>
      </w:r>
      <w:proofErr w:type="spellStart"/>
      <w:r w:rsidRPr="00D46012">
        <w:rPr>
          <w:rFonts w:ascii="Arial" w:eastAsia="Times New Roman" w:hAnsi="Arial" w:cs="Arial"/>
          <w:szCs w:val="24"/>
          <w:lang w:eastAsia="en-GB"/>
        </w:rPr>
        <w:t>Mingming</w:t>
      </w:r>
      <w:proofErr w:type="spellEnd"/>
      <w:r w:rsidRPr="00D46012">
        <w:rPr>
          <w:rFonts w:ascii="Arial" w:eastAsia="Times New Roman" w:hAnsi="Arial" w:cs="Arial"/>
          <w:szCs w:val="24"/>
          <w:lang w:eastAsia="en-GB"/>
        </w:rPr>
        <w:t xml:space="preserve"> and </w:t>
      </w:r>
      <w:proofErr w:type="spellStart"/>
      <w:r w:rsidRPr="00D46012">
        <w:rPr>
          <w:rFonts w:ascii="Arial" w:eastAsia="Times New Roman" w:hAnsi="Arial" w:cs="Arial"/>
          <w:szCs w:val="24"/>
          <w:lang w:eastAsia="en-GB"/>
        </w:rPr>
        <w:t>Jin</w:t>
      </w:r>
      <w:proofErr w:type="spellEnd"/>
      <w:r w:rsidRPr="00D46012">
        <w:rPr>
          <w:rFonts w:ascii="Arial" w:eastAsia="Times New Roman" w:hAnsi="Arial" w:cs="Arial"/>
          <w:szCs w:val="24"/>
          <w:lang w:eastAsia="en-GB"/>
        </w:rPr>
        <w:t xml:space="preserve">, Xin (2019) ‘What do </w:t>
      </w:r>
      <w:r w:rsidR="00803135" w:rsidRPr="00C05173">
        <w:rPr>
          <w:rFonts w:ascii="Arial" w:eastAsia="Times New Roman" w:hAnsi="Arial" w:cs="Arial"/>
          <w:szCs w:val="24"/>
          <w:lang w:eastAsia="en-GB"/>
        </w:rPr>
        <w:t>Airbnb</w:t>
      </w:r>
      <w:r w:rsidRPr="00D46012">
        <w:rPr>
          <w:rFonts w:ascii="Arial" w:eastAsia="Times New Roman" w:hAnsi="Arial" w:cs="Arial"/>
          <w:szCs w:val="24"/>
          <w:lang w:eastAsia="en-GB"/>
        </w:rPr>
        <w:t xml:space="preserve"> users care about? An analysis of online review comments’, </w:t>
      </w:r>
      <w:r w:rsidRPr="00C05173">
        <w:rPr>
          <w:rFonts w:ascii="Arial" w:eastAsia="Times New Roman" w:hAnsi="Arial" w:cs="Arial"/>
          <w:i/>
          <w:iCs/>
          <w:szCs w:val="24"/>
          <w:lang w:eastAsia="en-GB"/>
        </w:rPr>
        <w:t>International Journal of Hospitality Management</w:t>
      </w:r>
      <w:r w:rsidRPr="00D46012">
        <w:rPr>
          <w:rFonts w:ascii="Arial" w:eastAsia="Times New Roman" w:hAnsi="Arial" w:cs="Arial"/>
          <w:szCs w:val="24"/>
          <w:lang w:eastAsia="en-GB"/>
        </w:rPr>
        <w:t xml:space="preserve">, 76, pp. 58–70. </w:t>
      </w:r>
      <w:hyperlink r:id="rId13" w:history="1">
        <w:r w:rsidRPr="00C05173">
          <w:rPr>
            <w:rFonts w:ascii="Arial" w:eastAsia="Times New Roman" w:hAnsi="Arial" w:cs="Arial"/>
            <w:color w:val="0000FF"/>
            <w:szCs w:val="24"/>
            <w:u w:val="single"/>
            <w:lang w:eastAsia="en-GB"/>
          </w:rPr>
          <w:t>https://doi.org/10.1016/j.ijhm.2018.04.004</w:t>
        </w:r>
      </w:hyperlink>
    </w:p>
    <w:p w14:paraId="2C94A61C"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r w:rsidRPr="00D46012">
        <w:rPr>
          <w:rFonts w:ascii="Arial" w:eastAsia="Times New Roman" w:hAnsi="Arial" w:cs="Arial"/>
          <w:szCs w:val="24"/>
          <w:lang w:eastAsia="en-GB"/>
        </w:rPr>
        <w:lastRenderedPageBreak/>
        <w:t xml:space="preserve">Curtis, Steven Kane and Mont, Oksana (2020) ‘Sharing economy business models for sustainability’, </w:t>
      </w:r>
      <w:r w:rsidRPr="00C05173">
        <w:rPr>
          <w:rFonts w:ascii="Arial" w:eastAsia="Times New Roman" w:hAnsi="Arial" w:cs="Arial"/>
          <w:i/>
          <w:iCs/>
          <w:szCs w:val="24"/>
          <w:lang w:eastAsia="en-GB"/>
        </w:rPr>
        <w:t>Journal of Cleaner Production</w:t>
      </w:r>
      <w:r w:rsidRPr="00D46012">
        <w:rPr>
          <w:rFonts w:ascii="Arial" w:eastAsia="Times New Roman" w:hAnsi="Arial" w:cs="Arial"/>
          <w:szCs w:val="24"/>
          <w:lang w:eastAsia="en-GB"/>
        </w:rPr>
        <w:t xml:space="preserve">, 266, article 121519. </w:t>
      </w:r>
      <w:hyperlink r:id="rId14" w:history="1">
        <w:r w:rsidRPr="00C05173">
          <w:rPr>
            <w:rFonts w:ascii="Arial" w:eastAsia="Times New Roman" w:hAnsi="Arial" w:cs="Arial"/>
            <w:color w:val="0000FF"/>
            <w:szCs w:val="24"/>
            <w:u w:val="single"/>
            <w:lang w:eastAsia="en-GB"/>
          </w:rPr>
          <w:t>https://doi.org/10.1016/j.jclepro.2020.121519</w:t>
        </w:r>
      </w:hyperlink>
    </w:p>
    <w:p w14:paraId="5DB559DC"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proofErr w:type="spellStart"/>
      <w:r w:rsidRPr="00D46012">
        <w:rPr>
          <w:rFonts w:ascii="Arial" w:eastAsia="Times New Roman" w:hAnsi="Arial" w:cs="Arial"/>
          <w:szCs w:val="24"/>
          <w:lang w:eastAsia="en-GB"/>
        </w:rPr>
        <w:t>Dogru</w:t>
      </w:r>
      <w:proofErr w:type="spellEnd"/>
      <w:r w:rsidRPr="00D46012">
        <w:rPr>
          <w:rFonts w:ascii="Arial" w:eastAsia="Times New Roman" w:hAnsi="Arial" w:cs="Arial"/>
          <w:szCs w:val="24"/>
          <w:lang w:eastAsia="en-GB"/>
        </w:rPr>
        <w:t xml:space="preserve">, Tarik, </w:t>
      </w:r>
      <w:proofErr w:type="spellStart"/>
      <w:r w:rsidRPr="00D46012">
        <w:rPr>
          <w:rFonts w:ascii="Arial" w:eastAsia="Times New Roman" w:hAnsi="Arial" w:cs="Arial"/>
          <w:szCs w:val="24"/>
          <w:lang w:eastAsia="en-GB"/>
        </w:rPr>
        <w:t>Mody</w:t>
      </w:r>
      <w:proofErr w:type="spellEnd"/>
      <w:r w:rsidRPr="00D46012">
        <w:rPr>
          <w:rFonts w:ascii="Arial" w:eastAsia="Times New Roman" w:hAnsi="Arial" w:cs="Arial"/>
          <w:szCs w:val="24"/>
          <w:lang w:eastAsia="en-GB"/>
        </w:rPr>
        <w:t xml:space="preserve">, </w:t>
      </w:r>
      <w:proofErr w:type="spellStart"/>
      <w:r w:rsidRPr="00D46012">
        <w:rPr>
          <w:rFonts w:ascii="Arial" w:eastAsia="Times New Roman" w:hAnsi="Arial" w:cs="Arial"/>
          <w:szCs w:val="24"/>
          <w:lang w:eastAsia="en-GB"/>
        </w:rPr>
        <w:t>Makarand</w:t>
      </w:r>
      <w:proofErr w:type="spellEnd"/>
      <w:r w:rsidRPr="00D46012">
        <w:rPr>
          <w:rFonts w:ascii="Arial" w:eastAsia="Times New Roman" w:hAnsi="Arial" w:cs="Arial"/>
          <w:szCs w:val="24"/>
          <w:lang w:eastAsia="en-GB"/>
        </w:rPr>
        <w:t xml:space="preserve"> and </w:t>
      </w:r>
      <w:proofErr w:type="spellStart"/>
      <w:r w:rsidRPr="00D46012">
        <w:rPr>
          <w:rFonts w:ascii="Arial" w:eastAsia="Times New Roman" w:hAnsi="Arial" w:cs="Arial"/>
          <w:szCs w:val="24"/>
          <w:lang w:eastAsia="en-GB"/>
        </w:rPr>
        <w:t>Suess</w:t>
      </w:r>
      <w:proofErr w:type="spellEnd"/>
      <w:r w:rsidRPr="00D46012">
        <w:rPr>
          <w:rFonts w:ascii="Arial" w:eastAsia="Times New Roman" w:hAnsi="Arial" w:cs="Arial"/>
          <w:szCs w:val="24"/>
          <w:lang w:eastAsia="en-GB"/>
        </w:rPr>
        <w:t xml:space="preserve">, Courtney (2019) ‘Adding evidence to the debate: quantifying </w:t>
      </w:r>
      <w:r w:rsidR="00803135" w:rsidRPr="00C05173">
        <w:rPr>
          <w:rFonts w:ascii="Arial" w:eastAsia="Times New Roman" w:hAnsi="Arial" w:cs="Arial"/>
          <w:szCs w:val="24"/>
          <w:lang w:eastAsia="en-GB"/>
        </w:rPr>
        <w:t>Airbnb</w:t>
      </w:r>
      <w:r w:rsidRPr="00D46012">
        <w:rPr>
          <w:rFonts w:ascii="Arial" w:eastAsia="Times New Roman" w:hAnsi="Arial" w:cs="Arial"/>
          <w:szCs w:val="24"/>
          <w:lang w:eastAsia="en-GB"/>
        </w:rPr>
        <w:t xml:space="preserve">’s disruptive impact on ten key hotel markets’, </w:t>
      </w:r>
      <w:r w:rsidRPr="00C05173">
        <w:rPr>
          <w:rFonts w:ascii="Arial" w:eastAsia="Times New Roman" w:hAnsi="Arial" w:cs="Arial"/>
          <w:i/>
          <w:iCs/>
          <w:szCs w:val="24"/>
          <w:lang w:eastAsia="en-GB"/>
        </w:rPr>
        <w:t>Tourism Management</w:t>
      </w:r>
      <w:r w:rsidRPr="00D46012">
        <w:rPr>
          <w:rFonts w:ascii="Arial" w:eastAsia="Times New Roman" w:hAnsi="Arial" w:cs="Arial"/>
          <w:szCs w:val="24"/>
          <w:lang w:eastAsia="en-GB"/>
        </w:rPr>
        <w:t xml:space="preserve">, 72, pp. 27–38. </w:t>
      </w:r>
      <w:hyperlink r:id="rId15" w:history="1">
        <w:r w:rsidRPr="00C05173">
          <w:rPr>
            <w:rFonts w:ascii="Arial" w:eastAsia="Times New Roman" w:hAnsi="Arial" w:cs="Arial"/>
            <w:color w:val="0000FF"/>
            <w:szCs w:val="24"/>
            <w:u w:val="single"/>
            <w:lang w:eastAsia="en-GB"/>
          </w:rPr>
          <w:t>https://doi.org/10.1016/j.tourman.2018.11.008</w:t>
        </w:r>
      </w:hyperlink>
    </w:p>
    <w:p w14:paraId="11453706"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proofErr w:type="spellStart"/>
      <w:r w:rsidRPr="00D46012">
        <w:rPr>
          <w:rFonts w:ascii="Arial" w:eastAsia="Times New Roman" w:hAnsi="Arial" w:cs="Arial"/>
          <w:szCs w:val="24"/>
          <w:lang w:eastAsia="en-GB"/>
        </w:rPr>
        <w:t>Dogru</w:t>
      </w:r>
      <w:proofErr w:type="spellEnd"/>
      <w:r w:rsidRPr="00D46012">
        <w:rPr>
          <w:rFonts w:ascii="Arial" w:eastAsia="Times New Roman" w:hAnsi="Arial" w:cs="Arial"/>
          <w:szCs w:val="24"/>
          <w:lang w:eastAsia="en-GB"/>
        </w:rPr>
        <w:t xml:space="preserve">, Tarik, </w:t>
      </w:r>
      <w:proofErr w:type="spellStart"/>
      <w:r w:rsidRPr="00D46012">
        <w:rPr>
          <w:rFonts w:ascii="Arial" w:eastAsia="Times New Roman" w:hAnsi="Arial" w:cs="Arial"/>
          <w:szCs w:val="24"/>
          <w:lang w:eastAsia="en-GB"/>
        </w:rPr>
        <w:t>Mody</w:t>
      </w:r>
      <w:proofErr w:type="spellEnd"/>
      <w:r w:rsidRPr="00D46012">
        <w:rPr>
          <w:rFonts w:ascii="Arial" w:eastAsia="Times New Roman" w:hAnsi="Arial" w:cs="Arial"/>
          <w:szCs w:val="24"/>
          <w:lang w:eastAsia="en-GB"/>
        </w:rPr>
        <w:t xml:space="preserve">, </w:t>
      </w:r>
      <w:proofErr w:type="spellStart"/>
      <w:r w:rsidRPr="00D46012">
        <w:rPr>
          <w:rFonts w:ascii="Arial" w:eastAsia="Times New Roman" w:hAnsi="Arial" w:cs="Arial"/>
          <w:szCs w:val="24"/>
          <w:lang w:eastAsia="en-GB"/>
        </w:rPr>
        <w:t>Makarand</w:t>
      </w:r>
      <w:proofErr w:type="spellEnd"/>
      <w:r w:rsidRPr="00D46012">
        <w:rPr>
          <w:rFonts w:ascii="Arial" w:eastAsia="Times New Roman" w:hAnsi="Arial" w:cs="Arial"/>
          <w:szCs w:val="24"/>
          <w:lang w:eastAsia="en-GB"/>
        </w:rPr>
        <w:t xml:space="preserve">, </w:t>
      </w:r>
      <w:proofErr w:type="spellStart"/>
      <w:r w:rsidRPr="00D46012">
        <w:rPr>
          <w:rFonts w:ascii="Arial" w:eastAsia="Times New Roman" w:hAnsi="Arial" w:cs="Arial"/>
          <w:szCs w:val="24"/>
          <w:lang w:eastAsia="en-GB"/>
        </w:rPr>
        <w:t>Suess</w:t>
      </w:r>
      <w:proofErr w:type="spellEnd"/>
      <w:r w:rsidRPr="00D46012">
        <w:rPr>
          <w:rFonts w:ascii="Arial" w:eastAsia="Times New Roman" w:hAnsi="Arial" w:cs="Arial"/>
          <w:szCs w:val="24"/>
          <w:lang w:eastAsia="en-GB"/>
        </w:rPr>
        <w:t>, Courtney, Line, Nathan and Bonn, Mark (2020) ‘</w:t>
      </w:r>
      <w:r w:rsidR="00803135" w:rsidRPr="00C05173">
        <w:rPr>
          <w:rFonts w:ascii="Arial" w:eastAsia="Times New Roman" w:hAnsi="Arial" w:cs="Arial"/>
          <w:szCs w:val="24"/>
          <w:lang w:eastAsia="en-GB"/>
        </w:rPr>
        <w:t>Airbnb</w:t>
      </w:r>
      <w:r w:rsidRPr="00D46012">
        <w:rPr>
          <w:rFonts w:ascii="Arial" w:eastAsia="Times New Roman" w:hAnsi="Arial" w:cs="Arial"/>
          <w:szCs w:val="24"/>
          <w:lang w:eastAsia="en-GB"/>
        </w:rPr>
        <w:t xml:space="preserve"> 2.0: is it a sharing economy platform or a lodging corporation?’, </w:t>
      </w:r>
      <w:r w:rsidRPr="00C05173">
        <w:rPr>
          <w:rFonts w:ascii="Arial" w:eastAsia="Times New Roman" w:hAnsi="Arial" w:cs="Arial"/>
          <w:i/>
          <w:iCs/>
          <w:szCs w:val="24"/>
          <w:lang w:eastAsia="en-GB"/>
        </w:rPr>
        <w:t>Tourism Management</w:t>
      </w:r>
      <w:r w:rsidRPr="00D46012">
        <w:rPr>
          <w:rFonts w:ascii="Arial" w:eastAsia="Times New Roman" w:hAnsi="Arial" w:cs="Arial"/>
          <w:szCs w:val="24"/>
          <w:lang w:eastAsia="en-GB"/>
        </w:rPr>
        <w:t xml:space="preserve">, 78, article 104049. </w:t>
      </w:r>
      <w:hyperlink r:id="rId16" w:history="1">
        <w:r w:rsidRPr="00C05173">
          <w:rPr>
            <w:rFonts w:ascii="Arial" w:eastAsia="Times New Roman" w:hAnsi="Arial" w:cs="Arial"/>
            <w:color w:val="0000FF"/>
            <w:szCs w:val="24"/>
            <w:u w:val="single"/>
            <w:lang w:eastAsia="en-GB"/>
          </w:rPr>
          <w:t>https://doi.org/10.1016/j.tourman.2019.104049</w:t>
        </w:r>
      </w:hyperlink>
    </w:p>
    <w:p w14:paraId="275C9C73"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r w:rsidRPr="00D46012">
        <w:rPr>
          <w:rFonts w:ascii="Arial" w:eastAsia="Times New Roman" w:hAnsi="Arial" w:cs="Arial"/>
          <w:szCs w:val="24"/>
          <w:lang w:eastAsia="en-GB"/>
        </w:rPr>
        <w:t xml:space="preserve">Drury, Colin and </w:t>
      </w:r>
      <w:proofErr w:type="spellStart"/>
      <w:r w:rsidRPr="00D46012">
        <w:rPr>
          <w:rFonts w:ascii="Arial" w:eastAsia="Times New Roman" w:hAnsi="Arial" w:cs="Arial"/>
          <w:szCs w:val="24"/>
          <w:lang w:eastAsia="en-GB"/>
        </w:rPr>
        <w:t>Tayles</w:t>
      </w:r>
      <w:proofErr w:type="spellEnd"/>
      <w:r w:rsidRPr="00D46012">
        <w:rPr>
          <w:rFonts w:ascii="Arial" w:eastAsia="Times New Roman" w:hAnsi="Arial" w:cs="Arial"/>
          <w:szCs w:val="24"/>
          <w:lang w:eastAsia="en-GB"/>
        </w:rPr>
        <w:t xml:space="preserve">, Mike E. (2021) </w:t>
      </w:r>
      <w:r w:rsidRPr="00C05173">
        <w:rPr>
          <w:rFonts w:ascii="Arial" w:eastAsia="Times New Roman" w:hAnsi="Arial" w:cs="Arial"/>
          <w:i/>
          <w:iCs/>
          <w:szCs w:val="24"/>
          <w:lang w:eastAsia="en-GB"/>
        </w:rPr>
        <w:t>Management and Cost Accounting</w:t>
      </w:r>
      <w:r w:rsidRPr="00D46012">
        <w:rPr>
          <w:rFonts w:ascii="Arial" w:eastAsia="Times New Roman" w:hAnsi="Arial" w:cs="Arial"/>
          <w:szCs w:val="24"/>
          <w:lang w:eastAsia="en-GB"/>
        </w:rPr>
        <w:t xml:space="preserve">. 11th </w:t>
      </w:r>
      <w:proofErr w:type="spellStart"/>
      <w:r w:rsidRPr="00D46012">
        <w:rPr>
          <w:rFonts w:ascii="Arial" w:eastAsia="Times New Roman" w:hAnsi="Arial" w:cs="Arial"/>
          <w:szCs w:val="24"/>
          <w:lang w:eastAsia="en-GB"/>
        </w:rPr>
        <w:t>edn</w:t>
      </w:r>
      <w:proofErr w:type="spellEnd"/>
      <w:r w:rsidRPr="00D46012">
        <w:rPr>
          <w:rFonts w:ascii="Arial" w:eastAsia="Times New Roman" w:hAnsi="Arial" w:cs="Arial"/>
          <w:szCs w:val="24"/>
          <w:lang w:eastAsia="en-GB"/>
        </w:rPr>
        <w:t xml:space="preserve">. Andover: Cengage Learning. Available at: </w:t>
      </w:r>
      <w:hyperlink r:id="rId17" w:history="1">
        <w:r w:rsidRPr="00C05173">
          <w:rPr>
            <w:rFonts w:ascii="Arial" w:eastAsia="Times New Roman" w:hAnsi="Arial" w:cs="Arial"/>
            <w:color w:val="0000FF"/>
            <w:szCs w:val="24"/>
            <w:u w:val="single"/>
            <w:lang w:eastAsia="en-GB"/>
          </w:rPr>
          <w:t>https://www.cengageasia.com/title/default/detail?isbn=9781473773615</w:t>
        </w:r>
      </w:hyperlink>
    </w:p>
    <w:p w14:paraId="26EAB541"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r w:rsidRPr="00D46012">
        <w:rPr>
          <w:rFonts w:ascii="Arial" w:eastAsia="Times New Roman" w:hAnsi="Arial" w:cs="Arial"/>
          <w:szCs w:val="24"/>
          <w:lang w:eastAsia="en-GB"/>
        </w:rPr>
        <w:t>Garcia-</w:t>
      </w:r>
      <w:proofErr w:type="spellStart"/>
      <w:r w:rsidRPr="00D46012">
        <w:rPr>
          <w:rFonts w:ascii="Arial" w:eastAsia="Times New Roman" w:hAnsi="Arial" w:cs="Arial"/>
          <w:szCs w:val="24"/>
          <w:lang w:eastAsia="en-GB"/>
        </w:rPr>
        <w:t>López</w:t>
      </w:r>
      <w:proofErr w:type="spellEnd"/>
      <w:r w:rsidRPr="00D46012">
        <w:rPr>
          <w:rFonts w:ascii="Arial" w:eastAsia="Times New Roman" w:hAnsi="Arial" w:cs="Arial"/>
          <w:szCs w:val="24"/>
          <w:lang w:eastAsia="en-GB"/>
        </w:rPr>
        <w:t xml:space="preserve">, </w:t>
      </w:r>
      <w:proofErr w:type="spellStart"/>
      <w:r w:rsidRPr="00D46012">
        <w:rPr>
          <w:rFonts w:ascii="Arial" w:eastAsia="Times New Roman" w:hAnsi="Arial" w:cs="Arial"/>
          <w:szCs w:val="24"/>
          <w:lang w:eastAsia="en-GB"/>
        </w:rPr>
        <w:t>Miquel-Àngel</w:t>
      </w:r>
      <w:proofErr w:type="spellEnd"/>
      <w:r w:rsidRPr="00D46012">
        <w:rPr>
          <w:rFonts w:ascii="Arial" w:eastAsia="Times New Roman" w:hAnsi="Arial" w:cs="Arial"/>
          <w:szCs w:val="24"/>
          <w:lang w:eastAsia="en-GB"/>
        </w:rPr>
        <w:t xml:space="preserve">, </w:t>
      </w:r>
      <w:proofErr w:type="spellStart"/>
      <w:r w:rsidRPr="00D46012">
        <w:rPr>
          <w:rFonts w:ascii="Arial" w:eastAsia="Times New Roman" w:hAnsi="Arial" w:cs="Arial"/>
          <w:szCs w:val="24"/>
          <w:lang w:eastAsia="en-GB"/>
        </w:rPr>
        <w:t>Jofre-Monseny</w:t>
      </w:r>
      <w:proofErr w:type="spellEnd"/>
      <w:r w:rsidRPr="00D46012">
        <w:rPr>
          <w:rFonts w:ascii="Arial" w:eastAsia="Times New Roman" w:hAnsi="Arial" w:cs="Arial"/>
          <w:szCs w:val="24"/>
          <w:lang w:eastAsia="en-GB"/>
        </w:rPr>
        <w:t xml:space="preserve">, Jordi, </w:t>
      </w:r>
      <w:proofErr w:type="spellStart"/>
      <w:r w:rsidRPr="00D46012">
        <w:rPr>
          <w:rFonts w:ascii="Arial" w:eastAsia="Times New Roman" w:hAnsi="Arial" w:cs="Arial"/>
          <w:szCs w:val="24"/>
          <w:lang w:eastAsia="en-GB"/>
        </w:rPr>
        <w:t>Martínez-Mazza</w:t>
      </w:r>
      <w:proofErr w:type="spellEnd"/>
      <w:r w:rsidRPr="00D46012">
        <w:rPr>
          <w:rFonts w:ascii="Arial" w:eastAsia="Times New Roman" w:hAnsi="Arial" w:cs="Arial"/>
          <w:szCs w:val="24"/>
          <w:lang w:eastAsia="en-GB"/>
        </w:rPr>
        <w:t xml:space="preserve">, Rodrigo and </w:t>
      </w:r>
      <w:proofErr w:type="spellStart"/>
      <w:r w:rsidRPr="00D46012">
        <w:rPr>
          <w:rFonts w:ascii="Arial" w:eastAsia="Times New Roman" w:hAnsi="Arial" w:cs="Arial"/>
          <w:szCs w:val="24"/>
          <w:lang w:eastAsia="en-GB"/>
        </w:rPr>
        <w:t>Segú</w:t>
      </w:r>
      <w:proofErr w:type="spellEnd"/>
      <w:r w:rsidRPr="00D46012">
        <w:rPr>
          <w:rFonts w:ascii="Arial" w:eastAsia="Times New Roman" w:hAnsi="Arial" w:cs="Arial"/>
          <w:szCs w:val="24"/>
          <w:lang w:eastAsia="en-GB"/>
        </w:rPr>
        <w:t xml:space="preserve">, </w:t>
      </w:r>
      <w:proofErr w:type="spellStart"/>
      <w:r w:rsidRPr="00D46012">
        <w:rPr>
          <w:rFonts w:ascii="Arial" w:eastAsia="Times New Roman" w:hAnsi="Arial" w:cs="Arial"/>
          <w:szCs w:val="24"/>
          <w:lang w:eastAsia="en-GB"/>
        </w:rPr>
        <w:t>Mariona</w:t>
      </w:r>
      <w:proofErr w:type="spellEnd"/>
      <w:r w:rsidRPr="00D46012">
        <w:rPr>
          <w:rFonts w:ascii="Arial" w:eastAsia="Times New Roman" w:hAnsi="Arial" w:cs="Arial"/>
          <w:szCs w:val="24"/>
          <w:lang w:eastAsia="en-GB"/>
        </w:rPr>
        <w:t xml:space="preserve"> (2020) ‘Do short-term rental platforms affect housing markets? Evidence from </w:t>
      </w:r>
      <w:r w:rsidR="00803135" w:rsidRPr="00C05173">
        <w:rPr>
          <w:rFonts w:ascii="Arial" w:eastAsia="Times New Roman" w:hAnsi="Arial" w:cs="Arial"/>
          <w:szCs w:val="24"/>
          <w:lang w:eastAsia="en-GB"/>
        </w:rPr>
        <w:t>Airbnb</w:t>
      </w:r>
      <w:r w:rsidRPr="00D46012">
        <w:rPr>
          <w:rFonts w:ascii="Arial" w:eastAsia="Times New Roman" w:hAnsi="Arial" w:cs="Arial"/>
          <w:szCs w:val="24"/>
          <w:lang w:eastAsia="en-GB"/>
        </w:rPr>
        <w:t xml:space="preserve"> in Barcelona’, </w:t>
      </w:r>
      <w:r w:rsidRPr="00C05173">
        <w:rPr>
          <w:rFonts w:ascii="Arial" w:eastAsia="Times New Roman" w:hAnsi="Arial" w:cs="Arial"/>
          <w:i/>
          <w:iCs/>
          <w:szCs w:val="24"/>
          <w:lang w:eastAsia="en-GB"/>
        </w:rPr>
        <w:t>Journal of Urban Economics</w:t>
      </w:r>
      <w:r w:rsidRPr="00D46012">
        <w:rPr>
          <w:rFonts w:ascii="Arial" w:eastAsia="Times New Roman" w:hAnsi="Arial" w:cs="Arial"/>
          <w:szCs w:val="24"/>
          <w:lang w:eastAsia="en-GB"/>
        </w:rPr>
        <w:t xml:space="preserve">, 119, article 103278. </w:t>
      </w:r>
      <w:hyperlink r:id="rId18" w:history="1">
        <w:r w:rsidRPr="00C05173">
          <w:rPr>
            <w:rFonts w:ascii="Arial" w:eastAsia="Times New Roman" w:hAnsi="Arial" w:cs="Arial"/>
            <w:color w:val="0000FF"/>
            <w:szCs w:val="24"/>
            <w:u w:val="single"/>
            <w:lang w:eastAsia="en-GB"/>
          </w:rPr>
          <w:t>https://doi.org/10.1016/j.jue.2020.103278</w:t>
        </w:r>
      </w:hyperlink>
    </w:p>
    <w:p w14:paraId="15385169"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r w:rsidRPr="00D46012">
        <w:rPr>
          <w:rFonts w:ascii="Arial" w:eastAsia="Times New Roman" w:hAnsi="Arial" w:cs="Arial"/>
          <w:szCs w:val="24"/>
          <w:lang w:eastAsia="en-GB"/>
        </w:rPr>
        <w:t xml:space="preserve">Garrison, Ray H., Noreen, Eric W. and Brewer, Peter C. (2021) </w:t>
      </w:r>
      <w:r w:rsidRPr="00C05173">
        <w:rPr>
          <w:rFonts w:ascii="Arial" w:eastAsia="Times New Roman" w:hAnsi="Arial" w:cs="Arial"/>
          <w:i/>
          <w:iCs/>
          <w:szCs w:val="24"/>
          <w:lang w:eastAsia="en-GB"/>
        </w:rPr>
        <w:t>Managerial Accounting</w:t>
      </w:r>
      <w:r w:rsidRPr="00D46012">
        <w:rPr>
          <w:rFonts w:ascii="Arial" w:eastAsia="Times New Roman" w:hAnsi="Arial" w:cs="Arial"/>
          <w:szCs w:val="24"/>
          <w:lang w:eastAsia="en-GB"/>
        </w:rPr>
        <w:t xml:space="preserve">. 17th </w:t>
      </w:r>
      <w:proofErr w:type="spellStart"/>
      <w:r w:rsidRPr="00D46012">
        <w:rPr>
          <w:rFonts w:ascii="Arial" w:eastAsia="Times New Roman" w:hAnsi="Arial" w:cs="Arial"/>
          <w:szCs w:val="24"/>
          <w:lang w:eastAsia="en-GB"/>
        </w:rPr>
        <w:t>edn</w:t>
      </w:r>
      <w:proofErr w:type="spellEnd"/>
      <w:r w:rsidRPr="00D46012">
        <w:rPr>
          <w:rFonts w:ascii="Arial" w:eastAsia="Times New Roman" w:hAnsi="Arial" w:cs="Arial"/>
          <w:szCs w:val="24"/>
          <w:lang w:eastAsia="en-GB"/>
        </w:rPr>
        <w:t xml:space="preserve">. New York: McGraw-Hill Education. Available at: </w:t>
      </w:r>
      <w:hyperlink r:id="rId19" w:history="1">
        <w:r w:rsidRPr="00C05173">
          <w:rPr>
            <w:rFonts w:ascii="Arial" w:eastAsia="Times New Roman" w:hAnsi="Arial" w:cs="Arial"/>
            <w:color w:val="0000FF"/>
            <w:szCs w:val="24"/>
            <w:u w:val="single"/>
            <w:lang w:eastAsia="en-GB"/>
          </w:rPr>
          <w:t>https://www.mheducation.com/unitas/highered/changes/garrison-managerial-accounting-17e.pdf</w:t>
        </w:r>
      </w:hyperlink>
    </w:p>
    <w:p w14:paraId="2C97F7F8"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r w:rsidRPr="00D46012">
        <w:rPr>
          <w:rFonts w:ascii="Arial" w:eastAsia="Times New Roman" w:hAnsi="Arial" w:cs="Arial"/>
          <w:szCs w:val="24"/>
          <w:lang w:eastAsia="en-GB"/>
        </w:rPr>
        <w:t xml:space="preserve">Gibbs, Chris, </w:t>
      </w:r>
      <w:proofErr w:type="spellStart"/>
      <w:r w:rsidRPr="00D46012">
        <w:rPr>
          <w:rFonts w:ascii="Arial" w:eastAsia="Times New Roman" w:hAnsi="Arial" w:cs="Arial"/>
          <w:szCs w:val="24"/>
          <w:lang w:eastAsia="en-GB"/>
        </w:rPr>
        <w:t>Guttentag</w:t>
      </w:r>
      <w:proofErr w:type="spellEnd"/>
      <w:r w:rsidRPr="00D46012">
        <w:rPr>
          <w:rFonts w:ascii="Arial" w:eastAsia="Times New Roman" w:hAnsi="Arial" w:cs="Arial"/>
          <w:szCs w:val="24"/>
          <w:lang w:eastAsia="en-GB"/>
        </w:rPr>
        <w:t xml:space="preserve">, Daniel, </w:t>
      </w:r>
      <w:proofErr w:type="spellStart"/>
      <w:r w:rsidRPr="00D46012">
        <w:rPr>
          <w:rFonts w:ascii="Arial" w:eastAsia="Times New Roman" w:hAnsi="Arial" w:cs="Arial"/>
          <w:szCs w:val="24"/>
          <w:lang w:eastAsia="en-GB"/>
        </w:rPr>
        <w:t>Gretzel</w:t>
      </w:r>
      <w:proofErr w:type="spellEnd"/>
      <w:r w:rsidRPr="00D46012">
        <w:rPr>
          <w:rFonts w:ascii="Arial" w:eastAsia="Times New Roman" w:hAnsi="Arial" w:cs="Arial"/>
          <w:szCs w:val="24"/>
          <w:lang w:eastAsia="en-GB"/>
        </w:rPr>
        <w:t xml:space="preserve">, Ulrike, Morton, </w:t>
      </w:r>
      <w:proofErr w:type="spellStart"/>
      <w:r w:rsidRPr="00D46012">
        <w:rPr>
          <w:rFonts w:ascii="Arial" w:eastAsia="Times New Roman" w:hAnsi="Arial" w:cs="Arial"/>
          <w:szCs w:val="24"/>
          <w:lang w:eastAsia="en-GB"/>
        </w:rPr>
        <w:t>Jym</w:t>
      </w:r>
      <w:proofErr w:type="spellEnd"/>
      <w:r w:rsidRPr="00D46012">
        <w:rPr>
          <w:rFonts w:ascii="Arial" w:eastAsia="Times New Roman" w:hAnsi="Arial" w:cs="Arial"/>
          <w:szCs w:val="24"/>
          <w:lang w:eastAsia="en-GB"/>
        </w:rPr>
        <w:t xml:space="preserve"> and Goodwill, Alasdair (2018) ‘Pricing in the sharing economy: a hedonic pricing model applied to </w:t>
      </w:r>
      <w:r w:rsidR="00803135" w:rsidRPr="00C05173">
        <w:rPr>
          <w:rFonts w:ascii="Arial" w:eastAsia="Times New Roman" w:hAnsi="Arial" w:cs="Arial"/>
          <w:szCs w:val="24"/>
          <w:lang w:eastAsia="en-GB"/>
        </w:rPr>
        <w:t>Airbnb</w:t>
      </w:r>
      <w:r w:rsidRPr="00D46012">
        <w:rPr>
          <w:rFonts w:ascii="Arial" w:eastAsia="Times New Roman" w:hAnsi="Arial" w:cs="Arial"/>
          <w:szCs w:val="24"/>
          <w:lang w:eastAsia="en-GB"/>
        </w:rPr>
        <w:t xml:space="preserve"> listings’, </w:t>
      </w:r>
      <w:r w:rsidRPr="00C05173">
        <w:rPr>
          <w:rFonts w:ascii="Arial" w:eastAsia="Times New Roman" w:hAnsi="Arial" w:cs="Arial"/>
          <w:i/>
          <w:iCs/>
          <w:szCs w:val="24"/>
          <w:lang w:eastAsia="en-GB"/>
        </w:rPr>
        <w:t>Journal of Travel &amp; Tourism Marketing</w:t>
      </w:r>
      <w:r w:rsidRPr="00D46012">
        <w:rPr>
          <w:rFonts w:ascii="Arial" w:eastAsia="Times New Roman" w:hAnsi="Arial" w:cs="Arial"/>
          <w:szCs w:val="24"/>
          <w:lang w:eastAsia="en-GB"/>
        </w:rPr>
        <w:t xml:space="preserve">, 35(1), pp. 46–56. </w:t>
      </w:r>
      <w:hyperlink r:id="rId20" w:history="1">
        <w:r w:rsidRPr="00C05173">
          <w:rPr>
            <w:rFonts w:ascii="Arial" w:eastAsia="Times New Roman" w:hAnsi="Arial" w:cs="Arial"/>
            <w:color w:val="0000FF"/>
            <w:szCs w:val="24"/>
            <w:u w:val="single"/>
            <w:lang w:eastAsia="en-GB"/>
          </w:rPr>
          <w:t>https://doi.org/10.1080/10548408.2017.1308292</w:t>
        </w:r>
      </w:hyperlink>
    </w:p>
    <w:p w14:paraId="5D10C23A"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r w:rsidRPr="00C05173">
        <w:rPr>
          <w:rFonts w:ascii="Arial" w:hAnsi="Arial" w:cs="Arial"/>
        </w:rPr>
        <w:t>Google Finance (2026) ‘</w:t>
      </w:r>
      <w:r w:rsidR="00803135" w:rsidRPr="00C05173">
        <w:rPr>
          <w:rFonts w:ascii="Arial" w:hAnsi="Arial" w:cs="Arial"/>
        </w:rPr>
        <w:t>Airbnb</w:t>
      </w:r>
      <w:r w:rsidRPr="00C05173">
        <w:rPr>
          <w:rFonts w:ascii="Arial" w:hAnsi="Arial" w:cs="Arial"/>
        </w:rPr>
        <w:t xml:space="preserve"> </w:t>
      </w:r>
      <w:proofErr w:type="spellStart"/>
      <w:r w:rsidRPr="00C05173">
        <w:rPr>
          <w:rFonts w:ascii="Arial" w:hAnsi="Arial" w:cs="Arial"/>
        </w:rPr>
        <w:t>Inc</w:t>
      </w:r>
      <w:proofErr w:type="spellEnd"/>
      <w:r w:rsidRPr="00C05173">
        <w:rPr>
          <w:rFonts w:ascii="Arial" w:hAnsi="Arial" w:cs="Arial"/>
        </w:rPr>
        <w:t xml:space="preserve"> (NASDAQ: ABNB): financials’, Google Finance. Available at: </w:t>
      </w:r>
      <w:hyperlink r:id="rId21" w:history="1">
        <w:r w:rsidRPr="00C05173">
          <w:rPr>
            <w:rStyle w:val="Hyperlink"/>
            <w:rFonts w:ascii="Arial" w:hAnsi="Arial" w:cs="Arial"/>
          </w:rPr>
          <w:t>https://www.google.com/finance/quote/ABNB:NASDAQ</w:t>
        </w:r>
      </w:hyperlink>
    </w:p>
    <w:p w14:paraId="66F822CE"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proofErr w:type="spellStart"/>
      <w:r w:rsidRPr="00D46012">
        <w:rPr>
          <w:rFonts w:ascii="Arial" w:eastAsia="Times New Roman" w:hAnsi="Arial" w:cs="Arial"/>
          <w:szCs w:val="24"/>
          <w:lang w:eastAsia="en-GB"/>
        </w:rPr>
        <w:lastRenderedPageBreak/>
        <w:t>Guttentag</w:t>
      </w:r>
      <w:proofErr w:type="spellEnd"/>
      <w:r w:rsidRPr="00D46012">
        <w:rPr>
          <w:rFonts w:ascii="Arial" w:eastAsia="Times New Roman" w:hAnsi="Arial" w:cs="Arial"/>
          <w:szCs w:val="24"/>
          <w:lang w:eastAsia="en-GB"/>
        </w:rPr>
        <w:t xml:space="preserve">, Daniel A., Smith, Stephen L.J., </w:t>
      </w:r>
      <w:proofErr w:type="spellStart"/>
      <w:r w:rsidRPr="00D46012">
        <w:rPr>
          <w:rFonts w:ascii="Arial" w:eastAsia="Times New Roman" w:hAnsi="Arial" w:cs="Arial"/>
          <w:szCs w:val="24"/>
          <w:lang w:eastAsia="en-GB"/>
        </w:rPr>
        <w:t>Potwarka</w:t>
      </w:r>
      <w:proofErr w:type="spellEnd"/>
      <w:r w:rsidRPr="00D46012">
        <w:rPr>
          <w:rFonts w:ascii="Arial" w:eastAsia="Times New Roman" w:hAnsi="Arial" w:cs="Arial"/>
          <w:szCs w:val="24"/>
          <w:lang w:eastAsia="en-GB"/>
        </w:rPr>
        <w:t xml:space="preserve">, Luke R. and </w:t>
      </w:r>
      <w:proofErr w:type="spellStart"/>
      <w:r w:rsidRPr="00D46012">
        <w:rPr>
          <w:rFonts w:ascii="Arial" w:eastAsia="Times New Roman" w:hAnsi="Arial" w:cs="Arial"/>
          <w:szCs w:val="24"/>
          <w:lang w:eastAsia="en-GB"/>
        </w:rPr>
        <w:t>Havitz</w:t>
      </w:r>
      <w:proofErr w:type="spellEnd"/>
      <w:r w:rsidRPr="00D46012">
        <w:rPr>
          <w:rFonts w:ascii="Arial" w:eastAsia="Times New Roman" w:hAnsi="Arial" w:cs="Arial"/>
          <w:szCs w:val="24"/>
          <w:lang w:eastAsia="en-GB"/>
        </w:rPr>
        <w:t xml:space="preserve">, Mark E. (2018) ‘Why tourists choose </w:t>
      </w:r>
      <w:r w:rsidR="00803135" w:rsidRPr="00C05173">
        <w:rPr>
          <w:rFonts w:ascii="Arial" w:eastAsia="Times New Roman" w:hAnsi="Arial" w:cs="Arial"/>
          <w:szCs w:val="24"/>
          <w:lang w:eastAsia="en-GB"/>
        </w:rPr>
        <w:t>Airbnb</w:t>
      </w:r>
      <w:r w:rsidRPr="00D46012">
        <w:rPr>
          <w:rFonts w:ascii="Arial" w:eastAsia="Times New Roman" w:hAnsi="Arial" w:cs="Arial"/>
          <w:szCs w:val="24"/>
          <w:lang w:eastAsia="en-GB"/>
        </w:rPr>
        <w:t xml:space="preserve">: a motivation-based segmentation study’, </w:t>
      </w:r>
      <w:r w:rsidRPr="00C05173">
        <w:rPr>
          <w:rFonts w:ascii="Arial" w:eastAsia="Times New Roman" w:hAnsi="Arial" w:cs="Arial"/>
          <w:i/>
          <w:iCs/>
          <w:szCs w:val="24"/>
          <w:lang w:eastAsia="en-GB"/>
        </w:rPr>
        <w:t>Journal of Travel Research</w:t>
      </w:r>
      <w:r w:rsidRPr="00D46012">
        <w:rPr>
          <w:rFonts w:ascii="Arial" w:eastAsia="Times New Roman" w:hAnsi="Arial" w:cs="Arial"/>
          <w:szCs w:val="24"/>
          <w:lang w:eastAsia="en-GB"/>
        </w:rPr>
        <w:t xml:space="preserve">, 57(3), pp. 342–359. </w:t>
      </w:r>
      <w:hyperlink r:id="rId22" w:history="1">
        <w:r w:rsidRPr="00C05173">
          <w:rPr>
            <w:rFonts w:ascii="Arial" w:eastAsia="Times New Roman" w:hAnsi="Arial" w:cs="Arial"/>
            <w:color w:val="0000FF"/>
            <w:szCs w:val="24"/>
            <w:u w:val="single"/>
            <w:lang w:eastAsia="en-GB"/>
          </w:rPr>
          <w:t>https://doi.org/10.1177/0047287517696980</w:t>
        </w:r>
      </w:hyperlink>
    </w:p>
    <w:p w14:paraId="585C1CB7"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r w:rsidRPr="00D46012">
        <w:rPr>
          <w:rFonts w:ascii="Arial" w:eastAsia="Times New Roman" w:hAnsi="Arial" w:cs="Arial"/>
          <w:szCs w:val="24"/>
          <w:lang w:eastAsia="en-GB"/>
        </w:rPr>
        <w:t xml:space="preserve">Hossain, </w:t>
      </w:r>
      <w:proofErr w:type="spellStart"/>
      <w:r w:rsidRPr="00D46012">
        <w:rPr>
          <w:rFonts w:ascii="Arial" w:eastAsia="Times New Roman" w:hAnsi="Arial" w:cs="Arial"/>
          <w:szCs w:val="24"/>
          <w:lang w:eastAsia="en-GB"/>
        </w:rPr>
        <w:t>Mokter</w:t>
      </w:r>
      <w:proofErr w:type="spellEnd"/>
      <w:r w:rsidRPr="00D46012">
        <w:rPr>
          <w:rFonts w:ascii="Arial" w:eastAsia="Times New Roman" w:hAnsi="Arial" w:cs="Arial"/>
          <w:szCs w:val="24"/>
          <w:lang w:eastAsia="en-GB"/>
        </w:rPr>
        <w:t xml:space="preserve"> (2020) ‘Sharing economy: a comprehensive literature review’, </w:t>
      </w:r>
      <w:r w:rsidRPr="00C05173">
        <w:rPr>
          <w:rFonts w:ascii="Arial" w:eastAsia="Times New Roman" w:hAnsi="Arial" w:cs="Arial"/>
          <w:i/>
          <w:iCs/>
          <w:szCs w:val="24"/>
          <w:lang w:eastAsia="en-GB"/>
        </w:rPr>
        <w:t>International Journal of Hospitality Management</w:t>
      </w:r>
      <w:r w:rsidRPr="00D46012">
        <w:rPr>
          <w:rFonts w:ascii="Arial" w:eastAsia="Times New Roman" w:hAnsi="Arial" w:cs="Arial"/>
          <w:szCs w:val="24"/>
          <w:lang w:eastAsia="en-GB"/>
        </w:rPr>
        <w:t xml:space="preserve">, 87, article 102470. </w:t>
      </w:r>
      <w:hyperlink r:id="rId23" w:history="1">
        <w:r w:rsidRPr="00C05173">
          <w:rPr>
            <w:rFonts w:ascii="Arial" w:eastAsia="Times New Roman" w:hAnsi="Arial" w:cs="Arial"/>
            <w:color w:val="0000FF"/>
            <w:szCs w:val="24"/>
            <w:u w:val="single"/>
            <w:lang w:eastAsia="en-GB"/>
          </w:rPr>
          <w:t>https://doi.org/10.1016/j.ijhm.2020.102470</w:t>
        </w:r>
      </w:hyperlink>
    </w:p>
    <w:p w14:paraId="60C67730" w14:textId="77777777" w:rsidR="003A7369" w:rsidRPr="00D46012"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r w:rsidRPr="00D46012">
        <w:rPr>
          <w:rFonts w:ascii="Arial" w:eastAsia="Times New Roman" w:hAnsi="Arial" w:cs="Arial"/>
          <w:szCs w:val="24"/>
          <w:lang w:eastAsia="en-GB"/>
        </w:rPr>
        <w:t xml:space="preserve">Mi, </w:t>
      </w:r>
      <w:proofErr w:type="spellStart"/>
      <w:r w:rsidRPr="00D46012">
        <w:rPr>
          <w:rFonts w:ascii="Arial" w:eastAsia="Times New Roman" w:hAnsi="Arial" w:cs="Arial"/>
          <w:szCs w:val="24"/>
          <w:lang w:eastAsia="en-GB"/>
        </w:rPr>
        <w:t>Zhifu</w:t>
      </w:r>
      <w:proofErr w:type="spellEnd"/>
      <w:r w:rsidRPr="00D46012">
        <w:rPr>
          <w:rFonts w:ascii="Arial" w:eastAsia="Times New Roman" w:hAnsi="Arial" w:cs="Arial"/>
          <w:szCs w:val="24"/>
          <w:lang w:eastAsia="en-GB"/>
        </w:rPr>
        <w:t xml:space="preserve"> and Coffman, </w:t>
      </w:r>
      <w:proofErr w:type="spellStart"/>
      <w:r w:rsidRPr="00D46012">
        <w:rPr>
          <w:rFonts w:ascii="Arial" w:eastAsia="Times New Roman" w:hAnsi="Arial" w:cs="Arial"/>
          <w:szCs w:val="24"/>
          <w:lang w:eastAsia="en-GB"/>
        </w:rPr>
        <w:t>D’Maris</w:t>
      </w:r>
      <w:proofErr w:type="spellEnd"/>
      <w:r w:rsidRPr="00D46012">
        <w:rPr>
          <w:rFonts w:ascii="Arial" w:eastAsia="Times New Roman" w:hAnsi="Arial" w:cs="Arial"/>
          <w:szCs w:val="24"/>
          <w:lang w:eastAsia="en-GB"/>
        </w:rPr>
        <w:t xml:space="preserve"> (2019) ‘The sharing economy promotes sustainable societies’, </w:t>
      </w:r>
      <w:r w:rsidRPr="00C05173">
        <w:rPr>
          <w:rFonts w:ascii="Arial" w:eastAsia="Times New Roman" w:hAnsi="Arial" w:cs="Arial"/>
          <w:i/>
          <w:iCs/>
          <w:szCs w:val="24"/>
          <w:lang w:eastAsia="en-GB"/>
        </w:rPr>
        <w:t>Nature Communications</w:t>
      </w:r>
      <w:r w:rsidRPr="00D46012">
        <w:rPr>
          <w:rFonts w:ascii="Arial" w:eastAsia="Times New Roman" w:hAnsi="Arial" w:cs="Arial"/>
          <w:szCs w:val="24"/>
          <w:lang w:eastAsia="en-GB"/>
        </w:rPr>
        <w:t xml:space="preserve">, 10, article 1214. </w:t>
      </w:r>
      <w:hyperlink r:id="rId24" w:history="1">
        <w:r w:rsidRPr="00C05173">
          <w:rPr>
            <w:rFonts w:ascii="Arial" w:eastAsia="Times New Roman" w:hAnsi="Arial" w:cs="Arial"/>
            <w:color w:val="0000FF"/>
            <w:szCs w:val="24"/>
            <w:u w:val="single"/>
            <w:lang w:eastAsia="en-GB"/>
          </w:rPr>
          <w:t>https://doi.org/10.1038/s41467-019-09260-4</w:t>
        </w:r>
      </w:hyperlink>
    </w:p>
    <w:p w14:paraId="38D75D0E" w14:textId="77777777" w:rsidR="003A7369" w:rsidRPr="00C05173" w:rsidRDefault="003A7369" w:rsidP="00A24D9C">
      <w:pPr>
        <w:spacing w:before="100" w:beforeAutospacing="1" w:after="100" w:afterAutospacing="1" w:line="360" w:lineRule="auto"/>
        <w:ind w:left="720" w:hanging="720"/>
        <w:jc w:val="both"/>
        <w:rPr>
          <w:rFonts w:ascii="Arial" w:eastAsia="Times New Roman" w:hAnsi="Arial" w:cs="Arial"/>
          <w:szCs w:val="24"/>
          <w:lang w:eastAsia="en-GB"/>
        </w:rPr>
      </w:pPr>
      <w:proofErr w:type="spellStart"/>
      <w:r w:rsidRPr="00D46012">
        <w:rPr>
          <w:rFonts w:ascii="Arial" w:eastAsia="Times New Roman" w:hAnsi="Arial" w:cs="Arial"/>
          <w:szCs w:val="24"/>
          <w:lang w:eastAsia="en-GB"/>
        </w:rPr>
        <w:t>Nieuwland</w:t>
      </w:r>
      <w:proofErr w:type="spellEnd"/>
      <w:r w:rsidRPr="00D46012">
        <w:rPr>
          <w:rFonts w:ascii="Arial" w:eastAsia="Times New Roman" w:hAnsi="Arial" w:cs="Arial"/>
          <w:szCs w:val="24"/>
          <w:lang w:eastAsia="en-GB"/>
        </w:rPr>
        <w:t xml:space="preserve">, Shirley and van </w:t>
      </w:r>
      <w:proofErr w:type="spellStart"/>
      <w:r w:rsidRPr="00D46012">
        <w:rPr>
          <w:rFonts w:ascii="Arial" w:eastAsia="Times New Roman" w:hAnsi="Arial" w:cs="Arial"/>
          <w:szCs w:val="24"/>
          <w:lang w:eastAsia="en-GB"/>
        </w:rPr>
        <w:t>Melik</w:t>
      </w:r>
      <w:proofErr w:type="spellEnd"/>
      <w:r w:rsidRPr="00D46012">
        <w:rPr>
          <w:rFonts w:ascii="Arial" w:eastAsia="Times New Roman" w:hAnsi="Arial" w:cs="Arial"/>
          <w:szCs w:val="24"/>
          <w:lang w:eastAsia="en-GB"/>
        </w:rPr>
        <w:t xml:space="preserve">, </w:t>
      </w:r>
      <w:proofErr w:type="spellStart"/>
      <w:r w:rsidRPr="00D46012">
        <w:rPr>
          <w:rFonts w:ascii="Arial" w:eastAsia="Times New Roman" w:hAnsi="Arial" w:cs="Arial"/>
          <w:szCs w:val="24"/>
          <w:lang w:eastAsia="en-GB"/>
        </w:rPr>
        <w:t>Rianne</w:t>
      </w:r>
      <w:proofErr w:type="spellEnd"/>
      <w:r w:rsidRPr="00D46012">
        <w:rPr>
          <w:rFonts w:ascii="Arial" w:eastAsia="Times New Roman" w:hAnsi="Arial" w:cs="Arial"/>
          <w:szCs w:val="24"/>
          <w:lang w:eastAsia="en-GB"/>
        </w:rPr>
        <w:t xml:space="preserve"> (2020) ‘Regulating </w:t>
      </w:r>
      <w:r w:rsidR="00803135" w:rsidRPr="00C05173">
        <w:rPr>
          <w:rFonts w:ascii="Arial" w:eastAsia="Times New Roman" w:hAnsi="Arial" w:cs="Arial"/>
          <w:szCs w:val="24"/>
          <w:lang w:eastAsia="en-GB"/>
        </w:rPr>
        <w:t>Airbnb</w:t>
      </w:r>
      <w:r w:rsidRPr="00D46012">
        <w:rPr>
          <w:rFonts w:ascii="Arial" w:eastAsia="Times New Roman" w:hAnsi="Arial" w:cs="Arial"/>
          <w:szCs w:val="24"/>
          <w:lang w:eastAsia="en-GB"/>
        </w:rPr>
        <w:t xml:space="preserve">: how cities deal with perceived negative externalities of short-term rentals’, </w:t>
      </w:r>
      <w:r w:rsidRPr="00C05173">
        <w:rPr>
          <w:rFonts w:ascii="Arial" w:eastAsia="Times New Roman" w:hAnsi="Arial" w:cs="Arial"/>
          <w:i/>
          <w:iCs/>
          <w:szCs w:val="24"/>
          <w:lang w:eastAsia="en-GB"/>
        </w:rPr>
        <w:t>Current Issues in Tourism</w:t>
      </w:r>
      <w:r w:rsidRPr="00D46012">
        <w:rPr>
          <w:rFonts w:ascii="Arial" w:eastAsia="Times New Roman" w:hAnsi="Arial" w:cs="Arial"/>
          <w:szCs w:val="24"/>
          <w:lang w:eastAsia="en-GB"/>
        </w:rPr>
        <w:t xml:space="preserve">, 23(7), pp. 811–825. </w:t>
      </w:r>
      <w:hyperlink r:id="rId25" w:history="1">
        <w:r w:rsidRPr="00C05173">
          <w:rPr>
            <w:rFonts w:ascii="Arial" w:eastAsia="Times New Roman" w:hAnsi="Arial" w:cs="Arial"/>
            <w:color w:val="0000FF"/>
            <w:szCs w:val="24"/>
            <w:u w:val="single"/>
            <w:lang w:eastAsia="en-GB"/>
          </w:rPr>
          <w:t>https://doi.org/10.1080/13683500.2018.1504899</w:t>
        </w:r>
      </w:hyperlink>
    </w:p>
    <w:sectPr w:rsidR="003A7369" w:rsidRPr="00C05173" w:rsidSect="00A24D9C">
      <w:head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79C422" w14:textId="77777777" w:rsidR="00881B1A" w:rsidRDefault="00881B1A" w:rsidP="00A24D9C">
      <w:pPr>
        <w:spacing w:after="0" w:line="240" w:lineRule="auto"/>
      </w:pPr>
      <w:r>
        <w:separator/>
      </w:r>
    </w:p>
  </w:endnote>
  <w:endnote w:type="continuationSeparator" w:id="0">
    <w:p w14:paraId="46B9C19E" w14:textId="77777777" w:rsidR="00881B1A" w:rsidRDefault="00881B1A" w:rsidP="00A24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53E462" w14:textId="77777777" w:rsidR="00881B1A" w:rsidRDefault="00881B1A" w:rsidP="00A24D9C">
      <w:pPr>
        <w:spacing w:after="0" w:line="240" w:lineRule="auto"/>
      </w:pPr>
      <w:r>
        <w:separator/>
      </w:r>
    </w:p>
  </w:footnote>
  <w:footnote w:type="continuationSeparator" w:id="0">
    <w:p w14:paraId="18BAFFD7" w14:textId="77777777" w:rsidR="00881B1A" w:rsidRDefault="00881B1A" w:rsidP="00A24D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4194296"/>
      <w:docPartObj>
        <w:docPartGallery w:val="Page Numbers (Top of Page)"/>
        <w:docPartUnique/>
      </w:docPartObj>
    </w:sdtPr>
    <w:sdtEndPr>
      <w:rPr>
        <w:noProof/>
      </w:rPr>
    </w:sdtEndPr>
    <w:sdtContent>
      <w:p w14:paraId="0CC634D4" w14:textId="77777777" w:rsidR="00A24D9C" w:rsidRDefault="00A24D9C">
        <w:pPr>
          <w:pStyle w:val="Header"/>
          <w:jc w:val="right"/>
        </w:pPr>
        <w:r>
          <w:fldChar w:fldCharType="begin"/>
        </w:r>
        <w:r>
          <w:instrText xml:space="preserve"> PAGE   \* MERGEFORMAT </w:instrText>
        </w:r>
        <w:r>
          <w:fldChar w:fldCharType="separate"/>
        </w:r>
        <w:r w:rsidR="00C05173">
          <w:rPr>
            <w:noProof/>
          </w:rPr>
          <w:t>11</w:t>
        </w:r>
        <w:r>
          <w:rPr>
            <w:noProof/>
          </w:rPr>
          <w:fldChar w:fldCharType="end"/>
        </w:r>
      </w:p>
    </w:sdtContent>
  </w:sdt>
  <w:p w14:paraId="2AE56110" w14:textId="77777777" w:rsidR="00A24D9C" w:rsidRDefault="00A24D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012"/>
    <w:rsid w:val="00003EA3"/>
    <w:rsid w:val="0001452E"/>
    <w:rsid w:val="00051865"/>
    <w:rsid w:val="000A2CC1"/>
    <w:rsid w:val="00135DF4"/>
    <w:rsid w:val="00163302"/>
    <w:rsid w:val="002778FF"/>
    <w:rsid w:val="002A5A3E"/>
    <w:rsid w:val="002B2FDD"/>
    <w:rsid w:val="003167E0"/>
    <w:rsid w:val="003A7369"/>
    <w:rsid w:val="004268D0"/>
    <w:rsid w:val="004C2B0C"/>
    <w:rsid w:val="004D0BDE"/>
    <w:rsid w:val="0063542D"/>
    <w:rsid w:val="0064428B"/>
    <w:rsid w:val="00651D31"/>
    <w:rsid w:val="006F5D34"/>
    <w:rsid w:val="00803135"/>
    <w:rsid w:val="00881B1A"/>
    <w:rsid w:val="008B3471"/>
    <w:rsid w:val="00912B1C"/>
    <w:rsid w:val="00924919"/>
    <w:rsid w:val="0094235D"/>
    <w:rsid w:val="009D3BD3"/>
    <w:rsid w:val="009F4F18"/>
    <w:rsid w:val="009F51CD"/>
    <w:rsid w:val="00A24D9C"/>
    <w:rsid w:val="00A318AB"/>
    <w:rsid w:val="00A55116"/>
    <w:rsid w:val="00B63307"/>
    <w:rsid w:val="00C05173"/>
    <w:rsid w:val="00C91DC5"/>
    <w:rsid w:val="00CE3A5F"/>
    <w:rsid w:val="00D00E60"/>
    <w:rsid w:val="00D27EB4"/>
    <w:rsid w:val="00D46012"/>
    <w:rsid w:val="00D941F9"/>
    <w:rsid w:val="00FA3C27"/>
    <w:rsid w:val="00FC5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ED513"/>
  <w15:chartTrackingRefBased/>
  <w15:docId w15:val="{03B7DCFF-93BB-4B8B-9707-FEE0FC331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42D"/>
    <w:rPr>
      <w:rFonts w:ascii="Times New Roman" w:hAnsi="Times New Roman"/>
      <w:sz w:val="24"/>
    </w:rPr>
  </w:style>
  <w:style w:type="paragraph" w:styleId="Heading1">
    <w:name w:val="heading 1"/>
    <w:basedOn w:val="Normal"/>
    <w:next w:val="Normal"/>
    <w:link w:val="Heading1Char"/>
    <w:uiPriority w:val="9"/>
    <w:qFormat/>
    <w:rsid w:val="00135DF4"/>
    <w:pPr>
      <w:keepNext/>
      <w:keepLines/>
      <w:spacing w:before="240" w:after="0"/>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135DF4"/>
    <w:pPr>
      <w:keepNext/>
      <w:keepLines/>
      <w:spacing w:before="40" w:after="0"/>
      <w:outlineLvl w:val="1"/>
    </w:pPr>
    <w:rPr>
      <w:rFonts w:ascii="Arial" w:eastAsiaTheme="majorEastAsia" w:hAnsi="Arial" w:cstheme="majorBidi"/>
      <w:b/>
      <w:sz w:val="28"/>
      <w:szCs w:val="26"/>
    </w:rPr>
  </w:style>
  <w:style w:type="paragraph" w:styleId="Heading3">
    <w:name w:val="heading 3"/>
    <w:basedOn w:val="Normal"/>
    <w:next w:val="Normal"/>
    <w:link w:val="Heading3Char"/>
    <w:uiPriority w:val="9"/>
    <w:unhideWhenUsed/>
    <w:qFormat/>
    <w:rsid w:val="00135DF4"/>
    <w:pPr>
      <w:keepNext/>
      <w:keepLines/>
      <w:spacing w:before="40" w:after="0"/>
      <w:outlineLvl w:val="2"/>
    </w:pPr>
    <w:rPr>
      <w:rFonts w:ascii="Arial" w:eastAsiaTheme="majorEastAsia" w:hAnsi="Arial"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DF4"/>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135DF4"/>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135DF4"/>
    <w:rPr>
      <w:rFonts w:ascii="Arial" w:eastAsiaTheme="majorEastAsia" w:hAnsi="Arial" w:cstheme="majorBidi"/>
      <w:b/>
      <w:sz w:val="24"/>
      <w:szCs w:val="24"/>
    </w:rPr>
  </w:style>
  <w:style w:type="paragraph" w:styleId="NoSpacing">
    <w:name w:val="No Spacing"/>
    <w:uiPriority w:val="1"/>
    <w:qFormat/>
    <w:rsid w:val="002B2FDD"/>
    <w:pPr>
      <w:spacing w:after="0" w:line="240" w:lineRule="auto"/>
    </w:pPr>
    <w:rPr>
      <w:rFonts w:ascii="Times New Roman" w:hAnsi="Times New Roman"/>
      <w:b/>
      <w:sz w:val="28"/>
      <w:lang w:val="en-US"/>
    </w:rPr>
  </w:style>
  <w:style w:type="paragraph" w:customStyle="1" w:styleId="isselectedend">
    <w:name w:val="isselectedend"/>
    <w:basedOn w:val="Normal"/>
    <w:rsid w:val="00D46012"/>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D46012"/>
    <w:rPr>
      <w:i/>
      <w:iCs/>
    </w:rPr>
  </w:style>
  <w:style w:type="character" w:styleId="Hyperlink">
    <w:name w:val="Hyperlink"/>
    <w:basedOn w:val="DefaultParagraphFont"/>
    <w:uiPriority w:val="99"/>
    <w:unhideWhenUsed/>
    <w:rsid w:val="00D46012"/>
    <w:rPr>
      <w:color w:val="0000FF"/>
      <w:u w:val="single"/>
    </w:rPr>
  </w:style>
  <w:style w:type="paragraph" w:styleId="NormalWeb">
    <w:name w:val="Normal (Web)"/>
    <w:basedOn w:val="Normal"/>
    <w:uiPriority w:val="99"/>
    <w:semiHidden/>
    <w:unhideWhenUsed/>
    <w:rsid w:val="00D46012"/>
    <w:pPr>
      <w:spacing w:before="100"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A24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4D9C"/>
    <w:rPr>
      <w:rFonts w:ascii="Times New Roman" w:hAnsi="Times New Roman"/>
      <w:sz w:val="24"/>
    </w:rPr>
  </w:style>
  <w:style w:type="paragraph" w:styleId="Footer">
    <w:name w:val="footer"/>
    <w:basedOn w:val="Normal"/>
    <w:link w:val="FooterChar"/>
    <w:uiPriority w:val="99"/>
    <w:unhideWhenUsed/>
    <w:rsid w:val="00A24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4D9C"/>
    <w:rPr>
      <w:rFonts w:ascii="Times New Roman" w:hAnsi="Times New Roman"/>
      <w:sz w:val="24"/>
    </w:rPr>
  </w:style>
  <w:style w:type="paragraph" w:styleId="TOCHeading">
    <w:name w:val="TOC Heading"/>
    <w:basedOn w:val="Heading1"/>
    <w:next w:val="Normal"/>
    <w:uiPriority w:val="39"/>
    <w:unhideWhenUsed/>
    <w:qFormat/>
    <w:rsid w:val="00A24D9C"/>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A24D9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423259">
      <w:bodyDiv w:val="1"/>
      <w:marLeft w:val="0"/>
      <w:marRight w:val="0"/>
      <w:marTop w:val="0"/>
      <w:marBottom w:val="0"/>
      <w:divBdr>
        <w:top w:val="none" w:sz="0" w:space="0" w:color="auto"/>
        <w:left w:val="none" w:sz="0" w:space="0" w:color="auto"/>
        <w:bottom w:val="none" w:sz="0" w:space="0" w:color="auto"/>
        <w:right w:val="none" w:sz="0" w:space="0" w:color="auto"/>
      </w:divBdr>
      <w:divsChild>
        <w:div w:id="21274581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1933769">
      <w:bodyDiv w:val="1"/>
      <w:marLeft w:val="0"/>
      <w:marRight w:val="0"/>
      <w:marTop w:val="0"/>
      <w:marBottom w:val="0"/>
      <w:divBdr>
        <w:top w:val="none" w:sz="0" w:space="0" w:color="auto"/>
        <w:left w:val="none" w:sz="0" w:space="0" w:color="auto"/>
        <w:bottom w:val="none" w:sz="0" w:space="0" w:color="auto"/>
        <w:right w:val="none" w:sz="0" w:space="0" w:color="auto"/>
      </w:divBdr>
      <w:divsChild>
        <w:div w:id="854648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80800345">
      <w:bodyDiv w:val="1"/>
      <w:marLeft w:val="0"/>
      <w:marRight w:val="0"/>
      <w:marTop w:val="0"/>
      <w:marBottom w:val="0"/>
      <w:divBdr>
        <w:top w:val="none" w:sz="0" w:space="0" w:color="auto"/>
        <w:left w:val="none" w:sz="0" w:space="0" w:color="auto"/>
        <w:bottom w:val="none" w:sz="0" w:space="0" w:color="auto"/>
        <w:right w:val="none" w:sz="0" w:space="0" w:color="auto"/>
      </w:divBdr>
      <w:divsChild>
        <w:div w:id="11883729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9595870">
      <w:bodyDiv w:val="1"/>
      <w:marLeft w:val="0"/>
      <w:marRight w:val="0"/>
      <w:marTop w:val="0"/>
      <w:marBottom w:val="0"/>
      <w:divBdr>
        <w:top w:val="none" w:sz="0" w:space="0" w:color="auto"/>
        <w:left w:val="none" w:sz="0" w:space="0" w:color="auto"/>
        <w:bottom w:val="none" w:sz="0" w:space="0" w:color="auto"/>
        <w:right w:val="none" w:sz="0" w:space="0" w:color="auto"/>
      </w:divBdr>
      <w:divsChild>
        <w:div w:id="5216712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43347782">
      <w:bodyDiv w:val="1"/>
      <w:marLeft w:val="0"/>
      <w:marRight w:val="0"/>
      <w:marTop w:val="0"/>
      <w:marBottom w:val="0"/>
      <w:divBdr>
        <w:top w:val="none" w:sz="0" w:space="0" w:color="auto"/>
        <w:left w:val="none" w:sz="0" w:space="0" w:color="auto"/>
        <w:bottom w:val="none" w:sz="0" w:space="0" w:color="auto"/>
        <w:right w:val="none" w:sz="0" w:space="0" w:color="auto"/>
      </w:divBdr>
      <w:divsChild>
        <w:div w:id="8878439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1790937">
      <w:bodyDiv w:val="1"/>
      <w:marLeft w:val="0"/>
      <w:marRight w:val="0"/>
      <w:marTop w:val="0"/>
      <w:marBottom w:val="0"/>
      <w:divBdr>
        <w:top w:val="none" w:sz="0" w:space="0" w:color="auto"/>
        <w:left w:val="none" w:sz="0" w:space="0" w:color="auto"/>
        <w:bottom w:val="none" w:sz="0" w:space="0" w:color="auto"/>
        <w:right w:val="none" w:sz="0" w:space="0" w:color="auto"/>
      </w:divBdr>
      <w:divsChild>
        <w:div w:id="12843092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43099284">
      <w:bodyDiv w:val="1"/>
      <w:marLeft w:val="0"/>
      <w:marRight w:val="0"/>
      <w:marTop w:val="0"/>
      <w:marBottom w:val="0"/>
      <w:divBdr>
        <w:top w:val="none" w:sz="0" w:space="0" w:color="auto"/>
        <w:left w:val="none" w:sz="0" w:space="0" w:color="auto"/>
        <w:bottom w:val="none" w:sz="0" w:space="0" w:color="auto"/>
        <w:right w:val="none" w:sz="0" w:space="0" w:color="auto"/>
      </w:divBdr>
      <w:divsChild>
        <w:div w:id="17217883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8207165">
      <w:bodyDiv w:val="1"/>
      <w:marLeft w:val="0"/>
      <w:marRight w:val="0"/>
      <w:marTop w:val="0"/>
      <w:marBottom w:val="0"/>
      <w:divBdr>
        <w:top w:val="none" w:sz="0" w:space="0" w:color="auto"/>
        <w:left w:val="none" w:sz="0" w:space="0" w:color="auto"/>
        <w:bottom w:val="none" w:sz="0" w:space="0" w:color="auto"/>
        <w:right w:val="none" w:sz="0" w:space="0" w:color="auto"/>
      </w:divBdr>
      <w:divsChild>
        <w:div w:id="18038392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82035048">
      <w:bodyDiv w:val="1"/>
      <w:marLeft w:val="0"/>
      <w:marRight w:val="0"/>
      <w:marTop w:val="0"/>
      <w:marBottom w:val="0"/>
      <w:divBdr>
        <w:top w:val="none" w:sz="0" w:space="0" w:color="auto"/>
        <w:left w:val="none" w:sz="0" w:space="0" w:color="auto"/>
        <w:bottom w:val="none" w:sz="0" w:space="0" w:color="auto"/>
        <w:right w:val="none" w:sz="0" w:space="0" w:color="auto"/>
      </w:divBdr>
      <w:divsChild>
        <w:div w:id="10497693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94370392">
      <w:bodyDiv w:val="1"/>
      <w:marLeft w:val="0"/>
      <w:marRight w:val="0"/>
      <w:marTop w:val="0"/>
      <w:marBottom w:val="0"/>
      <w:divBdr>
        <w:top w:val="none" w:sz="0" w:space="0" w:color="auto"/>
        <w:left w:val="none" w:sz="0" w:space="0" w:color="auto"/>
        <w:bottom w:val="none" w:sz="0" w:space="0" w:color="auto"/>
        <w:right w:val="none" w:sz="0" w:space="0" w:color="auto"/>
      </w:divBdr>
    </w:div>
    <w:div w:id="1734501711">
      <w:bodyDiv w:val="1"/>
      <w:marLeft w:val="0"/>
      <w:marRight w:val="0"/>
      <w:marTop w:val="0"/>
      <w:marBottom w:val="0"/>
      <w:divBdr>
        <w:top w:val="none" w:sz="0" w:space="0" w:color="auto"/>
        <w:left w:val="none" w:sz="0" w:space="0" w:color="auto"/>
        <w:bottom w:val="none" w:sz="0" w:space="0" w:color="auto"/>
        <w:right w:val="none" w:sz="0" w:space="0" w:color="auto"/>
      </w:divBdr>
      <w:divsChild>
        <w:div w:id="8576950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c.gov/Archives/edgar/data/1559720/000155972026000004/abnb-20251231.htm" TargetMode="External" /><Relationship Id="rId13" Type="http://schemas.openxmlformats.org/officeDocument/2006/relationships/hyperlink" Target="https://doi.org/10.1016/j.ijhm.2018.04.004" TargetMode="External" /><Relationship Id="rId18" Type="http://schemas.openxmlformats.org/officeDocument/2006/relationships/hyperlink" Target="https://doi.org/10.1016/j.jue.2020.103278" TargetMode="External" /><Relationship Id="rId26" Type="http://schemas.openxmlformats.org/officeDocument/2006/relationships/header" Target="header1.xml" /><Relationship Id="rId3" Type="http://schemas.openxmlformats.org/officeDocument/2006/relationships/settings" Target="settings.xml" /><Relationship Id="rId21" Type="http://schemas.openxmlformats.org/officeDocument/2006/relationships/hyperlink" Target="https://www.google.com/finance/quote/ABNB:NASDAQ" TargetMode="External" /><Relationship Id="rId7" Type="http://schemas.openxmlformats.org/officeDocument/2006/relationships/hyperlink" Target="https://news.airbnb.com/an-update-on-environmental-sustainability-at-airbnb/" TargetMode="External" /><Relationship Id="rId12" Type="http://schemas.openxmlformats.org/officeDocument/2006/relationships/hyperlink" Target="https://doi.org/10.1108/IJCTHR-07-2019-0134" TargetMode="External" /><Relationship Id="rId17" Type="http://schemas.openxmlformats.org/officeDocument/2006/relationships/hyperlink" Target="https://www.cengageasia.com/title/default/detail?isbn=9781473773615" TargetMode="External" /><Relationship Id="rId25" Type="http://schemas.openxmlformats.org/officeDocument/2006/relationships/hyperlink" Target="https://doi.org/10.1080/13683500.2018.1504899" TargetMode="External" /><Relationship Id="rId2" Type="http://schemas.openxmlformats.org/officeDocument/2006/relationships/styles" Target="styles.xml" /><Relationship Id="rId16" Type="http://schemas.openxmlformats.org/officeDocument/2006/relationships/hyperlink" Target="https://doi.org/10.1016/j.tourman.2019.104049" TargetMode="External" /><Relationship Id="rId20" Type="http://schemas.openxmlformats.org/officeDocument/2006/relationships/hyperlink" Target="https://doi.org/10.1080/10548408.2017.1308292"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doi.org/10.1287/mksc.2020.1227" TargetMode="External" /><Relationship Id="rId24" Type="http://schemas.openxmlformats.org/officeDocument/2006/relationships/hyperlink" Target="https://doi.org/10.1038/s41467-019-09260-4" TargetMode="External" /><Relationship Id="rId5" Type="http://schemas.openxmlformats.org/officeDocument/2006/relationships/footnotes" Target="footnotes.xml" /><Relationship Id="rId15" Type="http://schemas.openxmlformats.org/officeDocument/2006/relationships/hyperlink" Target="https://doi.org/10.1016/j.tourman.2018.11.008" TargetMode="External" /><Relationship Id="rId23" Type="http://schemas.openxmlformats.org/officeDocument/2006/relationships/hyperlink" Target="https://doi.org/10.1016/j.ijhm.2020.102470" TargetMode="External" /><Relationship Id="rId28" Type="http://schemas.openxmlformats.org/officeDocument/2006/relationships/theme" Target="theme/theme1.xml" /><Relationship Id="rId10" Type="http://schemas.openxmlformats.org/officeDocument/2006/relationships/hyperlink" Target="https://www.pearson.com/en-gb/subject-catalog/p/management-accounting-for-decision-makers/P200000011220" TargetMode="External" /><Relationship Id="rId19" Type="http://schemas.openxmlformats.org/officeDocument/2006/relationships/hyperlink" Target="https://www.mheducation.com/unitas/highered/changes/garrison-managerial-accounting-17e.pdf" TargetMode="External" /><Relationship Id="rId4" Type="http://schemas.openxmlformats.org/officeDocument/2006/relationships/webSettings" Target="webSettings.xml" /><Relationship Id="rId9" Type="http://schemas.openxmlformats.org/officeDocument/2006/relationships/hyperlink" Target="https://doi.org/10.1016/j.ijhm.2017.12.004" TargetMode="External" /><Relationship Id="rId14" Type="http://schemas.openxmlformats.org/officeDocument/2006/relationships/hyperlink" Target="https://doi.org/10.1016/j.jclepro.2020.121519" TargetMode="External" /><Relationship Id="rId22" Type="http://schemas.openxmlformats.org/officeDocument/2006/relationships/hyperlink" Target="https://doi.org/10.1177/0047287517696980" TargetMode="External"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93E05A-D76A-4D44-8B6E-C93CEEFF09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3095</Words>
  <Characters>17644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svc</dc:creator>
  <cp:keywords/>
  <dc:description/>
  <cp:lastModifiedBy>Eugen Roca</cp:lastModifiedBy>
  <cp:revision>2</cp:revision>
  <dcterms:created xsi:type="dcterms:W3CDTF">2026-06-26T10:49:00Z</dcterms:created>
  <dcterms:modified xsi:type="dcterms:W3CDTF">2026-06-26T10:49:00Z</dcterms:modified>
</cp:coreProperties>
</file>