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C89C7" w14:textId="77777777" w:rsidR="008F677E" w:rsidRDefault="008F677E" w:rsidP="008F677E">
      <w:pPr>
        <w:spacing w:after="0" w:line="259" w:lineRule="auto"/>
        <w:ind w:left="430" w:firstLine="0"/>
      </w:pPr>
      <w:r>
        <w:rPr>
          <w:rFonts w:ascii="Times New Roman" w:eastAsia="Times New Roman" w:hAnsi="Times New Roman" w:cs="Times New Roman"/>
          <w:sz w:val="56"/>
          <w:u w:val="single" w:color="000000"/>
        </w:rPr>
        <w:t>SWOT Analysis: Presentation Skills</w:t>
      </w:r>
      <w:r>
        <w:rPr>
          <w:rFonts w:ascii="Times New Roman" w:eastAsia="Times New Roman" w:hAnsi="Times New Roman" w:cs="Times New Roman"/>
          <w:sz w:val="56"/>
        </w:rPr>
        <w:t xml:space="preserve"> </w:t>
      </w:r>
    </w:p>
    <w:p w14:paraId="5C8E8A9B" w14:textId="77777777" w:rsidR="008F677E" w:rsidRDefault="008F677E" w:rsidP="008F677E">
      <w:pPr>
        <w:spacing w:after="159" w:line="259" w:lineRule="auto"/>
        <w:ind w:left="0" w:firstLine="0"/>
      </w:pPr>
      <w:r>
        <w:rPr>
          <w:rFonts w:ascii="Times New Roman" w:eastAsia="Times New Roman" w:hAnsi="Times New Roman" w:cs="Times New Roman"/>
          <w:sz w:val="24"/>
        </w:rPr>
        <w:t xml:space="preserve"> </w:t>
      </w:r>
    </w:p>
    <w:p w14:paraId="63684B0D" w14:textId="77777777" w:rsidR="008F677E" w:rsidRDefault="008F677E" w:rsidP="008F677E">
      <w:pPr>
        <w:spacing w:after="160" w:line="259" w:lineRule="auto"/>
        <w:ind w:left="0" w:firstLine="0"/>
      </w:pPr>
      <w:r>
        <w:rPr>
          <w:rFonts w:ascii="Times New Roman" w:eastAsia="Times New Roman" w:hAnsi="Times New Roman" w:cs="Times New Roman"/>
          <w:b/>
          <w:sz w:val="24"/>
        </w:rPr>
        <w:t>Student Name</w:t>
      </w:r>
      <w:r>
        <w:rPr>
          <w:rFonts w:ascii="Times New Roman" w:eastAsia="Times New Roman" w:hAnsi="Times New Roman" w:cs="Times New Roman"/>
          <w:sz w:val="24"/>
        </w:rPr>
        <w:t xml:space="preserve">: ANDREI MARIUS TUTUIANU </w:t>
      </w:r>
    </w:p>
    <w:p w14:paraId="33141D65" w14:textId="77777777" w:rsidR="008F677E" w:rsidRDefault="008F677E" w:rsidP="008F677E">
      <w:pPr>
        <w:spacing w:after="252" w:line="259" w:lineRule="auto"/>
        <w:ind w:left="0" w:firstLine="0"/>
      </w:pPr>
      <w:r>
        <w:rPr>
          <w:rFonts w:ascii="Times New Roman" w:eastAsia="Times New Roman" w:hAnsi="Times New Roman" w:cs="Times New Roman"/>
          <w:b/>
          <w:sz w:val="24"/>
        </w:rPr>
        <w:t>Student ID</w:t>
      </w:r>
      <w:r>
        <w:rPr>
          <w:rFonts w:ascii="Times New Roman" w:eastAsia="Times New Roman" w:hAnsi="Times New Roman" w:cs="Times New Roman"/>
          <w:sz w:val="24"/>
        </w:rPr>
        <w:t xml:space="preserve">: 2216856 </w:t>
      </w:r>
    </w:p>
    <w:p w14:paraId="25B88635" w14:textId="77777777" w:rsidR="008F677E" w:rsidRDefault="008F677E" w:rsidP="008F677E">
      <w:pPr>
        <w:spacing w:after="387" w:line="259" w:lineRule="auto"/>
        <w:ind w:left="0" w:firstLine="0"/>
      </w:pPr>
      <w:r>
        <w:rPr>
          <w:b/>
          <w:sz w:val="34"/>
        </w:rPr>
        <w:t xml:space="preserve"> </w:t>
      </w:r>
    </w:p>
    <w:p w14:paraId="573C85AC" w14:textId="77777777" w:rsidR="008F677E" w:rsidRDefault="008F677E" w:rsidP="008F677E">
      <w:pPr>
        <w:ind w:left="-5"/>
      </w:pPr>
      <w:r>
        <w:t xml:space="preserve">SWOT analysis is a commonly applied strategic planning technique that addresses </w:t>
      </w:r>
    </w:p>
    <w:p w14:paraId="47E0E915" w14:textId="77777777" w:rsidR="008F677E" w:rsidRDefault="008F677E" w:rsidP="008F677E">
      <w:pPr>
        <w:spacing w:after="480"/>
        <w:ind w:left="-5"/>
      </w:pPr>
      <w:r>
        <w:t xml:space="preserve">Strengths, Weaknesses, Opportunities and Threats of a certain aspect (Gürel and Tat, 2017; </w:t>
      </w:r>
      <w:proofErr w:type="spellStart"/>
      <w:r>
        <w:t>Puyt</w:t>
      </w:r>
      <w:proofErr w:type="spellEnd"/>
      <w:r>
        <w:t xml:space="preserve">, Lie and </w:t>
      </w:r>
      <w:proofErr w:type="spellStart"/>
      <w:r>
        <w:t>Wilderom</w:t>
      </w:r>
      <w:proofErr w:type="spellEnd"/>
      <w:r>
        <w:t xml:space="preserve">, 2023). At school level for Nursing and </w:t>
      </w:r>
      <w:proofErr w:type="gramStart"/>
      <w:r>
        <w:t>HCH ,</w:t>
      </w:r>
      <w:proofErr w:type="gramEnd"/>
      <w:r>
        <w:t xml:space="preserve"> it can help students to complete structured self-evaluations and identify their strengths, areas for development and resources/barriers affecting their learning (Freshwater, Taylor and Sherwood, 2018). This SWOT analysis will consider the student's use of Presentation Skills in the Preparing for Academic and Professional Development (PAPD) module. The ability to present research and findings is viewed as being a key skill in Higher Education (Levin and Topping, 2006). The skills for communicating effectively and with confidence aid in future employment and academic achievement. This is especially important for students studying a career in health and social care as effective communication is the main point that can contribute to patient safety and the quality of patient care provided (</w:t>
      </w:r>
      <w:proofErr w:type="spellStart"/>
      <w:r>
        <w:t>Kourkouta</w:t>
      </w:r>
      <w:proofErr w:type="spellEnd"/>
      <w:r>
        <w:t xml:space="preserve"> and Papathanasiou, 2014). Through the student's strengths, weakness, opportunities and threats analysis, purposeful reflection and further development are intended to be encouraged. </w:t>
      </w:r>
    </w:p>
    <w:p w14:paraId="1A5A9D0D" w14:textId="77777777" w:rsidR="008F677E" w:rsidRDefault="008F677E" w:rsidP="008F677E">
      <w:pPr>
        <w:pStyle w:val="Heading1"/>
        <w:ind w:left="-5"/>
      </w:pPr>
      <w:r>
        <w:t xml:space="preserve">Strengths (S) </w:t>
      </w:r>
    </w:p>
    <w:p w14:paraId="2147CE12" w14:textId="77777777" w:rsidR="008F677E" w:rsidRDefault="008F677E" w:rsidP="008F677E">
      <w:pPr>
        <w:spacing w:after="248"/>
        <w:ind w:left="-5"/>
      </w:pPr>
      <w:r>
        <w:t xml:space="preserve">In the scope of presentation skills, strengths are that in the student </w:t>
      </w:r>
      <w:proofErr w:type="spellStart"/>
      <w:r>
        <w:t>caise</w:t>
      </w:r>
      <w:proofErr w:type="spellEnd"/>
      <w:r>
        <w:t xml:space="preserve"> the student can adapt to the medical terms very well because the student had preweius experience in medical department as district nurse which allowed to understand in class the anatomy better. A norther strength is that the student is committed even now under pressure of time because the student has a job as well and can still perform at 100 percent even on high pressure even on time management. The student knows that academic skills are not the stronger point, but in medical </w:t>
      </w:r>
      <w:proofErr w:type="spellStart"/>
      <w:r>
        <w:t>eveierment</w:t>
      </w:r>
      <w:proofErr w:type="spellEnd"/>
      <w:r>
        <w:t xml:space="preserve"> most important is the way you speak as well, but the most important is the way you act and perform under medical pressure to </w:t>
      </w:r>
      <w:proofErr w:type="gramStart"/>
      <w:r>
        <w:t>sustained</w:t>
      </w:r>
      <w:proofErr w:type="gramEnd"/>
      <w:r>
        <w:t xml:space="preserve"> the patient life at least at 10 percent. The way haw the student sees it is good to have good communication </w:t>
      </w:r>
      <w:proofErr w:type="gramStart"/>
      <w:r>
        <w:t>skills</w:t>
      </w:r>
      <w:proofErr w:type="gramEnd"/>
      <w:r>
        <w:t xml:space="preserve"> but the paperwork is very simple and if you have enough training in a hospital in 1 month time the student can adapt very well. </w:t>
      </w:r>
    </w:p>
    <w:p w14:paraId="5AB953EA" w14:textId="77777777" w:rsidR="008F677E" w:rsidRDefault="008F677E" w:rsidP="008F677E">
      <w:pPr>
        <w:spacing w:after="248"/>
        <w:ind w:left="-5"/>
      </w:pPr>
      <w:r>
        <w:t>Having strong communication skills is very important a significant strength in NHS practice because it directly improve the quality, safety, and effectiveness of patient care. Academic literature consistently shows that clear communication reduces clinical mistakes, strengthens teamwork, and improves patient outcomes (</w:t>
      </w:r>
      <w:proofErr w:type="spellStart"/>
      <w:r>
        <w:t>Kourkouta</w:t>
      </w:r>
      <w:proofErr w:type="spellEnd"/>
      <w:r>
        <w:t xml:space="preserve"> and Papathanasiou, 2014). O’Daniel and Rosenstein (2008) highlight that effective communication is essential for safe care delivery, particularly in multidisciplinary environments where misunderstandings can lead to delays or mistakes, for example wrong diagnose for an illness. </w:t>
      </w:r>
    </w:p>
    <w:p w14:paraId="12D52DE0" w14:textId="77777777" w:rsidR="008F677E" w:rsidRDefault="008F677E" w:rsidP="008F677E">
      <w:pPr>
        <w:spacing w:after="480"/>
        <w:ind w:left="-5"/>
      </w:pPr>
      <w:r>
        <w:lastRenderedPageBreak/>
        <w:t xml:space="preserve">This strength also supports professional development. Bandura’s (1997) work on self-efficacy demonstrate that if you have a </w:t>
      </w:r>
      <w:proofErr w:type="spellStart"/>
      <w:r>
        <w:t>bether</w:t>
      </w:r>
      <w:proofErr w:type="spellEnd"/>
      <w:r>
        <w:t xml:space="preserve"> communication language perform better in complex situations because they are more able to express concerns, ask questions, and advocate for patients. Non-verbal cues such as maintaining composure also convey confidence during presentation tasks (</w:t>
      </w:r>
      <w:proofErr w:type="spellStart"/>
      <w:r>
        <w:t>Bambaeeroo</w:t>
      </w:r>
      <w:proofErr w:type="spellEnd"/>
      <w:r>
        <w:t xml:space="preserve"> and </w:t>
      </w:r>
      <w:proofErr w:type="spellStart"/>
      <w:r>
        <w:t>Shokrpour</w:t>
      </w:r>
      <w:proofErr w:type="spellEnd"/>
      <w:r>
        <w:t xml:space="preserve">, 2017). In Hospitals, where Nurse and HCH often work under massive pressure, this confidence contributes to resilience and reduces stress (Royal College of Nursing, 2019). Research in nursing education further shows that strong communication skills improve academic performance, reflective practice, and clinical decision-making (Brown and Atkins, 2009). Overall, this strength enhances both academic success in PAPD module and future health and social care practice by improving safety, teamwork, and professional confidence—key components of high-quality NHS care. </w:t>
      </w:r>
    </w:p>
    <w:p w14:paraId="174D9324" w14:textId="4DE1E32E" w:rsidR="008F677E" w:rsidRDefault="008F677E" w:rsidP="008F677E">
      <w:pPr>
        <w:pStyle w:val="Heading1"/>
        <w:ind w:left="-5"/>
      </w:pPr>
      <w:r>
        <w:t xml:space="preserve">Weaknesses (W) </w:t>
      </w:r>
      <w:r w:rsidR="0051367D">
        <w:t xml:space="preserve"> </w:t>
      </w:r>
    </w:p>
    <w:p w14:paraId="1D3B6E4C" w14:textId="77777777" w:rsidR="007771FA" w:rsidRPr="007771FA" w:rsidRDefault="007771FA" w:rsidP="007771FA">
      <w:r w:rsidRPr="007771FA">
        <w:t>Identifying weaknesses is an important part of personal and professional development. Acknowledging these challenges allows me to set clear goals and take proactive steps toward improvement.</w:t>
      </w:r>
    </w:p>
    <w:p w14:paraId="418F2AF1" w14:textId="77777777" w:rsidR="007771FA" w:rsidRPr="007771FA" w:rsidRDefault="007771FA" w:rsidP="007771FA"/>
    <w:p w14:paraId="1612785D" w14:textId="5F76206F" w:rsidR="008F677E" w:rsidRDefault="008F677E" w:rsidP="008F677E">
      <w:pPr>
        <w:spacing w:after="248"/>
        <w:ind w:left="-5"/>
      </w:pPr>
      <w:r>
        <w:t xml:space="preserve">A weakness the student had to confront is the level of English as an additional language. Presenting academic content in English adds an extra layer of pressure for the student. Horwitz, Horwitz and Cope (1986) describe foreign language anxiety as a unique type of anxiety, especially noticeable during speaking tasks, because learners worry about what to say and how to say it correctly. Sometimes, instead of speaking naturally and engaging the audience, the student falls back on reading directly from slides. Beebe and Beebe (2015) point out that this makes a presentation less dynamic and less responsive, and the student can see how this habit has limited the ability to communicate confidently. Overall, these weaknesses—communication apprehension and the challenge of presenting in a second language—have had a real impact on confidence and performance. </w:t>
      </w:r>
    </w:p>
    <w:p w14:paraId="5DA048AC" w14:textId="77777777" w:rsidR="008F677E" w:rsidRDefault="008F677E" w:rsidP="008F677E">
      <w:pPr>
        <w:spacing w:after="248"/>
        <w:ind w:left="-5"/>
      </w:pPr>
      <w:r>
        <w:t xml:space="preserve">Another weakness the student had to face is time management. Trying to balance university with job has been extremely challenging, and there have been several times when the student missed classes simply because work shifts overlapped with lessons. According to Gürel and Tat (2017), internal factors like these can restrict a student from reaching full potential, and the student can clearly see how this applies. When the student misses a class, catching up becomes very difficult, and the student often feels overwhelmed by how much is needed to review on own. </w:t>
      </w:r>
    </w:p>
    <w:p w14:paraId="4EBAFBE9" w14:textId="4F98C109" w:rsidR="002F20DD" w:rsidRDefault="008F677E" w:rsidP="00D970E2">
      <w:pPr>
        <w:spacing w:after="480"/>
        <w:ind w:left="-5"/>
      </w:pPr>
      <w:r>
        <w:t>This stress becomes even heavier during exam periods, when deadlines are strict and there is no flexibility. Because work schedule changes so often, booking days off in advance is almost impossible, which makes planning study time extremely stressful. Raja (2017) notes that students who juggle employment alongside academic commitments often struggle with workload management and experience higher levels of stress. Even though the student is lucky to have supportive teachers who genuinely want students to succeed, tutor support cannot fully compensate for internal pressures such as anxiety, time constraints, or inconsistent attendance (Horwitz, Horwitz and Cope, 1986). Beebe and Beebe (2015) also emphasise that effective learning requires active engagement, and time management issues have limited the ability to participate fully. Realising this weakness has been uncomfortable,</w:t>
      </w:r>
    </w:p>
    <w:p w14:paraId="6910D3DC" w14:textId="31D5630F" w:rsidR="008F677E" w:rsidRDefault="008F677E" w:rsidP="008847A4">
      <w:pPr>
        <w:spacing w:after="480"/>
        <w:ind w:left="-15" w:firstLine="0"/>
      </w:pPr>
      <w:r>
        <w:lastRenderedPageBreak/>
        <w:t xml:space="preserve">but the student completely takes full responsibility for </w:t>
      </w:r>
      <w:proofErr w:type="gramStart"/>
      <w:r>
        <w:t>this issues</w:t>
      </w:r>
      <w:proofErr w:type="gramEnd"/>
      <w:r>
        <w:t xml:space="preserve"> and has changed job sow the student can work in the weekend to come to the University and still dealing with issues. </w:t>
      </w:r>
    </w:p>
    <w:p w14:paraId="39E0AD26" w14:textId="3B254A3D" w:rsidR="00792917" w:rsidRDefault="002C1756" w:rsidP="008F677E">
      <w:pPr>
        <w:spacing w:after="480"/>
        <w:ind w:left="-5"/>
      </w:pPr>
      <w:r w:rsidRPr="002C1756">
        <w:t>A weakness I face is adapting to computer</w:t>
      </w:r>
      <w:r w:rsidRPr="002C1756">
        <w:noBreakHyphen/>
        <w:t>based learning after working in a completely different field. I’m not used to studying online, writing assignments, or navigating digital tools. Brown and Atkins (2009) explain that adult learners often need extra time to adjust to academic environments, especially when technology is involved. I feel this every day — the long nights, the extra caffeine, the frustration when something takes longer than it should. Bandura (1997) reminds us that self</w:t>
      </w:r>
      <w:r w:rsidRPr="002C1756">
        <w:noBreakHyphen/>
        <w:t>belief is essential for progress, and even though it’s challenging, I’m trying to stay disciplined. Becoming a student again requires patience, effort, and a lot of determination.</w:t>
      </w:r>
    </w:p>
    <w:p w14:paraId="459C95E8" w14:textId="77777777" w:rsidR="008F677E" w:rsidRDefault="008F677E" w:rsidP="008F677E">
      <w:pPr>
        <w:pStyle w:val="Heading1"/>
        <w:ind w:left="-5"/>
      </w:pPr>
      <w:r>
        <w:t xml:space="preserve">Opportunities (O) </w:t>
      </w:r>
    </w:p>
    <w:p w14:paraId="232FD035" w14:textId="77777777" w:rsidR="008F677E" w:rsidRDefault="008F677E" w:rsidP="008F677E">
      <w:pPr>
        <w:spacing w:after="248"/>
        <w:ind w:left="-5"/>
      </w:pPr>
      <w:r>
        <w:t xml:space="preserve">One of the biggest opportunities for the student is that university opens doors to so many different jobs in the medical field. This is honestly the main reason the student enrolled, because higher education can raise chances of long-term career success and social mobility, something Brown and Atkins (2009) highlight when they talk about how education shapes </w:t>
      </w:r>
      <w:proofErr w:type="gramStart"/>
      <w:r>
        <w:t>future prospects</w:t>
      </w:r>
      <w:proofErr w:type="gramEnd"/>
      <w:r>
        <w:t xml:space="preserve">. For the student, studying feels like a way to build a better, more stable life and move into a higher level of opportunity. </w:t>
      </w:r>
    </w:p>
    <w:p w14:paraId="7C533C72" w14:textId="77777777" w:rsidR="008F677E" w:rsidRDefault="008F677E" w:rsidP="008F677E">
      <w:pPr>
        <w:spacing w:after="248"/>
        <w:ind w:left="-5"/>
      </w:pPr>
      <w:r>
        <w:t xml:space="preserve">Another opportunity is the confidence and respect that comes with being in university. When friends and family see the student working hard, it gives a strong sense of pride and reminds why this path was chosen. Bandura (1997) explains that believing in your own ability is a powerful motivator, and the student feels that every time progress is made. Helping people has always made the student happy, and studying here gives the chance to continue doing what the student used to do back home, but now in Wales and within the NHS. </w:t>
      </w:r>
    </w:p>
    <w:p w14:paraId="2042CE4A" w14:textId="77777777" w:rsidR="008F677E" w:rsidRDefault="008F677E" w:rsidP="008F677E">
      <w:pPr>
        <w:spacing w:after="248"/>
        <w:ind w:left="-5"/>
      </w:pPr>
      <w:r>
        <w:t xml:space="preserve">Institutional support resources at the university, such as academic English workshops and public speaking support, also represent valuable opportunities (Finn, Sawyer and Schrodt, 2009). Participating in peer learning partnerships in class provides a safe space to practice presentation skills and gain constructive feedback (Christiansen and Bell, 2010). Following Kolb’s experiential learning theory, active experimentation and reflective observation within peer groups help develop continuous skill improvement (Bulman and Schutz, 2023). </w:t>
      </w:r>
    </w:p>
    <w:p w14:paraId="3DF09D83" w14:textId="77777777" w:rsidR="008F677E" w:rsidRDefault="008F677E" w:rsidP="008F677E">
      <w:pPr>
        <w:spacing w:after="480"/>
        <w:ind w:left="-5"/>
      </w:pPr>
      <w:r>
        <w:t xml:space="preserve">The student knows some people might doubt at the beginning, maybe because English isn’t first language or because the student is still finding the way. Horwitz, Horwitz and Cope (1986) point out that language learners often face anxiety and uncertainty, especially when trying to prove themselves in a new environment. Even so, the student believes that with discipline, hard work, and determination, success will come. Beebe and Beebe (2015) also remind us that personal growth comes from active effort, and that’s exactly what the student is putting into studies and future practice in NHS Wales (Royal College of Nursing, 2019). </w:t>
      </w:r>
    </w:p>
    <w:p w14:paraId="52D78002" w14:textId="77777777" w:rsidR="008F677E" w:rsidRDefault="008F677E" w:rsidP="008F677E">
      <w:pPr>
        <w:pStyle w:val="Heading1"/>
        <w:ind w:left="-5"/>
      </w:pPr>
      <w:r>
        <w:t xml:space="preserve">Threats (T) </w:t>
      </w:r>
    </w:p>
    <w:p w14:paraId="3056A944" w14:textId="77777777" w:rsidR="008F677E" w:rsidRDefault="008F677E" w:rsidP="008F677E">
      <w:pPr>
        <w:ind w:left="-5"/>
      </w:pPr>
      <w:r>
        <w:t xml:space="preserve">One threat the student </w:t>
      </w:r>
      <w:proofErr w:type="gramStart"/>
      <w:r>
        <w:t>has to</w:t>
      </w:r>
      <w:proofErr w:type="gramEnd"/>
      <w:r>
        <w:t xml:space="preserve"> be honest about is age. Studying again in middle age feels very different from when the student was in twenties. Back then the student had more </w:t>
      </w:r>
      <w:r>
        <w:lastRenderedPageBreak/>
        <w:t xml:space="preserve">energy, more focus, and didn’t need so much caffeine just to get through a lesson. Brown and Atkins (2009) explain that adult learners often face extra challenges because they juggle more responsibilities and experience higher levels of fatigue, and the student can </w:t>
      </w:r>
      <w:proofErr w:type="gramStart"/>
      <w:r>
        <w:t>definitely relate</w:t>
      </w:r>
      <w:proofErr w:type="gramEnd"/>
      <w:r>
        <w:t xml:space="preserve"> to that. Learning now takes more effort, more concentration, and a lot more dedication. </w:t>
      </w:r>
    </w:p>
    <w:p w14:paraId="07A855B2" w14:textId="77777777" w:rsidR="008F677E" w:rsidRDefault="008F677E" w:rsidP="008F677E">
      <w:pPr>
        <w:spacing w:after="248"/>
        <w:ind w:left="-5"/>
      </w:pPr>
      <w:r>
        <w:t xml:space="preserve">Stress is another big threat. Changing job again and moving back into the medical field brings a lot of pressure. It feels like starting from zero all over again, and that can be overwhelming. Bandura (1997) points out that stress can reduce confidence and make it harder to perform well, especially when someone is trying to adapt to a new environment. The student feels this strongly while trying to prove self while also managing work, study, and personal life. </w:t>
      </w:r>
    </w:p>
    <w:p w14:paraId="5FEC45C9" w14:textId="77777777" w:rsidR="008F677E" w:rsidRDefault="008F677E" w:rsidP="008F677E">
      <w:pPr>
        <w:spacing w:after="248"/>
        <w:ind w:left="-5"/>
      </w:pPr>
      <w:r>
        <w:t xml:space="preserve">Living in another town also makes things harder. The student travels around 30 miles to get to university, and by the time arriving, the student is already tired. Raja (2017) highlights that external pressures like long travel and time constraints can negatively affect academic performance, and the student sees this in self. The student wants to give 100%, but the distance sometimes takes a lot out of energy. </w:t>
      </w:r>
    </w:p>
    <w:p w14:paraId="063E0BBC" w14:textId="77777777" w:rsidR="008F677E" w:rsidRDefault="008F677E" w:rsidP="008F677E">
      <w:pPr>
        <w:spacing w:after="480"/>
        <w:ind w:left="-5"/>
      </w:pPr>
      <w:r>
        <w:t xml:space="preserve">The student is planning to move closer to the university, but even that brings its own stress. Moving accommodation, adjusting to a new place, and trying to settle in while studying is not easy. Horwitz, Horwitz and Cope (1986) explain that transitions can increase anxiety, especially when someone is already dealing with academic pressure and language challenges. And of course, distractions are everywhere: phone, social media, concerts, birthdays, family events. Beebe and Beebe (2015) remind us that effective learning requires focus and active engagement, and every distraction makes it harder to stay on track. </w:t>
      </w:r>
    </w:p>
    <w:p w14:paraId="1554EB5D" w14:textId="1DC78B40" w:rsidR="008F677E" w:rsidRDefault="008F677E" w:rsidP="008F677E">
      <w:pPr>
        <w:pStyle w:val="Heading1"/>
        <w:ind w:left="-5"/>
      </w:pPr>
    </w:p>
    <w:p w14:paraId="75D60DDF" w14:textId="77777777" w:rsidR="008F677E" w:rsidRDefault="008F677E" w:rsidP="008F677E">
      <w:pPr>
        <w:spacing w:after="480"/>
        <w:ind w:left="-5"/>
      </w:pPr>
      <w:r>
        <w:t xml:space="preserve">The student has systematically reflected on their strengths, weaknesses, opportunities and threats </w:t>
      </w:r>
      <w:proofErr w:type="gramStart"/>
      <w:r>
        <w:t>with regard to</w:t>
      </w:r>
      <w:proofErr w:type="gramEnd"/>
      <w:r>
        <w:t xml:space="preserve"> presentation skills acquired during a PAPD module through this SWOT analysis. Key strengths identified by the analysis were content organisation, clinical background as a district nurse, and evidence integration, whereas communication apprehension, time management, and English language demands were seen as key areas for development. This self-assessment process has been </w:t>
      </w:r>
      <w:proofErr w:type="gramStart"/>
      <w:r>
        <w:t>helpful in itself, as</w:t>
      </w:r>
      <w:proofErr w:type="gramEnd"/>
      <w:r>
        <w:t xml:space="preserve"> it has prompted thoughtful reflection through models of reflection taught in class, such as Schön’s Reflective Practice or Gibbs’ Reflective Cycle (Bulman and Schutz, 2023). Being able to analyse own performance and strengths and weaknesses is important not only in the academic context but is also a vital part of the requirements for working in health and social care, for learning on the job and for continuous reflection and development (</w:t>
      </w:r>
      <w:proofErr w:type="spellStart"/>
      <w:r>
        <w:t>Kourkouta</w:t>
      </w:r>
      <w:proofErr w:type="spellEnd"/>
      <w:r>
        <w:t xml:space="preserve"> and Papathanasiou, 2014; Royal College of Nursing, 2019). </w:t>
      </w:r>
    </w:p>
    <w:p w14:paraId="2FDF21F8" w14:textId="77777777" w:rsidR="008F677E" w:rsidRDefault="008F677E" w:rsidP="008F677E">
      <w:pPr>
        <w:pStyle w:val="Heading1"/>
        <w:ind w:left="-5"/>
      </w:pPr>
      <w:r>
        <w:t xml:space="preserve">References </w:t>
      </w:r>
    </w:p>
    <w:p w14:paraId="1E26E79C" w14:textId="77777777" w:rsidR="008F677E" w:rsidRDefault="008F677E" w:rsidP="008F677E">
      <w:pPr>
        <w:numPr>
          <w:ilvl w:val="0"/>
          <w:numId w:val="1"/>
        </w:numPr>
        <w:ind w:hanging="360"/>
      </w:pPr>
      <w:proofErr w:type="spellStart"/>
      <w:r>
        <w:t>Bambaeeroo</w:t>
      </w:r>
      <w:proofErr w:type="spellEnd"/>
      <w:r>
        <w:t xml:space="preserve">, F. and </w:t>
      </w:r>
      <w:proofErr w:type="spellStart"/>
      <w:r>
        <w:t>Shokrpour</w:t>
      </w:r>
      <w:proofErr w:type="spellEnd"/>
      <w:r>
        <w:t xml:space="preserve">, N. (2017) 'The impact of the teachers' non-verbal communication on success in teaching', </w:t>
      </w:r>
      <w:r>
        <w:rPr>
          <w:i/>
        </w:rPr>
        <w:t>Journal of Advances in Medical Education and Professionalism</w:t>
      </w:r>
      <w:r>
        <w:t xml:space="preserve">, 5(2), pp. 51–59. Available at: </w:t>
      </w:r>
    </w:p>
    <w:p w14:paraId="55900E35" w14:textId="77777777" w:rsidR="008F677E" w:rsidRDefault="008F677E" w:rsidP="008F677E">
      <w:pPr>
        <w:spacing w:after="18" w:line="259" w:lineRule="auto"/>
        <w:ind w:left="0" w:right="15" w:firstLine="0"/>
        <w:jc w:val="center"/>
      </w:pPr>
      <w:hyperlink r:id="rId5">
        <w:r>
          <w:rPr>
            <w:color w:val="1155CC"/>
            <w:u w:val="single" w:color="1155CC"/>
          </w:rPr>
          <w:t>https://pmc.ncbi.nlm.nih.gov/articles/PMC5346168/</w:t>
        </w:r>
      </w:hyperlink>
      <w:r>
        <w:t xml:space="preserve"> (Accessed: 10 May 2026). </w:t>
      </w:r>
    </w:p>
    <w:p w14:paraId="127DEC7C" w14:textId="77777777" w:rsidR="008F677E" w:rsidRDefault="008F677E" w:rsidP="008F677E">
      <w:pPr>
        <w:numPr>
          <w:ilvl w:val="0"/>
          <w:numId w:val="1"/>
        </w:numPr>
        <w:spacing w:after="18" w:line="259" w:lineRule="auto"/>
        <w:ind w:hanging="360"/>
      </w:pPr>
      <w:r>
        <w:lastRenderedPageBreak/>
        <w:t xml:space="preserve">Bandura, A. (1997) </w:t>
      </w:r>
      <w:r>
        <w:rPr>
          <w:i/>
        </w:rPr>
        <w:t>Self-efficacy: The exercise of control</w:t>
      </w:r>
      <w:r>
        <w:t xml:space="preserve">. New York: W.H. Freeman. </w:t>
      </w:r>
    </w:p>
    <w:p w14:paraId="03E613BD" w14:textId="77777777" w:rsidR="008F677E" w:rsidRDefault="008F677E" w:rsidP="008F677E">
      <w:pPr>
        <w:numPr>
          <w:ilvl w:val="0"/>
          <w:numId w:val="1"/>
        </w:numPr>
        <w:ind w:hanging="360"/>
      </w:pPr>
      <w:r>
        <w:t xml:space="preserve">Beebe, S.A. and Beebe, S.J. (2015) </w:t>
      </w:r>
      <w:r>
        <w:rPr>
          <w:i/>
        </w:rPr>
        <w:t>Public speaking: An audience-centred approach</w:t>
      </w:r>
      <w:r>
        <w:t xml:space="preserve">. 9th </w:t>
      </w:r>
      <w:proofErr w:type="spellStart"/>
      <w:r>
        <w:t>edn</w:t>
      </w:r>
      <w:proofErr w:type="spellEnd"/>
      <w:r>
        <w:t xml:space="preserve">. Harlow: Pearson Education. </w:t>
      </w:r>
    </w:p>
    <w:p w14:paraId="2C8FE01A" w14:textId="77777777" w:rsidR="008F677E" w:rsidRDefault="008F677E" w:rsidP="008F677E">
      <w:pPr>
        <w:numPr>
          <w:ilvl w:val="0"/>
          <w:numId w:val="1"/>
        </w:numPr>
        <w:spacing w:after="11"/>
        <w:ind w:hanging="360"/>
      </w:pPr>
      <w:r>
        <w:t xml:space="preserve">Borton, T. (1970) </w:t>
      </w:r>
      <w:r>
        <w:rPr>
          <w:i/>
        </w:rPr>
        <w:t>Reach, touch, and teach: Student concerns and process education</w:t>
      </w:r>
      <w:r>
        <w:t xml:space="preserve">. New York: McGraw-Hill. </w:t>
      </w:r>
    </w:p>
    <w:p w14:paraId="2694FFE4" w14:textId="77777777" w:rsidR="008F677E" w:rsidRDefault="008F677E" w:rsidP="008F677E">
      <w:pPr>
        <w:numPr>
          <w:ilvl w:val="0"/>
          <w:numId w:val="1"/>
        </w:numPr>
        <w:ind w:hanging="360"/>
      </w:pPr>
      <w:r>
        <w:t xml:space="preserve">Brown, G. and Atkins, M. (2009) </w:t>
      </w:r>
      <w:r>
        <w:rPr>
          <w:i/>
        </w:rPr>
        <w:t>Effective teaching in higher education</w:t>
      </w:r>
      <w:r>
        <w:t xml:space="preserve">. London: Routledge. </w:t>
      </w:r>
    </w:p>
    <w:p w14:paraId="3D299B61" w14:textId="77777777" w:rsidR="008F677E" w:rsidRDefault="008F677E" w:rsidP="008F677E">
      <w:pPr>
        <w:numPr>
          <w:ilvl w:val="0"/>
          <w:numId w:val="1"/>
        </w:numPr>
        <w:ind w:hanging="360"/>
      </w:pPr>
      <w:r>
        <w:t xml:space="preserve">Bulman, C. and Schutz, S. (2023) </w:t>
      </w:r>
      <w:r>
        <w:rPr>
          <w:i/>
        </w:rPr>
        <w:t>Reflective practice in nursing</w:t>
      </w:r>
      <w:r>
        <w:t xml:space="preserve">. 6th </w:t>
      </w:r>
      <w:proofErr w:type="spellStart"/>
      <w:r>
        <w:t>edn</w:t>
      </w:r>
      <w:proofErr w:type="spellEnd"/>
      <w:r>
        <w:t xml:space="preserve">. Chichester: Wiley-Blackwell. </w:t>
      </w:r>
    </w:p>
    <w:p w14:paraId="003AB202" w14:textId="77777777" w:rsidR="008F677E" w:rsidRDefault="008F677E" w:rsidP="008F677E">
      <w:pPr>
        <w:numPr>
          <w:ilvl w:val="0"/>
          <w:numId w:val="1"/>
        </w:numPr>
        <w:ind w:hanging="360"/>
      </w:pPr>
      <w:r>
        <w:t xml:space="preserve">Christiansen, A. and Bell, A. (2010) 'Peer learning partnerships: Exploring the experience of pre-registration nursing students', </w:t>
      </w:r>
      <w:r>
        <w:rPr>
          <w:i/>
        </w:rPr>
        <w:t>Journal of Clinical Nursing</w:t>
      </w:r>
      <w:r>
        <w:t xml:space="preserve">, 19(5–6), pp. 803–810. </w:t>
      </w:r>
      <w:proofErr w:type="spellStart"/>
      <w:r>
        <w:t>doi</w:t>
      </w:r>
      <w:proofErr w:type="spellEnd"/>
      <w:r>
        <w:t>: 10.1111/j.1365-2702.2009.</w:t>
      </w:r>
      <w:proofErr w:type="gramStart"/>
      <w:r>
        <w:t>03046.x.</w:t>
      </w:r>
      <w:proofErr w:type="gramEnd"/>
      <w:r>
        <w:t xml:space="preserve"> </w:t>
      </w:r>
    </w:p>
    <w:p w14:paraId="66CB9B11" w14:textId="77777777" w:rsidR="008F677E" w:rsidRDefault="008F677E" w:rsidP="008F677E">
      <w:pPr>
        <w:numPr>
          <w:ilvl w:val="0"/>
          <w:numId w:val="1"/>
        </w:numPr>
        <w:ind w:hanging="360"/>
      </w:pPr>
      <w:r>
        <w:t xml:space="preserve">Dewaele, J.-M. and MacIntyre, P.D. (2014) 'The two faces of Janus? Anxiety and enjoyment in the foreign language classroom', </w:t>
      </w:r>
      <w:r>
        <w:rPr>
          <w:i/>
        </w:rPr>
        <w:t>Studies in Second Language Learning and Teaching</w:t>
      </w:r>
      <w:r>
        <w:t xml:space="preserve">, 4(2), pp. 237–274. Available at: </w:t>
      </w:r>
    </w:p>
    <w:p w14:paraId="2C08B8B0" w14:textId="77777777" w:rsidR="008F677E" w:rsidRDefault="008F677E" w:rsidP="008F677E">
      <w:pPr>
        <w:spacing w:after="18" w:line="259" w:lineRule="auto"/>
        <w:ind w:left="720" w:firstLine="0"/>
      </w:pPr>
      <w:hyperlink r:id="rId6">
        <w:r>
          <w:rPr>
            <w:color w:val="1155CC"/>
            <w:u w:val="single" w:color="1155CC"/>
          </w:rPr>
          <w:t>https://files.eric.ed.gov/fulltext/EJ1134776.pdf</w:t>
        </w:r>
      </w:hyperlink>
      <w:r>
        <w:t xml:space="preserve"> (Accessed: 12 May 2026). </w:t>
      </w:r>
    </w:p>
    <w:p w14:paraId="65A2142C" w14:textId="77777777" w:rsidR="008F677E" w:rsidRDefault="008F677E" w:rsidP="008F677E">
      <w:pPr>
        <w:numPr>
          <w:ilvl w:val="0"/>
          <w:numId w:val="1"/>
        </w:numPr>
        <w:ind w:hanging="360"/>
      </w:pPr>
      <w:r>
        <w:t xml:space="preserve">Dewey, J. (2019) </w:t>
      </w:r>
      <w:r>
        <w:rPr>
          <w:i/>
        </w:rPr>
        <w:t>How we think</w:t>
      </w:r>
      <w:r>
        <w:t xml:space="preserve">. San Diego: Qualitative Research Materials. </w:t>
      </w:r>
    </w:p>
    <w:p w14:paraId="15ECCCD4" w14:textId="77777777" w:rsidR="008F677E" w:rsidRDefault="008F677E" w:rsidP="008F677E">
      <w:pPr>
        <w:numPr>
          <w:ilvl w:val="0"/>
          <w:numId w:val="1"/>
        </w:numPr>
        <w:ind w:hanging="360"/>
      </w:pPr>
      <w:r>
        <w:t xml:space="preserve">Finn, A.N., Sawyer, C.R. and Schrodt, P. (2009) 'Examining the effect of exposure therapy on public speaking state anxiety', </w:t>
      </w:r>
      <w:r>
        <w:rPr>
          <w:i/>
        </w:rPr>
        <w:t>Communication Education</w:t>
      </w:r>
      <w:r>
        <w:t xml:space="preserve">, 58(1), pp. 92–109. </w:t>
      </w:r>
      <w:proofErr w:type="spellStart"/>
      <w:r>
        <w:t>doi</w:t>
      </w:r>
      <w:proofErr w:type="spellEnd"/>
      <w:r>
        <w:t xml:space="preserve">: 10.1080/03634520802450549. </w:t>
      </w:r>
    </w:p>
    <w:p w14:paraId="387AA99F" w14:textId="77777777" w:rsidR="008F677E" w:rsidRDefault="008F677E" w:rsidP="008F677E">
      <w:pPr>
        <w:numPr>
          <w:ilvl w:val="0"/>
          <w:numId w:val="1"/>
        </w:numPr>
        <w:ind w:hanging="360"/>
      </w:pPr>
      <w:r>
        <w:t xml:space="preserve">Freshwater, D., Taylor, B.J. and Sherwood, G. (2018) </w:t>
      </w:r>
      <w:r>
        <w:rPr>
          <w:i/>
        </w:rPr>
        <w:t>International textbook of reflective practice in nursing</w:t>
      </w:r>
      <w:r>
        <w:t xml:space="preserve">. 2nd </w:t>
      </w:r>
      <w:proofErr w:type="spellStart"/>
      <w:r>
        <w:t>edn</w:t>
      </w:r>
      <w:proofErr w:type="spellEnd"/>
      <w:r>
        <w:t xml:space="preserve">. Oxford: Wiley-Blackwell. </w:t>
      </w:r>
    </w:p>
    <w:p w14:paraId="54CA12F9" w14:textId="77777777" w:rsidR="008F677E" w:rsidRDefault="008F677E" w:rsidP="008F677E">
      <w:pPr>
        <w:numPr>
          <w:ilvl w:val="0"/>
          <w:numId w:val="1"/>
        </w:numPr>
        <w:spacing w:after="11"/>
        <w:ind w:hanging="360"/>
      </w:pPr>
      <w:r>
        <w:t xml:space="preserve">Gibbs, G. (1988) </w:t>
      </w:r>
      <w:r>
        <w:rPr>
          <w:i/>
        </w:rPr>
        <w:t>Learning by doing: A guide to teaching and learning methods</w:t>
      </w:r>
      <w:r>
        <w:t xml:space="preserve">. </w:t>
      </w:r>
    </w:p>
    <w:p w14:paraId="6746CEF8" w14:textId="77777777" w:rsidR="008F677E" w:rsidRDefault="008F677E" w:rsidP="008F677E">
      <w:pPr>
        <w:ind w:left="730"/>
      </w:pPr>
      <w:r>
        <w:t xml:space="preserve">Further Education Unit. Oxford: Oxford Polytechnic. </w:t>
      </w:r>
    </w:p>
    <w:p w14:paraId="227EEB3E" w14:textId="77777777" w:rsidR="008F677E" w:rsidRDefault="008F677E" w:rsidP="008F677E">
      <w:pPr>
        <w:numPr>
          <w:ilvl w:val="0"/>
          <w:numId w:val="1"/>
        </w:numPr>
        <w:ind w:hanging="360"/>
      </w:pPr>
      <w:r>
        <w:t xml:space="preserve">Gürel, E. and Tat, M. (2017) 'SWOT analysis: A theoretical review', </w:t>
      </w:r>
      <w:r>
        <w:rPr>
          <w:i/>
        </w:rPr>
        <w:t>The Journal of International Social Research</w:t>
      </w:r>
      <w:r>
        <w:t xml:space="preserve">, 10(51), pp. 994–1006. </w:t>
      </w:r>
      <w:proofErr w:type="spellStart"/>
      <w:r>
        <w:t>doi</w:t>
      </w:r>
      <w:proofErr w:type="spellEnd"/>
      <w:r>
        <w:t xml:space="preserve">: 10.17719/jisr.2017.1832. </w:t>
      </w:r>
    </w:p>
    <w:p w14:paraId="7A13799E" w14:textId="77777777" w:rsidR="008F677E" w:rsidRDefault="008F677E" w:rsidP="008F677E">
      <w:pPr>
        <w:numPr>
          <w:ilvl w:val="0"/>
          <w:numId w:val="1"/>
        </w:numPr>
        <w:ind w:hanging="360"/>
      </w:pPr>
      <w:r>
        <w:t xml:space="preserve">Horwitz, E.K., Horwitz, M.B. and Cope, J. (1986) 'Foreign language classroom anxiety', </w:t>
      </w:r>
      <w:r>
        <w:rPr>
          <w:i/>
        </w:rPr>
        <w:t>The Modern Language Journal</w:t>
      </w:r>
      <w:r>
        <w:t xml:space="preserve">, 70(2), pp. 125–132. </w:t>
      </w:r>
      <w:proofErr w:type="spellStart"/>
      <w:r>
        <w:t>doi</w:t>
      </w:r>
      <w:proofErr w:type="spellEnd"/>
      <w:r>
        <w:t xml:space="preserve">: </w:t>
      </w:r>
    </w:p>
    <w:p w14:paraId="582DA945" w14:textId="77777777" w:rsidR="008F677E" w:rsidRDefault="008F677E" w:rsidP="008F677E">
      <w:pPr>
        <w:ind w:left="730"/>
      </w:pPr>
      <w:r>
        <w:t>10.1111/j.1540-</w:t>
      </w:r>
      <w:proofErr w:type="gramStart"/>
      <w:r>
        <w:t>4781.1986.tb05256.x.</w:t>
      </w:r>
      <w:proofErr w:type="gramEnd"/>
      <w:r>
        <w:t xml:space="preserve"> </w:t>
      </w:r>
    </w:p>
    <w:p w14:paraId="6AC3941B" w14:textId="77777777" w:rsidR="008F677E" w:rsidRDefault="008F677E" w:rsidP="008F677E">
      <w:pPr>
        <w:numPr>
          <w:ilvl w:val="0"/>
          <w:numId w:val="1"/>
        </w:numPr>
        <w:ind w:hanging="360"/>
      </w:pPr>
      <w:proofErr w:type="spellStart"/>
      <w:r>
        <w:t>Kourkouta</w:t>
      </w:r>
      <w:proofErr w:type="spellEnd"/>
      <w:r>
        <w:t xml:space="preserve">, L. and Papathanasiou, I.V. (2014) 'Communication in nursing practice', </w:t>
      </w:r>
      <w:r>
        <w:rPr>
          <w:i/>
        </w:rPr>
        <w:t>Materia Socio-Medica</w:t>
      </w:r>
      <w:r>
        <w:t xml:space="preserve">, 26(1), pp. 65–67. </w:t>
      </w:r>
      <w:proofErr w:type="spellStart"/>
      <w:r>
        <w:t>doi</w:t>
      </w:r>
      <w:proofErr w:type="spellEnd"/>
      <w:r>
        <w:t xml:space="preserve">: 10.5455/msm.2014.26.65-67. </w:t>
      </w:r>
    </w:p>
    <w:p w14:paraId="6C15BA0E" w14:textId="77777777" w:rsidR="008F677E" w:rsidRDefault="008F677E" w:rsidP="008F677E">
      <w:pPr>
        <w:numPr>
          <w:ilvl w:val="0"/>
          <w:numId w:val="1"/>
        </w:numPr>
        <w:ind w:hanging="360"/>
      </w:pPr>
      <w:r>
        <w:t xml:space="preserve">Levin, P. and Topping, G. (2006) </w:t>
      </w:r>
      <w:r>
        <w:rPr>
          <w:i/>
        </w:rPr>
        <w:t xml:space="preserve">Perfect </w:t>
      </w:r>
      <w:proofErr w:type="gramStart"/>
      <w:r>
        <w:rPr>
          <w:i/>
        </w:rPr>
        <w:t>presentations!</w:t>
      </w:r>
      <w:r>
        <w:t>.</w:t>
      </w:r>
      <w:proofErr w:type="gramEnd"/>
      <w:r>
        <w:t xml:space="preserve"> Maidenhead: Open University Press. </w:t>
      </w:r>
    </w:p>
    <w:p w14:paraId="188F9AA8" w14:textId="77777777" w:rsidR="008F677E" w:rsidRDefault="008F677E" w:rsidP="008F677E">
      <w:pPr>
        <w:numPr>
          <w:ilvl w:val="0"/>
          <w:numId w:val="1"/>
        </w:numPr>
        <w:ind w:hanging="360"/>
      </w:pPr>
      <w:r>
        <w:t xml:space="preserve">O’Daniel, M. and Rosenstein, A.H. (2008) 'Professional communication and team collaboration', in Hughes, R.G. (ed.) </w:t>
      </w:r>
      <w:r>
        <w:rPr>
          <w:i/>
        </w:rPr>
        <w:t>Patient safety and quality: An evidence-based handbook for nurses</w:t>
      </w:r>
      <w:r>
        <w:t xml:space="preserve">. Rockville: Agency for Healthcare Research and Quality, pp. 271–284. </w:t>
      </w:r>
    </w:p>
    <w:p w14:paraId="582CE457" w14:textId="77777777" w:rsidR="008F677E" w:rsidRDefault="008F677E" w:rsidP="008F677E">
      <w:pPr>
        <w:numPr>
          <w:ilvl w:val="0"/>
          <w:numId w:val="1"/>
        </w:numPr>
        <w:ind w:hanging="360"/>
      </w:pPr>
      <w:r>
        <w:t xml:space="preserve">Puyt, R.W., Lie, F.B. and </w:t>
      </w:r>
      <w:proofErr w:type="spellStart"/>
      <w:r>
        <w:t>Wilderom</w:t>
      </w:r>
      <w:proofErr w:type="spellEnd"/>
      <w:r>
        <w:t xml:space="preserve">, C.P.M. (2023) 'The origins of SWOT analysis', </w:t>
      </w:r>
      <w:r>
        <w:rPr>
          <w:i/>
        </w:rPr>
        <w:t>Long Range Planning</w:t>
      </w:r>
      <w:r>
        <w:t xml:space="preserve">, 56(3), 102304. </w:t>
      </w:r>
      <w:proofErr w:type="spellStart"/>
      <w:r>
        <w:t>doi</w:t>
      </w:r>
      <w:proofErr w:type="spellEnd"/>
      <w:r>
        <w:t xml:space="preserve">: 10.1016/j.lrp.2023.102304. </w:t>
      </w:r>
    </w:p>
    <w:p w14:paraId="4D40B81E" w14:textId="77777777" w:rsidR="008F677E" w:rsidRDefault="008F677E" w:rsidP="008F677E">
      <w:pPr>
        <w:numPr>
          <w:ilvl w:val="0"/>
          <w:numId w:val="1"/>
        </w:numPr>
        <w:ind w:hanging="360"/>
      </w:pPr>
      <w:r>
        <w:t xml:space="preserve">Raja, F. (2017) 'Anxiety level in students of public speaking: Causes and remedies', </w:t>
      </w:r>
      <w:r>
        <w:rPr>
          <w:i/>
        </w:rPr>
        <w:t>Journal of Education and Educational Development</w:t>
      </w:r>
      <w:r>
        <w:t xml:space="preserve">, 4(1), pp. 94–110. </w:t>
      </w:r>
    </w:p>
    <w:p w14:paraId="46E440EC" w14:textId="77777777" w:rsidR="008F677E" w:rsidRDefault="008F677E" w:rsidP="008F677E">
      <w:pPr>
        <w:numPr>
          <w:ilvl w:val="0"/>
          <w:numId w:val="1"/>
        </w:numPr>
        <w:ind w:hanging="360"/>
      </w:pPr>
      <w:r>
        <w:t xml:space="preserve">Royal College of Nursing (2019) </w:t>
      </w:r>
      <w:r>
        <w:rPr>
          <w:i/>
        </w:rPr>
        <w:t>Principles of nursing practice</w:t>
      </w:r>
      <w:r>
        <w:t xml:space="preserve">. London: Royal College of Nursing. </w:t>
      </w:r>
    </w:p>
    <w:p w14:paraId="3D9B7866" w14:textId="77777777" w:rsidR="008F677E" w:rsidRDefault="008F677E" w:rsidP="008F677E">
      <w:pPr>
        <w:numPr>
          <w:ilvl w:val="0"/>
          <w:numId w:val="1"/>
        </w:numPr>
        <w:spacing w:after="248"/>
        <w:ind w:hanging="360"/>
      </w:pPr>
      <w:r>
        <w:t xml:space="preserve">Schön, D.A. (1983) </w:t>
      </w:r>
      <w:r>
        <w:rPr>
          <w:i/>
        </w:rPr>
        <w:t>The reflective practitioner: How professionals think in action</w:t>
      </w:r>
      <w:r>
        <w:t xml:space="preserve">. New York: Basic Books. </w:t>
      </w:r>
    </w:p>
    <w:p w14:paraId="15F093E5" w14:textId="0275D950" w:rsidR="00586A2C" w:rsidRDefault="00135B3D" w:rsidP="008F677E">
      <w:pPr>
        <w:numPr>
          <w:ilvl w:val="0"/>
          <w:numId w:val="1"/>
        </w:numPr>
        <w:spacing w:after="248"/>
        <w:ind w:hanging="360"/>
      </w:pPr>
      <w:r w:rsidRPr="00135B3D">
        <w:t xml:space="preserve">Bandura, A. (1997). </w:t>
      </w:r>
      <w:r w:rsidRPr="00135B3D">
        <w:rPr>
          <w:i/>
          <w:iCs/>
        </w:rPr>
        <w:t>Self-efficacy: The exercise of control</w:t>
      </w:r>
      <w:r w:rsidRPr="00135B3D">
        <w:t xml:space="preserve">. W.H. Freeman. Beebe, S.A. &amp; Beebe, S.J. (2015). </w:t>
      </w:r>
      <w:r w:rsidRPr="00135B3D">
        <w:rPr>
          <w:i/>
          <w:iCs/>
        </w:rPr>
        <w:t>Public Speaking Handbook</w:t>
      </w:r>
      <w:r w:rsidRPr="00135B3D">
        <w:t xml:space="preserve">. Pearson. Brown, G. &amp; Atkins, </w:t>
      </w:r>
      <w:r w:rsidRPr="00135B3D">
        <w:lastRenderedPageBreak/>
        <w:t xml:space="preserve">M. (2009). </w:t>
      </w:r>
      <w:r w:rsidRPr="00135B3D">
        <w:rPr>
          <w:i/>
          <w:iCs/>
        </w:rPr>
        <w:t>Effective Teaching in Higher Education</w:t>
      </w:r>
      <w:r w:rsidRPr="00135B3D">
        <w:t xml:space="preserve">. Routledge. Gürel, E. &amp; Tat, M. (2017). SWOT analysis: A theoretical review. </w:t>
      </w:r>
      <w:r w:rsidRPr="00135B3D">
        <w:rPr>
          <w:i/>
          <w:iCs/>
        </w:rPr>
        <w:t>Journal of International Social Research</w:t>
      </w:r>
      <w:r w:rsidRPr="00135B3D">
        <w:t xml:space="preserve">, 10(51), 994–1006. Horwitz, E.K., Horwitz, M.B. &amp; Cope, J. (1986). Foreign language classroom anxiety. </w:t>
      </w:r>
      <w:r w:rsidRPr="00135B3D">
        <w:rPr>
          <w:i/>
          <w:iCs/>
        </w:rPr>
        <w:t>The Modern Language Journal</w:t>
      </w:r>
      <w:r w:rsidRPr="00135B3D">
        <w:t xml:space="preserve">, 70(2), 125–132. Raja, F. (2017). Anxiety level in students and its impact on academic performance. </w:t>
      </w:r>
      <w:r w:rsidRPr="00135B3D">
        <w:rPr>
          <w:i/>
          <w:iCs/>
        </w:rPr>
        <w:t>Journal of Education and Educational Development</w:t>
      </w:r>
      <w:r w:rsidRPr="00135B3D">
        <w:t>, 4(1), 94–110</w:t>
      </w:r>
    </w:p>
    <w:p w14:paraId="7F0EA148" w14:textId="77777777" w:rsidR="00837B46" w:rsidRDefault="00837B46" w:rsidP="00837B46">
      <w:pPr>
        <w:pStyle w:val="NormalWeb"/>
        <w:numPr>
          <w:ilvl w:val="0"/>
          <w:numId w:val="1"/>
        </w:numPr>
      </w:pPr>
      <w:r>
        <w:t xml:space="preserve">Bandura, A. (1997). </w:t>
      </w:r>
      <w:r>
        <w:rPr>
          <w:rStyle w:val="Emphasis"/>
        </w:rPr>
        <w:t>Self-efficacy: The exercise of control</w:t>
      </w:r>
      <w:r>
        <w:t xml:space="preserve">. W.H. Freeman. Beebe, S.A. &amp; Beebe, S.J. (2015). </w:t>
      </w:r>
      <w:r>
        <w:rPr>
          <w:rStyle w:val="Emphasis"/>
        </w:rPr>
        <w:t>Public Speaking Handbook</w:t>
      </w:r>
      <w:r>
        <w:t xml:space="preserve">. Pearson. Brown, G. &amp; Atkins, M. (2009). </w:t>
      </w:r>
      <w:r>
        <w:rPr>
          <w:rStyle w:val="Emphasis"/>
        </w:rPr>
        <w:t>Effective Teaching in Higher Education</w:t>
      </w:r>
      <w:r>
        <w:t xml:space="preserve">. Routledge. Gürel, E. &amp; Tat, M. (2017). SWOT analysis: A theoretical review. </w:t>
      </w:r>
      <w:r>
        <w:rPr>
          <w:rStyle w:val="Emphasis"/>
        </w:rPr>
        <w:t>Journal of International Social Research</w:t>
      </w:r>
      <w:r>
        <w:t xml:space="preserve">, 10(51), 994–1006. Horwitz, E.K., Horwitz, M.B. &amp; Cope, J. (1986). Foreign language classroom anxiety. </w:t>
      </w:r>
      <w:r>
        <w:rPr>
          <w:rStyle w:val="Emphasis"/>
        </w:rPr>
        <w:t>The Modern Language Journal</w:t>
      </w:r>
      <w:r>
        <w:t xml:space="preserve">, 70(2), 125–132. Raja, F. (2017). Anxiety level in students and its impact on academic performance. </w:t>
      </w:r>
      <w:r>
        <w:rPr>
          <w:rStyle w:val="Emphasis"/>
        </w:rPr>
        <w:t>Journal of Education and Educational Development</w:t>
      </w:r>
      <w:r>
        <w:t>, 4(1), 94–110.</w:t>
      </w:r>
    </w:p>
    <w:p w14:paraId="236025AD" w14:textId="77777777" w:rsidR="00837B46" w:rsidRDefault="00837B46" w:rsidP="008F677E">
      <w:pPr>
        <w:numPr>
          <w:ilvl w:val="0"/>
          <w:numId w:val="1"/>
        </w:numPr>
        <w:spacing w:after="248"/>
        <w:ind w:hanging="360"/>
      </w:pPr>
    </w:p>
    <w:p w14:paraId="05EDB613" w14:textId="77777777" w:rsidR="008F677E" w:rsidRDefault="008F677E"/>
    <w:sectPr w:rsidR="008F67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C11A3B"/>
    <w:multiLevelType w:val="hybridMultilevel"/>
    <w:tmpl w:val="F2AC7BFC"/>
    <w:lvl w:ilvl="0" w:tplc="F66EA23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00CCE4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9F8EDC4">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DB00C7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2C73F0">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550C14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70C89C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2EE31AA">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CD65EFE">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961572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7E"/>
    <w:rsid w:val="00097960"/>
    <w:rsid w:val="00135B3D"/>
    <w:rsid w:val="00215737"/>
    <w:rsid w:val="002C1756"/>
    <w:rsid w:val="002F20DD"/>
    <w:rsid w:val="00497BC4"/>
    <w:rsid w:val="0051367D"/>
    <w:rsid w:val="00586A2C"/>
    <w:rsid w:val="00590DF6"/>
    <w:rsid w:val="006674FB"/>
    <w:rsid w:val="006B3B03"/>
    <w:rsid w:val="006F6EF0"/>
    <w:rsid w:val="007771FA"/>
    <w:rsid w:val="00792917"/>
    <w:rsid w:val="00837B46"/>
    <w:rsid w:val="008847A4"/>
    <w:rsid w:val="008F677E"/>
    <w:rsid w:val="00935819"/>
    <w:rsid w:val="0096724A"/>
    <w:rsid w:val="00AB2E64"/>
    <w:rsid w:val="00B8465B"/>
    <w:rsid w:val="00CF1AAD"/>
    <w:rsid w:val="00D970E2"/>
    <w:rsid w:val="00DA24F4"/>
    <w:rsid w:val="00DF0F8E"/>
    <w:rsid w:val="00E25177"/>
    <w:rsid w:val="00E94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A8403"/>
  <w15:chartTrackingRefBased/>
  <w15:docId w15:val="{3A53C989-CA60-48BC-B4ED-EE9E236C2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7E"/>
    <w:pPr>
      <w:spacing w:after="10" w:line="268" w:lineRule="auto"/>
      <w:ind w:left="10" w:hanging="10"/>
    </w:pPr>
    <w:rPr>
      <w:rFonts w:ascii="Arial" w:eastAsia="Arial" w:hAnsi="Arial" w:cs="Arial"/>
      <w:color w:val="000000"/>
      <w:sz w:val="22"/>
      <w:lang w:eastAsia="en-GB"/>
    </w:rPr>
  </w:style>
  <w:style w:type="paragraph" w:styleId="Heading1">
    <w:name w:val="heading 1"/>
    <w:basedOn w:val="Normal"/>
    <w:next w:val="Normal"/>
    <w:link w:val="Heading1Char"/>
    <w:uiPriority w:val="9"/>
    <w:qFormat/>
    <w:rsid w:val="008F6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6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77E"/>
    <w:rPr>
      <w:rFonts w:eastAsiaTheme="majorEastAsia" w:cstheme="majorBidi"/>
      <w:color w:val="272727" w:themeColor="text1" w:themeTint="D8"/>
    </w:rPr>
  </w:style>
  <w:style w:type="paragraph" w:styleId="Title">
    <w:name w:val="Title"/>
    <w:basedOn w:val="Normal"/>
    <w:next w:val="Normal"/>
    <w:link w:val="TitleChar"/>
    <w:uiPriority w:val="10"/>
    <w:qFormat/>
    <w:rsid w:val="008F6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77E"/>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77E"/>
    <w:pPr>
      <w:spacing w:before="160"/>
      <w:jc w:val="center"/>
    </w:pPr>
    <w:rPr>
      <w:i/>
      <w:iCs/>
      <w:color w:val="404040" w:themeColor="text1" w:themeTint="BF"/>
    </w:rPr>
  </w:style>
  <w:style w:type="character" w:customStyle="1" w:styleId="QuoteChar">
    <w:name w:val="Quote Char"/>
    <w:basedOn w:val="DefaultParagraphFont"/>
    <w:link w:val="Quote"/>
    <w:uiPriority w:val="29"/>
    <w:rsid w:val="008F677E"/>
    <w:rPr>
      <w:i/>
      <w:iCs/>
      <w:color w:val="404040" w:themeColor="text1" w:themeTint="BF"/>
    </w:rPr>
  </w:style>
  <w:style w:type="paragraph" w:styleId="ListParagraph">
    <w:name w:val="List Paragraph"/>
    <w:basedOn w:val="Normal"/>
    <w:uiPriority w:val="34"/>
    <w:qFormat/>
    <w:rsid w:val="008F677E"/>
    <w:pPr>
      <w:ind w:left="720"/>
      <w:contextualSpacing/>
    </w:pPr>
  </w:style>
  <w:style w:type="character" w:styleId="IntenseEmphasis">
    <w:name w:val="Intense Emphasis"/>
    <w:basedOn w:val="DefaultParagraphFont"/>
    <w:uiPriority w:val="21"/>
    <w:qFormat/>
    <w:rsid w:val="008F677E"/>
    <w:rPr>
      <w:i/>
      <w:iCs/>
      <w:color w:val="0F4761" w:themeColor="accent1" w:themeShade="BF"/>
    </w:rPr>
  </w:style>
  <w:style w:type="paragraph" w:styleId="IntenseQuote">
    <w:name w:val="Intense Quote"/>
    <w:basedOn w:val="Normal"/>
    <w:next w:val="Normal"/>
    <w:link w:val="IntenseQuoteChar"/>
    <w:uiPriority w:val="30"/>
    <w:qFormat/>
    <w:rsid w:val="008F6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77E"/>
    <w:rPr>
      <w:i/>
      <w:iCs/>
      <w:color w:val="0F4761" w:themeColor="accent1" w:themeShade="BF"/>
    </w:rPr>
  </w:style>
  <w:style w:type="character" w:styleId="IntenseReference">
    <w:name w:val="Intense Reference"/>
    <w:basedOn w:val="DefaultParagraphFont"/>
    <w:uiPriority w:val="32"/>
    <w:qFormat/>
    <w:rsid w:val="008F677E"/>
    <w:rPr>
      <w:b/>
      <w:bCs/>
      <w:smallCaps/>
      <w:color w:val="0F4761" w:themeColor="accent1" w:themeShade="BF"/>
      <w:spacing w:val="5"/>
    </w:rPr>
  </w:style>
  <w:style w:type="paragraph" w:styleId="NormalWeb">
    <w:name w:val="Normal (Web)"/>
    <w:basedOn w:val="Normal"/>
    <w:uiPriority w:val="99"/>
    <w:semiHidden/>
    <w:unhideWhenUsed/>
    <w:rsid w:val="00837B46"/>
    <w:pPr>
      <w:spacing w:before="100" w:beforeAutospacing="1" w:after="100" w:afterAutospacing="1" w:line="240" w:lineRule="auto"/>
      <w:ind w:left="0" w:firstLine="0"/>
    </w:pPr>
    <w:rPr>
      <w:rFonts w:ascii="Times New Roman" w:eastAsia="Times New Roman" w:hAnsi="Times New Roman" w:cs="Times New Roman"/>
      <w:color w:val="auto"/>
      <w:kern w:val="0"/>
      <w:sz w:val="24"/>
      <w14:ligatures w14:val="none"/>
    </w:rPr>
  </w:style>
  <w:style w:type="character" w:styleId="Emphasis">
    <w:name w:val="Emphasis"/>
    <w:basedOn w:val="DefaultParagraphFont"/>
    <w:uiPriority w:val="20"/>
    <w:qFormat/>
    <w:rsid w:val="00837B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les.eric.ed.gov/fulltext/EJ1134776.pdf" TargetMode="External"/><Relationship Id="rId5" Type="http://schemas.openxmlformats.org/officeDocument/2006/relationships/hyperlink" Target="https://pmc.ncbi.nlm.nih.gov/articles/PMC534616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2564</Words>
  <Characters>14617</Characters>
  <Application>Microsoft Office Word</Application>
  <DocSecurity>0</DocSecurity>
  <Lines>121</Lines>
  <Paragraphs>34</Paragraphs>
  <ScaleCrop>false</ScaleCrop>
  <Company/>
  <LinksUpToDate>false</LinksUpToDate>
  <CharactersWithSpaces>17147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Tutuianu</dc:creator>
  <cp:keywords/>
  <dc:description/>
  <cp:lastModifiedBy>Andrei Tutuianu</cp:lastModifiedBy>
  <cp:revision>2</cp:revision>
  <dcterms:created xsi:type="dcterms:W3CDTF">2026-07-22T19:42:00Z</dcterms:created>
  <dcterms:modified xsi:type="dcterms:W3CDTF">2026-07-22T19:42:00Z</dcterms:modified>
</cp:coreProperties>
</file>