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B84AE" w14:textId="77777777" w:rsidR="00007FF6" w:rsidRDefault="00007FF6" w:rsidP="00007FF6">
      <w:pPr>
        <w:spacing w:before="30" w:after="30" w:line="360" w:lineRule="auto"/>
        <w:rPr>
          <w:rFonts w:ascii="Arial" w:hAnsi="Arial" w:cs="Arial"/>
        </w:rPr>
      </w:pPr>
    </w:p>
    <w:p w14:paraId="1623EF84" w14:textId="69D5EF0C" w:rsidR="0085423A" w:rsidRDefault="002050DA" w:rsidP="002050DA">
      <w:pPr>
        <w:spacing w:before="30" w:after="30" w:line="360" w:lineRule="auto"/>
        <w:jc w:val="center"/>
        <w:rPr>
          <w:rFonts w:ascii="Arial" w:hAnsi="Arial" w:cs="Arial"/>
        </w:rPr>
      </w:pPr>
      <w:r w:rsidRPr="00996142">
        <w:rPr>
          <w:noProof/>
        </w:rPr>
        <w:drawing>
          <wp:inline distT="0" distB="0" distL="0" distR="0" wp14:anchorId="4F40814A" wp14:editId="78ACDD3B">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4C70111" w14:textId="77777777" w:rsidR="00007FF6" w:rsidRDefault="00007FF6" w:rsidP="00007FF6">
      <w:pPr>
        <w:spacing w:before="30" w:after="30" w:line="360" w:lineRule="auto"/>
        <w:rPr>
          <w:rFonts w:ascii="Arial" w:hAnsi="Arial" w:cs="Arial"/>
        </w:rPr>
      </w:pPr>
    </w:p>
    <w:p w14:paraId="51E637B9" w14:textId="77777777" w:rsidR="00007FF6" w:rsidRDefault="00007FF6" w:rsidP="00007FF6">
      <w:pPr>
        <w:spacing w:before="30" w:after="30" w:line="360" w:lineRule="auto"/>
        <w:rPr>
          <w:rFonts w:ascii="Arial" w:hAnsi="Arial" w:cs="Arial"/>
        </w:rPr>
      </w:pPr>
    </w:p>
    <w:p w14:paraId="62224101" w14:textId="77777777" w:rsidR="002050DA" w:rsidRDefault="002050DA" w:rsidP="00007FF6">
      <w:pPr>
        <w:spacing w:before="30" w:after="30" w:line="360" w:lineRule="auto"/>
        <w:rPr>
          <w:rFonts w:ascii="Arial" w:hAnsi="Arial" w:cs="Arial"/>
        </w:rPr>
      </w:pPr>
    </w:p>
    <w:p w14:paraId="35BBEB80" w14:textId="1878820F" w:rsidR="00007FF6" w:rsidRPr="00E052B2" w:rsidRDefault="00007FF6" w:rsidP="00007FF6">
      <w:pPr>
        <w:spacing w:before="30" w:after="30" w:line="360" w:lineRule="auto"/>
        <w:rPr>
          <w:rFonts w:ascii="Arial" w:hAnsi="Arial" w:cs="Arial"/>
        </w:rPr>
      </w:pPr>
      <w:r w:rsidRPr="00E052B2">
        <w:rPr>
          <w:rFonts w:ascii="Arial" w:hAnsi="Arial" w:cs="Arial"/>
        </w:rPr>
        <w:t>Student Name: Susannah Moriarty</w:t>
      </w:r>
    </w:p>
    <w:p w14:paraId="0546530A" w14:textId="77777777" w:rsidR="00007FF6" w:rsidRPr="00E052B2" w:rsidRDefault="00007FF6" w:rsidP="00007FF6">
      <w:pPr>
        <w:spacing w:before="30" w:after="30" w:line="360" w:lineRule="auto"/>
        <w:rPr>
          <w:rFonts w:ascii="Arial" w:hAnsi="Arial" w:cs="Arial"/>
        </w:rPr>
      </w:pPr>
      <w:r w:rsidRPr="00E052B2">
        <w:rPr>
          <w:rFonts w:ascii="Arial" w:hAnsi="Arial" w:cs="Arial"/>
        </w:rPr>
        <w:t>Student Number: 2331924</w:t>
      </w:r>
    </w:p>
    <w:p w14:paraId="75EC4952" w14:textId="07266247" w:rsidR="00007FF6" w:rsidRPr="00E052B2" w:rsidRDefault="00007FF6" w:rsidP="00007FF6">
      <w:pPr>
        <w:spacing w:before="30" w:after="30" w:line="360" w:lineRule="auto"/>
        <w:rPr>
          <w:rFonts w:ascii="Arial" w:hAnsi="Arial" w:cs="Arial"/>
        </w:rPr>
      </w:pPr>
      <w:r w:rsidRPr="00E052B2">
        <w:rPr>
          <w:rFonts w:ascii="Arial" w:hAnsi="Arial" w:cs="Arial"/>
        </w:rPr>
        <w:t>Module Title: Introduction to Independent Research Skills</w:t>
      </w:r>
      <w:r w:rsidR="002050DA" w:rsidRPr="00E052B2">
        <w:rPr>
          <w:rFonts w:ascii="Arial" w:hAnsi="Arial" w:cs="Arial"/>
        </w:rPr>
        <w:t xml:space="preserve"> </w:t>
      </w:r>
      <w:r w:rsidR="00155283" w:rsidRPr="00E052B2">
        <w:rPr>
          <w:rFonts w:ascii="Arial" w:hAnsi="Arial" w:cs="Arial"/>
        </w:rPr>
        <w:t>Component 2</w:t>
      </w:r>
    </w:p>
    <w:p w14:paraId="04C5D2D1" w14:textId="77777777" w:rsidR="00007FF6" w:rsidRPr="00E052B2" w:rsidRDefault="00007FF6" w:rsidP="00007FF6">
      <w:pPr>
        <w:spacing w:before="30" w:after="30" w:line="360" w:lineRule="auto"/>
        <w:rPr>
          <w:rFonts w:ascii="Arial" w:hAnsi="Arial" w:cs="Arial"/>
        </w:rPr>
      </w:pPr>
      <w:r w:rsidRPr="00E052B2">
        <w:rPr>
          <w:rFonts w:ascii="Arial" w:hAnsi="Arial" w:cs="Arial"/>
        </w:rPr>
        <w:t>Module Code: BMHP5019_BIRM</w:t>
      </w:r>
    </w:p>
    <w:p w14:paraId="34FC305A" w14:textId="34355180" w:rsidR="00D66E21" w:rsidRPr="00E052B2" w:rsidRDefault="00007FF6" w:rsidP="00007FF6">
      <w:pPr>
        <w:rPr>
          <w:rFonts w:ascii="Arial" w:hAnsi="Arial" w:cs="Arial"/>
        </w:rPr>
      </w:pPr>
      <w:r w:rsidRPr="00E052B2">
        <w:rPr>
          <w:rFonts w:ascii="Arial" w:hAnsi="Arial" w:cs="Arial"/>
        </w:rPr>
        <w:t>Lecturer Name: Philip Jones</w:t>
      </w:r>
    </w:p>
    <w:p w14:paraId="7010C77E" w14:textId="77777777" w:rsidR="00E66218" w:rsidRPr="00E052B2" w:rsidRDefault="00E66218" w:rsidP="00007FF6">
      <w:pPr>
        <w:rPr>
          <w:rFonts w:ascii="Arial" w:hAnsi="Arial" w:cs="Arial"/>
        </w:rPr>
      </w:pPr>
    </w:p>
    <w:p w14:paraId="09B1AB17" w14:textId="77777777" w:rsidR="00E66218" w:rsidRPr="00E052B2" w:rsidRDefault="00E66218" w:rsidP="00007FF6">
      <w:pPr>
        <w:rPr>
          <w:rFonts w:ascii="Arial" w:hAnsi="Arial" w:cs="Arial"/>
        </w:rPr>
      </w:pPr>
    </w:p>
    <w:p w14:paraId="34F57225" w14:textId="77777777" w:rsidR="00E66218" w:rsidRPr="00E052B2" w:rsidRDefault="00E66218" w:rsidP="00007FF6">
      <w:pPr>
        <w:rPr>
          <w:rFonts w:ascii="Arial" w:hAnsi="Arial" w:cs="Arial"/>
        </w:rPr>
      </w:pPr>
    </w:p>
    <w:p w14:paraId="7FB6BC17" w14:textId="77777777" w:rsidR="00E66218" w:rsidRPr="00E052B2" w:rsidRDefault="00E66218" w:rsidP="00007FF6">
      <w:pPr>
        <w:rPr>
          <w:rFonts w:ascii="Arial" w:hAnsi="Arial" w:cs="Arial"/>
        </w:rPr>
      </w:pPr>
    </w:p>
    <w:p w14:paraId="51EBE11D" w14:textId="77777777" w:rsidR="00E66218" w:rsidRPr="00E052B2" w:rsidRDefault="00E66218" w:rsidP="00007FF6">
      <w:pPr>
        <w:rPr>
          <w:rFonts w:ascii="Arial" w:hAnsi="Arial" w:cs="Arial"/>
        </w:rPr>
      </w:pPr>
    </w:p>
    <w:p w14:paraId="53C3AB4C" w14:textId="77777777" w:rsidR="00E66218" w:rsidRPr="00E052B2" w:rsidRDefault="00E66218" w:rsidP="00007FF6">
      <w:pPr>
        <w:rPr>
          <w:rFonts w:ascii="Arial" w:hAnsi="Arial" w:cs="Arial"/>
        </w:rPr>
      </w:pPr>
    </w:p>
    <w:p w14:paraId="5B72D298" w14:textId="77777777" w:rsidR="00E66218" w:rsidRPr="00E052B2" w:rsidRDefault="00E66218" w:rsidP="00007FF6">
      <w:pPr>
        <w:rPr>
          <w:rFonts w:ascii="Arial" w:hAnsi="Arial" w:cs="Arial"/>
        </w:rPr>
      </w:pPr>
    </w:p>
    <w:p w14:paraId="02C97C99" w14:textId="77777777" w:rsidR="00E66218" w:rsidRPr="00E052B2" w:rsidRDefault="00E66218" w:rsidP="00007FF6">
      <w:pPr>
        <w:rPr>
          <w:rFonts w:ascii="Arial" w:hAnsi="Arial" w:cs="Arial"/>
        </w:rPr>
      </w:pPr>
    </w:p>
    <w:p w14:paraId="344ED984" w14:textId="77777777" w:rsidR="00E66218" w:rsidRPr="00E052B2" w:rsidRDefault="00E66218" w:rsidP="00007FF6">
      <w:pPr>
        <w:rPr>
          <w:rFonts w:ascii="Arial" w:hAnsi="Arial" w:cs="Arial"/>
        </w:rPr>
      </w:pPr>
    </w:p>
    <w:p w14:paraId="796B2915" w14:textId="77777777" w:rsidR="00E66218" w:rsidRPr="00E052B2" w:rsidRDefault="00E66218" w:rsidP="00007FF6">
      <w:pPr>
        <w:rPr>
          <w:rFonts w:ascii="Arial" w:hAnsi="Arial" w:cs="Arial"/>
        </w:rPr>
      </w:pPr>
    </w:p>
    <w:p w14:paraId="5F99F792" w14:textId="77777777" w:rsidR="00E66218" w:rsidRPr="00E052B2" w:rsidRDefault="00E66218" w:rsidP="00007FF6">
      <w:pPr>
        <w:rPr>
          <w:rFonts w:ascii="Arial" w:hAnsi="Arial" w:cs="Arial"/>
        </w:rPr>
      </w:pPr>
    </w:p>
    <w:p w14:paraId="22BA2982" w14:textId="77777777" w:rsidR="00E66218" w:rsidRPr="00E052B2" w:rsidRDefault="00E66218" w:rsidP="00007FF6">
      <w:pPr>
        <w:rPr>
          <w:rFonts w:ascii="Arial" w:hAnsi="Arial" w:cs="Arial"/>
        </w:rPr>
      </w:pPr>
    </w:p>
    <w:p w14:paraId="0977826B" w14:textId="77777777" w:rsidR="00E66218" w:rsidRPr="00E052B2" w:rsidRDefault="00E66218" w:rsidP="00007FF6">
      <w:pPr>
        <w:rPr>
          <w:rFonts w:ascii="Arial" w:hAnsi="Arial" w:cs="Arial"/>
        </w:rPr>
      </w:pPr>
    </w:p>
    <w:p w14:paraId="603326A6" w14:textId="77777777" w:rsidR="00E66218" w:rsidRPr="00E052B2" w:rsidRDefault="00E66218" w:rsidP="00007FF6">
      <w:pPr>
        <w:rPr>
          <w:rFonts w:ascii="Arial" w:hAnsi="Arial" w:cs="Arial"/>
        </w:rPr>
      </w:pPr>
    </w:p>
    <w:p w14:paraId="399F0253" w14:textId="77777777" w:rsidR="00E66218" w:rsidRPr="00E052B2" w:rsidRDefault="00E66218" w:rsidP="00007FF6">
      <w:pPr>
        <w:rPr>
          <w:rFonts w:ascii="Arial" w:hAnsi="Arial" w:cs="Arial"/>
        </w:rPr>
      </w:pPr>
    </w:p>
    <w:p w14:paraId="551212DE" w14:textId="77777777" w:rsidR="00E66218" w:rsidRPr="00E052B2" w:rsidRDefault="00E66218" w:rsidP="00007FF6">
      <w:pPr>
        <w:rPr>
          <w:rFonts w:ascii="Arial" w:hAnsi="Arial" w:cs="Arial"/>
        </w:rPr>
      </w:pPr>
    </w:p>
    <w:p w14:paraId="63757917" w14:textId="77777777" w:rsidR="00E66218" w:rsidRPr="00E052B2" w:rsidRDefault="00E66218" w:rsidP="00007FF6">
      <w:pPr>
        <w:rPr>
          <w:rFonts w:ascii="Arial" w:hAnsi="Arial" w:cs="Arial"/>
        </w:rPr>
      </w:pPr>
    </w:p>
    <w:p w14:paraId="184AE2E8" w14:textId="77777777" w:rsidR="00E66218" w:rsidRPr="00E052B2" w:rsidRDefault="00E66218" w:rsidP="00007FF6">
      <w:pPr>
        <w:rPr>
          <w:rFonts w:ascii="Arial" w:hAnsi="Arial" w:cs="Arial"/>
        </w:rPr>
      </w:pPr>
    </w:p>
    <w:p w14:paraId="1DA9D22B" w14:textId="3AEDCCC8" w:rsidR="00E66218" w:rsidRPr="00762362" w:rsidRDefault="00E66218" w:rsidP="00007FF6">
      <w:pPr>
        <w:rPr>
          <w:rFonts w:ascii="Arial" w:hAnsi="Arial" w:cs="Arial"/>
        </w:rPr>
      </w:pPr>
      <w:r w:rsidRPr="00762362">
        <w:rPr>
          <w:rFonts w:ascii="Arial" w:hAnsi="Arial" w:cs="Arial"/>
        </w:rPr>
        <w:lastRenderedPageBreak/>
        <w:t>Contents Page</w:t>
      </w:r>
    </w:p>
    <w:p w14:paraId="59D1B11F" w14:textId="1C90CAE0" w:rsidR="00325738" w:rsidRPr="00762362" w:rsidRDefault="00325738" w:rsidP="00007FF6">
      <w:pPr>
        <w:rPr>
          <w:rFonts w:ascii="Arial" w:hAnsi="Arial" w:cs="Arial"/>
        </w:rPr>
      </w:pPr>
      <w:r w:rsidRPr="00762362">
        <w:rPr>
          <w:rFonts w:ascii="Arial" w:hAnsi="Arial" w:cs="Arial"/>
        </w:rPr>
        <w:t xml:space="preserve">Page 3….... Abstract </w:t>
      </w:r>
    </w:p>
    <w:p w14:paraId="4AEF3109" w14:textId="07C398AD" w:rsidR="00325738" w:rsidRPr="00762362" w:rsidRDefault="00325738" w:rsidP="00007FF6">
      <w:pPr>
        <w:rPr>
          <w:rFonts w:ascii="Arial" w:hAnsi="Arial" w:cs="Arial"/>
        </w:rPr>
      </w:pPr>
      <w:r w:rsidRPr="00762362">
        <w:rPr>
          <w:rFonts w:ascii="Arial" w:hAnsi="Arial" w:cs="Arial"/>
        </w:rPr>
        <w:t>Page 3……. 1 Introduction</w:t>
      </w:r>
    </w:p>
    <w:p w14:paraId="6A6C5F9E" w14:textId="3F987624" w:rsidR="00325738" w:rsidRPr="00762362" w:rsidRDefault="00325738" w:rsidP="00007FF6">
      <w:pPr>
        <w:rPr>
          <w:rFonts w:ascii="Arial" w:hAnsi="Arial" w:cs="Arial"/>
        </w:rPr>
      </w:pPr>
      <w:r w:rsidRPr="00762362">
        <w:rPr>
          <w:rFonts w:ascii="Arial" w:hAnsi="Arial" w:cs="Arial"/>
        </w:rPr>
        <w:t>Page 3……. 1.1 Definition and Rationale</w:t>
      </w:r>
    </w:p>
    <w:p w14:paraId="6EC43237" w14:textId="49402CD3" w:rsidR="00325738" w:rsidRPr="00762362" w:rsidRDefault="00325738" w:rsidP="00007FF6">
      <w:pPr>
        <w:rPr>
          <w:rFonts w:ascii="Arial" w:hAnsi="Arial" w:cs="Arial"/>
        </w:rPr>
      </w:pPr>
      <w:r w:rsidRPr="00762362">
        <w:rPr>
          <w:rFonts w:ascii="Arial" w:hAnsi="Arial" w:cs="Arial"/>
        </w:rPr>
        <w:t>Page 3……. 1.2 Review Question and Objectives</w:t>
      </w:r>
    </w:p>
    <w:p w14:paraId="23B3219F" w14:textId="626436AE" w:rsidR="00325738" w:rsidRPr="00762362" w:rsidRDefault="00325738" w:rsidP="00007FF6">
      <w:pPr>
        <w:rPr>
          <w:rFonts w:ascii="Arial" w:hAnsi="Arial" w:cs="Arial"/>
        </w:rPr>
      </w:pPr>
      <w:r w:rsidRPr="00762362">
        <w:rPr>
          <w:rFonts w:ascii="Arial" w:hAnsi="Arial" w:cs="Arial"/>
        </w:rPr>
        <w:t>Page 4……. 2 Background</w:t>
      </w:r>
    </w:p>
    <w:p w14:paraId="4B0648AE" w14:textId="4EAD1C60" w:rsidR="00325738" w:rsidRPr="00762362" w:rsidRDefault="00325738" w:rsidP="00007FF6">
      <w:pPr>
        <w:rPr>
          <w:rFonts w:ascii="Arial" w:hAnsi="Arial" w:cs="Arial"/>
        </w:rPr>
      </w:pPr>
      <w:r w:rsidRPr="00762362">
        <w:rPr>
          <w:rFonts w:ascii="Arial" w:hAnsi="Arial" w:cs="Arial"/>
        </w:rPr>
        <w:t>Page</w:t>
      </w:r>
      <w:r w:rsidR="00743C1E" w:rsidRPr="00762362">
        <w:rPr>
          <w:rFonts w:ascii="Arial" w:hAnsi="Arial" w:cs="Arial"/>
        </w:rPr>
        <w:t xml:space="preserve"> </w:t>
      </w:r>
      <w:r w:rsidRPr="00762362">
        <w:rPr>
          <w:rFonts w:ascii="Arial" w:hAnsi="Arial" w:cs="Arial"/>
        </w:rPr>
        <w:t>4…….</w:t>
      </w:r>
      <w:r w:rsidR="00743C1E" w:rsidRPr="00762362">
        <w:rPr>
          <w:rFonts w:ascii="Arial" w:hAnsi="Arial" w:cs="Arial"/>
        </w:rPr>
        <w:t xml:space="preserve"> 2.1 The UK Mental Health Landscape (The Crisis)</w:t>
      </w:r>
    </w:p>
    <w:p w14:paraId="6685C725" w14:textId="1DF4E8C5" w:rsidR="00325738" w:rsidRPr="00762362" w:rsidRDefault="00325738" w:rsidP="00007FF6">
      <w:pPr>
        <w:rPr>
          <w:rFonts w:ascii="Arial" w:hAnsi="Arial" w:cs="Arial"/>
        </w:rPr>
      </w:pPr>
      <w:r w:rsidRPr="00762362">
        <w:rPr>
          <w:rFonts w:ascii="Arial" w:hAnsi="Arial" w:cs="Arial"/>
        </w:rPr>
        <w:t>Page</w:t>
      </w:r>
      <w:r w:rsidR="00743C1E" w:rsidRPr="00762362">
        <w:rPr>
          <w:rFonts w:ascii="Arial" w:hAnsi="Arial" w:cs="Arial"/>
        </w:rPr>
        <w:t xml:space="preserve"> 3……. 2.2 Policy and Legislation</w:t>
      </w:r>
    </w:p>
    <w:p w14:paraId="707F6ACD" w14:textId="00A84F73" w:rsidR="00743C1E" w:rsidRPr="00762362" w:rsidRDefault="00743C1E" w:rsidP="00743C1E">
      <w:pPr>
        <w:rPr>
          <w:rFonts w:ascii="Arial" w:hAnsi="Arial" w:cs="Arial"/>
        </w:rPr>
      </w:pPr>
      <w:r w:rsidRPr="00762362">
        <w:rPr>
          <w:rFonts w:ascii="Arial" w:hAnsi="Arial" w:cs="Arial"/>
        </w:rPr>
        <w:t>Page 4…….</w:t>
      </w:r>
      <w:r w:rsidRPr="00762362">
        <w:rPr>
          <w:rFonts w:ascii="Arial" w:hAnsi="Arial" w:cs="Arial"/>
        </w:rPr>
        <w:t xml:space="preserve">2.3 Socioeconomic Determinants and Health Equity </w:t>
      </w:r>
    </w:p>
    <w:p w14:paraId="7EA7BDD1" w14:textId="77777777" w:rsidR="00743C1E" w:rsidRPr="00762362" w:rsidRDefault="00743C1E" w:rsidP="00743C1E">
      <w:pPr>
        <w:rPr>
          <w:rFonts w:ascii="Arial" w:hAnsi="Arial" w:cs="Arial"/>
        </w:rPr>
      </w:pPr>
      <w:r w:rsidRPr="00762362">
        <w:rPr>
          <w:rFonts w:ascii="Arial" w:hAnsi="Arial" w:cs="Arial"/>
        </w:rPr>
        <w:t>Page 5…….</w:t>
      </w:r>
      <w:r w:rsidRPr="00762362">
        <w:rPr>
          <w:rFonts w:ascii="Arial" w:hAnsi="Arial" w:cs="Arial"/>
        </w:rPr>
        <w:t>3 Methods</w:t>
      </w:r>
    </w:p>
    <w:p w14:paraId="0429EE78" w14:textId="15EBAA55" w:rsidR="00743C1E" w:rsidRPr="00762362" w:rsidRDefault="00743C1E" w:rsidP="00743C1E">
      <w:pPr>
        <w:rPr>
          <w:rFonts w:ascii="Arial" w:hAnsi="Arial" w:cs="Arial"/>
        </w:rPr>
      </w:pPr>
      <w:r w:rsidRPr="00762362">
        <w:rPr>
          <w:rFonts w:ascii="Arial" w:hAnsi="Arial" w:cs="Arial"/>
        </w:rPr>
        <w:t>Page 5…</w:t>
      </w:r>
      <w:r w:rsidRPr="00762362">
        <w:rPr>
          <w:rFonts w:ascii="Arial" w:hAnsi="Arial" w:cs="Arial"/>
        </w:rPr>
        <w:t>….</w:t>
      </w:r>
      <w:r w:rsidRPr="00762362">
        <w:rPr>
          <w:rFonts w:ascii="Arial" w:hAnsi="Arial" w:cs="Arial"/>
        </w:rPr>
        <w:t>3.1 Search Strategy</w:t>
      </w:r>
    </w:p>
    <w:p w14:paraId="532E5A28" w14:textId="47E841E4" w:rsidR="00743C1E" w:rsidRPr="00762362" w:rsidRDefault="00743C1E" w:rsidP="00743C1E">
      <w:pPr>
        <w:rPr>
          <w:rFonts w:ascii="Arial" w:hAnsi="Arial" w:cs="Arial"/>
        </w:rPr>
      </w:pPr>
      <w:r w:rsidRPr="00762362">
        <w:rPr>
          <w:rFonts w:ascii="Arial" w:hAnsi="Arial" w:cs="Arial"/>
        </w:rPr>
        <w:t>Page 5…….</w:t>
      </w:r>
      <w:r w:rsidRPr="00762362">
        <w:rPr>
          <w:rFonts w:ascii="Arial" w:hAnsi="Arial" w:cs="Arial"/>
        </w:rPr>
        <w:t>3.2 Eligibility Criteria</w:t>
      </w:r>
    </w:p>
    <w:p w14:paraId="5C30EDC4" w14:textId="77777777" w:rsidR="00743C1E" w:rsidRPr="00762362" w:rsidRDefault="00743C1E" w:rsidP="00743C1E">
      <w:pPr>
        <w:rPr>
          <w:rFonts w:ascii="Arial" w:hAnsi="Arial" w:cs="Arial"/>
        </w:rPr>
      </w:pPr>
      <w:r w:rsidRPr="00762362">
        <w:rPr>
          <w:rFonts w:ascii="Arial" w:hAnsi="Arial" w:cs="Arial"/>
        </w:rPr>
        <w:t>Page 6……</w:t>
      </w:r>
      <w:r w:rsidRPr="00762362">
        <w:rPr>
          <w:rFonts w:ascii="Arial" w:hAnsi="Arial" w:cs="Arial"/>
        </w:rPr>
        <w:t>3.3 Study Selection and PRISMA</w:t>
      </w:r>
    </w:p>
    <w:p w14:paraId="590BB351" w14:textId="4ABC8F4C" w:rsidR="00743C1E" w:rsidRPr="00762362" w:rsidRDefault="00743C1E" w:rsidP="00743C1E">
      <w:pPr>
        <w:rPr>
          <w:rFonts w:ascii="Arial" w:hAnsi="Arial" w:cs="Arial"/>
        </w:rPr>
      </w:pPr>
      <w:r w:rsidRPr="00762362">
        <w:rPr>
          <w:rFonts w:ascii="Arial" w:hAnsi="Arial" w:cs="Arial"/>
        </w:rPr>
        <w:t xml:space="preserve">Page </w:t>
      </w:r>
      <w:r w:rsidR="00762362" w:rsidRPr="00762362">
        <w:rPr>
          <w:rFonts w:ascii="Arial" w:hAnsi="Arial" w:cs="Arial"/>
        </w:rPr>
        <w:t>8</w:t>
      </w:r>
      <w:r w:rsidRPr="00762362">
        <w:rPr>
          <w:rFonts w:ascii="Arial" w:hAnsi="Arial" w:cs="Arial"/>
        </w:rPr>
        <w:t>……</w:t>
      </w:r>
      <w:r w:rsidRPr="00762362">
        <w:rPr>
          <w:rFonts w:ascii="Arial" w:hAnsi="Arial" w:cs="Arial"/>
        </w:rPr>
        <w:t xml:space="preserve">4.0 Results </w:t>
      </w:r>
    </w:p>
    <w:p w14:paraId="6EDEC99B" w14:textId="2D2A0514" w:rsidR="00762362" w:rsidRPr="00762362" w:rsidRDefault="00743C1E" w:rsidP="00762362">
      <w:pPr>
        <w:rPr>
          <w:rFonts w:ascii="Arial" w:hAnsi="Arial" w:cs="Arial"/>
        </w:rPr>
      </w:pPr>
      <w:r w:rsidRPr="00762362">
        <w:rPr>
          <w:rFonts w:ascii="Arial" w:hAnsi="Arial" w:cs="Arial"/>
        </w:rPr>
        <w:t xml:space="preserve">Page </w:t>
      </w:r>
      <w:r w:rsidR="00762362" w:rsidRPr="00762362">
        <w:rPr>
          <w:rFonts w:ascii="Arial" w:hAnsi="Arial" w:cs="Arial"/>
        </w:rPr>
        <w:t>8…</w:t>
      </w:r>
      <w:r w:rsidRPr="00762362">
        <w:rPr>
          <w:rFonts w:ascii="Arial" w:hAnsi="Arial" w:cs="Arial"/>
        </w:rPr>
        <w:t>…</w:t>
      </w:r>
      <w:r w:rsidR="00762362" w:rsidRPr="00762362">
        <w:rPr>
          <w:rFonts w:ascii="Arial" w:hAnsi="Arial" w:cs="Arial"/>
        </w:rPr>
        <w:t>4.1 Summary of Included Studies</w:t>
      </w:r>
    </w:p>
    <w:p w14:paraId="74BC0F92" w14:textId="77777777" w:rsidR="00762362" w:rsidRPr="00762362" w:rsidRDefault="00743C1E" w:rsidP="00762362">
      <w:pPr>
        <w:rPr>
          <w:rFonts w:ascii="Arial" w:hAnsi="Arial" w:cs="Arial"/>
        </w:rPr>
      </w:pPr>
      <w:r w:rsidRPr="00762362">
        <w:rPr>
          <w:rFonts w:ascii="Arial" w:hAnsi="Arial" w:cs="Arial"/>
        </w:rPr>
        <w:t xml:space="preserve">Page </w:t>
      </w:r>
      <w:r w:rsidR="00762362" w:rsidRPr="00762362">
        <w:rPr>
          <w:rFonts w:ascii="Arial" w:hAnsi="Arial" w:cs="Arial"/>
        </w:rPr>
        <w:t>8</w:t>
      </w:r>
      <w:r w:rsidRPr="00762362">
        <w:rPr>
          <w:rFonts w:ascii="Arial" w:hAnsi="Arial" w:cs="Arial"/>
        </w:rPr>
        <w:t>…</w:t>
      </w:r>
      <w:proofErr w:type="gramStart"/>
      <w:r w:rsidRPr="00762362">
        <w:rPr>
          <w:rFonts w:ascii="Arial" w:hAnsi="Arial" w:cs="Arial"/>
        </w:rPr>
        <w:t>…..</w:t>
      </w:r>
      <w:proofErr w:type="gramEnd"/>
      <w:r w:rsidR="00762362" w:rsidRPr="00762362">
        <w:rPr>
          <w:rFonts w:ascii="Arial" w:hAnsi="Arial" w:cs="Arial"/>
        </w:rPr>
        <w:t>5.0 Discussion</w:t>
      </w:r>
    </w:p>
    <w:p w14:paraId="1730D74D" w14:textId="581B32F3" w:rsidR="00762362" w:rsidRPr="00762362" w:rsidRDefault="00762362" w:rsidP="00762362">
      <w:pPr>
        <w:rPr>
          <w:rFonts w:ascii="Arial" w:eastAsia="Times New Roman" w:hAnsi="Arial" w:cs="Arial"/>
          <w:kern w:val="0"/>
          <w:lang w:eastAsia="en-GB"/>
          <w14:ligatures w14:val="none"/>
        </w:rPr>
      </w:pPr>
      <w:r w:rsidRPr="00762362">
        <w:rPr>
          <w:rFonts w:ascii="Arial" w:hAnsi="Arial" w:cs="Arial"/>
        </w:rPr>
        <w:t xml:space="preserve">Page </w:t>
      </w:r>
      <w:r w:rsidRPr="00762362">
        <w:rPr>
          <w:rFonts w:ascii="Arial" w:hAnsi="Arial" w:cs="Arial"/>
        </w:rPr>
        <w:t>9</w:t>
      </w:r>
      <w:r w:rsidRPr="00762362">
        <w:rPr>
          <w:rFonts w:ascii="Arial" w:hAnsi="Arial" w:cs="Arial"/>
        </w:rPr>
        <w:t>…</w:t>
      </w:r>
      <w:proofErr w:type="gramStart"/>
      <w:r w:rsidRPr="00762362">
        <w:rPr>
          <w:rFonts w:ascii="Arial" w:hAnsi="Arial" w:cs="Arial"/>
        </w:rPr>
        <w:t>…..</w:t>
      </w:r>
      <w:proofErr w:type="gramEnd"/>
      <w:r w:rsidRPr="00762362">
        <w:rPr>
          <w:rFonts w:ascii="Arial" w:hAnsi="Arial" w:cs="Arial"/>
        </w:rPr>
        <w:t xml:space="preserve"> </w:t>
      </w:r>
      <w:r w:rsidRPr="00762362">
        <w:rPr>
          <w:rFonts w:ascii="Arial" w:eastAsia="Times New Roman" w:hAnsi="Arial" w:cs="Arial"/>
          <w:kern w:val="0"/>
          <w:lang w:eastAsia="en-GB"/>
          <w14:ligatures w14:val="none"/>
        </w:rPr>
        <w:t>5.1 Theme1 Efficacy, Resilience, and the “Clinical Gap”</w:t>
      </w:r>
    </w:p>
    <w:p w14:paraId="0AF06AFD" w14:textId="2C0F8014" w:rsidR="00762362" w:rsidRPr="00762362" w:rsidRDefault="00762362" w:rsidP="00762362">
      <w:pPr>
        <w:rPr>
          <w:rFonts w:ascii="Arial" w:eastAsia="Times New Roman" w:hAnsi="Arial" w:cs="Arial"/>
          <w:kern w:val="0"/>
          <w:lang w:eastAsia="en-GB"/>
          <w14:ligatures w14:val="none"/>
        </w:rPr>
      </w:pPr>
      <w:r w:rsidRPr="00762362">
        <w:rPr>
          <w:rFonts w:ascii="Arial" w:eastAsia="Times New Roman" w:hAnsi="Arial" w:cs="Arial"/>
          <w:kern w:val="0"/>
          <w:lang w:eastAsia="en-GB"/>
          <w14:ligatures w14:val="none"/>
        </w:rPr>
        <w:t>Page 9…</w:t>
      </w:r>
      <w:proofErr w:type="gramStart"/>
      <w:r w:rsidRPr="00762362">
        <w:rPr>
          <w:rFonts w:ascii="Arial" w:eastAsia="Times New Roman" w:hAnsi="Arial" w:cs="Arial"/>
          <w:kern w:val="0"/>
          <w:lang w:eastAsia="en-GB"/>
          <w14:ligatures w14:val="none"/>
        </w:rPr>
        <w:t>…..</w:t>
      </w:r>
      <w:proofErr w:type="gramEnd"/>
      <w:r w:rsidRPr="00762362">
        <w:rPr>
          <w:rFonts w:ascii="Arial" w:eastAsia="Times New Roman" w:hAnsi="Arial" w:cs="Arial"/>
          <w:kern w:val="0"/>
          <w:lang w:eastAsia="en-GB"/>
          <w14:ligatures w14:val="none"/>
        </w:rPr>
        <w:t>5.2 Theme 2: The Relational “Active Ingredient” and Professional Risk</w:t>
      </w:r>
    </w:p>
    <w:p w14:paraId="1E94E4FB" w14:textId="0B19A4B5" w:rsidR="00762362" w:rsidRPr="00762362" w:rsidRDefault="00762362" w:rsidP="00762362">
      <w:pPr>
        <w:rPr>
          <w:rFonts w:ascii="Arial" w:eastAsia="Times New Roman" w:hAnsi="Arial" w:cs="Arial"/>
          <w:kern w:val="0"/>
          <w:lang w:eastAsia="en-GB"/>
          <w14:ligatures w14:val="none"/>
        </w:rPr>
      </w:pPr>
      <w:r w:rsidRPr="00762362">
        <w:rPr>
          <w:rFonts w:ascii="Arial" w:eastAsia="Times New Roman" w:hAnsi="Arial" w:cs="Arial"/>
          <w:kern w:val="0"/>
          <w:lang w:eastAsia="en-GB"/>
          <w14:ligatures w14:val="none"/>
        </w:rPr>
        <w:t>Page 9…….</w:t>
      </w:r>
      <w:r w:rsidRPr="00762362">
        <w:rPr>
          <w:rFonts w:ascii="Arial" w:eastAsia="Times New Roman" w:hAnsi="Arial" w:cs="Arial"/>
          <w:kern w:val="0"/>
          <w:lang w:eastAsia="en-GB"/>
          <w14:ligatures w14:val="none"/>
        </w:rPr>
        <w:t>5.3: Theme 3: Structural Inequities and the “Austerity Trap”</w:t>
      </w:r>
    </w:p>
    <w:p w14:paraId="26BCCD33" w14:textId="7DE047F0" w:rsidR="00762362" w:rsidRPr="00762362" w:rsidRDefault="00762362" w:rsidP="00762362">
      <w:pPr>
        <w:rPr>
          <w:rFonts w:ascii="Arial" w:eastAsia="Times New Roman" w:hAnsi="Arial" w:cs="Arial"/>
          <w:kern w:val="0"/>
          <w:lang w:eastAsia="en-GB"/>
          <w14:ligatures w14:val="none"/>
        </w:rPr>
      </w:pPr>
      <w:r w:rsidRPr="00762362">
        <w:rPr>
          <w:rFonts w:ascii="Arial" w:eastAsia="Times New Roman" w:hAnsi="Arial" w:cs="Arial"/>
          <w:kern w:val="0"/>
          <w:lang w:eastAsia="en-GB"/>
          <w14:ligatures w14:val="none"/>
        </w:rPr>
        <w:t>Page 10…….</w:t>
      </w:r>
      <w:r w:rsidRPr="00762362">
        <w:rPr>
          <w:rFonts w:ascii="Arial" w:eastAsia="Times New Roman" w:hAnsi="Arial" w:cs="Arial"/>
          <w:kern w:val="0"/>
          <w:lang w:eastAsia="en-GB"/>
          <w14:ligatures w14:val="none"/>
        </w:rPr>
        <w:t>5.4 Limitations of the Review</w:t>
      </w:r>
    </w:p>
    <w:p w14:paraId="426D8DDC" w14:textId="77777777" w:rsidR="00762362" w:rsidRDefault="00762362" w:rsidP="00762362">
      <w:pPr>
        <w:rPr>
          <w:rFonts w:ascii="Arial" w:hAnsi="Arial" w:cs="Arial"/>
        </w:rPr>
      </w:pPr>
      <w:r w:rsidRPr="00762362">
        <w:rPr>
          <w:rFonts w:ascii="Arial" w:eastAsia="Times New Roman" w:hAnsi="Arial" w:cs="Arial"/>
          <w:kern w:val="0"/>
          <w:lang w:eastAsia="en-GB"/>
          <w14:ligatures w14:val="none"/>
        </w:rPr>
        <w:t>Page 10……</w:t>
      </w:r>
      <w:r w:rsidRPr="00762362">
        <w:rPr>
          <w:rFonts w:ascii="Arial" w:hAnsi="Arial" w:cs="Arial"/>
        </w:rPr>
        <w:t>6.0 Conclusion and Recommendations</w:t>
      </w:r>
    </w:p>
    <w:p w14:paraId="632A89DE" w14:textId="7C723804" w:rsidR="008E16E7" w:rsidRPr="00762362" w:rsidRDefault="008E16E7" w:rsidP="00762362">
      <w:pPr>
        <w:rPr>
          <w:rFonts w:ascii="Arial" w:hAnsi="Arial" w:cs="Arial"/>
        </w:rPr>
      </w:pPr>
      <w:r>
        <w:rPr>
          <w:rFonts w:ascii="Arial" w:hAnsi="Arial" w:cs="Arial"/>
        </w:rPr>
        <w:t>Page 12 ……Reference List</w:t>
      </w:r>
    </w:p>
    <w:p w14:paraId="4EFFC8AB" w14:textId="7FE81399" w:rsidR="00762362" w:rsidRPr="006D38FA" w:rsidRDefault="00762362" w:rsidP="00762362">
      <w:pPr>
        <w:rPr>
          <w:rFonts w:ascii="Arial" w:eastAsia="Times New Roman" w:hAnsi="Arial" w:cs="Arial"/>
          <w:b/>
          <w:bCs/>
          <w:kern w:val="0"/>
          <w:lang w:eastAsia="en-GB"/>
          <w14:ligatures w14:val="none"/>
        </w:rPr>
      </w:pPr>
    </w:p>
    <w:p w14:paraId="2A2EC3B6" w14:textId="47C05D65" w:rsidR="00743C1E" w:rsidRPr="00743C1E" w:rsidRDefault="00743C1E" w:rsidP="00743C1E">
      <w:pPr>
        <w:rPr>
          <w:rFonts w:ascii="Arial" w:hAnsi="Arial" w:cs="Arial"/>
        </w:rPr>
      </w:pPr>
    </w:p>
    <w:p w14:paraId="38C23273" w14:textId="57AE28AA" w:rsidR="00743C1E" w:rsidRDefault="00743C1E" w:rsidP="00007FF6">
      <w:pPr>
        <w:rPr>
          <w:rFonts w:ascii="Arial" w:hAnsi="Arial" w:cs="Arial"/>
        </w:rPr>
      </w:pPr>
    </w:p>
    <w:p w14:paraId="79108B2A" w14:textId="77777777" w:rsidR="00E66218" w:rsidRPr="00E052B2" w:rsidRDefault="00E66218" w:rsidP="00007FF6">
      <w:pPr>
        <w:rPr>
          <w:rFonts w:ascii="Arial" w:hAnsi="Arial" w:cs="Arial"/>
        </w:rPr>
      </w:pPr>
    </w:p>
    <w:p w14:paraId="482F5EFE" w14:textId="77777777" w:rsidR="00E66218" w:rsidRPr="00E052B2" w:rsidRDefault="00E66218" w:rsidP="00007FF6">
      <w:pPr>
        <w:rPr>
          <w:rFonts w:ascii="Arial" w:hAnsi="Arial" w:cs="Arial"/>
        </w:rPr>
      </w:pPr>
    </w:p>
    <w:p w14:paraId="53D18F79" w14:textId="77777777" w:rsidR="00E66218" w:rsidRPr="00E052B2" w:rsidRDefault="00E66218" w:rsidP="00007FF6">
      <w:pPr>
        <w:rPr>
          <w:rFonts w:ascii="Arial" w:hAnsi="Arial" w:cs="Arial"/>
        </w:rPr>
      </w:pPr>
    </w:p>
    <w:p w14:paraId="463534FF" w14:textId="77777777" w:rsidR="00E66218" w:rsidRPr="00E052B2" w:rsidRDefault="00E66218" w:rsidP="00007FF6">
      <w:pPr>
        <w:rPr>
          <w:rFonts w:ascii="Arial" w:hAnsi="Arial" w:cs="Arial"/>
        </w:rPr>
      </w:pPr>
    </w:p>
    <w:p w14:paraId="4449DD16" w14:textId="77777777" w:rsidR="00E66218" w:rsidRPr="00E052B2" w:rsidRDefault="00E66218" w:rsidP="00007FF6">
      <w:pPr>
        <w:rPr>
          <w:rFonts w:ascii="Arial" w:hAnsi="Arial" w:cs="Arial"/>
        </w:rPr>
      </w:pPr>
    </w:p>
    <w:p w14:paraId="600B9A67" w14:textId="77777777" w:rsidR="00E66218" w:rsidRPr="00E052B2" w:rsidRDefault="00E66218" w:rsidP="00007FF6">
      <w:pPr>
        <w:rPr>
          <w:rFonts w:ascii="Arial" w:hAnsi="Arial" w:cs="Arial"/>
        </w:rPr>
      </w:pPr>
    </w:p>
    <w:p w14:paraId="0B56B2BB" w14:textId="77777777" w:rsidR="00E66218" w:rsidRPr="00E052B2" w:rsidRDefault="00E66218" w:rsidP="00007FF6">
      <w:pPr>
        <w:rPr>
          <w:rFonts w:ascii="Arial" w:hAnsi="Arial" w:cs="Arial"/>
        </w:rPr>
      </w:pPr>
    </w:p>
    <w:p w14:paraId="061DBBDC" w14:textId="77777777" w:rsidR="00762362" w:rsidRDefault="00762362" w:rsidP="00007FF6">
      <w:pPr>
        <w:rPr>
          <w:rFonts w:ascii="Arial" w:hAnsi="Arial" w:cs="Arial"/>
        </w:rPr>
      </w:pPr>
    </w:p>
    <w:p w14:paraId="175A1A6F" w14:textId="4A3FA159" w:rsidR="00A066FB" w:rsidRPr="00E052B2" w:rsidRDefault="00325738" w:rsidP="00007FF6">
      <w:pPr>
        <w:rPr>
          <w:rFonts w:ascii="Arial" w:hAnsi="Arial" w:cs="Arial"/>
          <w:b/>
          <w:bCs/>
        </w:rPr>
      </w:pPr>
      <w:r>
        <w:rPr>
          <w:rFonts w:ascii="Arial" w:hAnsi="Arial" w:cs="Arial"/>
          <w:b/>
          <w:bCs/>
        </w:rPr>
        <w:t>Abstract</w:t>
      </w:r>
    </w:p>
    <w:p w14:paraId="2FDDA752" w14:textId="6BFF77D7" w:rsidR="00A066FB" w:rsidRPr="00E052B2" w:rsidRDefault="00A066FB" w:rsidP="00007FF6">
      <w:pPr>
        <w:rPr>
          <w:rFonts w:ascii="Arial" w:hAnsi="Arial" w:cs="Arial"/>
        </w:rPr>
      </w:pPr>
      <w:r w:rsidRPr="00325738">
        <w:rPr>
          <w:rFonts w:ascii="Arial" w:hAnsi="Arial" w:cs="Arial"/>
        </w:rPr>
        <w:t xml:space="preserve">Background: </w:t>
      </w:r>
      <w:r w:rsidRPr="00E052B2">
        <w:rPr>
          <w:rFonts w:ascii="Arial" w:hAnsi="Arial" w:cs="Arial"/>
        </w:rPr>
        <w:t>Mental health of young people in The United Kingdon (aged 10-19 years old) has seen a marked decline over the past decade, exacerbated by socioeconomic instability and clinical service oversubscription. Traditional medical models, such as CAMHS, currently face significant “treatment gaps” leaving many adolescents without immediate support.</w:t>
      </w:r>
      <w:r w:rsidR="00D30379">
        <w:rPr>
          <w:rFonts w:ascii="Arial" w:hAnsi="Arial" w:cs="Arial"/>
        </w:rPr>
        <w:t xml:space="preserve"> Initial UK pilots in Rotherham demonstrates that social prescribing could lead to a 20</w:t>
      </w:r>
      <w:proofErr w:type="gramStart"/>
      <w:r w:rsidR="00D30379">
        <w:rPr>
          <w:rFonts w:ascii="Arial" w:hAnsi="Arial" w:cs="Arial"/>
        </w:rPr>
        <w:t>%  reduction</w:t>
      </w:r>
      <w:proofErr w:type="gramEnd"/>
      <w:r w:rsidR="00D30379">
        <w:rPr>
          <w:rFonts w:ascii="Arial" w:hAnsi="Arial" w:cs="Arial"/>
        </w:rPr>
        <w:t xml:space="preserve"> in secondary care referrals (Dayson and Bashir, 2014).</w:t>
      </w:r>
    </w:p>
    <w:p w14:paraId="30076AAF" w14:textId="08BE4BA4" w:rsidR="00293DCD" w:rsidRPr="00E052B2" w:rsidRDefault="00A066FB" w:rsidP="00007FF6">
      <w:pPr>
        <w:rPr>
          <w:rFonts w:ascii="Arial" w:hAnsi="Arial" w:cs="Arial"/>
        </w:rPr>
      </w:pPr>
      <w:r w:rsidRPr="00325738">
        <w:rPr>
          <w:rFonts w:ascii="Arial" w:hAnsi="Arial" w:cs="Arial"/>
        </w:rPr>
        <w:t>Objectives:</w:t>
      </w:r>
      <w:r w:rsidRPr="00E052B2">
        <w:rPr>
          <w:rFonts w:ascii="Arial" w:hAnsi="Arial" w:cs="Arial"/>
        </w:rPr>
        <w:t xml:space="preserve"> This scoping review sought to map the existing evidence regarding the effica</w:t>
      </w:r>
      <w:r w:rsidR="00293DCD" w:rsidRPr="00E052B2">
        <w:rPr>
          <w:rFonts w:ascii="Arial" w:hAnsi="Arial" w:cs="Arial"/>
        </w:rPr>
        <w:t xml:space="preserve">cy of social prescribing as a </w:t>
      </w:r>
      <w:r w:rsidR="00E052B2" w:rsidRPr="00E052B2">
        <w:rPr>
          <w:rFonts w:ascii="Arial" w:hAnsi="Arial" w:cs="Arial"/>
        </w:rPr>
        <w:t>non-clinical</w:t>
      </w:r>
      <w:r w:rsidR="00293DCD" w:rsidRPr="00E052B2">
        <w:rPr>
          <w:rFonts w:ascii="Arial" w:hAnsi="Arial" w:cs="Arial"/>
        </w:rPr>
        <w:t xml:space="preserve"> intervention with the United Kingdom (UK). The primary focus was on identifying how “Link Worker” models impact adolescent resilience and uncovering the structural barriers that hinder service equity.</w:t>
      </w:r>
    </w:p>
    <w:p w14:paraId="06BDDDEF" w14:textId="77777777" w:rsidR="00293DCD" w:rsidRPr="00E052B2" w:rsidRDefault="00293DCD" w:rsidP="00007FF6">
      <w:pPr>
        <w:rPr>
          <w:rFonts w:ascii="Arial" w:hAnsi="Arial" w:cs="Arial"/>
        </w:rPr>
      </w:pPr>
      <w:r w:rsidRPr="00325738">
        <w:rPr>
          <w:rFonts w:ascii="Arial" w:hAnsi="Arial" w:cs="Arial"/>
        </w:rPr>
        <w:t>Methodology:</w:t>
      </w:r>
      <w:r w:rsidRPr="00E052B2">
        <w:rPr>
          <w:rFonts w:ascii="Arial" w:hAnsi="Arial" w:cs="Arial"/>
        </w:rPr>
        <w:t xml:space="preserve"> Following the PRISMA 2020 guidelines and the JBI manual for evidence synthesis, a systematic search of three databases (PubMed, UWTSD Library and CINAHL) was conducted. Five core peer reviewed studies published between 2023 and 2026 were selected for thematic analysis using Braun and Clarke’s (2006) framework.</w:t>
      </w:r>
    </w:p>
    <w:p w14:paraId="6A31E722" w14:textId="77777777" w:rsidR="00293DCD" w:rsidRPr="00E052B2" w:rsidRDefault="00293DCD" w:rsidP="00007FF6">
      <w:pPr>
        <w:rPr>
          <w:rFonts w:ascii="Arial" w:hAnsi="Arial" w:cs="Arial"/>
          <w:b/>
          <w:bCs/>
        </w:rPr>
      </w:pPr>
      <w:r w:rsidRPr="00E052B2">
        <w:rPr>
          <w:rFonts w:ascii="Arial" w:hAnsi="Arial" w:cs="Arial"/>
          <w:b/>
          <w:bCs/>
        </w:rPr>
        <w:t>Key Findings: The review identified three major themes:</w:t>
      </w:r>
    </w:p>
    <w:p w14:paraId="111F8C9D" w14:textId="51021D75" w:rsidR="00A066FB" w:rsidRPr="00E052B2" w:rsidRDefault="00293DCD" w:rsidP="00293DCD">
      <w:pPr>
        <w:pStyle w:val="ListParagraph"/>
        <w:numPr>
          <w:ilvl w:val="0"/>
          <w:numId w:val="7"/>
        </w:numPr>
        <w:rPr>
          <w:rFonts w:ascii="Arial" w:hAnsi="Arial" w:cs="Arial"/>
        </w:rPr>
      </w:pPr>
      <w:r w:rsidRPr="00E052B2">
        <w:rPr>
          <w:rFonts w:ascii="Arial" w:hAnsi="Arial" w:cs="Arial"/>
          <w:b/>
          <w:bCs/>
        </w:rPr>
        <w:t>Efficacy:</w:t>
      </w:r>
      <w:r w:rsidRPr="00E052B2">
        <w:rPr>
          <w:rFonts w:ascii="Arial" w:hAnsi="Arial" w:cs="Arial"/>
        </w:rPr>
        <w:t xml:space="preserve"> social prescribing significantly improves emotional regulation and conduct scores by providing a “low pressure” alternative to clinical care.</w:t>
      </w:r>
    </w:p>
    <w:p w14:paraId="45009DCC" w14:textId="43C189C4" w:rsidR="00293DCD" w:rsidRDefault="00293DCD" w:rsidP="00293DCD">
      <w:pPr>
        <w:pStyle w:val="ListParagraph"/>
        <w:numPr>
          <w:ilvl w:val="0"/>
          <w:numId w:val="7"/>
        </w:numPr>
        <w:rPr>
          <w:rFonts w:ascii="Arial" w:hAnsi="Arial" w:cs="Arial"/>
        </w:rPr>
      </w:pPr>
      <w:r w:rsidRPr="00E052B2">
        <w:rPr>
          <w:rFonts w:ascii="Arial" w:hAnsi="Arial" w:cs="Arial"/>
          <w:b/>
          <w:bCs/>
        </w:rPr>
        <w:t>The Relational Element:</w:t>
      </w:r>
      <w:r w:rsidRPr="00E052B2">
        <w:rPr>
          <w:rFonts w:ascii="Arial" w:hAnsi="Arial" w:cs="Arial"/>
        </w:rPr>
        <w:t xml:space="preserve"> structural inequalities, specifically “transport poverty” and the “hollowing out” of community asse</w:t>
      </w:r>
      <w:r w:rsidR="00E052B2" w:rsidRPr="00E052B2">
        <w:rPr>
          <w:rFonts w:ascii="Arial" w:hAnsi="Arial" w:cs="Arial"/>
        </w:rPr>
        <w:t>ts due to austerity, limit the reach of social prescribing for the most vulnerable equitable.</w:t>
      </w:r>
    </w:p>
    <w:p w14:paraId="587CD22A" w14:textId="0F2125E3" w:rsidR="00673E40" w:rsidRDefault="00673E40" w:rsidP="00293DCD">
      <w:pPr>
        <w:pStyle w:val="ListParagraph"/>
        <w:numPr>
          <w:ilvl w:val="0"/>
          <w:numId w:val="7"/>
        </w:numPr>
        <w:rPr>
          <w:rFonts w:ascii="Arial" w:hAnsi="Arial" w:cs="Arial"/>
        </w:rPr>
      </w:pPr>
      <w:r>
        <w:rPr>
          <w:rFonts w:ascii="Arial" w:hAnsi="Arial" w:cs="Arial"/>
          <w:b/>
          <w:bCs/>
        </w:rPr>
        <w:t>Barriers:</w:t>
      </w:r>
      <w:r>
        <w:rPr>
          <w:rFonts w:ascii="Arial" w:hAnsi="Arial" w:cs="Arial"/>
        </w:rPr>
        <w:t xml:space="preserve"> Structural inequities, specifically “transport poverty” and the “hollowing out” of community assets due to austerity, limit the reach of social prescribing for the most vulnerable youth.</w:t>
      </w:r>
    </w:p>
    <w:p w14:paraId="6FD794BC" w14:textId="77777777" w:rsidR="00673E40" w:rsidRDefault="00673E40" w:rsidP="00673E40">
      <w:pPr>
        <w:rPr>
          <w:rFonts w:ascii="Arial" w:hAnsi="Arial" w:cs="Arial"/>
          <w:b/>
          <w:bCs/>
        </w:rPr>
      </w:pPr>
      <w:r w:rsidRPr="00673E40">
        <w:rPr>
          <w:rFonts w:ascii="Arial" w:hAnsi="Arial" w:cs="Arial"/>
          <w:b/>
          <w:bCs/>
        </w:rPr>
        <w:t>Recommendations</w:t>
      </w:r>
    </w:p>
    <w:p w14:paraId="5FF7E838" w14:textId="451F926A" w:rsidR="00673E40" w:rsidRPr="00673E40" w:rsidRDefault="00673E40" w:rsidP="00673E40">
      <w:pPr>
        <w:rPr>
          <w:rFonts w:ascii="Arial" w:hAnsi="Arial" w:cs="Arial"/>
        </w:rPr>
      </w:pPr>
      <w:r>
        <w:rPr>
          <w:rFonts w:ascii="Arial" w:hAnsi="Arial" w:cs="Arial"/>
        </w:rPr>
        <w:t>To achieve the goals of the NHS Long Term Plan (2019), it is recommended that integrated funding is secured for community assets and that all Link Workers receive adolescent specific training to ensure the service is developmentally appropriate and equitable.</w:t>
      </w:r>
    </w:p>
    <w:p w14:paraId="38E79A86" w14:textId="76B4CCBE" w:rsidR="00C70183" w:rsidRPr="00E052B2" w:rsidRDefault="0082285B" w:rsidP="00007FF6">
      <w:pPr>
        <w:rPr>
          <w:rFonts w:ascii="Arial" w:hAnsi="Arial" w:cs="Arial"/>
          <w:b/>
          <w:bCs/>
        </w:rPr>
      </w:pPr>
      <w:r w:rsidRPr="00E052B2">
        <w:rPr>
          <w:rFonts w:ascii="Arial" w:hAnsi="Arial" w:cs="Arial"/>
          <w:b/>
          <w:bCs/>
        </w:rPr>
        <w:t xml:space="preserve">1 </w:t>
      </w:r>
      <w:r w:rsidR="00C70183" w:rsidRPr="00E052B2">
        <w:rPr>
          <w:rFonts w:ascii="Arial" w:hAnsi="Arial" w:cs="Arial"/>
          <w:b/>
          <w:bCs/>
        </w:rPr>
        <w:t>Introduction</w:t>
      </w:r>
    </w:p>
    <w:p w14:paraId="737B1AAB" w14:textId="265E8B5D" w:rsidR="003D35B4" w:rsidRPr="00E052B2" w:rsidRDefault="00AB4A34" w:rsidP="00007FF6">
      <w:pPr>
        <w:rPr>
          <w:rFonts w:ascii="Arial" w:hAnsi="Arial" w:cs="Arial"/>
          <w:b/>
          <w:bCs/>
        </w:rPr>
      </w:pPr>
      <w:r w:rsidRPr="00E052B2">
        <w:rPr>
          <w:rFonts w:ascii="Arial" w:hAnsi="Arial" w:cs="Arial"/>
          <w:b/>
          <w:bCs/>
        </w:rPr>
        <w:t>1.1</w:t>
      </w:r>
      <w:r w:rsidR="0082285B" w:rsidRPr="00E052B2">
        <w:rPr>
          <w:rFonts w:ascii="Arial" w:hAnsi="Arial" w:cs="Arial"/>
          <w:b/>
          <w:bCs/>
        </w:rPr>
        <w:t xml:space="preserve"> </w:t>
      </w:r>
      <w:r w:rsidR="0010728B" w:rsidRPr="00E052B2">
        <w:rPr>
          <w:rFonts w:ascii="Arial" w:hAnsi="Arial" w:cs="Arial"/>
          <w:b/>
          <w:bCs/>
        </w:rPr>
        <w:t>Definition and rationale</w:t>
      </w:r>
    </w:p>
    <w:p w14:paraId="7690E7EC" w14:textId="42476BA3" w:rsidR="0010728B" w:rsidRPr="00E052B2" w:rsidRDefault="0010728B" w:rsidP="00007FF6">
      <w:pPr>
        <w:rPr>
          <w:rFonts w:ascii="Arial" w:hAnsi="Arial" w:cs="Arial"/>
        </w:rPr>
      </w:pPr>
      <w:r w:rsidRPr="00E052B2">
        <w:rPr>
          <w:rFonts w:ascii="Arial" w:hAnsi="Arial" w:cs="Arial"/>
        </w:rPr>
        <w:t>Social prescribing represents a shift in the United Kingdom</w:t>
      </w:r>
      <w:r w:rsidR="00F94266" w:rsidRPr="00E052B2">
        <w:rPr>
          <w:rFonts w:ascii="Arial" w:hAnsi="Arial" w:cs="Arial"/>
        </w:rPr>
        <w:t xml:space="preserve">’s (UK’s) health care strategy from a purely medical model to a </w:t>
      </w:r>
      <w:r w:rsidR="00FE2E99" w:rsidRPr="00E052B2">
        <w:rPr>
          <w:rFonts w:ascii="Arial" w:hAnsi="Arial" w:cs="Arial"/>
        </w:rPr>
        <w:t>biopsychosocial</w:t>
      </w:r>
      <w:r w:rsidR="00F94266" w:rsidRPr="00E052B2">
        <w:rPr>
          <w:rFonts w:ascii="Arial" w:hAnsi="Arial" w:cs="Arial"/>
        </w:rPr>
        <w:t xml:space="preserve"> approach</w:t>
      </w:r>
      <w:r w:rsidR="0090530C" w:rsidRPr="00E052B2">
        <w:rPr>
          <w:rFonts w:ascii="Arial" w:hAnsi="Arial" w:cs="Arial"/>
        </w:rPr>
        <w:t xml:space="preserve"> (Polley et al., 2017)</w:t>
      </w:r>
      <w:r w:rsidR="00F94266" w:rsidRPr="00E052B2">
        <w:rPr>
          <w:rFonts w:ascii="Arial" w:hAnsi="Arial" w:cs="Arial"/>
        </w:rPr>
        <w:t xml:space="preserve">. It is a </w:t>
      </w:r>
      <w:r w:rsidR="00FE2E99" w:rsidRPr="00E052B2">
        <w:rPr>
          <w:rFonts w:ascii="Arial" w:hAnsi="Arial" w:cs="Arial"/>
        </w:rPr>
        <w:t>non-clinical</w:t>
      </w:r>
      <w:r w:rsidR="00F94266" w:rsidRPr="00E052B2">
        <w:rPr>
          <w:rFonts w:ascii="Arial" w:hAnsi="Arial" w:cs="Arial"/>
        </w:rPr>
        <w:t xml:space="preserve"> </w:t>
      </w:r>
      <w:r w:rsidR="004D0E4C" w:rsidRPr="00E052B2">
        <w:rPr>
          <w:rFonts w:ascii="Arial" w:hAnsi="Arial" w:cs="Arial"/>
        </w:rPr>
        <w:t xml:space="preserve">approach that allows primary care professionals to refer patients to local, </w:t>
      </w:r>
      <w:r w:rsidR="00FE2E99" w:rsidRPr="00E052B2">
        <w:rPr>
          <w:rFonts w:ascii="Arial" w:hAnsi="Arial" w:cs="Arial"/>
        </w:rPr>
        <w:t>community-based</w:t>
      </w:r>
      <w:r w:rsidR="004D0E4C" w:rsidRPr="00E052B2">
        <w:rPr>
          <w:rFonts w:ascii="Arial" w:hAnsi="Arial" w:cs="Arial"/>
        </w:rPr>
        <w:t xml:space="preserve"> support </w:t>
      </w:r>
      <w:r w:rsidR="00672FB3" w:rsidRPr="00E052B2">
        <w:rPr>
          <w:rFonts w:ascii="Arial" w:hAnsi="Arial" w:cs="Arial"/>
        </w:rPr>
        <w:t xml:space="preserve">to improve </w:t>
      </w:r>
      <w:r w:rsidR="00516159" w:rsidRPr="00E052B2">
        <w:rPr>
          <w:rFonts w:ascii="Arial" w:hAnsi="Arial" w:cs="Arial"/>
        </w:rPr>
        <w:t>their</w:t>
      </w:r>
      <w:r w:rsidR="00672FB3" w:rsidRPr="00E052B2">
        <w:rPr>
          <w:rFonts w:ascii="Arial" w:hAnsi="Arial" w:cs="Arial"/>
        </w:rPr>
        <w:t xml:space="preserve"> health and wellbeing.</w:t>
      </w:r>
      <w:r w:rsidR="000075DA" w:rsidRPr="00E052B2">
        <w:rPr>
          <w:rFonts w:ascii="Arial" w:hAnsi="Arial" w:cs="Arial"/>
        </w:rPr>
        <w:t xml:space="preserve"> In</w:t>
      </w:r>
      <w:r w:rsidR="007E4C37" w:rsidRPr="00E052B2">
        <w:rPr>
          <w:rFonts w:ascii="Arial" w:hAnsi="Arial" w:cs="Arial"/>
        </w:rPr>
        <w:t xml:space="preserve"> the context of youth mental health, this intervention is increasingly vital. Currently, </w:t>
      </w:r>
      <w:r w:rsidR="00236F38" w:rsidRPr="00E052B2">
        <w:rPr>
          <w:rFonts w:ascii="Arial" w:hAnsi="Arial" w:cs="Arial"/>
        </w:rPr>
        <w:t xml:space="preserve">Child </w:t>
      </w:r>
      <w:proofErr w:type="gramStart"/>
      <w:r w:rsidR="00236F38" w:rsidRPr="00E052B2">
        <w:rPr>
          <w:rFonts w:ascii="Arial" w:hAnsi="Arial" w:cs="Arial"/>
        </w:rPr>
        <w:t>And</w:t>
      </w:r>
      <w:proofErr w:type="gramEnd"/>
      <w:r w:rsidR="00236F38" w:rsidRPr="00E052B2">
        <w:rPr>
          <w:rFonts w:ascii="Arial" w:hAnsi="Arial" w:cs="Arial"/>
        </w:rPr>
        <w:t xml:space="preserve"> </w:t>
      </w:r>
      <w:r w:rsidR="00FE2E99" w:rsidRPr="00E052B2">
        <w:rPr>
          <w:rFonts w:ascii="Arial" w:hAnsi="Arial" w:cs="Arial"/>
        </w:rPr>
        <w:t>Adolescent</w:t>
      </w:r>
      <w:r w:rsidR="00236F38" w:rsidRPr="00E052B2">
        <w:rPr>
          <w:rFonts w:ascii="Arial" w:hAnsi="Arial" w:cs="Arial"/>
        </w:rPr>
        <w:t xml:space="preserve"> Mental Health Services (CAMHS) face significant pressures, with referral </w:t>
      </w:r>
      <w:r w:rsidR="00336CC3" w:rsidRPr="00E052B2">
        <w:rPr>
          <w:rFonts w:ascii="Arial" w:hAnsi="Arial" w:cs="Arial"/>
        </w:rPr>
        <w:t xml:space="preserve">rates rising and waiting times often exceeding clinical safety </w:t>
      </w:r>
      <w:r w:rsidR="00BE1400" w:rsidRPr="00E052B2">
        <w:rPr>
          <w:rFonts w:ascii="Arial" w:hAnsi="Arial" w:cs="Arial"/>
        </w:rPr>
        <w:t>margins</w:t>
      </w:r>
      <w:r w:rsidR="00DB2351" w:rsidRPr="00E052B2">
        <w:rPr>
          <w:rFonts w:ascii="Arial" w:hAnsi="Arial" w:cs="Arial"/>
        </w:rPr>
        <w:t xml:space="preserve"> (Fancourt et al., 2023)</w:t>
      </w:r>
      <w:r w:rsidR="00BE1400" w:rsidRPr="00E052B2">
        <w:rPr>
          <w:rFonts w:ascii="Arial" w:hAnsi="Arial" w:cs="Arial"/>
        </w:rPr>
        <w:t xml:space="preserve">. Social prescribing acts as a </w:t>
      </w:r>
      <w:r w:rsidR="006A7F3E" w:rsidRPr="00E052B2">
        <w:rPr>
          <w:rFonts w:ascii="Arial" w:hAnsi="Arial" w:cs="Arial"/>
        </w:rPr>
        <w:t>“</w:t>
      </w:r>
      <w:r w:rsidR="00BE1400" w:rsidRPr="00E052B2">
        <w:rPr>
          <w:rFonts w:ascii="Arial" w:hAnsi="Arial" w:cs="Arial"/>
        </w:rPr>
        <w:t>bridge</w:t>
      </w:r>
      <w:r w:rsidR="006A7F3E" w:rsidRPr="00E052B2">
        <w:rPr>
          <w:rFonts w:ascii="Arial" w:hAnsi="Arial" w:cs="Arial"/>
        </w:rPr>
        <w:t>”</w:t>
      </w:r>
      <w:r w:rsidR="00BE1400" w:rsidRPr="00E052B2">
        <w:rPr>
          <w:rFonts w:ascii="Arial" w:hAnsi="Arial" w:cs="Arial"/>
        </w:rPr>
        <w:t xml:space="preserve"> or </w:t>
      </w:r>
      <w:r w:rsidR="006A7F3E" w:rsidRPr="00E052B2">
        <w:rPr>
          <w:rFonts w:ascii="Arial" w:hAnsi="Arial" w:cs="Arial"/>
        </w:rPr>
        <w:t>“</w:t>
      </w:r>
      <w:r w:rsidR="00BE1400" w:rsidRPr="00E052B2">
        <w:rPr>
          <w:rFonts w:ascii="Arial" w:hAnsi="Arial" w:cs="Arial"/>
        </w:rPr>
        <w:t>waiting well</w:t>
      </w:r>
      <w:r w:rsidR="006A7F3E" w:rsidRPr="00E052B2">
        <w:rPr>
          <w:rFonts w:ascii="Arial" w:hAnsi="Arial" w:cs="Arial"/>
        </w:rPr>
        <w:t>”</w:t>
      </w:r>
      <w:r w:rsidR="00BE1400" w:rsidRPr="00E052B2">
        <w:rPr>
          <w:rFonts w:ascii="Arial" w:hAnsi="Arial" w:cs="Arial"/>
        </w:rPr>
        <w:t xml:space="preserve"> stra</w:t>
      </w:r>
      <w:r w:rsidR="00FD690E" w:rsidRPr="00E052B2">
        <w:rPr>
          <w:rFonts w:ascii="Arial" w:hAnsi="Arial" w:cs="Arial"/>
        </w:rPr>
        <w:t>tegy, providing immediate support for young people while the remain on clinical waiting lists</w:t>
      </w:r>
      <w:r w:rsidR="00DD7825" w:rsidRPr="00E052B2">
        <w:rPr>
          <w:rFonts w:ascii="Arial" w:hAnsi="Arial" w:cs="Arial"/>
        </w:rPr>
        <w:t xml:space="preserve"> (Tierney et al.</w:t>
      </w:r>
      <w:r w:rsidR="006A7F3E" w:rsidRPr="00E052B2">
        <w:rPr>
          <w:rFonts w:ascii="Arial" w:hAnsi="Arial" w:cs="Arial"/>
        </w:rPr>
        <w:t>, 2020)</w:t>
      </w:r>
      <w:r w:rsidR="00FD690E" w:rsidRPr="00E052B2">
        <w:rPr>
          <w:rFonts w:ascii="Arial" w:hAnsi="Arial" w:cs="Arial"/>
        </w:rPr>
        <w:t>.</w:t>
      </w:r>
      <w:r w:rsidR="00672FB3" w:rsidRPr="00E052B2">
        <w:rPr>
          <w:rFonts w:ascii="Arial" w:hAnsi="Arial" w:cs="Arial"/>
        </w:rPr>
        <w:t xml:space="preserve"> </w:t>
      </w:r>
    </w:p>
    <w:p w14:paraId="3BD52DCE" w14:textId="77777777" w:rsidR="009E2789" w:rsidRPr="00E052B2" w:rsidRDefault="00AB4A34" w:rsidP="00007FF6">
      <w:pPr>
        <w:rPr>
          <w:rFonts w:ascii="Arial" w:hAnsi="Arial" w:cs="Arial"/>
          <w:b/>
          <w:bCs/>
        </w:rPr>
      </w:pPr>
      <w:r w:rsidRPr="00E052B2">
        <w:rPr>
          <w:rFonts w:ascii="Arial" w:hAnsi="Arial" w:cs="Arial"/>
          <w:b/>
          <w:bCs/>
        </w:rPr>
        <w:t xml:space="preserve">1.2 </w:t>
      </w:r>
      <w:r w:rsidR="00D726B9" w:rsidRPr="00E052B2">
        <w:rPr>
          <w:rFonts w:ascii="Arial" w:hAnsi="Arial" w:cs="Arial"/>
          <w:b/>
          <w:bCs/>
        </w:rPr>
        <w:t>Review Question and Objectives</w:t>
      </w:r>
      <w:r w:rsidR="009E2789" w:rsidRPr="00E052B2">
        <w:rPr>
          <w:rFonts w:ascii="Arial" w:hAnsi="Arial" w:cs="Arial"/>
          <w:b/>
          <w:bCs/>
        </w:rPr>
        <w:t xml:space="preserve"> </w:t>
      </w:r>
    </w:p>
    <w:p w14:paraId="0A75D82E" w14:textId="77777777" w:rsidR="000A6735" w:rsidRPr="00E052B2" w:rsidRDefault="009E2789" w:rsidP="00007FF6">
      <w:pPr>
        <w:rPr>
          <w:rFonts w:ascii="Arial" w:hAnsi="Arial" w:cs="Arial"/>
        </w:rPr>
      </w:pPr>
      <w:r w:rsidRPr="00E052B2">
        <w:rPr>
          <w:rFonts w:ascii="Arial" w:hAnsi="Arial" w:cs="Arial"/>
        </w:rPr>
        <w:lastRenderedPageBreak/>
        <w:t>The primary aim of this scoping review is to evalu</w:t>
      </w:r>
      <w:r w:rsidR="00B57922" w:rsidRPr="00E052B2">
        <w:rPr>
          <w:rFonts w:ascii="Arial" w:hAnsi="Arial" w:cs="Arial"/>
        </w:rPr>
        <w:t xml:space="preserve">ate the existing evidence regarding the efficacy of social prescribing </w:t>
      </w:r>
      <w:r w:rsidR="00D1276F" w:rsidRPr="00E052B2">
        <w:rPr>
          <w:rFonts w:ascii="Arial" w:hAnsi="Arial" w:cs="Arial"/>
        </w:rPr>
        <w:t>for youth in the United Kingdom (UK). The review is guided by the following question</w:t>
      </w:r>
      <w:r w:rsidR="000B6594" w:rsidRPr="00E052B2">
        <w:rPr>
          <w:rFonts w:ascii="Arial" w:hAnsi="Arial" w:cs="Arial"/>
        </w:rPr>
        <w:t>:</w:t>
      </w:r>
      <w:r w:rsidR="00D1276F" w:rsidRPr="00E052B2">
        <w:rPr>
          <w:rFonts w:ascii="Arial" w:hAnsi="Arial" w:cs="Arial"/>
        </w:rPr>
        <w:t xml:space="preserve"> </w:t>
      </w:r>
    </w:p>
    <w:p w14:paraId="49E67E6B" w14:textId="626CFEBF" w:rsidR="005B7BC9" w:rsidRPr="00E052B2" w:rsidRDefault="00D1276F" w:rsidP="00007FF6">
      <w:pPr>
        <w:rPr>
          <w:rFonts w:ascii="Arial" w:hAnsi="Arial" w:cs="Arial"/>
          <w:b/>
          <w:bCs/>
        </w:rPr>
      </w:pPr>
      <w:r w:rsidRPr="00E052B2">
        <w:rPr>
          <w:rFonts w:ascii="Arial" w:hAnsi="Arial" w:cs="Arial"/>
          <w:b/>
          <w:bCs/>
        </w:rPr>
        <w:t>To wha</w:t>
      </w:r>
      <w:r w:rsidR="00FB2FA8" w:rsidRPr="00E052B2">
        <w:rPr>
          <w:rFonts w:ascii="Arial" w:hAnsi="Arial" w:cs="Arial"/>
          <w:b/>
          <w:bCs/>
        </w:rPr>
        <w:t>t extent does social prescribing support the mental health of young people (10-19</w:t>
      </w:r>
      <w:r w:rsidR="00573CF5" w:rsidRPr="00E052B2">
        <w:rPr>
          <w:rFonts w:ascii="Arial" w:hAnsi="Arial" w:cs="Arial"/>
          <w:b/>
          <w:bCs/>
        </w:rPr>
        <w:t xml:space="preserve"> years old</w:t>
      </w:r>
      <w:r w:rsidR="00FB2FA8" w:rsidRPr="00E052B2">
        <w:rPr>
          <w:rFonts w:ascii="Arial" w:hAnsi="Arial" w:cs="Arial"/>
          <w:b/>
          <w:bCs/>
        </w:rPr>
        <w:t>)</w:t>
      </w:r>
      <w:r w:rsidR="00573CF5" w:rsidRPr="00E052B2">
        <w:rPr>
          <w:rFonts w:ascii="Arial" w:hAnsi="Arial" w:cs="Arial"/>
          <w:b/>
          <w:bCs/>
        </w:rPr>
        <w:t xml:space="preserve"> in the UK, and what are the primary barriers to successful engagement?</w:t>
      </w:r>
      <w:r w:rsidR="005B7BC9" w:rsidRPr="00E052B2">
        <w:rPr>
          <w:rFonts w:ascii="Arial" w:hAnsi="Arial" w:cs="Arial"/>
          <w:b/>
          <w:bCs/>
        </w:rPr>
        <w:t xml:space="preserve"> </w:t>
      </w:r>
    </w:p>
    <w:p w14:paraId="1C0F821C" w14:textId="5CB6A434" w:rsidR="005B7BC9" w:rsidRPr="00E052B2" w:rsidRDefault="005B7BC9" w:rsidP="00007FF6">
      <w:pPr>
        <w:rPr>
          <w:rFonts w:ascii="Arial" w:hAnsi="Arial" w:cs="Arial"/>
        </w:rPr>
      </w:pPr>
      <w:r w:rsidRPr="00E052B2">
        <w:rPr>
          <w:rFonts w:ascii="Arial" w:hAnsi="Arial" w:cs="Arial"/>
        </w:rPr>
        <w:t>The objectives of th</w:t>
      </w:r>
      <w:r w:rsidR="000A6735" w:rsidRPr="00E052B2">
        <w:rPr>
          <w:rFonts w:ascii="Arial" w:hAnsi="Arial" w:cs="Arial"/>
        </w:rPr>
        <w:t>is</w:t>
      </w:r>
      <w:r w:rsidRPr="00E052B2">
        <w:rPr>
          <w:rFonts w:ascii="Arial" w:hAnsi="Arial" w:cs="Arial"/>
        </w:rPr>
        <w:t xml:space="preserve"> review</w:t>
      </w:r>
      <w:r w:rsidR="00554373" w:rsidRPr="00E052B2">
        <w:rPr>
          <w:rFonts w:ascii="Arial" w:hAnsi="Arial" w:cs="Arial"/>
        </w:rPr>
        <w:t>, following the JBI (2020) framework for sco</w:t>
      </w:r>
      <w:r w:rsidR="00510F15" w:rsidRPr="00E052B2">
        <w:rPr>
          <w:rFonts w:ascii="Arial" w:hAnsi="Arial" w:cs="Arial"/>
        </w:rPr>
        <w:t>ping studies are:</w:t>
      </w:r>
    </w:p>
    <w:p w14:paraId="3A534101" w14:textId="392E4E15" w:rsidR="000A6735" w:rsidRPr="00E052B2" w:rsidRDefault="006C500B" w:rsidP="00D33140">
      <w:pPr>
        <w:pStyle w:val="ListParagraph"/>
        <w:numPr>
          <w:ilvl w:val="0"/>
          <w:numId w:val="1"/>
        </w:numPr>
        <w:rPr>
          <w:rFonts w:ascii="Arial" w:hAnsi="Arial" w:cs="Arial"/>
        </w:rPr>
      </w:pPr>
      <w:r w:rsidRPr="00E052B2">
        <w:rPr>
          <w:rFonts w:ascii="Arial" w:hAnsi="Arial" w:cs="Arial"/>
        </w:rPr>
        <w:t xml:space="preserve">To identify the “active ingredients” that make a </w:t>
      </w:r>
      <w:r w:rsidR="004E7A21" w:rsidRPr="00E052B2">
        <w:rPr>
          <w:rFonts w:ascii="Arial" w:hAnsi="Arial" w:cs="Arial"/>
        </w:rPr>
        <w:t>Link Worker intervention successful for adolesc</w:t>
      </w:r>
      <w:r w:rsidR="007D684C" w:rsidRPr="00E052B2">
        <w:rPr>
          <w:rFonts w:ascii="Arial" w:hAnsi="Arial" w:cs="Arial"/>
        </w:rPr>
        <w:t>ents</w:t>
      </w:r>
      <w:r w:rsidR="00510F15" w:rsidRPr="00E052B2">
        <w:rPr>
          <w:rFonts w:ascii="Arial" w:hAnsi="Arial" w:cs="Arial"/>
        </w:rPr>
        <w:t xml:space="preserve"> (Ste</w:t>
      </w:r>
      <w:r w:rsidR="0096022F" w:rsidRPr="00E052B2">
        <w:rPr>
          <w:rFonts w:ascii="Arial" w:hAnsi="Arial" w:cs="Arial"/>
        </w:rPr>
        <w:t>ffen et al., 2025)</w:t>
      </w:r>
      <w:r w:rsidR="007D684C" w:rsidRPr="00E052B2">
        <w:rPr>
          <w:rFonts w:ascii="Arial" w:hAnsi="Arial" w:cs="Arial"/>
        </w:rPr>
        <w:t>.</w:t>
      </w:r>
    </w:p>
    <w:p w14:paraId="10897EC1" w14:textId="71F3B4C7" w:rsidR="00785CD5" w:rsidRPr="00E052B2" w:rsidRDefault="007D684C" w:rsidP="00D33140">
      <w:pPr>
        <w:pStyle w:val="ListParagraph"/>
        <w:numPr>
          <w:ilvl w:val="0"/>
          <w:numId w:val="1"/>
        </w:numPr>
        <w:rPr>
          <w:rFonts w:ascii="Arial" w:hAnsi="Arial" w:cs="Arial"/>
        </w:rPr>
      </w:pPr>
      <w:r w:rsidRPr="00E052B2">
        <w:rPr>
          <w:rFonts w:ascii="Arial" w:hAnsi="Arial" w:cs="Arial"/>
        </w:rPr>
        <w:t>To explore the structural barriers (such as socioecon</w:t>
      </w:r>
      <w:r w:rsidR="00D759D9" w:rsidRPr="00E052B2">
        <w:rPr>
          <w:rFonts w:ascii="Arial" w:hAnsi="Arial" w:cs="Arial"/>
        </w:rPr>
        <w:t>omic status and transport) that prevent equitable access to their services</w:t>
      </w:r>
      <w:r w:rsidR="0096022F" w:rsidRPr="00E052B2">
        <w:rPr>
          <w:rFonts w:ascii="Arial" w:hAnsi="Arial" w:cs="Arial"/>
        </w:rPr>
        <w:t xml:space="preserve"> (khan et al., 2023)</w:t>
      </w:r>
      <w:r w:rsidR="00D759D9" w:rsidRPr="00E052B2">
        <w:rPr>
          <w:rFonts w:ascii="Arial" w:hAnsi="Arial" w:cs="Arial"/>
        </w:rPr>
        <w:t>.</w:t>
      </w:r>
      <w:r w:rsidR="00785CD5" w:rsidRPr="00E052B2">
        <w:rPr>
          <w:rFonts w:ascii="Arial" w:hAnsi="Arial" w:cs="Arial"/>
        </w:rPr>
        <w:t xml:space="preserve"> </w:t>
      </w:r>
    </w:p>
    <w:p w14:paraId="5F6B1A2D" w14:textId="77777777" w:rsidR="0082285B" w:rsidRPr="00E052B2" w:rsidRDefault="00D759D9" w:rsidP="004264A3">
      <w:pPr>
        <w:pStyle w:val="ListParagraph"/>
        <w:numPr>
          <w:ilvl w:val="0"/>
          <w:numId w:val="1"/>
        </w:numPr>
        <w:jc w:val="both"/>
        <w:rPr>
          <w:rFonts w:ascii="Arial" w:hAnsi="Arial" w:cs="Arial"/>
        </w:rPr>
      </w:pPr>
      <w:r w:rsidRPr="00E052B2">
        <w:rPr>
          <w:rFonts w:ascii="Arial" w:hAnsi="Arial" w:cs="Arial"/>
        </w:rPr>
        <w:t xml:space="preserve">To map the current gaps </w:t>
      </w:r>
      <w:r w:rsidR="00785CD5" w:rsidRPr="00E052B2">
        <w:rPr>
          <w:rFonts w:ascii="Arial" w:hAnsi="Arial" w:cs="Arial"/>
        </w:rPr>
        <w:t xml:space="preserve">in UK based peer reviewed </w:t>
      </w:r>
      <w:r w:rsidR="00381431" w:rsidRPr="00E052B2">
        <w:rPr>
          <w:rFonts w:ascii="Arial" w:hAnsi="Arial" w:cs="Arial"/>
        </w:rPr>
        <w:t>literature concerning youth social prescribing.</w:t>
      </w:r>
    </w:p>
    <w:p w14:paraId="181950BA" w14:textId="77777777" w:rsidR="000B1265" w:rsidRPr="00E052B2" w:rsidRDefault="000B1265" w:rsidP="000B1265">
      <w:pPr>
        <w:jc w:val="both"/>
        <w:rPr>
          <w:rFonts w:ascii="Arial" w:hAnsi="Arial" w:cs="Arial"/>
          <w:b/>
          <w:bCs/>
        </w:rPr>
      </w:pPr>
    </w:p>
    <w:p w14:paraId="6ABC8426" w14:textId="6728823D" w:rsidR="004264A3" w:rsidRPr="00E052B2" w:rsidRDefault="0082285B" w:rsidP="000B1265">
      <w:pPr>
        <w:jc w:val="both"/>
        <w:rPr>
          <w:rFonts w:ascii="Arial" w:hAnsi="Arial" w:cs="Arial"/>
        </w:rPr>
      </w:pPr>
      <w:r w:rsidRPr="00E052B2">
        <w:rPr>
          <w:rFonts w:ascii="Arial" w:hAnsi="Arial" w:cs="Arial"/>
          <w:b/>
          <w:bCs/>
        </w:rPr>
        <w:t>2 Background</w:t>
      </w:r>
    </w:p>
    <w:p w14:paraId="16419AAB" w14:textId="07B33ECB" w:rsidR="00FB09CC" w:rsidRPr="00E052B2" w:rsidRDefault="008072AC" w:rsidP="00FB09CC">
      <w:pPr>
        <w:jc w:val="both"/>
        <w:rPr>
          <w:rFonts w:ascii="Arial" w:hAnsi="Arial" w:cs="Arial"/>
          <w:b/>
          <w:bCs/>
        </w:rPr>
      </w:pPr>
      <w:r w:rsidRPr="00E052B2">
        <w:rPr>
          <w:rFonts w:ascii="Arial" w:hAnsi="Arial" w:cs="Arial"/>
          <w:b/>
          <w:bCs/>
        </w:rPr>
        <w:t xml:space="preserve">2.1 The UK Youth Mental Health Landscape </w:t>
      </w:r>
      <w:r w:rsidR="00FB09CC" w:rsidRPr="00E052B2">
        <w:rPr>
          <w:rFonts w:ascii="Arial" w:hAnsi="Arial" w:cs="Arial"/>
          <w:b/>
          <w:bCs/>
        </w:rPr>
        <w:t>(The Crisis</w:t>
      </w:r>
      <w:r w:rsidR="00CE354A" w:rsidRPr="00E052B2">
        <w:rPr>
          <w:rFonts w:ascii="Arial" w:hAnsi="Arial" w:cs="Arial"/>
          <w:b/>
          <w:bCs/>
        </w:rPr>
        <w:t>).</w:t>
      </w:r>
    </w:p>
    <w:p w14:paraId="6705DEE7" w14:textId="77777777" w:rsidR="000B65DB" w:rsidRPr="00E052B2" w:rsidRDefault="00CE354A" w:rsidP="00FB09CC">
      <w:pPr>
        <w:jc w:val="both"/>
        <w:rPr>
          <w:rFonts w:ascii="Arial" w:hAnsi="Arial" w:cs="Arial"/>
        </w:rPr>
      </w:pPr>
      <w:r w:rsidRPr="00E052B2">
        <w:rPr>
          <w:rFonts w:ascii="Arial" w:hAnsi="Arial" w:cs="Arial"/>
        </w:rPr>
        <w:t>The mental health of young people in the UK has reached a critical infle</w:t>
      </w:r>
      <w:r w:rsidR="00830C46" w:rsidRPr="00E052B2">
        <w:rPr>
          <w:rFonts w:ascii="Arial" w:hAnsi="Arial" w:cs="Arial"/>
        </w:rPr>
        <w:t>ction point</w:t>
      </w:r>
      <w:r w:rsidR="00276051" w:rsidRPr="00E052B2">
        <w:rPr>
          <w:rFonts w:ascii="Arial" w:hAnsi="Arial" w:cs="Arial"/>
        </w:rPr>
        <w:t xml:space="preserve">, moving from a </w:t>
      </w:r>
      <w:r w:rsidR="009F0A05" w:rsidRPr="00E052B2">
        <w:rPr>
          <w:rFonts w:ascii="Arial" w:hAnsi="Arial" w:cs="Arial"/>
        </w:rPr>
        <w:t>period of relative stability to a significant public health concern.</w:t>
      </w:r>
      <w:r w:rsidR="00830C46" w:rsidRPr="00E052B2">
        <w:rPr>
          <w:rFonts w:ascii="Arial" w:hAnsi="Arial" w:cs="Arial"/>
        </w:rPr>
        <w:t xml:space="preserve"> </w:t>
      </w:r>
      <w:r w:rsidR="000940AC" w:rsidRPr="00E052B2">
        <w:rPr>
          <w:rFonts w:ascii="Arial" w:hAnsi="Arial" w:cs="Arial"/>
        </w:rPr>
        <w:t>Research by Collishaw (2020</w:t>
      </w:r>
      <w:r w:rsidR="00634C2D" w:rsidRPr="00E052B2">
        <w:rPr>
          <w:rFonts w:ascii="Arial" w:hAnsi="Arial" w:cs="Arial"/>
        </w:rPr>
        <w:t>) indicates a significant upward trend in</w:t>
      </w:r>
      <w:r w:rsidR="00B544B3" w:rsidRPr="00E052B2">
        <w:rPr>
          <w:rFonts w:ascii="Arial" w:hAnsi="Arial" w:cs="Arial"/>
        </w:rPr>
        <w:t xml:space="preserve"> adolescent </w:t>
      </w:r>
      <w:r w:rsidR="00CB5D17" w:rsidRPr="00E052B2">
        <w:rPr>
          <w:rFonts w:ascii="Arial" w:hAnsi="Arial" w:cs="Arial"/>
        </w:rPr>
        <w:t xml:space="preserve">emotional problems over </w:t>
      </w:r>
      <w:r w:rsidR="0067214E" w:rsidRPr="00E052B2">
        <w:rPr>
          <w:rFonts w:ascii="Arial" w:hAnsi="Arial" w:cs="Arial"/>
        </w:rPr>
        <w:t>the</w:t>
      </w:r>
      <w:r w:rsidR="00CB5D17" w:rsidRPr="00E052B2">
        <w:rPr>
          <w:rFonts w:ascii="Arial" w:hAnsi="Arial" w:cs="Arial"/>
        </w:rPr>
        <w:t xml:space="preserve"> last decade, a situation that has been </w:t>
      </w:r>
      <w:r w:rsidR="0067214E" w:rsidRPr="00E052B2">
        <w:rPr>
          <w:rFonts w:ascii="Arial" w:hAnsi="Arial" w:cs="Arial"/>
        </w:rPr>
        <w:t>exacerbated</w:t>
      </w:r>
      <w:r w:rsidR="006C4A67" w:rsidRPr="00E052B2">
        <w:rPr>
          <w:rFonts w:ascii="Arial" w:hAnsi="Arial" w:cs="Arial"/>
        </w:rPr>
        <w:t xml:space="preserve"> by the social and educational disruptions of the early 2020’s. This surge in demand has placed uns</w:t>
      </w:r>
      <w:r w:rsidR="007D3C2D" w:rsidRPr="00E052B2">
        <w:rPr>
          <w:rFonts w:ascii="Arial" w:hAnsi="Arial" w:cs="Arial"/>
        </w:rPr>
        <w:t xml:space="preserve">ustainable pressure on Child and </w:t>
      </w:r>
      <w:r w:rsidR="0067214E" w:rsidRPr="00E052B2">
        <w:rPr>
          <w:rFonts w:ascii="Arial" w:hAnsi="Arial" w:cs="Arial"/>
        </w:rPr>
        <w:t>Adolescent</w:t>
      </w:r>
      <w:r w:rsidR="007D3C2D" w:rsidRPr="00E052B2">
        <w:rPr>
          <w:rFonts w:ascii="Arial" w:hAnsi="Arial" w:cs="Arial"/>
        </w:rPr>
        <w:t xml:space="preserve"> </w:t>
      </w:r>
      <w:r w:rsidR="0067214E" w:rsidRPr="00E052B2">
        <w:rPr>
          <w:rFonts w:ascii="Arial" w:hAnsi="Arial" w:cs="Arial"/>
        </w:rPr>
        <w:t>M</w:t>
      </w:r>
      <w:r w:rsidR="007D3C2D" w:rsidRPr="00E052B2">
        <w:rPr>
          <w:rFonts w:ascii="Arial" w:hAnsi="Arial" w:cs="Arial"/>
        </w:rPr>
        <w:t>ental Health Services</w:t>
      </w:r>
      <w:r w:rsidR="0067214E" w:rsidRPr="00E052B2">
        <w:rPr>
          <w:rFonts w:ascii="Arial" w:hAnsi="Arial" w:cs="Arial"/>
        </w:rPr>
        <w:t xml:space="preserve"> (CAMHS)</w:t>
      </w:r>
      <w:r w:rsidR="00F02FAB" w:rsidRPr="00E052B2">
        <w:rPr>
          <w:rFonts w:ascii="Arial" w:hAnsi="Arial" w:cs="Arial"/>
        </w:rPr>
        <w:t xml:space="preserve">. </w:t>
      </w:r>
    </w:p>
    <w:p w14:paraId="38DA6D91" w14:textId="5B541DB3" w:rsidR="0018230E" w:rsidRPr="00E052B2" w:rsidRDefault="0082275E" w:rsidP="0018230E">
      <w:pPr>
        <w:rPr>
          <w:rFonts w:ascii="Arial" w:hAnsi="Arial" w:cs="Arial"/>
        </w:rPr>
      </w:pPr>
      <w:r w:rsidRPr="00E052B2">
        <w:rPr>
          <w:rFonts w:ascii="Arial" w:hAnsi="Arial" w:cs="Arial"/>
        </w:rPr>
        <w:t>This demographic is particularly vulnerable to the unique ne</w:t>
      </w:r>
      <w:r w:rsidR="00CF065B" w:rsidRPr="00E052B2">
        <w:rPr>
          <w:rFonts w:ascii="Arial" w:hAnsi="Arial" w:cs="Arial"/>
        </w:rPr>
        <w:t>urobiological and social transition associated with puberty. As Viner et al</w:t>
      </w:r>
      <w:r w:rsidR="009425D8" w:rsidRPr="00E052B2">
        <w:rPr>
          <w:rFonts w:ascii="Arial" w:hAnsi="Arial" w:cs="Arial"/>
        </w:rPr>
        <w:t xml:space="preserve">. (2019 argue adolescence represents a “sensitive period” for brain development </w:t>
      </w:r>
      <w:r w:rsidR="006C439B" w:rsidRPr="00E052B2">
        <w:rPr>
          <w:rFonts w:ascii="Arial" w:hAnsi="Arial" w:cs="Arial"/>
        </w:rPr>
        <w:t xml:space="preserve">where roughly 75% of adult mental health disorders </w:t>
      </w:r>
      <w:r w:rsidR="004E46AB" w:rsidRPr="00E052B2">
        <w:rPr>
          <w:rFonts w:ascii="Arial" w:hAnsi="Arial" w:cs="Arial"/>
        </w:rPr>
        <w:t xml:space="preserve">first manifest. </w:t>
      </w:r>
      <w:r w:rsidR="001F73CA" w:rsidRPr="00E052B2">
        <w:rPr>
          <w:rFonts w:ascii="Arial" w:hAnsi="Arial" w:cs="Arial"/>
        </w:rPr>
        <w:t>Consequently, fail</w:t>
      </w:r>
      <w:r w:rsidR="00D35457" w:rsidRPr="00E052B2">
        <w:rPr>
          <w:rFonts w:ascii="Arial" w:hAnsi="Arial" w:cs="Arial"/>
        </w:rPr>
        <w:t xml:space="preserve">ure to provide early intervention can lead to long term socioeconomic </w:t>
      </w:r>
      <w:r w:rsidR="00AC58EF" w:rsidRPr="00E052B2">
        <w:rPr>
          <w:rFonts w:ascii="Arial" w:hAnsi="Arial" w:cs="Arial"/>
        </w:rPr>
        <w:t>exclusion</w:t>
      </w:r>
      <w:r w:rsidR="00D35457" w:rsidRPr="00E052B2">
        <w:rPr>
          <w:rFonts w:ascii="Arial" w:hAnsi="Arial" w:cs="Arial"/>
        </w:rPr>
        <w:t xml:space="preserve"> and chr</w:t>
      </w:r>
      <w:r w:rsidR="00802BEC" w:rsidRPr="00E052B2">
        <w:rPr>
          <w:rFonts w:ascii="Arial" w:hAnsi="Arial" w:cs="Arial"/>
        </w:rPr>
        <w:t>onic health issues in adulthood.</w:t>
      </w:r>
    </w:p>
    <w:p w14:paraId="726262DF" w14:textId="3A338CED" w:rsidR="00802BEC" w:rsidRPr="00E052B2" w:rsidRDefault="00802BEC" w:rsidP="0018230E">
      <w:pPr>
        <w:rPr>
          <w:rFonts w:ascii="Arial" w:hAnsi="Arial" w:cs="Arial"/>
        </w:rPr>
      </w:pPr>
      <w:r w:rsidRPr="00E052B2">
        <w:rPr>
          <w:rFonts w:ascii="Arial" w:hAnsi="Arial" w:cs="Arial"/>
        </w:rPr>
        <w:t>Despite the clear need for rapid support</w:t>
      </w:r>
      <w:r w:rsidR="006E1190" w:rsidRPr="00E052B2">
        <w:rPr>
          <w:rFonts w:ascii="Arial" w:hAnsi="Arial" w:cs="Arial"/>
        </w:rPr>
        <w:t xml:space="preserve">, the </w:t>
      </w:r>
      <w:r w:rsidR="00AC58EF" w:rsidRPr="00E052B2">
        <w:rPr>
          <w:rFonts w:ascii="Arial" w:hAnsi="Arial" w:cs="Arial"/>
        </w:rPr>
        <w:t>statutory</w:t>
      </w:r>
      <w:r w:rsidR="006E1190" w:rsidRPr="00E052B2">
        <w:rPr>
          <w:rFonts w:ascii="Arial" w:hAnsi="Arial" w:cs="Arial"/>
        </w:rPr>
        <w:t xml:space="preserve"> response via </w:t>
      </w:r>
      <w:r w:rsidR="00EE4F7A" w:rsidRPr="00E052B2">
        <w:rPr>
          <w:rFonts w:ascii="Arial" w:hAnsi="Arial" w:cs="Arial"/>
        </w:rPr>
        <w:t xml:space="preserve">CAMHS struggle to keep pace. Record breaking </w:t>
      </w:r>
      <w:r w:rsidR="00F24FB1" w:rsidRPr="00E052B2">
        <w:rPr>
          <w:rFonts w:ascii="Arial" w:hAnsi="Arial" w:cs="Arial"/>
        </w:rPr>
        <w:t>referral</w:t>
      </w:r>
      <w:r w:rsidR="00F43F73" w:rsidRPr="00E052B2">
        <w:rPr>
          <w:rFonts w:ascii="Arial" w:hAnsi="Arial" w:cs="Arial"/>
        </w:rPr>
        <w:t xml:space="preserve"> rates have resulted in </w:t>
      </w:r>
      <w:r w:rsidR="00805F7E" w:rsidRPr="00E052B2">
        <w:rPr>
          <w:rFonts w:ascii="Arial" w:hAnsi="Arial" w:cs="Arial"/>
        </w:rPr>
        <w:t xml:space="preserve">a “treatment gap” where many young people </w:t>
      </w:r>
      <w:r w:rsidR="00CD2011" w:rsidRPr="00E052B2">
        <w:rPr>
          <w:rFonts w:ascii="Arial" w:hAnsi="Arial" w:cs="Arial"/>
        </w:rPr>
        <w:t>are deemed “too ill” for school based pastoral care</w:t>
      </w:r>
      <w:r w:rsidR="008966F8" w:rsidRPr="00E052B2">
        <w:rPr>
          <w:rFonts w:ascii="Arial" w:hAnsi="Arial" w:cs="Arial"/>
        </w:rPr>
        <w:t xml:space="preserve"> but “not ill enough” for specialised clinical interventions. This has led to </w:t>
      </w:r>
      <w:r w:rsidR="0085519D" w:rsidRPr="00E052B2">
        <w:rPr>
          <w:rFonts w:ascii="Arial" w:hAnsi="Arial" w:cs="Arial"/>
        </w:rPr>
        <w:t>the “</w:t>
      </w:r>
      <w:r w:rsidR="00A80FC2" w:rsidRPr="00E052B2">
        <w:rPr>
          <w:rFonts w:ascii="Arial" w:hAnsi="Arial" w:cs="Arial"/>
        </w:rPr>
        <w:t>Wellbeing</w:t>
      </w:r>
      <w:r w:rsidR="0085519D" w:rsidRPr="00E052B2">
        <w:rPr>
          <w:rFonts w:ascii="Arial" w:hAnsi="Arial" w:cs="Arial"/>
        </w:rPr>
        <w:t xml:space="preserve"> While Waiting” models, where </w:t>
      </w:r>
      <w:r w:rsidR="00410AD8" w:rsidRPr="00E052B2">
        <w:rPr>
          <w:rFonts w:ascii="Arial" w:hAnsi="Arial" w:cs="Arial"/>
        </w:rPr>
        <w:t xml:space="preserve">social prescribing is </w:t>
      </w:r>
      <w:r w:rsidR="00A80FC2" w:rsidRPr="00E052B2">
        <w:rPr>
          <w:rFonts w:ascii="Arial" w:hAnsi="Arial" w:cs="Arial"/>
        </w:rPr>
        <w:t>utilised</w:t>
      </w:r>
      <w:r w:rsidR="00410AD8" w:rsidRPr="00E052B2">
        <w:rPr>
          <w:rFonts w:ascii="Arial" w:hAnsi="Arial" w:cs="Arial"/>
        </w:rPr>
        <w:t xml:space="preserve"> to provide immediate, </w:t>
      </w:r>
      <w:r w:rsidR="00A80FC2" w:rsidRPr="00E052B2">
        <w:rPr>
          <w:rFonts w:ascii="Arial" w:hAnsi="Arial" w:cs="Arial"/>
        </w:rPr>
        <w:t>non-clinical</w:t>
      </w:r>
      <w:r w:rsidR="00410AD8" w:rsidRPr="00E052B2">
        <w:rPr>
          <w:rFonts w:ascii="Arial" w:hAnsi="Arial" w:cs="Arial"/>
        </w:rPr>
        <w:t xml:space="preserve"> support to prevent further deter</w:t>
      </w:r>
      <w:r w:rsidR="00EF7864" w:rsidRPr="00E052B2">
        <w:rPr>
          <w:rFonts w:ascii="Arial" w:hAnsi="Arial" w:cs="Arial"/>
        </w:rPr>
        <w:t>ioration while a young person remains on a clinical waiting list (Fancourt et al. 2023</w:t>
      </w:r>
      <w:r w:rsidR="00A80FC2" w:rsidRPr="00E052B2">
        <w:rPr>
          <w:rFonts w:ascii="Arial" w:hAnsi="Arial" w:cs="Arial"/>
        </w:rPr>
        <w:t>).</w:t>
      </w:r>
    </w:p>
    <w:p w14:paraId="71E18A81" w14:textId="77777777" w:rsidR="00883FC3" w:rsidRPr="00E052B2" w:rsidRDefault="00883FC3" w:rsidP="0018230E">
      <w:pPr>
        <w:rPr>
          <w:rFonts w:ascii="Arial" w:hAnsi="Arial" w:cs="Arial"/>
        </w:rPr>
      </w:pPr>
    </w:p>
    <w:p w14:paraId="22D71635" w14:textId="03AF8000" w:rsidR="00883FC3" w:rsidRPr="00E052B2" w:rsidRDefault="004C2E18" w:rsidP="0018230E">
      <w:pPr>
        <w:rPr>
          <w:rFonts w:ascii="Arial" w:hAnsi="Arial" w:cs="Arial"/>
          <w:b/>
          <w:bCs/>
        </w:rPr>
      </w:pPr>
      <w:r w:rsidRPr="00E052B2">
        <w:rPr>
          <w:rFonts w:ascii="Arial" w:hAnsi="Arial" w:cs="Arial"/>
          <w:b/>
          <w:bCs/>
        </w:rPr>
        <w:t xml:space="preserve">2.2 Policy and </w:t>
      </w:r>
      <w:r w:rsidR="00BD3051" w:rsidRPr="00E052B2">
        <w:rPr>
          <w:rFonts w:ascii="Arial" w:hAnsi="Arial" w:cs="Arial"/>
          <w:b/>
          <w:bCs/>
        </w:rPr>
        <w:t>L</w:t>
      </w:r>
      <w:r w:rsidRPr="00E052B2">
        <w:rPr>
          <w:rFonts w:ascii="Arial" w:hAnsi="Arial" w:cs="Arial"/>
          <w:b/>
          <w:bCs/>
        </w:rPr>
        <w:t>egislation</w:t>
      </w:r>
    </w:p>
    <w:p w14:paraId="0A906412" w14:textId="339D0D18" w:rsidR="004C2E18" w:rsidRPr="00E052B2" w:rsidRDefault="004C2E18" w:rsidP="0018230E">
      <w:pPr>
        <w:rPr>
          <w:rFonts w:ascii="Arial" w:hAnsi="Arial" w:cs="Arial"/>
        </w:rPr>
      </w:pPr>
      <w:r w:rsidRPr="00E052B2">
        <w:rPr>
          <w:rFonts w:ascii="Arial" w:hAnsi="Arial" w:cs="Arial"/>
        </w:rPr>
        <w:t>The formal integration of social prescribing into the UK’s primary care framework was codified in the NHS Long Term Plan (2019)</w:t>
      </w:r>
      <w:r w:rsidR="00460C34" w:rsidRPr="00E052B2">
        <w:rPr>
          <w:rFonts w:ascii="Arial" w:hAnsi="Arial" w:cs="Arial"/>
        </w:rPr>
        <w:t>. This policy shift aimed to move towards “Person</w:t>
      </w:r>
      <w:r w:rsidR="00BF3D99" w:rsidRPr="00E052B2">
        <w:rPr>
          <w:rFonts w:ascii="Arial" w:hAnsi="Arial" w:cs="Arial"/>
        </w:rPr>
        <w:t xml:space="preserve"> Centred Care” </w:t>
      </w:r>
      <w:r w:rsidR="00C750AD" w:rsidRPr="00E052B2">
        <w:rPr>
          <w:rFonts w:ascii="Arial" w:hAnsi="Arial" w:cs="Arial"/>
        </w:rPr>
        <w:t>with a target to employ over 1000, Social Prescribing Link Workers</w:t>
      </w:r>
      <w:r w:rsidR="00C97A14" w:rsidRPr="00E052B2">
        <w:rPr>
          <w:rFonts w:ascii="Arial" w:hAnsi="Arial" w:cs="Arial"/>
        </w:rPr>
        <w:t xml:space="preserve"> (SPLW) across </w:t>
      </w:r>
      <w:r w:rsidR="000662F5" w:rsidRPr="00E052B2">
        <w:rPr>
          <w:rFonts w:ascii="Arial" w:hAnsi="Arial" w:cs="Arial"/>
        </w:rPr>
        <w:t>England</w:t>
      </w:r>
      <w:r w:rsidR="00C97A14" w:rsidRPr="00E052B2">
        <w:rPr>
          <w:rFonts w:ascii="Arial" w:hAnsi="Arial" w:cs="Arial"/>
        </w:rPr>
        <w:t xml:space="preserve"> to address </w:t>
      </w:r>
      <w:r w:rsidR="000662F5" w:rsidRPr="00E052B2">
        <w:rPr>
          <w:rFonts w:ascii="Arial" w:hAnsi="Arial" w:cs="Arial"/>
        </w:rPr>
        <w:t>non-medical</w:t>
      </w:r>
      <w:r w:rsidR="00C97A14" w:rsidRPr="00E052B2">
        <w:rPr>
          <w:rFonts w:ascii="Arial" w:hAnsi="Arial" w:cs="Arial"/>
        </w:rPr>
        <w:t xml:space="preserve"> needs. However, academic analysis of the policy </w:t>
      </w:r>
      <w:r w:rsidR="000662F5" w:rsidRPr="00E052B2">
        <w:rPr>
          <w:rFonts w:ascii="Arial" w:hAnsi="Arial" w:cs="Arial"/>
        </w:rPr>
        <w:t>implementation</w:t>
      </w:r>
      <w:r w:rsidR="00C97A14" w:rsidRPr="00E052B2">
        <w:rPr>
          <w:rFonts w:ascii="Arial" w:hAnsi="Arial" w:cs="Arial"/>
        </w:rPr>
        <w:t xml:space="preserve"> </w:t>
      </w:r>
      <w:r w:rsidR="00E162CF" w:rsidRPr="00E052B2">
        <w:rPr>
          <w:rFonts w:ascii="Arial" w:hAnsi="Arial" w:cs="Arial"/>
        </w:rPr>
        <w:t xml:space="preserve">suggests a “postcode lottery” regarding its effectiveness for the 10-19 age group. According to Hayes et al. (2023), while </w:t>
      </w:r>
      <w:r w:rsidR="00256623" w:rsidRPr="00E052B2">
        <w:rPr>
          <w:rFonts w:ascii="Arial" w:hAnsi="Arial" w:cs="Arial"/>
        </w:rPr>
        <w:t>national policy advocates for a holistic “</w:t>
      </w:r>
      <w:r w:rsidR="000662F5" w:rsidRPr="00E052B2">
        <w:rPr>
          <w:rFonts w:ascii="Arial" w:hAnsi="Arial" w:cs="Arial"/>
        </w:rPr>
        <w:t>whole system</w:t>
      </w:r>
      <w:r w:rsidR="00256623" w:rsidRPr="00E052B2">
        <w:rPr>
          <w:rFonts w:ascii="Arial" w:hAnsi="Arial" w:cs="Arial"/>
        </w:rPr>
        <w:t>” approach</w:t>
      </w:r>
      <w:r w:rsidR="00724377" w:rsidRPr="00E052B2">
        <w:rPr>
          <w:rFonts w:ascii="Arial" w:hAnsi="Arial" w:cs="Arial"/>
        </w:rPr>
        <w:t xml:space="preserve">, the reality for Link Workers often involves navigating “siloed” funding structures where health and social care </w:t>
      </w:r>
      <w:r w:rsidR="00015E64" w:rsidRPr="00E052B2">
        <w:rPr>
          <w:rFonts w:ascii="Arial" w:hAnsi="Arial" w:cs="Arial"/>
        </w:rPr>
        <w:t>budgets do not align, particularly in youth services.</w:t>
      </w:r>
    </w:p>
    <w:p w14:paraId="228441CF" w14:textId="4865CD92" w:rsidR="00015E64" w:rsidRPr="00E052B2" w:rsidRDefault="000662F5" w:rsidP="0018230E">
      <w:pPr>
        <w:rPr>
          <w:rFonts w:ascii="Arial" w:hAnsi="Arial" w:cs="Arial"/>
        </w:rPr>
      </w:pPr>
      <w:r w:rsidRPr="00E052B2">
        <w:rPr>
          <w:rFonts w:ascii="Arial" w:hAnsi="Arial" w:cs="Arial"/>
        </w:rPr>
        <w:lastRenderedPageBreak/>
        <w:t>Furthermore,</w:t>
      </w:r>
      <w:r w:rsidR="00015E64" w:rsidRPr="00E052B2">
        <w:rPr>
          <w:rFonts w:ascii="Arial" w:hAnsi="Arial" w:cs="Arial"/>
        </w:rPr>
        <w:t xml:space="preserve"> the Social Value Act </w:t>
      </w:r>
      <w:r w:rsidRPr="00E052B2">
        <w:rPr>
          <w:rFonts w:ascii="Arial" w:hAnsi="Arial" w:cs="Arial"/>
        </w:rPr>
        <w:t>(2012) and subsequent health inequaliti</w:t>
      </w:r>
      <w:r w:rsidR="004B5047" w:rsidRPr="00E052B2">
        <w:rPr>
          <w:rFonts w:ascii="Arial" w:hAnsi="Arial" w:cs="Arial"/>
        </w:rPr>
        <w:t>es strategies have attempted to use social prescribing to level out the playing field for deprived communities. Yet, as M</w:t>
      </w:r>
      <w:r w:rsidR="00ED4DDA" w:rsidRPr="00E052B2">
        <w:rPr>
          <w:rFonts w:ascii="Arial" w:hAnsi="Arial" w:cs="Arial"/>
        </w:rPr>
        <w:t xml:space="preserve">armot et al. (2020) highlighted in their </w:t>
      </w:r>
      <w:r w:rsidR="0009553B" w:rsidRPr="00E052B2">
        <w:rPr>
          <w:rFonts w:ascii="Arial" w:hAnsi="Arial" w:cs="Arial"/>
        </w:rPr>
        <w:t>ten-year</w:t>
      </w:r>
      <w:r w:rsidR="00ED4DDA" w:rsidRPr="00E052B2">
        <w:rPr>
          <w:rFonts w:ascii="Arial" w:hAnsi="Arial" w:cs="Arial"/>
        </w:rPr>
        <w:t xml:space="preserve"> update </w:t>
      </w:r>
      <w:r w:rsidR="0073130C" w:rsidRPr="00E052B2">
        <w:rPr>
          <w:rFonts w:ascii="Arial" w:hAnsi="Arial" w:cs="Arial"/>
        </w:rPr>
        <w:t xml:space="preserve">on health equality in England, the policy of “universal credit” </w:t>
      </w:r>
      <w:r w:rsidR="00C977E8" w:rsidRPr="00E052B2">
        <w:rPr>
          <w:rFonts w:ascii="Arial" w:hAnsi="Arial" w:cs="Arial"/>
        </w:rPr>
        <w:t xml:space="preserve">and austerity driven cuts to local youth clubs have undermined the very </w:t>
      </w:r>
      <w:r w:rsidR="00092234" w:rsidRPr="00E052B2">
        <w:rPr>
          <w:rFonts w:ascii="Arial" w:hAnsi="Arial" w:cs="Arial"/>
        </w:rPr>
        <w:t xml:space="preserve">community assets that Link Workers are supposed to refer </w:t>
      </w:r>
      <w:r w:rsidR="00CD1057" w:rsidRPr="00E052B2">
        <w:rPr>
          <w:rFonts w:ascii="Arial" w:hAnsi="Arial" w:cs="Arial"/>
        </w:rPr>
        <w:t xml:space="preserve">young </w:t>
      </w:r>
      <w:r w:rsidR="0009553B" w:rsidRPr="00E052B2">
        <w:rPr>
          <w:rFonts w:ascii="Arial" w:hAnsi="Arial" w:cs="Arial"/>
        </w:rPr>
        <w:t>people</w:t>
      </w:r>
      <w:r w:rsidR="00CD1057" w:rsidRPr="00E052B2">
        <w:rPr>
          <w:rFonts w:ascii="Arial" w:hAnsi="Arial" w:cs="Arial"/>
        </w:rPr>
        <w:t xml:space="preserve"> to. </w:t>
      </w:r>
      <w:r w:rsidR="0009553B" w:rsidRPr="00E052B2">
        <w:rPr>
          <w:rFonts w:ascii="Arial" w:hAnsi="Arial" w:cs="Arial"/>
        </w:rPr>
        <w:t>Therefore</w:t>
      </w:r>
      <w:r w:rsidR="00CD1057" w:rsidRPr="00E052B2">
        <w:rPr>
          <w:rFonts w:ascii="Arial" w:hAnsi="Arial" w:cs="Arial"/>
        </w:rPr>
        <w:t xml:space="preserve">, while NHS England (2019 provides the legal and financial framework for social prescribing, peer reviewed evidence suggests that the success of the policy is deeply dependent on the local availability </w:t>
      </w:r>
      <w:r w:rsidR="00855676" w:rsidRPr="00E052B2">
        <w:rPr>
          <w:rFonts w:ascii="Arial" w:hAnsi="Arial" w:cs="Arial"/>
        </w:rPr>
        <w:t xml:space="preserve">of </w:t>
      </w:r>
      <w:r w:rsidR="0009553B" w:rsidRPr="00E052B2">
        <w:rPr>
          <w:rFonts w:ascii="Arial" w:hAnsi="Arial" w:cs="Arial"/>
        </w:rPr>
        <w:t>well-funded</w:t>
      </w:r>
      <w:r w:rsidR="00855676" w:rsidRPr="00E052B2">
        <w:rPr>
          <w:rFonts w:ascii="Arial" w:hAnsi="Arial" w:cs="Arial"/>
        </w:rPr>
        <w:t xml:space="preserve"> </w:t>
      </w:r>
      <w:r w:rsidR="00C93026" w:rsidRPr="00E052B2">
        <w:rPr>
          <w:rFonts w:ascii="Arial" w:hAnsi="Arial" w:cs="Arial"/>
        </w:rPr>
        <w:t>nonclinical</w:t>
      </w:r>
      <w:r w:rsidR="00855676" w:rsidRPr="00E052B2">
        <w:rPr>
          <w:rFonts w:ascii="Arial" w:hAnsi="Arial" w:cs="Arial"/>
        </w:rPr>
        <w:t xml:space="preserve"> “safe spaces” (Olsson and Hayes, 202</w:t>
      </w:r>
      <w:r w:rsidR="00892163" w:rsidRPr="00E052B2">
        <w:rPr>
          <w:rFonts w:ascii="Arial" w:hAnsi="Arial" w:cs="Arial"/>
        </w:rPr>
        <w:t>5).</w:t>
      </w:r>
    </w:p>
    <w:p w14:paraId="116173E8" w14:textId="1048B9CC" w:rsidR="00C93026" w:rsidRPr="00E052B2" w:rsidRDefault="00C93026" w:rsidP="0018230E">
      <w:pPr>
        <w:rPr>
          <w:rFonts w:ascii="Arial" w:hAnsi="Arial" w:cs="Arial"/>
          <w:b/>
          <w:bCs/>
        </w:rPr>
      </w:pPr>
      <w:r w:rsidRPr="00E052B2">
        <w:rPr>
          <w:rFonts w:ascii="Arial" w:hAnsi="Arial" w:cs="Arial"/>
          <w:b/>
          <w:bCs/>
        </w:rPr>
        <w:t>2.3 Socioeconomic Determinants and Health Equi</w:t>
      </w:r>
      <w:r w:rsidR="005E2C0B" w:rsidRPr="00E052B2">
        <w:rPr>
          <w:rFonts w:ascii="Arial" w:hAnsi="Arial" w:cs="Arial"/>
          <w:b/>
          <w:bCs/>
        </w:rPr>
        <w:t xml:space="preserve">ty </w:t>
      </w:r>
    </w:p>
    <w:p w14:paraId="66B37F11" w14:textId="2007E216" w:rsidR="005E2C0B" w:rsidRPr="00E052B2" w:rsidRDefault="005E2C0B" w:rsidP="0018230E">
      <w:pPr>
        <w:rPr>
          <w:rFonts w:ascii="Arial" w:hAnsi="Arial" w:cs="Arial"/>
        </w:rPr>
      </w:pPr>
      <w:r w:rsidRPr="00E052B2">
        <w:rPr>
          <w:rFonts w:ascii="Arial" w:hAnsi="Arial" w:cs="Arial"/>
        </w:rPr>
        <w:t>The distribution of mental health disorders among</w:t>
      </w:r>
      <w:r w:rsidR="00A91512" w:rsidRPr="00E052B2">
        <w:rPr>
          <w:rFonts w:ascii="Arial" w:hAnsi="Arial" w:cs="Arial"/>
        </w:rPr>
        <w:t xml:space="preserve"> the youth of the UK is not random, it follows a distinct soci</w:t>
      </w:r>
      <w:r w:rsidR="00E15606" w:rsidRPr="00E052B2">
        <w:rPr>
          <w:rFonts w:ascii="Arial" w:hAnsi="Arial" w:cs="Arial"/>
        </w:rPr>
        <w:t xml:space="preserve">oeconomic gradient. As </w:t>
      </w:r>
      <w:proofErr w:type="spellStart"/>
      <w:r w:rsidR="00E15606" w:rsidRPr="00E052B2">
        <w:rPr>
          <w:rFonts w:ascii="Arial" w:hAnsi="Arial" w:cs="Arial"/>
        </w:rPr>
        <w:t>Wahlbeck</w:t>
      </w:r>
      <w:proofErr w:type="spellEnd"/>
      <w:r w:rsidR="00E15606" w:rsidRPr="00E052B2">
        <w:rPr>
          <w:rFonts w:ascii="Arial" w:hAnsi="Arial" w:cs="Arial"/>
        </w:rPr>
        <w:t xml:space="preserve"> et al. (2017) arg</w:t>
      </w:r>
      <w:r w:rsidR="009E2981" w:rsidRPr="00E052B2">
        <w:rPr>
          <w:rFonts w:ascii="Arial" w:hAnsi="Arial" w:cs="Arial"/>
        </w:rPr>
        <w:t xml:space="preserve">ues, mental health is a “socially graded” phenomenon, meaning that individuals </w:t>
      </w:r>
      <w:r w:rsidR="0091691D" w:rsidRPr="00E052B2">
        <w:rPr>
          <w:rFonts w:ascii="Arial" w:hAnsi="Arial" w:cs="Arial"/>
        </w:rPr>
        <w:t xml:space="preserve">at the lower end of the socioeconomic spectrum face a </w:t>
      </w:r>
      <w:r w:rsidR="006D634B" w:rsidRPr="00E052B2">
        <w:rPr>
          <w:rFonts w:ascii="Arial" w:hAnsi="Arial" w:cs="Arial"/>
        </w:rPr>
        <w:t>significantly higher risk of developing common mental health disor</w:t>
      </w:r>
      <w:r w:rsidR="00825AD1" w:rsidRPr="00E052B2">
        <w:rPr>
          <w:rFonts w:ascii="Arial" w:hAnsi="Arial" w:cs="Arial"/>
        </w:rPr>
        <w:t xml:space="preserve">ders (CMD). In the UK, poverty acts as a </w:t>
      </w:r>
      <w:r w:rsidR="00AF71F0" w:rsidRPr="00E052B2">
        <w:rPr>
          <w:rFonts w:ascii="Arial" w:hAnsi="Arial" w:cs="Arial"/>
        </w:rPr>
        <w:t>chronic</w:t>
      </w:r>
      <w:r w:rsidR="00825AD1" w:rsidRPr="00E052B2">
        <w:rPr>
          <w:rFonts w:ascii="Arial" w:hAnsi="Arial" w:cs="Arial"/>
        </w:rPr>
        <w:t xml:space="preserve"> social stress</w:t>
      </w:r>
      <w:r w:rsidR="00350DB7" w:rsidRPr="00E052B2">
        <w:rPr>
          <w:rFonts w:ascii="Arial" w:hAnsi="Arial" w:cs="Arial"/>
        </w:rPr>
        <w:t>or that degrades the protective factors such as a stable h</w:t>
      </w:r>
      <w:r w:rsidR="008926E5" w:rsidRPr="00E052B2">
        <w:rPr>
          <w:rFonts w:ascii="Arial" w:hAnsi="Arial" w:cs="Arial"/>
        </w:rPr>
        <w:t>ousing, food security and safe recreational spaces, that are essential for adolescen</w:t>
      </w:r>
      <w:r w:rsidR="000849EC" w:rsidRPr="00E052B2">
        <w:rPr>
          <w:rFonts w:ascii="Arial" w:hAnsi="Arial" w:cs="Arial"/>
        </w:rPr>
        <w:t xml:space="preserve">t resilience </w:t>
      </w:r>
    </w:p>
    <w:p w14:paraId="18CFF7E4" w14:textId="552B542D" w:rsidR="002455E2" w:rsidRPr="00E052B2" w:rsidRDefault="000849EC" w:rsidP="0018230E">
      <w:pPr>
        <w:rPr>
          <w:rFonts w:ascii="Arial" w:hAnsi="Arial" w:cs="Arial"/>
        </w:rPr>
      </w:pPr>
      <w:r w:rsidRPr="00E052B2">
        <w:rPr>
          <w:rFonts w:ascii="Arial" w:hAnsi="Arial" w:cs="Arial"/>
        </w:rPr>
        <w:t>Applying an “equity lens” to the current landscape, Khan et al</w:t>
      </w:r>
      <w:r w:rsidR="00257896" w:rsidRPr="00E052B2">
        <w:rPr>
          <w:rFonts w:ascii="Arial" w:hAnsi="Arial" w:cs="Arial"/>
        </w:rPr>
        <w:t xml:space="preserve">. (2023) demonstrates that traditional clinical </w:t>
      </w:r>
      <w:r w:rsidR="00AF71F0" w:rsidRPr="00E052B2">
        <w:rPr>
          <w:rFonts w:ascii="Arial" w:hAnsi="Arial" w:cs="Arial"/>
        </w:rPr>
        <w:t>models</w:t>
      </w:r>
      <w:r w:rsidR="00257896" w:rsidRPr="00E052B2">
        <w:rPr>
          <w:rFonts w:ascii="Arial" w:hAnsi="Arial" w:cs="Arial"/>
        </w:rPr>
        <w:t xml:space="preserve"> often fail to address these structural roots of distress. For a young person living in a high</w:t>
      </w:r>
      <w:r w:rsidR="009531E8" w:rsidRPr="00E052B2">
        <w:rPr>
          <w:rFonts w:ascii="Arial" w:hAnsi="Arial" w:cs="Arial"/>
        </w:rPr>
        <w:t xml:space="preserve">ly deprived </w:t>
      </w:r>
      <w:r w:rsidR="00AF71F0" w:rsidRPr="00E052B2">
        <w:rPr>
          <w:rFonts w:ascii="Arial" w:hAnsi="Arial" w:cs="Arial"/>
        </w:rPr>
        <w:t>areas</w:t>
      </w:r>
      <w:r w:rsidR="009531E8" w:rsidRPr="00E052B2">
        <w:rPr>
          <w:rFonts w:ascii="Arial" w:hAnsi="Arial" w:cs="Arial"/>
        </w:rPr>
        <w:t xml:space="preserve">, a clinical diagnosis of anxiety may </w:t>
      </w:r>
      <w:proofErr w:type="gramStart"/>
      <w:r w:rsidR="009531E8" w:rsidRPr="00E052B2">
        <w:rPr>
          <w:rFonts w:ascii="Arial" w:hAnsi="Arial" w:cs="Arial"/>
        </w:rPr>
        <w:t>actually be</w:t>
      </w:r>
      <w:proofErr w:type="gramEnd"/>
      <w:r w:rsidR="006035DB" w:rsidRPr="00E052B2">
        <w:rPr>
          <w:rFonts w:ascii="Arial" w:hAnsi="Arial" w:cs="Arial"/>
        </w:rPr>
        <w:t xml:space="preserve"> a</w:t>
      </w:r>
      <w:r w:rsidR="009531E8" w:rsidRPr="00E052B2">
        <w:rPr>
          <w:rFonts w:ascii="Arial" w:hAnsi="Arial" w:cs="Arial"/>
        </w:rPr>
        <w:t xml:space="preserve"> rationa</w:t>
      </w:r>
      <w:r w:rsidR="006035DB" w:rsidRPr="00E052B2">
        <w:rPr>
          <w:rFonts w:ascii="Arial" w:hAnsi="Arial" w:cs="Arial"/>
        </w:rPr>
        <w:t xml:space="preserve">l response to environment instability. Social prescribing </w:t>
      </w:r>
      <w:r w:rsidR="00AF71F0" w:rsidRPr="00E052B2">
        <w:rPr>
          <w:rFonts w:ascii="Arial" w:hAnsi="Arial" w:cs="Arial"/>
        </w:rPr>
        <w:t>represents a policy attempt</w:t>
      </w:r>
      <w:r w:rsidR="00F95AB8" w:rsidRPr="00E052B2">
        <w:rPr>
          <w:rFonts w:ascii="Arial" w:hAnsi="Arial" w:cs="Arial"/>
        </w:rPr>
        <w:t xml:space="preserve"> to address these “social determinants” by providing a Link Worker </w:t>
      </w:r>
      <w:r w:rsidR="0033743F" w:rsidRPr="00E052B2">
        <w:rPr>
          <w:rFonts w:ascii="Arial" w:hAnsi="Arial" w:cs="Arial"/>
        </w:rPr>
        <w:t>who can navigate the complex web of local support. However, Marmot et al. (2020) war</w:t>
      </w:r>
      <w:r w:rsidR="00C3776E" w:rsidRPr="00E052B2">
        <w:rPr>
          <w:rFonts w:ascii="Arial" w:hAnsi="Arial" w:cs="Arial"/>
        </w:rPr>
        <w:t>ns that unless these interventions are “proportionately universal” meaning they provide more support to those with the greatest need</w:t>
      </w:r>
      <w:r w:rsidR="00931118" w:rsidRPr="00E052B2">
        <w:rPr>
          <w:rFonts w:ascii="Arial" w:hAnsi="Arial" w:cs="Arial"/>
        </w:rPr>
        <w:t xml:space="preserve">, they </w:t>
      </w:r>
      <w:r w:rsidR="00126FC0" w:rsidRPr="00E052B2">
        <w:rPr>
          <w:rFonts w:ascii="Arial" w:hAnsi="Arial" w:cs="Arial"/>
        </w:rPr>
        <w:t xml:space="preserve">increase the risk of being inaccessible to the </w:t>
      </w:r>
      <w:r w:rsidR="006D6AAC" w:rsidRPr="00E052B2">
        <w:rPr>
          <w:rFonts w:ascii="Arial" w:hAnsi="Arial" w:cs="Arial"/>
        </w:rPr>
        <w:t xml:space="preserve">people they are designed </w:t>
      </w:r>
      <w:r w:rsidR="009F6703" w:rsidRPr="00E052B2">
        <w:rPr>
          <w:rFonts w:ascii="Arial" w:hAnsi="Arial" w:cs="Arial"/>
        </w:rPr>
        <w:t xml:space="preserve">help. For </w:t>
      </w:r>
      <w:r w:rsidR="00E052B2" w:rsidRPr="00E052B2">
        <w:rPr>
          <w:rFonts w:ascii="Arial" w:hAnsi="Arial" w:cs="Arial"/>
        </w:rPr>
        <w:t>example,</w:t>
      </w:r>
      <w:r w:rsidR="009F6703" w:rsidRPr="00E052B2">
        <w:rPr>
          <w:rFonts w:ascii="Arial" w:hAnsi="Arial" w:cs="Arial"/>
        </w:rPr>
        <w:t xml:space="preserve"> </w:t>
      </w:r>
      <w:r w:rsidR="004412C0" w:rsidRPr="00E052B2">
        <w:rPr>
          <w:rFonts w:ascii="Arial" w:hAnsi="Arial" w:cs="Arial"/>
        </w:rPr>
        <w:t>a “free” community fitness class is not access</w:t>
      </w:r>
      <w:r w:rsidR="002E0263" w:rsidRPr="00E052B2">
        <w:rPr>
          <w:rFonts w:ascii="Arial" w:hAnsi="Arial" w:cs="Arial"/>
        </w:rPr>
        <w:t>ible to a teenager who can not afford the bus fare to attend, a barrier known as “transport poverty” (K</w:t>
      </w:r>
      <w:r w:rsidR="00AB7DAC" w:rsidRPr="00E052B2">
        <w:rPr>
          <w:rFonts w:ascii="Arial" w:hAnsi="Arial" w:cs="Arial"/>
        </w:rPr>
        <w:t>han et al., 2023).</w:t>
      </w:r>
    </w:p>
    <w:p w14:paraId="04CBB702" w14:textId="77777777" w:rsidR="002455E2" w:rsidRPr="00E052B2" w:rsidRDefault="002455E2" w:rsidP="0018230E">
      <w:pPr>
        <w:rPr>
          <w:rFonts w:ascii="Arial" w:hAnsi="Arial" w:cs="Arial"/>
        </w:rPr>
      </w:pPr>
    </w:p>
    <w:p w14:paraId="0FAA6DC4" w14:textId="57915994" w:rsidR="002455E2" w:rsidRPr="00E052B2" w:rsidRDefault="002455E2" w:rsidP="0018230E">
      <w:pPr>
        <w:rPr>
          <w:rFonts w:ascii="Arial" w:hAnsi="Arial" w:cs="Arial"/>
          <w:b/>
          <w:bCs/>
        </w:rPr>
      </w:pPr>
      <w:r w:rsidRPr="00E052B2">
        <w:rPr>
          <w:rFonts w:ascii="Arial" w:hAnsi="Arial" w:cs="Arial"/>
          <w:b/>
          <w:bCs/>
        </w:rPr>
        <w:t>3 Methods</w:t>
      </w:r>
    </w:p>
    <w:p w14:paraId="21DAEB0D" w14:textId="7ACE7D83" w:rsidR="002455E2" w:rsidRPr="00E052B2" w:rsidRDefault="002455E2" w:rsidP="0018230E">
      <w:pPr>
        <w:rPr>
          <w:rFonts w:ascii="Arial" w:hAnsi="Arial" w:cs="Arial"/>
          <w:b/>
          <w:bCs/>
        </w:rPr>
      </w:pPr>
      <w:r w:rsidRPr="00E052B2">
        <w:rPr>
          <w:rFonts w:ascii="Arial" w:hAnsi="Arial" w:cs="Arial"/>
          <w:b/>
          <w:bCs/>
        </w:rPr>
        <w:t>3.1 Search Strategy</w:t>
      </w:r>
    </w:p>
    <w:p w14:paraId="07AF4BCB" w14:textId="4669B3DA" w:rsidR="00DC7351" w:rsidRPr="00E052B2" w:rsidRDefault="00DC7351" w:rsidP="0018230E">
      <w:pPr>
        <w:rPr>
          <w:rFonts w:ascii="Arial" w:hAnsi="Arial" w:cs="Arial"/>
        </w:rPr>
      </w:pPr>
      <w:r w:rsidRPr="00E052B2">
        <w:rPr>
          <w:rFonts w:ascii="Arial" w:hAnsi="Arial" w:cs="Arial"/>
        </w:rPr>
        <w:t xml:space="preserve">The methodology for this scoping review followed the framework for systematic literature </w:t>
      </w:r>
      <w:r w:rsidR="007D3E38" w:rsidRPr="00E052B2">
        <w:rPr>
          <w:rFonts w:ascii="Arial" w:hAnsi="Arial" w:cs="Arial"/>
        </w:rPr>
        <w:t xml:space="preserve">searches outlined by Aveyard (2023). To ensure a comprehensive </w:t>
      </w:r>
      <w:r w:rsidR="00370DE2" w:rsidRPr="00E052B2">
        <w:rPr>
          <w:rFonts w:ascii="Arial" w:hAnsi="Arial" w:cs="Arial"/>
        </w:rPr>
        <w:t xml:space="preserve">identification of relevant studies, three electronic databases were searched in </w:t>
      </w:r>
      <w:r w:rsidR="003D24BA" w:rsidRPr="00E052B2">
        <w:rPr>
          <w:rFonts w:ascii="Arial" w:hAnsi="Arial" w:cs="Arial"/>
        </w:rPr>
        <w:t>Febr</w:t>
      </w:r>
      <w:r w:rsidR="0013300D" w:rsidRPr="00E052B2">
        <w:rPr>
          <w:rFonts w:ascii="Arial" w:hAnsi="Arial" w:cs="Arial"/>
        </w:rPr>
        <w:t xml:space="preserve">uary 2026: </w:t>
      </w:r>
      <w:r w:rsidR="00596DC0" w:rsidRPr="00E052B2">
        <w:rPr>
          <w:rFonts w:ascii="Arial" w:hAnsi="Arial" w:cs="Arial"/>
        </w:rPr>
        <w:t>University</w:t>
      </w:r>
      <w:r w:rsidR="0013300D" w:rsidRPr="00E052B2">
        <w:rPr>
          <w:rFonts w:ascii="Arial" w:hAnsi="Arial" w:cs="Arial"/>
        </w:rPr>
        <w:t xml:space="preserve"> of Wales Trinity St David </w:t>
      </w:r>
      <w:r w:rsidR="00276411" w:rsidRPr="00E052B2">
        <w:rPr>
          <w:rFonts w:ascii="Arial" w:hAnsi="Arial" w:cs="Arial"/>
        </w:rPr>
        <w:t>library (UWTSD Library), CINAHL</w:t>
      </w:r>
      <w:r w:rsidR="00596DC0" w:rsidRPr="00E052B2">
        <w:rPr>
          <w:rFonts w:ascii="Arial" w:hAnsi="Arial" w:cs="Arial"/>
        </w:rPr>
        <w:t xml:space="preserve"> and PubMed. </w:t>
      </w:r>
    </w:p>
    <w:p w14:paraId="1BA52501" w14:textId="3B8F699D" w:rsidR="00596DC0" w:rsidRPr="00E052B2" w:rsidRDefault="00596DC0" w:rsidP="0018230E">
      <w:pPr>
        <w:rPr>
          <w:rFonts w:ascii="Arial" w:hAnsi="Arial" w:cs="Arial"/>
        </w:rPr>
      </w:pPr>
      <w:r w:rsidRPr="00E052B2">
        <w:rPr>
          <w:rFonts w:ascii="Arial" w:hAnsi="Arial" w:cs="Arial"/>
        </w:rPr>
        <w:t xml:space="preserve">The searches </w:t>
      </w:r>
      <w:r w:rsidR="000602A1" w:rsidRPr="00E052B2">
        <w:rPr>
          <w:rFonts w:ascii="Arial" w:hAnsi="Arial" w:cs="Arial"/>
        </w:rPr>
        <w:t>utilised Boolean operators to maximise sensitivity and spec</w:t>
      </w:r>
      <w:r w:rsidR="00EE7F81" w:rsidRPr="00E052B2">
        <w:rPr>
          <w:rFonts w:ascii="Arial" w:hAnsi="Arial" w:cs="Arial"/>
        </w:rPr>
        <w:t>ificity. The following search s</w:t>
      </w:r>
      <w:r w:rsidR="00CF3C3E" w:rsidRPr="00E052B2">
        <w:rPr>
          <w:rFonts w:ascii="Arial" w:hAnsi="Arial" w:cs="Arial"/>
        </w:rPr>
        <w:t>tring was applied:</w:t>
      </w:r>
    </w:p>
    <w:p w14:paraId="4AA201A0" w14:textId="41668571" w:rsidR="00847A5D" w:rsidRPr="00E052B2" w:rsidRDefault="00CF3C3E" w:rsidP="0018230E">
      <w:pPr>
        <w:rPr>
          <w:rFonts w:ascii="Arial" w:hAnsi="Arial" w:cs="Arial"/>
        </w:rPr>
      </w:pPr>
      <w:r w:rsidRPr="00E052B2">
        <w:rPr>
          <w:rFonts w:ascii="Arial" w:hAnsi="Arial" w:cs="Arial"/>
        </w:rPr>
        <w:t xml:space="preserve">(“Social </w:t>
      </w:r>
      <w:r w:rsidR="00772125" w:rsidRPr="00E052B2">
        <w:rPr>
          <w:rFonts w:ascii="Arial" w:hAnsi="Arial" w:cs="Arial"/>
        </w:rPr>
        <w:t>Prescribing</w:t>
      </w:r>
      <w:r w:rsidRPr="00E052B2">
        <w:rPr>
          <w:rFonts w:ascii="Arial" w:hAnsi="Arial" w:cs="Arial"/>
        </w:rPr>
        <w:t>” OR “Link Worker” OR “Community Referral”)</w:t>
      </w:r>
      <w:r w:rsidR="00062C62" w:rsidRPr="00E052B2">
        <w:rPr>
          <w:rFonts w:ascii="Arial" w:hAnsi="Arial" w:cs="Arial"/>
        </w:rPr>
        <w:t xml:space="preserve"> </w:t>
      </w:r>
      <w:r w:rsidRPr="00E052B2">
        <w:rPr>
          <w:rFonts w:ascii="Arial" w:hAnsi="Arial" w:cs="Arial"/>
        </w:rPr>
        <w:t>AND (</w:t>
      </w:r>
      <w:r w:rsidR="00504901" w:rsidRPr="00E052B2">
        <w:rPr>
          <w:rFonts w:ascii="Arial" w:hAnsi="Arial" w:cs="Arial"/>
        </w:rPr>
        <w:t>“Young People” OR “Adolescent”</w:t>
      </w:r>
      <w:r w:rsidR="00062C62" w:rsidRPr="00E052B2">
        <w:rPr>
          <w:rFonts w:ascii="Arial" w:hAnsi="Arial" w:cs="Arial"/>
        </w:rPr>
        <w:t xml:space="preserve"> </w:t>
      </w:r>
      <w:r w:rsidR="00007CC9" w:rsidRPr="00E052B2">
        <w:rPr>
          <w:rFonts w:ascii="Arial" w:hAnsi="Arial" w:cs="Arial"/>
        </w:rPr>
        <w:t>OR “Teenager</w:t>
      </w:r>
      <w:r w:rsidR="004F5F5F" w:rsidRPr="00E052B2">
        <w:rPr>
          <w:rFonts w:ascii="Arial" w:hAnsi="Arial" w:cs="Arial"/>
        </w:rPr>
        <w:t>”) And (“Mental Health” OR “Wellbeing”) AND (“United Kingdom</w:t>
      </w:r>
      <w:r w:rsidR="00847A5D" w:rsidRPr="00E052B2">
        <w:rPr>
          <w:rFonts w:ascii="Arial" w:hAnsi="Arial" w:cs="Arial"/>
        </w:rPr>
        <w:t>” OR “UK”).</w:t>
      </w:r>
    </w:p>
    <w:p w14:paraId="6BB6E9F4" w14:textId="436F518B" w:rsidR="00772125" w:rsidRPr="00E052B2" w:rsidRDefault="00847A5D" w:rsidP="0018230E">
      <w:pPr>
        <w:rPr>
          <w:rFonts w:ascii="Arial" w:hAnsi="Arial" w:cs="Arial"/>
        </w:rPr>
      </w:pPr>
      <w:r w:rsidRPr="00E052B2">
        <w:rPr>
          <w:rFonts w:ascii="Arial" w:hAnsi="Arial" w:cs="Arial"/>
        </w:rPr>
        <w:t xml:space="preserve">To ensure the review reflected </w:t>
      </w:r>
      <w:r w:rsidR="00007CC9" w:rsidRPr="00E052B2">
        <w:rPr>
          <w:rFonts w:ascii="Arial" w:hAnsi="Arial" w:cs="Arial"/>
        </w:rPr>
        <w:t>current NHS policy</w:t>
      </w:r>
      <w:r w:rsidR="0003019D" w:rsidRPr="00E052B2">
        <w:rPr>
          <w:rFonts w:ascii="Arial" w:hAnsi="Arial" w:cs="Arial"/>
        </w:rPr>
        <w:t xml:space="preserve"> and post pandemic social contexts, the search was limited to peer revied articles published between 2016 and 2026.</w:t>
      </w:r>
    </w:p>
    <w:p w14:paraId="039A63BB" w14:textId="77777777" w:rsidR="00297772" w:rsidRPr="00E052B2" w:rsidRDefault="00297772" w:rsidP="0018230E">
      <w:pPr>
        <w:rPr>
          <w:rFonts w:ascii="Arial" w:hAnsi="Arial" w:cs="Arial"/>
        </w:rPr>
      </w:pPr>
    </w:p>
    <w:p w14:paraId="330DE267" w14:textId="72DA82B3" w:rsidR="00297772" w:rsidRPr="00E052B2" w:rsidRDefault="00297772" w:rsidP="0018230E">
      <w:pPr>
        <w:rPr>
          <w:rFonts w:ascii="Arial" w:hAnsi="Arial" w:cs="Arial"/>
          <w:b/>
          <w:bCs/>
        </w:rPr>
      </w:pPr>
      <w:r w:rsidRPr="00E052B2">
        <w:rPr>
          <w:rFonts w:ascii="Arial" w:hAnsi="Arial" w:cs="Arial"/>
          <w:b/>
          <w:bCs/>
        </w:rPr>
        <w:t xml:space="preserve">3.2 </w:t>
      </w:r>
      <w:r w:rsidR="003B3C13" w:rsidRPr="00E052B2">
        <w:rPr>
          <w:rFonts w:ascii="Arial" w:hAnsi="Arial" w:cs="Arial"/>
          <w:b/>
          <w:bCs/>
        </w:rPr>
        <w:t>Eligibility</w:t>
      </w:r>
      <w:r w:rsidRPr="00E052B2">
        <w:rPr>
          <w:rFonts w:ascii="Arial" w:hAnsi="Arial" w:cs="Arial"/>
          <w:b/>
          <w:bCs/>
        </w:rPr>
        <w:t xml:space="preserve"> Criteria</w:t>
      </w:r>
    </w:p>
    <w:p w14:paraId="0918C739" w14:textId="20DBE10C" w:rsidR="00297772" w:rsidRPr="00E052B2" w:rsidRDefault="00297772" w:rsidP="0018230E">
      <w:pPr>
        <w:rPr>
          <w:rFonts w:ascii="Arial" w:hAnsi="Arial" w:cs="Arial"/>
        </w:rPr>
      </w:pPr>
      <w:r w:rsidRPr="00E052B2">
        <w:rPr>
          <w:rFonts w:ascii="Arial" w:hAnsi="Arial" w:cs="Arial"/>
        </w:rPr>
        <w:lastRenderedPageBreak/>
        <w:t xml:space="preserve">To maintain a focused scope, specific inclusion and exclusion criteria were established prior to the search. </w:t>
      </w:r>
      <w:r w:rsidR="003B3C13" w:rsidRPr="00E052B2">
        <w:rPr>
          <w:rFonts w:ascii="Arial" w:hAnsi="Arial" w:cs="Arial"/>
        </w:rPr>
        <w:t>This criterion</w:t>
      </w:r>
      <w:r w:rsidR="00475FFA" w:rsidRPr="00E052B2">
        <w:rPr>
          <w:rFonts w:ascii="Arial" w:hAnsi="Arial" w:cs="Arial"/>
        </w:rPr>
        <w:t xml:space="preserve"> w</w:t>
      </w:r>
      <w:r w:rsidR="003B3C13" w:rsidRPr="00E052B2">
        <w:rPr>
          <w:rFonts w:ascii="Arial" w:hAnsi="Arial" w:cs="Arial"/>
        </w:rPr>
        <w:t>as</w:t>
      </w:r>
      <w:r w:rsidR="004F7682" w:rsidRPr="00E052B2">
        <w:rPr>
          <w:rFonts w:ascii="Arial" w:hAnsi="Arial" w:cs="Arial"/>
        </w:rPr>
        <w:t xml:space="preserve"> developed using the PCC (Population, Concept, Context) frame</w:t>
      </w:r>
      <w:r w:rsidR="00F55BC5" w:rsidRPr="00E052B2">
        <w:rPr>
          <w:rFonts w:ascii="Arial" w:hAnsi="Arial" w:cs="Arial"/>
        </w:rPr>
        <w:t xml:space="preserve">work </w:t>
      </w:r>
      <w:r w:rsidR="00D33450" w:rsidRPr="00E052B2">
        <w:rPr>
          <w:rFonts w:ascii="Arial" w:hAnsi="Arial" w:cs="Arial"/>
        </w:rPr>
        <w:t>recommended by</w:t>
      </w:r>
      <w:r w:rsidR="00F55BC5" w:rsidRPr="00E052B2">
        <w:rPr>
          <w:rFonts w:ascii="Arial" w:hAnsi="Arial" w:cs="Arial"/>
        </w:rPr>
        <w:t xml:space="preserve"> the JBI Manual for Evidence Synthesis (Peter et al., 2020</w:t>
      </w:r>
      <w:r w:rsidR="00D33450" w:rsidRPr="00E052B2">
        <w:rPr>
          <w:rFonts w:ascii="Arial" w:hAnsi="Arial" w:cs="Arial"/>
        </w:rPr>
        <w:t>)</w:t>
      </w:r>
      <w:r w:rsidR="003B3C13" w:rsidRPr="00E052B2">
        <w:rPr>
          <w:rFonts w:ascii="Arial" w:hAnsi="Arial" w:cs="Arial"/>
        </w:rPr>
        <w:t>.</w:t>
      </w:r>
    </w:p>
    <w:p w14:paraId="7108B055" w14:textId="77777777" w:rsidR="005B2D7C" w:rsidRPr="00E052B2" w:rsidRDefault="005B2D7C" w:rsidP="0018230E">
      <w:pPr>
        <w:rPr>
          <w:rFonts w:ascii="Arial" w:hAnsi="Arial" w:cs="Arial"/>
        </w:rPr>
      </w:pPr>
    </w:p>
    <w:p w14:paraId="3CB5ED58" w14:textId="21110BEF" w:rsidR="005B2D7C" w:rsidRPr="00E052B2" w:rsidRDefault="005B2D7C" w:rsidP="0018230E">
      <w:pPr>
        <w:rPr>
          <w:rFonts w:ascii="Arial" w:hAnsi="Arial" w:cs="Arial"/>
          <w:b/>
          <w:bCs/>
        </w:rPr>
      </w:pPr>
      <w:r w:rsidRPr="00E052B2">
        <w:rPr>
          <w:rFonts w:ascii="Arial" w:hAnsi="Arial" w:cs="Arial"/>
          <w:b/>
          <w:bCs/>
        </w:rPr>
        <w:t>Table 1 Inclusion and exclusion Criteria</w:t>
      </w:r>
    </w:p>
    <w:p w14:paraId="492EB081" w14:textId="2BAF57EB" w:rsidR="000B1265" w:rsidRPr="00E052B2" w:rsidRDefault="000B1265" w:rsidP="0018230E">
      <w:pPr>
        <w:rPr>
          <w:rFonts w:ascii="Arial" w:hAnsi="Arial" w:cs="Arial"/>
        </w:rPr>
      </w:pPr>
    </w:p>
    <w:tbl>
      <w:tblPr>
        <w:tblStyle w:val="TableGrid"/>
        <w:tblW w:w="0" w:type="auto"/>
        <w:tblLook w:val="04A0" w:firstRow="1" w:lastRow="0" w:firstColumn="1" w:lastColumn="0" w:noHBand="0" w:noVBand="1"/>
      </w:tblPr>
      <w:tblGrid>
        <w:gridCol w:w="2349"/>
        <w:gridCol w:w="1896"/>
        <w:gridCol w:w="1896"/>
      </w:tblGrid>
      <w:tr w:rsidR="00132F00" w:rsidRPr="00E052B2" w14:paraId="1BB0ED1A" w14:textId="77777777" w:rsidTr="00141350">
        <w:tc>
          <w:tcPr>
            <w:tcW w:w="2349" w:type="dxa"/>
          </w:tcPr>
          <w:p w14:paraId="2AA9CFE6" w14:textId="77777777" w:rsidR="00132F00" w:rsidRPr="00E052B2" w:rsidRDefault="00132F00" w:rsidP="00EA18C9">
            <w:pPr>
              <w:rPr>
                <w:rFonts w:ascii="Arial" w:hAnsi="Arial" w:cs="Arial"/>
              </w:rPr>
            </w:pPr>
          </w:p>
        </w:tc>
        <w:tc>
          <w:tcPr>
            <w:tcW w:w="1896" w:type="dxa"/>
          </w:tcPr>
          <w:p w14:paraId="46F426B3" w14:textId="5F64D80E" w:rsidR="00132F00" w:rsidRPr="00E052B2" w:rsidRDefault="00132F00" w:rsidP="00EA18C9">
            <w:pPr>
              <w:rPr>
                <w:rFonts w:ascii="Arial" w:hAnsi="Arial" w:cs="Arial"/>
              </w:rPr>
            </w:pPr>
            <w:r w:rsidRPr="00E052B2">
              <w:rPr>
                <w:rFonts w:ascii="Arial" w:hAnsi="Arial" w:cs="Arial"/>
              </w:rPr>
              <w:t>Inclusion Criteria</w:t>
            </w:r>
          </w:p>
        </w:tc>
        <w:tc>
          <w:tcPr>
            <w:tcW w:w="1896" w:type="dxa"/>
          </w:tcPr>
          <w:p w14:paraId="6D569FA0" w14:textId="485747DC" w:rsidR="00132F00" w:rsidRPr="00E052B2" w:rsidRDefault="00132F00" w:rsidP="00EA18C9">
            <w:pPr>
              <w:rPr>
                <w:rFonts w:ascii="Arial" w:hAnsi="Arial" w:cs="Arial"/>
              </w:rPr>
            </w:pPr>
            <w:r w:rsidRPr="00E052B2">
              <w:rPr>
                <w:rFonts w:ascii="Arial" w:hAnsi="Arial" w:cs="Arial"/>
              </w:rPr>
              <w:t>Exclusion Criteria</w:t>
            </w:r>
          </w:p>
        </w:tc>
      </w:tr>
      <w:tr w:rsidR="00132F00" w:rsidRPr="00E052B2" w14:paraId="146C08CA" w14:textId="77777777" w:rsidTr="00141350">
        <w:tc>
          <w:tcPr>
            <w:tcW w:w="2349" w:type="dxa"/>
          </w:tcPr>
          <w:p w14:paraId="6D84AD6C" w14:textId="52B0E460" w:rsidR="00132F00" w:rsidRPr="00E052B2" w:rsidRDefault="00132F00" w:rsidP="00EA18C9">
            <w:pPr>
              <w:rPr>
                <w:rFonts w:ascii="Arial" w:hAnsi="Arial" w:cs="Arial"/>
              </w:rPr>
            </w:pPr>
            <w:r w:rsidRPr="00E052B2">
              <w:rPr>
                <w:rFonts w:ascii="Arial" w:hAnsi="Arial" w:cs="Arial"/>
              </w:rPr>
              <w:t>Population</w:t>
            </w:r>
          </w:p>
        </w:tc>
        <w:tc>
          <w:tcPr>
            <w:tcW w:w="1896" w:type="dxa"/>
          </w:tcPr>
          <w:p w14:paraId="425A5BA7" w14:textId="3AC17BC9" w:rsidR="00132F00" w:rsidRPr="00E052B2" w:rsidRDefault="00132F00" w:rsidP="00EA18C9">
            <w:pPr>
              <w:rPr>
                <w:rFonts w:ascii="Arial" w:hAnsi="Arial" w:cs="Arial"/>
              </w:rPr>
            </w:pPr>
            <w:r w:rsidRPr="00E052B2">
              <w:rPr>
                <w:rFonts w:ascii="Arial" w:hAnsi="Arial" w:cs="Arial"/>
              </w:rPr>
              <w:t>Young people aged 10-19 years</w:t>
            </w:r>
          </w:p>
        </w:tc>
        <w:tc>
          <w:tcPr>
            <w:tcW w:w="1896" w:type="dxa"/>
          </w:tcPr>
          <w:p w14:paraId="340CE4AB" w14:textId="576CA4A1" w:rsidR="00132F00" w:rsidRPr="00E052B2" w:rsidRDefault="00132F00" w:rsidP="00EA18C9">
            <w:pPr>
              <w:rPr>
                <w:rFonts w:ascii="Arial" w:hAnsi="Arial" w:cs="Arial"/>
              </w:rPr>
            </w:pPr>
            <w:r w:rsidRPr="00E052B2">
              <w:rPr>
                <w:rFonts w:ascii="Arial" w:hAnsi="Arial" w:cs="Arial"/>
              </w:rPr>
              <w:t xml:space="preserve">Adults (20+) children under 10 years old. </w:t>
            </w:r>
          </w:p>
        </w:tc>
      </w:tr>
      <w:tr w:rsidR="00132F00" w:rsidRPr="00E052B2" w14:paraId="03DA9832" w14:textId="77777777" w:rsidTr="00141350">
        <w:tc>
          <w:tcPr>
            <w:tcW w:w="2349" w:type="dxa"/>
          </w:tcPr>
          <w:p w14:paraId="0F99DE04" w14:textId="258D60D1" w:rsidR="00132F00" w:rsidRPr="00E052B2" w:rsidRDefault="00132F00" w:rsidP="00EA18C9">
            <w:pPr>
              <w:rPr>
                <w:rFonts w:ascii="Arial" w:hAnsi="Arial" w:cs="Arial"/>
              </w:rPr>
            </w:pPr>
            <w:r w:rsidRPr="00E052B2">
              <w:rPr>
                <w:rFonts w:ascii="Arial" w:hAnsi="Arial" w:cs="Arial"/>
              </w:rPr>
              <w:t>Intervention</w:t>
            </w:r>
          </w:p>
        </w:tc>
        <w:tc>
          <w:tcPr>
            <w:tcW w:w="1896" w:type="dxa"/>
          </w:tcPr>
          <w:p w14:paraId="0E3FD301" w14:textId="2BB6B1AD" w:rsidR="00132F00" w:rsidRPr="00E052B2" w:rsidRDefault="00132F00" w:rsidP="00EA18C9">
            <w:pPr>
              <w:rPr>
                <w:rFonts w:ascii="Arial" w:hAnsi="Arial" w:cs="Arial"/>
              </w:rPr>
            </w:pPr>
            <w:r w:rsidRPr="00E052B2">
              <w:rPr>
                <w:rFonts w:ascii="Arial" w:hAnsi="Arial" w:cs="Arial"/>
              </w:rPr>
              <w:t xml:space="preserve">Social prescribing, Link workers, or community based nonclinical referrals </w:t>
            </w:r>
          </w:p>
        </w:tc>
        <w:tc>
          <w:tcPr>
            <w:tcW w:w="1896" w:type="dxa"/>
          </w:tcPr>
          <w:p w14:paraId="111168B5" w14:textId="7DF488EE" w:rsidR="00132F00" w:rsidRPr="00E052B2" w:rsidRDefault="00132F00" w:rsidP="00EA18C9">
            <w:pPr>
              <w:rPr>
                <w:rFonts w:ascii="Arial" w:hAnsi="Arial" w:cs="Arial"/>
              </w:rPr>
            </w:pPr>
            <w:r w:rsidRPr="00E052B2">
              <w:rPr>
                <w:rFonts w:ascii="Arial" w:hAnsi="Arial" w:cs="Arial"/>
              </w:rPr>
              <w:t>Clinical medical interventions (medication, CBT) or inpatient hospital care</w:t>
            </w:r>
          </w:p>
        </w:tc>
      </w:tr>
      <w:tr w:rsidR="00132F00" w:rsidRPr="00E052B2" w14:paraId="239FD860" w14:textId="77777777" w:rsidTr="00141350">
        <w:tc>
          <w:tcPr>
            <w:tcW w:w="2349" w:type="dxa"/>
          </w:tcPr>
          <w:p w14:paraId="740D6E48" w14:textId="13849046" w:rsidR="00132F00" w:rsidRPr="00E052B2" w:rsidRDefault="00132F00" w:rsidP="00EA18C9">
            <w:pPr>
              <w:rPr>
                <w:rFonts w:ascii="Arial" w:hAnsi="Arial" w:cs="Arial"/>
              </w:rPr>
            </w:pPr>
            <w:r w:rsidRPr="00E052B2">
              <w:rPr>
                <w:rFonts w:ascii="Arial" w:hAnsi="Arial" w:cs="Arial"/>
              </w:rPr>
              <w:t>Context</w:t>
            </w:r>
          </w:p>
        </w:tc>
        <w:tc>
          <w:tcPr>
            <w:tcW w:w="1896" w:type="dxa"/>
          </w:tcPr>
          <w:p w14:paraId="2895969A" w14:textId="1ACB03A8" w:rsidR="00132F00" w:rsidRPr="00E052B2" w:rsidRDefault="00132F00" w:rsidP="00EA18C9">
            <w:pPr>
              <w:rPr>
                <w:rFonts w:ascii="Arial" w:hAnsi="Arial" w:cs="Arial"/>
              </w:rPr>
            </w:pPr>
            <w:r w:rsidRPr="00E052B2">
              <w:rPr>
                <w:rFonts w:ascii="Arial" w:hAnsi="Arial" w:cs="Arial"/>
              </w:rPr>
              <w:t>United Kingdom (England, Scotland, Wales, NI) health and social care settings.</w:t>
            </w:r>
          </w:p>
        </w:tc>
        <w:tc>
          <w:tcPr>
            <w:tcW w:w="1896" w:type="dxa"/>
          </w:tcPr>
          <w:p w14:paraId="2F8749F3" w14:textId="29360780" w:rsidR="00132F00" w:rsidRPr="00E052B2" w:rsidRDefault="00132F00" w:rsidP="00EA18C9">
            <w:pPr>
              <w:rPr>
                <w:rFonts w:ascii="Arial" w:hAnsi="Arial" w:cs="Arial"/>
              </w:rPr>
            </w:pPr>
            <w:r w:rsidRPr="00E052B2">
              <w:rPr>
                <w:rFonts w:ascii="Arial" w:hAnsi="Arial" w:cs="Arial"/>
              </w:rPr>
              <w:t>International studied, (USA, Europe) due to different health care structures.</w:t>
            </w:r>
          </w:p>
        </w:tc>
      </w:tr>
      <w:tr w:rsidR="00132F00" w:rsidRPr="00E052B2" w14:paraId="466F5517" w14:textId="77777777" w:rsidTr="00141350">
        <w:tc>
          <w:tcPr>
            <w:tcW w:w="2349" w:type="dxa"/>
          </w:tcPr>
          <w:p w14:paraId="463CB277" w14:textId="557FED0B" w:rsidR="00132F00" w:rsidRPr="00E052B2" w:rsidRDefault="00132F00" w:rsidP="00EA18C9">
            <w:pPr>
              <w:rPr>
                <w:rFonts w:ascii="Arial" w:hAnsi="Arial" w:cs="Arial"/>
              </w:rPr>
            </w:pPr>
            <w:r w:rsidRPr="00E052B2">
              <w:rPr>
                <w:rFonts w:ascii="Arial" w:hAnsi="Arial" w:cs="Arial"/>
              </w:rPr>
              <w:t>Study Type</w:t>
            </w:r>
          </w:p>
        </w:tc>
        <w:tc>
          <w:tcPr>
            <w:tcW w:w="1896" w:type="dxa"/>
          </w:tcPr>
          <w:p w14:paraId="765B676E" w14:textId="7957F448" w:rsidR="00132F00" w:rsidRPr="00E052B2" w:rsidRDefault="00132F00" w:rsidP="00EA18C9">
            <w:pPr>
              <w:rPr>
                <w:rFonts w:ascii="Arial" w:hAnsi="Arial" w:cs="Arial"/>
              </w:rPr>
            </w:pPr>
            <w:r w:rsidRPr="00E052B2">
              <w:rPr>
                <w:rFonts w:ascii="Arial" w:hAnsi="Arial" w:cs="Arial"/>
              </w:rPr>
              <w:t>Primary peer reviewed research (Qualitative, Quantitative, or mixed methods</w:t>
            </w:r>
          </w:p>
        </w:tc>
        <w:tc>
          <w:tcPr>
            <w:tcW w:w="1896" w:type="dxa"/>
          </w:tcPr>
          <w:p w14:paraId="08DF66F1" w14:textId="18CA88DA" w:rsidR="00132F00" w:rsidRPr="00E052B2" w:rsidRDefault="00132F00" w:rsidP="00EA18C9">
            <w:pPr>
              <w:rPr>
                <w:rFonts w:ascii="Arial" w:hAnsi="Arial" w:cs="Arial"/>
              </w:rPr>
            </w:pPr>
            <w:r w:rsidRPr="00E052B2">
              <w:rPr>
                <w:rFonts w:ascii="Arial" w:hAnsi="Arial" w:cs="Arial"/>
              </w:rPr>
              <w:t>Policy papers, editorials, conference abstracts</w:t>
            </w:r>
          </w:p>
        </w:tc>
      </w:tr>
      <w:tr w:rsidR="00132F00" w:rsidRPr="00E052B2" w14:paraId="375935BA" w14:textId="77777777" w:rsidTr="00141350">
        <w:tc>
          <w:tcPr>
            <w:tcW w:w="2349" w:type="dxa"/>
          </w:tcPr>
          <w:p w14:paraId="38203C08" w14:textId="003C6B36" w:rsidR="00132F00" w:rsidRPr="00E052B2" w:rsidRDefault="00132F00" w:rsidP="00EA18C9">
            <w:pPr>
              <w:rPr>
                <w:rFonts w:ascii="Arial" w:hAnsi="Arial" w:cs="Arial"/>
              </w:rPr>
            </w:pPr>
            <w:r w:rsidRPr="00E052B2">
              <w:rPr>
                <w:rFonts w:ascii="Arial" w:hAnsi="Arial" w:cs="Arial"/>
              </w:rPr>
              <w:t xml:space="preserve">Outcome </w:t>
            </w:r>
          </w:p>
        </w:tc>
        <w:tc>
          <w:tcPr>
            <w:tcW w:w="1896" w:type="dxa"/>
          </w:tcPr>
          <w:p w14:paraId="420CFFBA" w14:textId="3E436D76" w:rsidR="00132F00" w:rsidRPr="00E052B2" w:rsidRDefault="00132F00" w:rsidP="00EA18C9">
            <w:pPr>
              <w:rPr>
                <w:rFonts w:ascii="Arial" w:hAnsi="Arial" w:cs="Arial"/>
              </w:rPr>
            </w:pPr>
            <w:r w:rsidRPr="00E052B2">
              <w:rPr>
                <w:rFonts w:ascii="Arial" w:hAnsi="Arial" w:cs="Arial"/>
              </w:rPr>
              <w:t>Mental health outcomes, wellbeing, engagement level, or barriers to access</w:t>
            </w:r>
          </w:p>
        </w:tc>
        <w:tc>
          <w:tcPr>
            <w:tcW w:w="1896" w:type="dxa"/>
          </w:tcPr>
          <w:p w14:paraId="0C746754" w14:textId="2CF0D462" w:rsidR="00132F00" w:rsidRPr="00E052B2" w:rsidRDefault="00132F00" w:rsidP="00EA18C9">
            <w:pPr>
              <w:rPr>
                <w:rFonts w:ascii="Arial" w:hAnsi="Arial" w:cs="Arial"/>
              </w:rPr>
            </w:pPr>
            <w:r w:rsidRPr="00E052B2">
              <w:rPr>
                <w:rFonts w:ascii="Arial" w:hAnsi="Arial" w:cs="Arial"/>
              </w:rPr>
              <w:t>Studies focusing solely on physical health (e.g. childhood obesity) without a mental health link.</w:t>
            </w:r>
          </w:p>
        </w:tc>
      </w:tr>
      <w:tr w:rsidR="00132F00" w:rsidRPr="00E052B2" w14:paraId="0BA60F49" w14:textId="77777777" w:rsidTr="00141350">
        <w:tc>
          <w:tcPr>
            <w:tcW w:w="2349" w:type="dxa"/>
          </w:tcPr>
          <w:p w14:paraId="746EE594" w14:textId="2647D52A" w:rsidR="00132F00" w:rsidRPr="00E052B2" w:rsidRDefault="00132F00" w:rsidP="00EA18C9">
            <w:pPr>
              <w:rPr>
                <w:rFonts w:ascii="Arial" w:hAnsi="Arial" w:cs="Arial"/>
              </w:rPr>
            </w:pPr>
            <w:r w:rsidRPr="00E052B2">
              <w:rPr>
                <w:rFonts w:ascii="Arial" w:hAnsi="Arial" w:cs="Arial"/>
              </w:rPr>
              <w:t>Date Range</w:t>
            </w:r>
          </w:p>
        </w:tc>
        <w:tc>
          <w:tcPr>
            <w:tcW w:w="1896" w:type="dxa"/>
          </w:tcPr>
          <w:p w14:paraId="0EC103D9" w14:textId="3BCB12B9" w:rsidR="00132F00" w:rsidRPr="00E052B2" w:rsidRDefault="00132F00" w:rsidP="00EA18C9">
            <w:pPr>
              <w:rPr>
                <w:rFonts w:ascii="Arial" w:hAnsi="Arial" w:cs="Arial"/>
              </w:rPr>
            </w:pPr>
            <w:r w:rsidRPr="00E052B2">
              <w:rPr>
                <w:rFonts w:ascii="Arial" w:hAnsi="Arial" w:cs="Arial"/>
              </w:rPr>
              <w:t>Published between 2016 and 2026</w:t>
            </w:r>
          </w:p>
        </w:tc>
        <w:tc>
          <w:tcPr>
            <w:tcW w:w="1896" w:type="dxa"/>
          </w:tcPr>
          <w:p w14:paraId="3489F095" w14:textId="2E108E7E" w:rsidR="00132F00" w:rsidRPr="00E052B2" w:rsidRDefault="00132F00" w:rsidP="00EA18C9">
            <w:pPr>
              <w:rPr>
                <w:rFonts w:ascii="Arial" w:hAnsi="Arial" w:cs="Arial"/>
              </w:rPr>
            </w:pPr>
            <w:r w:rsidRPr="00E052B2">
              <w:rPr>
                <w:rFonts w:ascii="Arial" w:hAnsi="Arial" w:cs="Arial"/>
              </w:rPr>
              <w:t>Studies published before 2016</w:t>
            </w:r>
          </w:p>
        </w:tc>
      </w:tr>
    </w:tbl>
    <w:p w14:paraId="22E0991C" w14:textId="77777777" w:rsidR="00E66218" w:rsidRPr="00E052B2" w:rsidRDefault="00E66218" w:rsidP="00007FF6">
      <w:pPr>
        <w:rPr>
          <w:rFonts w:ascii="Arial" w:hAnsi="Arial" w:cs="Arial"/>
        </w:rPr>
      </w:pPr>
    </w:p>
    <w:p w14:paraId="412B1CBD" w14:textId="06746532" w:rsidR="00E90525" w:rsidRPr="00E052B2" w:rsidRDefault="004F7703" w:rsidP="00FF5C23">
      <w:pPr>
        <w:rPr>
          <w:rFonts w:ascii="Arial" w:hAnsi="Arial" w:cs="Arial"/>
          <w:b/>
          <w:bCs/>
        </w:rPr>
      </w:pPr>
      <w:r w:rsidRPr="00E052B2">
        <w:rPr>
          <w:rFonts w:ascii="Arial" w:hAnsi="Arial" w:cs="Arial"/>
          <w:b/>
          <w:bCs/>
        </w:rPr>
        <w:t>3.3 Study Selection and PRISMA</w:t>
      </w:r>
    </w:p>
    <w:p w14:paraId="4B9BA06A" w14:textId="6D2071CF" w:rsidR="004F7703" w:rsidRPr="00E052B2" w:rsidRDefault="004F7703" w:rsidP="00FF5C23">
      <w:pPr>
        <w:rPr>
          <w:rFonts w:ascii="Arial" w:hAnsi="Arial" w:cs="Arial"/>
        </w:rPr>
      </w:pPr>
      <w:r w:rsidRPr="00E052B2">
        <w:rPr>
          <w:rFonts w:ascii="Arial" w:hAnsi="Arial" w:cs="Arial"/>
        </w:rPr>
        <w:t xml:space="preserve">The </w:t>
      </w:r>
      <w:r w:rsidR="00E834DC" w:rsidRPr="00E052B2">
        <w:rPr>
          <w:rFonts w:ascii="Arial" w:hAnsi="Arial" w:cs="Arial"/>
        </w:rPr>
        <w:t>selection</w:t>
      </w:r>
      <w:r w:rsidRPr="00E052B2">
        <w:rPr>
          <w:rFonts w:ascii="Arial" w:hAnsi="Arial" w:cs="Arial"/>
        </w:rPr>
        <w:t xml:space="preserve"> process followed the PRISMA 2020(Preferred report</w:t>
      </w:r>
      <w:r w:rsidR="00952AC0" w:rsidRPr="00E052B2">
        <w:rPr>
          <w:rFonts w:ascii="Arial" w:hAnsi="Arial" w:cs="Arial"/>
        </w:rPr>
        <w:t xml:space="preserve">ing Item for Systematic Reviews and Meta -Analyses) guidelines (Page et al. 2021). </w:t>
      </w:r>
      <w:r w:rsidR="006C1109" w:rsidRPr="00E052B2">
        <w:rPr>
          <w:rFonts w:ascii="Arial" w:hAnsi="Arial" w:cs="Arial"/>
        </w:rPr>
        <w:t>I</w:t>
      </w:r>
      <w:r w:rsidR="00952AC0" w:rsidRPr="00E052B2">
        <w:rPr>
          <w:rFonts w:ascii="Arial" w:hAnsi="Arial" w:cs="Arial"/>
        </w:rPr>
        <w:t>nit</w:t>
      </w:r>
      <w:r w:rsidR="006C1109" w:rsidRPr="00E052B2">
        <w:rPr>
          <w:rFonts w:ascii="Arial" w:hAnsi="Arial" w:cs="Arial"/>
        </w:rPr>
        <w:t>ial results were screened by title and abstract. Studies were excluded if they</w:t>
      </w:r>
      <w:r w:rsidR="00933E6A" w:rsidRPr="00E052B2">
        <w:rPr>
          <w:rFonts w:ascii="Arial" w:hAnsi="Arial" w:cs="Arial"/>
        </w:rPr>
        <w:t xml:space="preserve"> focused on clinical interventions or were conducted outside of the </w:t>
      </w:r>
      <w:r w:rsidR="0025221D" w:rsidRPr="00E052B2">
        <w:rPr>
          <w:rFonts w:ascii="Arial" w:hAnsi="Arial" w:cs="Arial"/>
        </w:rPr>
        <w:t>UK,</w:t>
      </w:r>
      <w:r w:rsidR="00933E6A" w:rsidRPr="00E052B2">
        <w:rPr>
          <w:rFonts w:ascii="Arial" w:hAnsi="Arial" w:cs="Arial"/>
        </w:rPr>
        <w:t xml:space="preserve"> as the unique structure</w:t>
      </w:r>
      <w:r w:rsidR="000736B7" w:rsidRPr="00E052B2">
        <w:rPr>
          <w:rFonts w:ascii="Arial" w:hAnsi="Arial" w:cs="Arial"/>
        </w:rPr>
        <w:t xml:space="preserve"> of the NHS and local “Social Value” acts are </w:t>
      </w:r>
      <w:r w:rsidR="0025221D" w:rsidRPr="00E052B2">
        <w:rPr>
          <w:rFonts w:ascii="Arial" w:hAnsi="Arial" w:cs="Arial"/>
        </w:rPr>
        <w:t>central</w:t>
      </w:r>
      <w:r w:rsidR="000736B7" w:rsidRPr="00E052B2">
        <w:rPr>
          <w:rFonts w:ascii="Arial" w:hAnsi="Arial" w:cs="Arial"/>
        </w:rPr>
        <w:t xml:space="preserve"> to this </w:t>
      </w:r>
      <w:r w:rsidR="00E834DC" w:rsidRPr="00E052B2">
        <w:rPr>
          <w:rFonts w:ascii="Arial" w:hAnsi="Arial" w:cs="Arial"/>
        </w:rPr>
        <w:t>review’s</w:t>
      </w:r>
      <w:r w:rsidR="000736B7" w:rsidRPr="00E052B2">
        <w:rPr>
          <w:rFonts w:ascii="Arial" w:hAnsi="Arial" w:cs="Arial"/>
        </w:rPr>
        <w:t xml:space="preserve"> rationale</w:t>
      </w:r>
      <w:r w:rsidR="009104DB" w:rsidRPr="00E052B2">
        <w:rPr>
          <w:rFonts w:ascii="Arial" w:hAnsi="Arial" w:cs="Arial"/>
        </w:rPr>
        <w:t>. Following this, full-text screening was conducted on the remaining papers to ensure they met all elig</w:t>
      </w:r>
      <w:r w:rsidR="00E834DC" w:rsidRPr="00E052B2">
        <w:rPr>
          <w:rFonts w:ascii="Arial" w:hAnsi="Arial" w:cs="Arial"/>
        </w:rPr>
        <w:t>ibility criteria.</w:t>
      </w:r>
    </w:p>
    <w:p w14:paraId="6C08E061" w14:textId="77777777" w:rsidR="00255DAE" w:rsidRPr="00E052B2" w:rsidRDefault="00255DAE" w:rsidP="00FF5C23">
      <w:pPr>
        <w:rPr>
          <w:rFonts w:ascii="Arial" w:hAnsi="Arial" w:cs="Arial"/>
        </w:rPr>
      </w:pPr>
    </w:p>
    <w:p w14:paraId="0C4311EB" w14:textId="25ED7621" w:rsidR="00255DAE" w:rsidRPr="00E052B2" w:rsidRDefault="00255DAE" w:rsidP="00FF5C23">
      <w:pPr>
        <w:rPr>
          <w:rFonts w:ascii="Arial" w:hAnsi="Arial" w:cs="Arial"/>
          <w:b/>
          <w:bCs/>
        </w:rPr>
      </w:pPr>
      <w:r w:rsidRPr="00E052B2">
        <w:rPr>
          <w:rFonts w:ascii="Arial" w:hAnsi="Arial" w:cs="Arial"/>
          <w:b/>
          <w:bCs/>
        </w:rPr>
        <w:lastRenderedPageBreak/>
        <w:t>Figure 1: PRISMA 2020 Flow Diagram, Adapted from Page et al. (2021)</w:t>
      </w:r>
    </w:p>
    <w:p w14:paraId="3BDAE485" w14:textId="06633842" w:rsidR="00FA702C" w:rsidRPr="00E052B2" w:rsidRDefault="00255DAE" w:rsidP="00FF5C23">
      <w:pPr>
        <w:rPr>
          <w:rFonts w:ascii="Arial" w:hAnsi="Arial" w:cs="Arial"/>
        </w:rPr>
      </w:pPr>
      <w:r w:rsidRPr="00E052B2">
        <w:rPr>
          <w:rFonts w:ascii="Arial" w:hAnsi="Arial" w:cs="Arial"/>
          <w:noProof/>
        </w:rPr>
        <mc:AlternateContent>
          <mc:Choice Requires="wps">
            <w:drawing>
              <wp:anchor distT="45720" distB="45720" distL="114300" distR="114300" simplePos="0" relativeHeight="251661312" behindDoc="0" locked="0" layoutInCell="1" allowOverlap="1" wp14:anchorId="7D2D922A" wp14:editId="00F9DF42">
                <wp:simplePos x="0" y="0"/>
                <wp:positionH relativeFrom="column">
                  <wp:posOffset>1722120</wp:posOffset>
                </wp:positionH>
                <wp:positionV relativeFrom="paragraph">
                  <wp:posOffset>165735</wp:posOffset>
                </wp:positionV>
                <wp:extent cx="1874520" cy="9677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4520" cy="967740"/>
                        </a:xfrm>
                        <a:prstGeom prst="rect">
                          <a:avLst/>
                        </a:prstGeom>
                        <a:solidFill>
                          <a:srgbClr val="FFFFFF"/>
                        </a:solidFill>
                        <a:ln w="9525">
                          <a:solidFill>
                            <a:srgbClr val="000000"/>
                          </a:solidFill>
                          <a:miter lim="800000"/>
                          <a:headEnd/>
                          <a:tailEnd/>
                        </a:ln>
                      </wps:spPr>
                      <wps:txbx>
                        <w:txbxContent>
                          <w:p w14:paraId="564530A5" w14:textId="57F56502" w:rsidR="00A64571" w:rsidRPr="006E7839" w:rsidRDefault="00685AC8">
                            <w:pPr>
                              <w:rPr>
                                <w:sz w:val="16"/>
                                <w:szCs w:val="16"/>
                              </w:rPr>
                            </w:pPr>
                            <w:r w:rsidRPr="006E7839">
                              <w:rPr>
                                <w:sz w:val="16"/>
                                <w:szCs w:val="16"/>
                              </w:rPr>
                              <w:t>Identification of studies via databases</w:t>
                            </w:r>
                            <w:r w:rsidR="00B862CF" w:rsidRPr="006E7839">
                              <w:rPr>
                                <w:sz w:val="16"/>
                                <w:szCs w:val="16"/>
                              </w:rPr>
                              <w:t>.</w:t>
                            </w:r>
                          </w:p>
                          <w:p w14:paraId="660432C4" w14:textId="575C54F4" w:rsidR="00B862CF" w:rsidRPr="006E7839" w:rsidRDefault="00B862CF">
                            <w:pPr>
                              <w:rPr>
                                <w:sz w:val="16"/>
                                <w:szCs w:val="16"/>
                              </w:rPr>
                            </w:pPr>
                            <w:r w:rsidRPr="006E7839">
                              <w:rPr>
                                <w:sz w:val="16"/>
                                <w:szCs w:val="16"/>
                              </w:rPr>
                              <w:t>PubMed</w:t>
                            </w:r>
                            <w:r w:rsidR="001B4AD6" w:rsidRPr="006E7839">
                              <w:rPr>
                                <w:sz w:val="16"/>
                                <w:szCs w:val="16"/>
                              </w:rPr>
                              <w:t xml:space="preserve"> (n=150)</w:t>
                            </w:r>
                          </w:p>
                          <w:p w14:paraId="3935D69F" w14:textId="0C33F048" w:rsidR="00B862CF" w:rsidRPr="006E7839" w:rsidRDefault="00B862CF">
                            <w:pPr>
                              <w:rPr>
                                <w:sz w:val="16"/>
                                <w:szCs w:val="16"/>
                              </w:rPr>
                            </w:pPr>
                            <w:r w:rsidRPr="006E7839">
                              <w:rPr>
                                <w:sz w:val="16"/>
                                <w:szCs w:val="16"/>
                              </w:rPr>
                              <w:t>CINAHL (n</w:t>
                            </w:r>
                            <w:r w:rsidR="001B4AD6" w:rsidRPr="006E7839">
                              <w:rPr>
                                <w:sz w:val="16"/>
                                <w:szCs w:val="16"/>
                              </w:rPr>
                              <w:t xml:space="preserve"> =127)</w:t>
                            </w:r>
                          </w:p>
                          <w:p w14:paraId="6D0A87D2" w14:textId="429F1150" w:rsidR="001B4AD6" w:rsidRPr="006E7839" w:rsidRDefault="001B4AD6">
                            <w:pPr>
                              <w:rPr>
                                <w:sz w:val="16"/>
                                <w:szCs w:val="16"/>
                              </w:rPr>
                            </w:pPr>
                            <w:r w:rsidRPr="006E7839">
                              <w:rPr>
                                <w:sz w:val="16"/>
                                <w:szCs w:val="16"/>
                              </w:rPr>
                              <w:t>UWTSD Library (n =160)</w:t>
                            </w:r>
                          </w:p>
                          <w:p w14:paraId="0DBB8581" w14:textId="5477631E" w:rsidR="001B4AD6" w:rsidRPr="006E7839" w:rsidRDefault="001B4AD6">
                            <w:pPr>
                              <w:rPr>
                                <w:sz w:val="16"/>
                                <w:szCs w:val="16"/>
                              </w:rPr>
                            </w:pPr>
                            <w:r w:rsidRPr="006E7839">
                              <w:rPr>
                                <w:sz w:val="16"/>
                                <w:szCs w:val="16"/>
                              </w:rPr>
                              <w:t>Total (n</w:t>
                            </w:r>
                            <w:r w:rsidR="006E7839" w:rsidRPr="006E7839">
                              <w:rPr>
                                <w:sz w:val="16"/>
                                <w:szCs w:val="16"/>
                              </w:rPr>
                              <w:t xml:space="preserve"> = 437)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2D922A" id="_x0000_t202" coordsize="21600,21600" o:spt="202" path="m,l,21600r21600,l21600,xe">
                <v:stroke joinstyle="miter"/>
                <v:path gradientshapeok="t" o:connecttype="rect"/>
              </v:shapetype>
              <v:shape id="Text Box 2" o:spid="_x0000_s1026" type="#_x0000_t202" style="position:absolute;margin-left:135.6pt;margin-top:13.05pt;width:147.6pt;height:76.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">
                <v:textbox>
                  <w:txbxContent>
                    <w:p w14:paraId="564530A5" w14:textId="57F56502" w:rsidR="00A64571" w:rsidRPr="006E7839" w:rsidRDefault="00685AC8">
                      <w:pPr>
                        <w:rPr>
                          <w:sz w:val="16"/>
                          <w:szCs w:val="16"/>
                        </w:rPr>
                      </w:pPr>
                      <w:r w:rsidRPr="006E7839">
                        <w:rPr>
                          <w:sz w:val="16"/>
                          <w:szCs w:val="16"/>
                        </w:rPr>
                        <w:t>Identification of studies via databases</w:t>
                      </w:r>
                      <w:r w:rsidR="00B862CF" w:rsidRPr="006E7839">
                        <w:rPr>
                          <w:sz w:val="16"/>
                          <w:szCs w:val="16"/>
                        </w:rPr>
                        <w:t>.</w:t>
                      </w:r>
                    </w:p>
                    <w:p w14:paraId="660432C4" w14:textId="575C54F4" w:rsidR="00B862CF" w:rsidRPr="006E7839" w:rsidRDefault="00B862CF">
                      <w:pPr>
                        <w:rPr>
                          <w:sz w:val="16"/>
                          <w:szCs w:val="16"/>
                        </w:rPr>
                      </w:pPr>
                      <w:r w:rsidRPr="006E7839">
                        <w:rPr>
                          <w:sz w:val="16"/>
                          <w:szCs w:val="16"/>
                        </w:rPr>
                        <w:t>PubMed</w:t>
                      </w:r>
                      <w:r w:rsidR="001B4AD6" w:rsidRPr="006E7839">
                        <w:rPr>
                          <w:sz w:val="16"/>
                          <w:szCs w:val="16"/>
                        </w:rPr>
                        <w:t xml:space="preserve"> (n=150)</w:t>
                      </w:r>
                    </w:p>
                    <w:p w14:paraId="3935D69F" w14:textId="0C33F048" w:rsidR="00B862CF" w:rsidRPr="006E7839" w:rsidRDefault="00B862CF">
                      <w:pPr>
                        <w:rPr>
                          <w:sz w:val="16"/>
                          <w:szCs w:val="16"/>
                        </w:rPr>
                      </w:pPr>
                      <w:r w:rsidRPr="006E7839">
                        <w:rPr>
                          <w:sz w:val="16"/>
                          <w:szCs w:val="16"/>
                        </w:rPr>
                        <w:t>CINAHL (n</w:t>
                      </w:r>
                      <w:r w:rsidR="001B4AD6" w:rsidRPr="006E7839">
                        <w:rPr>
                          <w:sz w:val="16"/>
                          <w:szCs w:val="16"/>
                        </w:rPr>
                        <w:t xml:space="preserve"> =127)</w:t>
                      </w:r>
                    </w:p>
                    <w:p w14:paraId="6D0A87D2" w14:textId="429F1150" w:rsidR="001B4AD6" w:rsidRPr="006E7839" w:rsidRDefault="001B4AD6">
                      <w:pPr>
                        <w:rPr>
                          <w:sz w:val="16"/>
                          <w:szCs w:val="16"/>
                        </w:rPr>
                      </w:pPr>
                      <w:r w:rsidRPr="006E7839">
                        <w:rPr>
                          <w:sz w:val="16"/>
                          <w:szCs w:val="16"/>
                        </w:rPr>
                        <w:t>UWTSD Library (n =160)</w:t>
                      </w:r>
                    </w:p>
                    <w:p w14:paraId="0DBB8581" w14:textId="5477631E" w:rsidR="001B4AD6" w:rsidRPr="006E7839" w:rsidRDefault="001B4AD6">
                      <w:pPr>
                        <w:rPr>
                          <w:sz w:val="16"/>
                          <w:szCs w:val="16"/>
                        </w:rPr>
                      </w:pPr>
                      <w:r w:rsidRPr="006E7839">
                        <w:rPr>
                          <w:sz w:val="16"/>
                          <w:szCs w:val="16"/>
                        </w:rPr>
                        <w:t>Total (n</w:t>
                      </w:r>
                      <w:r w:rsidR="006E7839" w:rsidRPr="006E7839">
                        <w:rPr>
                          <w:sz w:val="16"/>
                          <w:szCs w:val="16"/>
                        </w:rPr>
                        <w:t xml:space="preserve"> = 437)</w:t>
                      </w:r>
                    </w:p>
                  </w:txbxContent>
                </v:textbox>
                <w10:wrap type="square"/>
              </v:shape>
            </w:pict>
          </mc:Fallback>
        </mc:AlternateContent>
      </w:r>
      <w:r w:rsidR="006E7839" w:rsidRPr="00E052B2">
        <w:rPr>
          <w:rFonts w:ascii="Arial" w:hAnsi="Arial" w:cs="Arial"/>
          <w:noProof/>
        </w:rPr>
        <mc:AlternateContent>
          <mc:Choice Requires="wps">
            <w:drawing>
              <wp:anchor distT="0" distB="0" distL="114300" distR="114300" simplePos="0" relativeHeight="251659264" behindDoc="0" locked="0" layoutInCell="1" allowOverlap="1" wp14:anchorId="27AF375C" wp14:editId="2771E929">
                <wp:simplePos x="0" y="0"/>
                <wp:positionH relativeFrom="column">
                  <wp:posOffset>1386840</wp:posOffset>
                </wp:positionH>
                <wp:positionV relativeFrom="paragraph">
                  <wp:posOffset>89535</wp:posOffset>
                </wp:positionV>
                <wp:extent cx="2430780" cy="1165860"/>
                <wp:effectExtent l="0" t="0" r="26670" b="15240"/>
                <wp:wrapNone/>
                <wp:docPr id="2029364338" name="Rectangle 1"/>
                <wp:cNvGraphicFramePr/>
                <a:graphic xmlns:a="http://schemas.openxmlformats.org/drawingml/2006/main">
                  <a:graphicData uri="http://schemas.microsoft.com/office/word/2010/wordprocessingShape">
                    <wps:wsp>
                      <wps:cNvSpPr/>
                      <wps:spPr>
                        <a:xfrm>
                          <a:off x="0" y="0"/>
                          <a:ext cx="2430780" cy="11658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B13AA0" id="Rectangle 1" o:spid="_x0000_s1026" style="position:absolute;margin-left:109.2pt;margin-top:7.05pt;width:191.4pt;height:9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" fillcolor="#156082 [3204]" strokecolor="#030e13 [484]" strokeweight="1pt"/>
            </w:pict>
          </mc:Fallback>
        </mc:AlternateContent>
      </w:r>
    </w:p>
    <w:p w14:paraId="097D74F7" w14:textId="77777777" w:rsidR="00FA702C" w:rsidRPr="00E052B2" w:rsidRDefault="00FA702C" w:rsidP="00FF5C23">
      <w:pPr>
        <w:rPr>
          <w:rFonts w:ascii="Arial" w:hAnsi="Arial" w:cs="Arial"/>
        </w:rPr>
      </w:pPr>
    </w:p>
    <w:p w14:paraId="7B4A13BC" w14:textId="738BE118" w:rsidR="00FA702C" w:rsidRPr="00E052B2" w:rsidRDefault="00FA702C" w:rsidP="00FF5C23">
      <w:pPr>
        <w:rPr>
          <w:rFonts w:ascii="Arial" w:hAnsi="Arial" w:cs="Arial"/>
        </w:rPr>
      </w:pPr>
    </w:p>
    <w:p w14:paraId="3CE188DF" w14:textId="0F773B91" w:rsidR="00FA702C" w:rsidRPr="00E052B2" w:rsidRDefault="00FA702C" w:rsidP="00FF5C23">
      <w:pPr>
        <w:rPr>
          <w:rFonts w:ascii="Arial" w:hAnsi="Arial" w:cs="Arial"/>
        </w:rPr>
      </w:pPr>
    </w:p>
    <w:p w14:paraId="646E4221" w14:textId="229EDEEA" w:rsidR="006066F1" w:rsidRPr="00E052B2" w:rsidRDefault="006066F1" w:rsidP="00FF5C23">
      <w:pPr>
        <w:rPr>
          <w:rFonts w:ascii="Arial" w:hAnsi="Arial" w:cs="Arial"/>
        </w:rPr>
      </w:pPr>
    </w:p>
    <w:p w14:paraId="18021A4C" w14:textId="7DE256F2" w:rsidR="006066F1" w:rsidRPr="00E052B2" w:rsidRDefault="008700EB" w:rsidP="00FF5C23">
      <w:pPr>
        <w:rPr>
          <w:rFonts w:ascii="Arial" w:hAnsi="Arial" w:cs="Arial"/>
        </w:rPr>
      </w:pPr>
      <w:r w:rsidRPr="00E052B2">
        <w:rPr>
          <w:rFonts w:ascii="Arial" w:hAnsi="Arial" w:cs="Arial"/>
          <w:noProof/>
        </w:rPr>
        <mc:AlternateContent>
          <mc:Choice Requires="wps">
            <w:drawing>
              <wp:anchor distT="0" distB="0" distL="114300" distR="114300" simplePos="0" relativeHeight="251662336" behindDoc="0" locked="0" layoutInCell="1" allowOverlap="1" wp14:anchorId="459C29DF" wp14:editId="6556D53F">
                <wp:simplePos x="0" y="0"/>
                <wp:positionH relativeFrom="column">
                  <wp:posOffset>3733800</wp:posOffset>
                </wp:positionH>
                <wp:positionV relativeFrom="paragraph">
                  <wp:posOffset>10160</wp:posOffset>
                </wp:positionV>
                <wp:extent cx="922020" cy="274320"/>
                <wp:effectExtent l="0" t="0" r="68580" b="68580"/>
                <wp:wrapNone/>
                <wp:docPr id="1704105672" name="Straight Arrow Connector 2"/>
                <wp:cNvGraphicFramePr/>
                <a:graphic xmlns:a="http://schemas.openxmlformats.org/drawingml/2006/main">
                  <a:graphicData uri="http://schemas.microsoft.com/office/word/2010/wordprocessingShape">
                    <wps:wsp>
                      <wps:cNvCnPr/>
                      <wps:spPr>
                        <a:xfrm>
                          <a:off x="0" y="0"/>
                          <a:ext cx="922020" cy="274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832CE5" id="_x0000_t32" coordsize="21600,21600" o:spt="32" o:oned="t" path="m,l21600,21600e" filled="f">
                <v:path arrowok="t" fillok="f" o:connecttype="none"/>
                <o:lock v:ext="edit" shapetype="t"/>
              </v:shapetype>
              <v:shape id="Straight Arrow Connector 2" o:spid="_x0000_s1026" type="#_x0000_t32" style="position:absolute;margin-left:294pt;margin-top:.8pt;width:72.6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" strokecolor="#156082 [3204]" strokeweight=".5pt">
                <v:stroke endarrow="block" joinstyle="miter"/>
              </v:shape>
            </w:pict>
          </mc:Fallback>
        </mc:AlternateContent>
      </w:r>
    </w:p>
    <w:p w14:paraId="54B68FC8" w14:textId="6F2E7BF8" w:rsidR="006066F1" w:rsidRPr="00E052B2" w:rsidRDefault="00255DAE" w:rsidP="00FF5C23">
      <w:pPr>
        <w:rPr>
          <w:rFonts w:ascii="Arial" w:hAnsi="Arial" w:cs="Arial"/>
        </w:rPr>
      </w:pPr>
      <w:r w:rsidRPr="00E052B2">
        <w:rPr>
          <w:rFonts w:ascii="Arial" w:hAnsi="Arial" w:cs="Arial"/>
          <w:noProof/>
        </w:rPr>
        <mc:AlternateContent>
          <mc:Choice Requires="wps">
            <w:drawing>
              <wp:anchor distT="0" distB="0" distL="114300" distR="114300" simplePos="0" relativeHeight="251665408" behindDoc="0" locked="0" layoutInCell="1" allowOverlap="1" wp14:anchorId="6F44F02F" wp14:editId="756FA523">
                <wp:simplePos x="0" y="0"/>
                <wp:positionH relativeFrom="column">
                  <wp:posOffset>2286000</wp:posOffset>
                </wp:positionH>
                <wp:positionV relativeFrom="paragraph">
                  <wp:posOffset>6350</wp:posOffset>
                </wp:positionV>
                <wp:extent cx="0" cy="1150620"/>
                <wp:effectExtent l="76200" t="0" r="57150" b="49530"/>
                <wp:wrapNone/>
                <wp:docPr id="1200530101" name="Straight Arrow Connector 3"/>
                <wp:cNvGraphicFramePr/>
                <a:graphic xmlns:a="http://schemas.openxmlformats.org/drawingml/2006/main">
                  <a:graphicData uri="http://schemas.microsoft.com/office/word/2010/wordprocessingShape">
                    <wps:wsp>
                      <wps:cNvCnPr/>
                      <wps:spPr>
                        <a:xfrm>
                          <a:off x="0" y="0"/>
                          <a:ext cx="0" cy="1150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0E6D6D" id="Straight Arrow Connector 3" o:spid="_x0000_s1026" type="#_x0000_t32" style="position:absolute;margin-left:180pt;margin-top:.5pt;width:0;height:90.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" strokecolor="#156082 [3204]" strokeweight=".5pt">
                <v:stroke endarrow="block" joinstyle="miter"/>
              </v:shape>
            </w:pict>
          </mc:Fallback>
        </mc:AlternateContent>
      </w:r>
      <w:r w:rsidR="007909F5" w:rsidRPr="00E052B2">
        <w:rPr>
          <w:rFonts w:ascii="Arial" w:hAnsi="Arial" w:cs="Arial"/>
          <w:noProof/>
        </w:rPr>
        <mc:AlternateContent>
          <mc:Choice Requires="wps">
            <w:drawing>
              <wp:anchor distT="45720" distB="45720" distL="114300" distR="114300" simplePos="0" relativeHeight="251664384" behindDoc="0" locked="0" layoutInCell="1" allowOverlap="1" wp14:anchorId="4BFB6E1D" wp14:editId="6F6E83CC">
                <wp:simplePos x="0" y="0"/>
                <wp:positionH relativeFrom="margin">
                  <wp:posOffset>3086100</wp:posOffset>
                </wp:positionH>
                <wp:positionV relativeFrom="paragraph">
                  <wp:posOffset>135890</wp:posOffset>
                </wp:positionV>
                <wp:extent cx="3360420" cy="365760"/>
                <wp:effectExtent l="0" t="0" r="11430" b="15240"/>
                <wp:wrapSquare wrapText="bothSides"/>
                <wp:docPr id="10208879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0420" cy="365760"/>
                        </a:xfrm>
                        <a:prstGeom prst="rect">
                          <a:avLst/>
                        </a:prstGeom>
                        <a:solidFill>
                          <a:srgbClr val="FFFFFF"/>
                        </a:solidFill>
                        <a:ln w="9525">
                          <a:solidFill>
                            <a:srgbClr val="000000"/>
                          </a:solidFill>
                          <a:miter lim="800000"/>
                          <a:headEnd/>
                          <a:tailEnd/>
                        </a:ln>
                      </wps:spPr>
                      <wps:txbx>
                        <w:txbxContent>
                          <w:p w14:paraId="12761DC4" w14:textId="061BEBB1" w:rsidR="008700EB" w:rsidRPr="007909F5" w:rsidRDefault="008700EB">
                            <w:pPr>
                              <w:rPr>
                                <w:sz w:val="16"/>
                                <w:szCs w:val="16"/>
                              </w:rPr>
                            </w:pPr>
                            <w:r w:rsidRPr="007909F5">
                              <w:rPr>
                                <w:sz w:val="16"/>
                                <w:szCs w:val="16"/>
                              </w:rPr>
                              <w:t>Re</w:t>
                            </w:r>
                            <w:r w:rsidR="00856E53" w:rsidRPr="007909F5">
                              <w:rPr>
                                <w:sz w:val="16"/>
                                <w:szCs w:val="16"/>
                              </w:rPr>
                              <w:t xml:space="preserve">cords removed before screening: Duplicate records </w:t>
                            </w:r>
                            <w:r w:rsidR="007909F5" w:rsidRPr="007909F5">
                              <w:rPr>
                                <w:sz w:val="16"/>
                                <w:szCs w:val="16"/>
                              </w:rPr>
                              <w:t>removed (n = 112)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FB6E1D" id="_x0000_s1027" type="#_x0000_t202" style="position:absolute;margin-left:243pt;margin-top:10.7pt;width:264.6pt;height:28.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">
                <v:textbox>
                  <w:txbxContent>
                    <w:p w14:paraId="12761DC4" w14:textId="061BEBB1" w:rsidR="008700EB" w:rsidRPr="007909F5" w:rsidRDefault="008700EB">
                      <w:pPr>
                        <w:rPr>
                          <w:sz w:val="16"/>
                          <w:szCs w:val="16"/>
                        </w:rPr>
                      </w:pPr>
                      <w:r w:rsidRPr="007909F5">
                        <w:rPr>
                          <w:sz w:val="16"/>
                          <w:szCs w:val="16"/>
                        </w:rPr>
                        <w:t>Re</w:t>
                      </w:r>
                      <w:r w:rsidR="00856E53" w:rsidRPr="007909F5">
                        <w:rPr>
                          <w:sz w:val="16"/>
                          <w:szCs w:val="16"/>
                        </w:rPr>
                        <w:t xml:space="preserve">cords removed before screening: Duplicate records </w:t>
                      </w:r>
                      <w:r w:rsidR="007909F5" w:rsidRPr="007909F5">
                        <w:rPr>
                          <w:sz w:val="16"/>
                          <w:szCs w:val="16"/>
                        </w:rPr>
                        <w:t>removed (n = 112)</w:t>
                      </w:r>
                    </w:p>
                  </w:txbxContent>
                </v:textbox>
                <w10:wrap type="square" anchorx="margin"/>
              </v:shape>
            </w:pict>
          </mc:Fallback>
        </mc:AlternateContent>
      </w:r>
    </w:p>
    <w:p w14:paraId="0EB3B619" w14:textId="38DFCD96" w:rsidR="008700EB" w:rsidRPr="00E052B2" w:rsidRDefault="008700EB" w:rsidP="008700EB">
      <w:pPr>
        <w:rPr>
          <w:rFonts w:ascii="Arial" w:hAnsi="Arial" w:cs="Arial"/>
        </w:rPr>
      </w:pPr>
    </w:p>
    <w:p w14:paraId="5283D6A2" w14:textId="5B5B2C2F" w:rsidR="006066F1" w:rsidRPr="00E052B2" w:rsidRDefault="006066F1" w:rsidP="00FF5C23">
      <w:pPr>
        <w:rPr>
          <w:rFonts w:ascii="Arial" w:hAnsi="Arial" w:cs="Arial"/>
        </w:rPr>
      </w:pPr>
    </w:p>
    <w:p w14:paraId="443DEE74" w14:textId="77777777" w:rsidR="006066F1" w:rsidRPr="00E052B2" w:rsidRDefault="006066F1" w:rsidP="00FF5C23">
      <w:pPr>
        <w:rPr>
          <w:rFonts w:ascii="Arial" w:hAnsi="Arial" w:cs="Arial"/>
        </w:rPr>
      </w:pPr>
    </w:p>
    <w:p w14:paraId="51D57563" w14:textId="040FA07A" w:rsidR="006066F1" w:rsidRPr="00E052B2" w:rsidRDefault="006066F1" w:rsidP="00FF5C23">
      <w:pPr>
        <w:rPr>
          <w:rFonts w:ascii="Arial" w:hAnsi="Arial" w:cs="Arial"/>
        </w:rPr>
      </w:pPr>
    </w:p>
    <w:p w14:paraId="36BA77A4" w14:textId="32445095" w:rsidR="006066F1" w:rsidRPr="00E052B2" w:rsidRDefault="00255DAE" w:rsidP="00FF5C23">
      <w:pPr>
        <w:rPr>
          <w:rFonts w:ascii="Arial" w:hAnsi="Arial" w:cs="Arial"/>
        </w:rPr>
      </w:pPr>
      <w:r w:rsidRPr="00E052B2">
        <w:rPr>
          <w:rFonts w:ascii="Arial" w:hAnsi="Arial" w:cs="Arial"/>
          <w:noProof/>
        </w:rPr>
        <mc:AlternateContent>
          <mc:Choice Requires="wps">
            <w:drawing>
              <wp:anchor distT="45720" distB="45720" distL="114300" distR="114300" simplePos="0" relativeHeight="251672576" behindDoc="0" locked="0" layoutInCell="1" allowOverlap="1" wp14:anchorId="7A7EBEBB" wp14:editId="1E97C6F2">
                <wp:simplePos x="0" y="0"/>
                <wp:positionH relativeFrom="column">
                  <wp:posOffset>982980</wp:posOffset>
                </wp:positionH>
                <wp:positionV relativeFrom="paragraph">
                  <wp:posOffset>10795</wp:posOffset>
                </wp:positionV>
                <wp:extent cx="2034540" cy="640080"/>
                <wp:effectExtent l="0" t="0" r="22860" b="26670"/>
                <wp:wrapSquare wrapText="bothSides"/>
                <wp:docPr id="1924746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640080"/>
                        </a:xfrm>
                        <a:prstGeom prst="rect">
                          <a:avLst/>
                        </a:prstGeom>
                        <a:solidFill>
                          <a:srgbClr val="FFFFFF"/>
                        </a:solidFill>
                        <a:ln w="9525">
                          <a:solidFill>
                            <a:srgbClr val="000000"/>
                          </a:solidFill>
                          <a:miter lim="800000"/>
                          <a:headEnd/>
                          <a:tailEnd/>
                        </a:ln>
                      </wps:spPr>
                      <wps:txbx>
                        <w:txbxContent>
                          <w:p w14:paraId="0783A794" w14:textId="5E3CF69E" w:rsidR="0048713C" w:rsidRDefault="0048713C">
                            <w:r>
                              <w:t>Screening</w:t>
                            </w:r>
                            <w:r w:rsidR="00496A36">
                              <w:t xml:space="preserve"> </w:t>
                            </w:r>
                          </w:p>
                          <w:p w14:paraId="713B74A7" w14:textId="383788C9" w:rsidR="00496A36" w:rsidRDefault="00496A36">
                            <w:r>
                              <w:t>Records screened (n = 325)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EBEBB" id="_x0000_s1028" type="#_x0000_t202" style="position:absolute;margin-left:77.4pt;margin-top:.85pt;width:160.2pt;height:50.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">
                <v:textbox>
                  <w:txbxContent>
                    <w:p w14:paraId="0783A794" w14:textId="5E3CF69E" w:rsidR="0048713C" w:rsidRDefault="0048713C">
                      <w:r>
                        <w:t>Screening</w:t>
                      </w:r>
                      <w:r w:rsidR="00496A36">
                        <w:t xml:space="preserve"> </w:t>
                      </w:r>
                    </w:p>
                    <w:p w14:paraId="713B74A7" w14:textId="383788C9" w:rsidR="00496A36" w:rsidRDefault="00496A36">
                      <w:r>
                        <w:t>Records screened (n = 325)</w:t>
                      </w:r>
                    </w:p>
                  </w:txbxContent>
                </v:textbox>
                <w10:wrap type="square"/>
              </v:shape>
            </w:pict>
          </mc:Fallback>
        </mc:AlternateContent>
      </w:r>
      <w:r w:rsidRPr="00E052B2">
        <w:rPr>
          <w:rFonts w:ascii="Arial" w:hAnsi="Arial" w:cs="Arial"/>
          <w:noProof/>
        </w:rPr>
        <mc:AlternateContent>
          <mc:Choice Requires="wps">
            <w:drawing>
              <wp:anchor distT="45720" distB="45720" distL="114300" distR="114300" simplePos="0" relativeHeight="251675648" behindDoc="0" locked="0" layoutInCell="1" allowOverlap="1" wp14:anchorId="32A8E40C" wp14:editId="156CAEE3">
                <wp:simplePos x="0" y="0"/>
                <wp:positionH relativeFrom="column">
                  <wp:posOffset>4112260</wp:posOffset>
                </wp:positionH>
                <wp:positionV relativeFrom="paragraph">
                  <wp:posOffset>11430</wp:posOffset>
                </wp:positionV>
                <wp:extent cx="2360930" cy="1404620"/>
                <wp:effectExtent l="0" t="0" r="22860" b="11430"/>
                <wp:wrapSquare wrapText="bothSides"/>
                <wp:docPr id="718222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029A113" w14:textId="46AF88E5" w:rsidR="00255DAE" w:rsidRDefault="00255DAE">
                            <w:r>
                              <w:t>Rejected</w:t>
                            </w:r>
                          </w:p>
                          <w:p w14:paraId="0D6A2D73" w14:textId="258C61C3" w:rsidR="00255DAE" w:rsidRDefault="00255DAE">
                            <w:r>
                              <w:t>Records excluded based on title and abstract (n=288)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2A8E40C" id="_x0000_s1029" type="#_x0000_t202" style="position:absolute;margin-left:323.8pt;margin-top:.9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">
                <v:textbox style="mso-fit-shape-to-text:t">
                  <w:txbxContent>
                    <w:p w14:paraId="3029A113" w14:textId="46AF88E5" w:rsidR="00255DAE" w:rsidRDefault="00255DAE">
                      <w:r>
                        <w:t>Rejected</w:t>
                      </w:r>
                    </w:p>
                    <w:p w14:paraId="0D6A2D73" w14:textId="258C61C3" w:rsidR="00255DAE" w:rsidRDefault="00255DAE">
                      <w:r>
                        <w:t>Records excluded based on title and abstract (n=288)</w:t>
                      </w:r>
                    </w:p>
                  </w:txbxContent>
                </v:textbox>
                <w10:wrap type="square"/>
              </v:shape>
            </w:pict>
          </mc:Fallback>
        </mc:AlternateContent>
      </w:r>
    </w:p>
    <w:p w14:paraId="6BF90662" w14:textId="71D923EE" w:rsidR="007909F5" w:rsidRPr="00E052B2" w:rsidRDefault="00255DAE" w:rsidP="00FF5C23">
      <w:pPr>
        <w:rPr>
          <w:rFonts w:ascii="Arial" w:hAnsi="Arial" w:cs="Arial"/>
        </w:rPr>
      </w:pPr>
      <w:r w:rsidRPr="00E052B2">
        <w:rPr>
          <w:rFonts w:ascii="Arial" w:hAnsi="Arial" w:cs="Arial"/>
          <w:noProof/>
        </w:rPr>
        <mc:AlternateContent>
          <mc:Choice Requires="wps">
            <w:drawing>
              <wp:anchor distT="0" distB="0" distL="114300" distR="114300" simplePos="0" relativeHeight="251673600" behindDoc="0" locked="0" layoutInCell="1" allowOverlap="1" wp14:anchorId="734CDA29" wp14:editId="06653A8F">
                <wp:simplePos x="0" y="0"/>
                <wp:positionH relativeFrom="column">
                  <wp:posOffset>3268980</wp:posOffset>
                </wp:positionH>
                <wp:positionV relativeFrom="paragraph">
                  <wp:posOffset>83185</wp:posOffset>
                </wp:positionV>
                <wp:extent cx="655320" cy="0"/>
                <wp:effectExtent l="0" t="76200" r="11430" b="95250"/>
                <wp:wrapNone/>
                <wp:docPr id="1953322404" name="Straight Arrow Connector 6"/>
                <wp:cNvGraphicFramePr/>
                <a:graphic xmlns:a="http://schemas.openxmlformats.org/drawingml/2006/main">
                  <a:graphicData uri="http://schemas.microsoft.com/office/word/2010/wordprocessingShape">
                    <wps:wsp>
                      <wps:cNvCnPr/>
                      <wps:spPr>
                        <a:xfrm>
                          <a:off x="0" y="0"/>
                          <a:ext cx="65532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183A23" id="Straight Arrow Connector 6" o:spid="_x0000_s1026" type="#_x0000_t32" style="position:absolute;margin-left:257.4pt;margin-top:6.55pt;width:51.6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" strokecolor="#156082 [3204]" strokeweight=".5pt">
                <v:stroke endarrow="block" joinstyle="miter"/>
              </v:shape>
            </w:pict>
          </mc:Fallback>
        </mc:AlternateContent>
      </w:r>
    </w:p>
    <w:p w14:paraId="294AA39E" w14:textId="4A9BEB04" w:rsidR="007909F5" w:rsidRPr="00E052B2" w:rsidRDefault="007909F5" w:rsidP="00FF5C23">
      <w:pPr>
        <w:rPr>
          <w:rFonts w:ascii="Arial" w:hAnsi="Arial" w:cs="Arial"/>
        </w:rPr>
      </w:pPr>
    </w:p>
    <w:p w14:paraId="042B34CC" w14:textId="1CF53245" w:rsidR="007909F5" w:rsidRPr="00E052B2" w:rsidRDefault="00255DAE" w:rsidP="00FF5C23">
      <w:pPr>
        <w:rPr>
          <w:rFonts w:ascii="Arial" w:hAnsi="Arial" w:cs="Arial"/>
        </w:rPr>
      </w:pPr>
      <w:r w:rsidRPr="00E052B2">
        <w:rPr>
          <w:rFonts w:ascii="Arial" w:hAnsi="Arial" w:cs="Arial"/>
          <w:noProof/>
        </w:rPr>
        <mc:AlternateContent>
          <mc:Choice Requires="wps">
            <w:drawing>
              <wp:anchor distT="0" distB="0" distL="114300" distR="114300" simplePos="0" relativeHeight="251677696" behindDoc="0" locked="0" layoutInCell="1" allowOverlap="1" wp14:anchorId="6FC94B5E" wp14:editId="4ECD2522">
                <wp:simplePos x="0" y="0"/>
                <wp:positionH relativeFrom="column">
                  <wp:posOffset>1965960</wp:posOffset>
                </wp:positionH>
                <wp:positionV relativeFrom="paragraph">
                  <wp:posOffset>9525</wp:posOffset>
                </wp:positionV>
                <wp:extent cx="7620" cy="297180"/>
                <wp:effectExtent l="76200" t="0" r="68580" b="64770"/>
                <wp:wrapNone/>
                <wp:docPr id="1949247221" name="Straight Arrow Connector 8"/>
                <wp:cNvGraphicFramePr/>
                <a:graphic xmlns:a="http://schemas.openxmlformats.org/drawingml/2006/main">
                  <a:graphicData uri="http://schemas.microsoft.com/office/word/2010/wordprocessingShape">
                    <wps:wsp>
                      <wps:cNvCnPr/>
                      <wps:spPr>
                        <a:xfrm>
                          <a:off x="0" y="0"/>
                          <a:ext cx="762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BACCA8" id="Straight Arrow Connector 8" o:spid="_x0000_s1026" type="#_x0000_t32" style="position:absolute;margin-left:154.8pt;margin-top:.75pt;width:.6pt;height:23.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" strokecolor="#156082 [3204]" strokeweight=".5pt">
                <v:stroke endarrow="block" joinstyle="miter"/>
              </v:shape>
            </w:pict>
          </mc:Fallback>
        </mc:AlternateContent>
      </w:r>
    </w:p>
    <w:p w14:paraId="5BCE23A8" w14:textId="4D7C2E8E" w:rsidR="007909F5" w:rsidRPr="00E052B2" w:rsidRDefault="00255DAE" w:rsidP="00FF5C23">
      <w:pPr>
        <w:rPr>
          <w:rFonts w:ascii="Arial" w:hAnsi="Arial" w:cs="Arial"/>
        </w:rPr>
      </w:pPr>
      <w:r w:rsidRPr="00E052B2">
        <w:rPr>
          <w:rFonts w:ascii="Arial" w:hAnsi="Arial" w:cs="Arial"/>
          <w:noProof/>
        </w:rPr>
        <mc:AlternateContent>
          <mc:Choice Requires="wps">
            <w:drawing>
              <wp:anchor distT="45720" distB="45720" distL="114300" distR="114300" simplePos="0" relativeHeight="251670528" behindDoc="0" locked="0" layoutInCell="1" allowOverlap="1" wp14:anchorId="57CCC598" wp14:editId="5EF8F598">
                <wp:simplePos x="0" y="0"/>
                <wp:positionH relativeFrom="page">
                  <wp:align>right</wp:align>
                </wp:positionH>
                <wp:positionV relativeFrom="paragraph">
                  <wp:posOffset>285750</wp:posOffset>
                </wp:positionV>
                <wp:extent cx="2660650" cy="853440"/>
                <wp:effectExtent l="0" t="0" r="25400" b="22860"/>
                <wp:wrapSquare wrapText="bothSides"/>
                <wp:docPr id="435788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0650" cy="853440"/>
                        </a:xfrm>
                        <a:prstGeom prst="rect">
                          <a:avLst/>
                        </a:prstGeom>
                        <a:solidFill>
                          <a:srgbClr val="FFFFFF"/>
                        </a:solidFill>
                        <a:ln w="9525">
                          <a:solidFill>
                            <a:srgbClr val="000000"/>
                          </a:solidFill>
                          <a:miter lim="800000"/>
                          <a:headEnd/>
                          <a:tailEnd/>
                        </a:ln>
                      </wps:spPr>
                      <wps:txbx>
                        <w:txbxContent>
                          <w:p w14:paraId="35D68FDD" w14:textId="3454091F" w:rsidR="004C5AF0" w:rsidRPr="000620A0" w:rsidRDefault="00A84143">
                            <w:pPr>
                              <w:rPr>
                                <w:sz w:val="16"/>
                                <w:szCs w:val="16"/>
                              </w:rPr>
                            </w:pPr>
                            <w:r w:rsidRPr="000620A0">
                              <w:rPr>
                                <w:sz w:val="16"/>
                                <w:szCs w:val="16"/>
                              </w:rPr>
                              <w:t>Reports excluded (n32)</w:t>
                            </w:r>
                          </w:p>
                          <w:p w14:paraId="600E54D1" w14:textId="215EC7E7" w:rsidR="00A84143" w:rsidRPr="000620A0" w:rsidRDefault="00A84143" w:rsidP="00A84143">
                            <w:pPr>
                              <w:pStyle w:val="ListParagraph"/>
                              <w:numPr>
                                <w:ilvl w:val="0"/>
                                <w:numId w:val="2"/>
                              </w:numPr>
                              <w:rPr>
                                <w:sz w:val="16"/>
                                <w:szCs w:val="16"/>
                              </w:rPr>
                            </w:pPr>
                            <w:r w:rsidRPr="000620A0">
                              <w:rPr>
                                <w:sz w:val="16"/>
                                <w:szCs w:val="16"/>
                              </w:rPr>
                              <w:t>Not specific</w:t>
                            </w:r>
                            <w:r w:rsidR="00F347DB" w:rsidRPr="000620A0">
                              <w:rPr>
                                <w:sz w:val="16"/>
                                <w:szCs w:val="16"/>
                              </w:rPr>
                              <w:t xml:space="preserve"> to age range (n=</w:t>
                            </w:r>
                            <w:r w:rsidR="000566D5" w:rsidRPr="000620A0">
                              <w:rPr>
                                <w:sz w:val="16"/>
                                <w:szCs w:val="16"/>
                              </w:rPr>
                              <w:t>1</w:t>
                            </w:r>
                            <w:r w:rsidR="000620A0" w:rsidRPr="000620A0">
                              <w:rPr>
                                <w:sz w:val="16"/>
                                <w:szCs w:val="16"/>
                              </w:rPr>
                              <w:t>4</w:t>
                            </w:r>
                            <w:r w:rsidR="00F347DB" w:rsidRPr="000620A0">
                              <w:rPr>
                                <w:sz w:val="16"/>
                                <w:szCs w:val="16"/>
                              </w:rPr>
                              <w:t>)</w:t>
                            </w:r>
                          </w:p>
                          <w:p w14:paraId="1269A7CF" w14:textId="0140541F" w:rsidR="00F347DB" w:rsidRPr="000620A0" w:rsidRDefault="00F347DB" w:rsidP="00A84143">
                            <w:pPr>
                              <w:pStyle w:val="ListParagraph"/>
                              <w:numPr>
                                <w:ilvl w:val="0"/>
                                <w:numId w:val="2"/>
                              </w:numPr>
                              <w:rPr>
                                <w:sz w:val="16"/>
                                <w:szCs w:val="16"/>
                              </w:rPr>
                            </w:pPr>
                            <w:r w:rsidRPr="000620A0">
                              <w:rPr>
                                <w:sz w:val="16"/>
                                <w:szCs w:val="16"/>
                              </w:rPr>
                              <w:t>No mental health outcome measured (n</w:t>
                            </w:r>
                            <w:r w:rsidR="000620A0" w:rsidRPr="000620A0">
                              <w:rPr>
                                <w:sz w:val="16"/>
                                <w:szCs w:val="16"/>
                              </w:rPr>
                              <w:t xml:space="preserve"> = 9</w:t>
                            </w:r>
                            <w:r w:rsidRPr="000620A0">
                              <w:rPr>
                                <w:sz w:val="16"/>
                                <w:szCs w:val="16"/>
                              </w:rPr>
                              <w:t>)</w:t>
                            </w:r>
                          </w:p>
                          <w:p w14:paraId="1EDD57AC" w14:textId="06D9B107" w:rsidR="00F347DB" w:rsidRPr="000620A0" w:rsidRDefault="006D4F37" w:rsidP="00A84143">
                            <w:pPr>
                              <w:pStyle w:val="ListParagraph"/>
                              <w:numPr>
                                <w:ilvl w:val="0"/>
                                <w:numId w:val="2"/>
                              </w:numPr>
                              <w:rPr>
                                <w:sz w:val="16"/>
                                <w:szCs w:val="16"/>
                              </w:rPr>
                            </w:pPr>
                            <w:r w:rsidRPr="000620A0">
                              <w:rPr>
                                <w:sz w:val="16"/>
                                <w:szCs w:val="16"/>
                              </w:rPr>
                              <w:t>Not peer reviewed (n=1</w:t>
                            </w:r>
                            <w:r w:rsidR="000620A0" w:rsidRPr="000620A0">
                              <w:rPr>
                                <w:sz w:val="16"/>
                                <w:szCs w:val="16"/>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CC598" id="_x0000_s1030" type="#_x0000_t202" style="position:absolute;margin-left:158.3pt;margin-top:22.5pt;width:209.5pt;height:67.2pt;z-index:25167052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">
                <v:textbox>
                  <w:txbxContent>
                    <w:p w14:paraId="35D68FDD" w14:textId="3454091F" w:rsidR="004C5AF0" w:rsidRPr="000620A0" w:rsidRDefault="00A84143">
                      <w:pPr>
                        <w:rPr>
                          <w:sz w:val="16"/>
                          <w:szCs w:val="16"/>
                        </w:rPr>
                      </w:pPr>
                      <w:r w:rsidRPr="000620A0">
                        <w:rPr>
                          <w:sz w:val="16"/>
                          <w:szCs w:val="16"/>
                        </w:rPr>
                        <w:t>Reports excluded (n32)</w:t>
                      </w:r>
                    </w:p>
                    <w:p w14:paraId="600E54D1" w14:textId="215EC7E7" w:rsidR="00A84143" w:rsidRPr="000620A0" w:rsidRDefault="00A84143" w:rsidP="00A84143">
                      <w:pPr>
                        <w:pStyle w:val="ListParagraph"/>
                        <w:numPr>
                          <w:ilvl w:val="0"/>
                          <w:numId w:val="2"/>
                        </w:numPr>
                        <w:rPr>
                          <w:sz w:val="16"/>
                          <w:szCs w:val="16"/>
                        </w:rPr>
                      </w:pPr>
                      <w:r w:rsidRPr="000620A0">
                        <w:rPr>
                          <w:sz w:val="16"/>
                          <w:szCs w:val="16"/>
                        </w:rPr>
                        <w:t>Not specific</w:t>
                      </w:r>
                      <w:r w:rsidR="00F347DB" w:rsidRPr="000620A0">
                        <w:rPr>
                          <w:sz w:val="16"/>
                          <w:szCs w:val="16"/>
                        </w:rPr>
                        <w:t xml:space="preserve"> to age range (n=</w:t>
                      </w:r>
                      <w:r w:rsidR="000566D5" w:rsidRPr="000620A0">
                        <w:rPr>
                          <w:sz w:val="16"/>
                          <w:szCs w:val="16"/>
                        </w:rPr>
                        <w:t>1</w:t>
                      </w:r>
                      <w:r w:rsidR="000620A0" w:rsidRPr="000620A0">
                        <w:rPr>
                          <w:sz w:val="16"/>
                          <w:szCs w:val="16"/>
                        </w:rPr>
                        <w:t>4</w:t>
                      </w:r>
                      <w:r w:rsidR="00F347DB" w:rsidRPr="000620A0">
                        <w:rPr>
                          <w:sz w:val="16"/>
                          <w:szCs w:val="16"/>
                        </w:rPr>
                        <w:t>)</w:t>
                      </w:r>
                    </w:p>
                    <w:p w14:paraId="1269A7CF" w14:textId="0140541F" w:rsidR="00F347DB" w:rsidRPr="000620A0" w:rsidRDefault="00F347DB" w:rsidP="00A84143">
                      <w:pPr>
                        <w:pStyle w:val="ListParagraph"/>
                        <w:numPr>
                          <w:ilvl w:val="0"/>
                          <w:numId w:val="2"/>
                        </w:numPr>
                        <w:rPr>
                          <w:sz w:val="16"/>
                          <w:szCs w:val="16"/>
                        </w:rPr>
                      </w:pPr>
                      <w:r w:rsidRPr="000620A0">
                        <w:rPr>
                          <w:sz w:val="16"/>
                          <w:szCs w:val="16"/>
                        </w:rPr>
                        <w:t>No mental health outcome measured (n</w:t>
                      </w:r>
                      <w:r w:rsidR="000620A0" w:rsidRPr="000620A0">
                        <w:rPr>
                          <w:sz w:val="16"/>
                          <w:szCs w:val="16"/>
                        </w:rPr>
                        <w:t xml:space="preserve"> = 9</w:t>
                      </w:r>
                      <w:r w:rsidRPr="000620A0">
                        <w:rPr>
                          <w:sz w:val="16"/>
                          <w:szCs w:val="16"/>
                        </w:rPr>
                        <w:t>)</w:t>
                      </w:r>
                    </w:p>
                    <w:p w14:paraId="1EDD57AC" w14:textId="06D9B107" w:rsidR="00F347DB" w:rsidRPr="000620A0" w:rsidRDefault="006D4F37" w:rsidP="00A84143">
                      <w:pPr>
                        <w:pStyle w:val="ListParagraph"/>
                        <w:numPr>
                          <w:ilvl w:val="0"/>
                          <w:numId w:val="2"/>
                        </w:numPr>
                        <w:rPr>
                          <w:sz w:val="16"/>
                          <w:szCs w:val="16"/>
                        </w:rPr>
                      </w:pPr>
                      <w:r w:rsidRPr="000620A0">
                        <w:rPr>
                          <w:sz w:val="16"/>
                          <w:szCs w:val="16"/>
                        </w:rPr>
                        <w:t>Not peer reviewed (n=1</w:t>
                      </w:r>
                      <w:r w:rsidR="000620A0" w:rsidRPr="000620A0">
                        <w:rPr>
                          <w:sz w:val="16"/>
                          <w:szCs w:val="16"/>
                        </w:rPr>
                        <w:t>0)</w:t>
                      </w:r>
                    </w:p>
                  </w:txbxContent>
                </v:textbox>
                <w10:wrap type="square" anchorx="page"/>
              </v:shape>
            </w:pict>
          </mc:Fallback>
        </mc:AlternateContent>
      </w:r>
    </w:p>
    <w:p w14:paraId="00956E8A" w14:textId="2AA808C1" w:rsidR="007909F5" w:rsidRPr="00E052B2" w:rsidRDefault="00255DAE" w:rsidP="00FF5C23">
      <w:pPr>
        <w:rPr>
          <w:rFonts w:ascii="Arial" w:hAnsi="Arial" w:cs="Arial"/>
        </w:rPr>
      </w:pPr>
      <w:r w:rsidRPr="00E052B2">
        <w:rPr>
          <w:rFonts w:ascii="Arial" w:hAnsi="Arial" w:cs="Arial"/>
          <w:noProof/>
        </w:rPr>
        <mc:AlternateContent>
          <mc:Choice Requires="wps">
            <w:drawing>
              <wp:anchor distT="45720" distB="45720" distL="114300" distR="114300" simplePos="0" relativeHeight="251667456" behindDoc="0" locked="0" layoutInCell="1" allowOverlap="1" wp14:anchorId="73ACAABA" wp14:editId="48E1672A">
                <wp:simplePos x="0" y="0"/>
                <wp:positionH relativeFrom="column">
                  <wp:posOffset>891540</wp:posOffset>
                </wp:positionH>
                <wp:positionV relativeFrom="paragraph">
                  <wp:posOffset>7620</wp:posOffset>
                </wp:positionV>
                <wp:extent cx="2148840" cy="830580"/>
                <wp:effectExtent l="0" t="0" r="22860" b="26670"/>
                <wp:wrapSquare wrapText="bothSides"/>
                <wp:docPr id="19380447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830580"/>
                        </a:xfrm>
                        <a:prstGeom prst="rect">
                          <a:avLst/>
                        </a:prstGeom>
                        <a:solidFill>
                          <a:srgbClr val="FFFFFF"/>
                        </a:solidFill>
                        <a:ln w="9525">
                          <a:solidFill>
                            <a:srgbClr val="000000"/>
                          </a:solidFill>
                          <a:miter lim="800000"/>
                          <a:headEnd/>
                          <a:tailEnd/>
                        </a:ln>
                      </wps:spPr>
                      <wps:txbx>
                        <w:txbxContent>
                          <w:p w14:paraId="6D6F511B" w14:textId="77777777" w:rsidR="002E3B65" w:rsidRDefault="001D2F57">
                            <w:r>
                              <w:t>Eligibility</w:t>
                            </w:r>
                          </w:p>
                          <w:p w14:paraId="7AC082C9" w14:textId="4F8F318A" w:rsidR="001D2F57" w:rsidRDefault="001D2F57">
                            <w:r>
                              <w:t>Full text report</w:t>
                            </w:r>
                            <w:r w:rsidR="002E3B65">
                              <w:t>s sought for retrieval (n = 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CAABA" id="_x0000_s1031" type="#_x0000_t202" style="position:absolute;margin-left:70.2pt;margin-top:.6pt;width:169.2pt;height:65.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">
                <v:textbox>
                  <w:txbxContent>
                    <w:p w14:paraId="6D6F511B" w14:textId="77777777" w:rsidR="002E3B65" w:rsidRDefault="001D2F57">
                      <w:r>
                        <w:t>Eligibility</w:t>
                      </w:r>
                    </w:p>
                    <w:p w14:paraId="7AC082C9" w14:textId="4F8F318A" w:rsidR="001D2F57" w:rsidRDefault="001D2F57">
                      <w:r>
                        <w:t>Full text report</w:t>
                      </w:r>
                      <w:r w:rsidR="002E3B65">
                        <w:t>s sought for retrieval (n = 37)</w:t>
                      </w:r>
                    </w:p>
                  </w:txbxContent>
                </v:textbox>
                <w10:wrap type="square"/>
              </v:shape>
            </w:pict>
          </mc:Fallback>
        </mc:AlternateContent>
      </w:r>
    </w:p>
    <w:p w14:paraId="42D23D41" w14:textId="124810E7" w:rsidR="007909F5" w:rsidRPr="00E052B2" w:rsidRDefault="00255DAE" w:rsidP="00FF5C23">
      <w:pPr>
        <w:rPr>
          <w:rFonts w:ascii="Arial" w:hAnsi="Arial" w:cs="Arial"/>
        </w:rPr>
      </w:pPr>
      <w:r w:rsidRPr="00E052B2">
        <w:rPr>
          <w:rFonts w:ascii="Arial" w:hAnsi="Arial" w:cs="Arial"/>
          <w:noProof/>
        </w:rPr>
        <mc:AlternateContent>
          <mc:Choice Requires="wps">
            <w:drawing>
              <wp:anchor distT="0" distB="0" distL="114300" distR="114300" simplePos="0" relativeHeight="251676672" behindDoc="0" locked="0" layoutInCell="1" allowOverlap="1" wp14:anchorId="76E44CC7" wp14:editId="7E69805D">
                <wp:simplePos x="0" y="0"/>
                <wp:positionH relativeFrom="column">
                  <wp:posOffset>3261360</wp:posOffset>
                </wp:positionH>
                <wp:positionV relativeFrom="paragraph">
                  <wp:posOffset>102870</wp:posOffset>
                </wp:positionV>
                <wp:extent cx="487680" cy="7620"/>
                <wp:effectExtent l="0" t="57150" r="26670" b="87630"/>
                <wp:wrapNone/>
                <wp:docPr id="1011602931" name="Straight Arrow Connector 7"/>
                <wp:cNvGraphicFramePr/>
                <a:graphic xmlns:a="http://schemas.openxmlformats.org/drawingml/2006/main">
                  <a:graphicData uri="http://schemas.microsoft.com/office/word/2010/wordprocessingShape">
                    <wps:wsp>
                      <wps:cNvCnPr/>
                      <wps:spPr>
                        <a:xfrm>
                          <a:off x="0" y="0"/>
                          <a:ext cx="48768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99BD96" id="Straight Arrow Connector 7" o:spid="_x0000_s1026" type="#_x0000_t32" style="position:absolute;margin-left:256.8pt;margin-top:8.1pt;width:38.4pt;height:.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" strokecolor="#156082 [3204]" strokeweight=".5pt">
                <v:stroke endarrow="block" joinstyle="miter"/>
              </v:shape>
            </w:pict>
          </mc:Fallback>
        </mc:AlternateContent>
      </w:r>
    </w:p>
    <w:p w14:paraId="7AFDD4A8" w14:textId="130D4823" w:rsidR="007909F5" w:rsidRPr="00E052B2" w:rsidRDefault="007909F5" w:rsidP="00FF5C23">
      <w:pPr>
        <w:rPr>
          <w:rFonts w:ascii="Arial" w:hAnsi="Arial" w:cs="Arial"/>
        </w:rPr>
      </w:pPr>
    </w:p>
    <w:p w14:paraId="75B74E8F" w14:textId="31BF73C5" w:rsidR="00271163" w:rsidRPr="00E052B2" w:rsidRDefault="00255DAE" w:rsidP="00FF5C23">
      <w:pPr>
        <w:rPr>
          <w:rFonts w:ascii="Arial" w:hAnsi="Arial" w:cs="Arial"/>
        </w:rPr>
      </w:pPr>
      <w:r w:rsidRPr="00E052B2">
        <w:rPr>
          <w:rFonts w:ascii="Arial" w:hAnsi="Arial" w:cs="Arial"/>
          <w:noProof/>
        </w:rPr>
        <mc:AlternateContent>
          <mc:Choice Requires="wps">
            <w:drawing>
              <wp:anchor distT="0" distB="0" distL="114300" distR="114300" simplePos="0" relativeHeight="251678720" behindDoc="0" locked="0" layoutInCell="1" allowOverlap="1" wp14:anchorId="7F8646CF" wp14:editId="74975AB2">
                <wp:simplePos x="0" y="0"/>
                <wp:positionH relativeFrom="column">
                  <wp:posOffset>2026920</wp:posOffset>
                </wp:positionH>
                <wp:positionV relativeFrom="paragraph">
                  <wp:posOffset>225425</wp:posOffset>
                </wp:positionV>
                <wp:extent cx="7620" cy="403860"/>
                <wp:effectExtent l="76200" t="0" r="68580" b="53340"/>
                <wp:wrapNone/>
                <wp:docPr id="116452451" name="Straight Arrow Connector 9"/>
                <wp:cNvGraphicFramePr/>
                <a:graphic xmlns:a="http://schemas.openxmlformats.org/drawingml/2006/main">
                  <a:graphicData uri="http://schemas.microsoft.com/office/word/2010/wordprocessingShape">
                    <wps:wsp>
                      <wps:cNvCnPr/>
                      <wps:spPr>
                        <a:xfrm>
                          <a:off x="0" y="0"/>
                          <a:ext cx="7620" cy="403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1CFAE2" id="Straight Arrow Connector 9" o:spid="_x0000_s1026" type="#_x0000_t32" style="position:absolute;margin-left:159.6pt;margin-top:17.75pt;width:.6pt;height:31.8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" strokecolor="#156082 [3204]" strokeweight=".5pt">
                <v:stroke endarrow="block" joinstyle="miter"/>
              </v:shape>
            </w:pict>
          </mc:Fallback>
        </mc:AlternateContent>
      </w:r>
    </w:p>
    <w:p w14:paraId="2BD75E01" w14:textId="02A7833F" w:rsidR="00271163" w:rsidRPr="00E052B2" w:rsidRDefault="00271163" w:rsidP="00FF5C23">
      <w:pPr>
        <w:rPr>
          <w:rFonts w:ascii="Arial" w:hAnsi="Arial" w:cs="Arial"/>
        </w:rPr>
      </w:pPr>
    </w:p>
    <w:p w14:paraId="67D71265" w14:textId="0596349F" w:rsidR="00271163" w:rsidRPr="00E052B2" w:rsidRDefault="00255DAE" w:rsidP="00FF5C23">
      <w:pPr>
        <w:rPr>
          <w:rFonts w:ascii="Arial" w:hAnsi="Arial" w:cs="Arial"/>
        </w:rPr>
      </w:pPr>
      <w:r w:rsidRPr="00E052B2">
        <w:rPr>
          <w:rFonts w:ascii="Arial" w:hAnsi="Arial" w:cs="Arial"/>
          <w:noProof/>
        </w:rPr>
        <mc:AlternateContent>
          <mc:Choice Requires="wps">
            <w:drawing>
              <wp:anchor distT="45720" distB="45720" distL="114300" distR="114300" simplePos="0" relativeHeight="251680768" behindDoc="0" locked="0" layoutInCell="1" allowOverlap="1" wp14:anchorId="113484F1" wp14:editId="24D697FA">
                <wp:simplePos x="0" y="0"/>
                <wp:positionH relativeFrom="column">
                  <wp:posOffset>911860</wp:posOffset>
                </wp:positionH>
                <wp:positionV relativeFrom="paragraph">
                  <wp:posOffset>187325</wp:posOffset>
                </wp:positionV>
                <wp:extent cx="2360930" cy="1404620"/>
                <wp:effectExtent l="0" t="0" r="22860" b="11430"/>
                <wp:wrapSquare wrapText="bothSides"/>
                <wp:docPr id="7469920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4A3D128" w14:textId="5EF3E554" w:rsidR="00255DAE" w:rsidRDefault="00255DAE">
                            <w:r>
                              <w:t>Included</w:t>
                            </w:r>
                          </w:p>
                          <w:p w14:paraId="3608C962" w14:textId="7DBBEBE2" w:rsidR="00255DAE" w:rsidRDefault="00255DAE">
                            <w:r>
                              <w:t>Studies included in review (n=5)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13484F1" id="_x0000_s1032" type="#_x0000_t202" style="position:absolute;margin-left:71.8pt;margin-top:14.75pt;width:185.9pt;height:110.6pt;z-index:2516807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">
                <v:textbox style="mso-fit-shape-to-text:t">
                  <w:txbxContent>
                    <w:p w14:paraId="74A3D128" w14:textId="5EF3E554" w:rsidR="00255DAE" w:rsidRDefault="00255DAE">
                      <w:r>
                        <w:t>Included</w:t>
                      </w:r>
                    </w:p>
                    <w:p w14:paraId="3608C962" w14:textId="7DBBEBE2" w:rsidR="00255DAE" w:rsidRDefault="00255DAE">
                      <w:r>
                        <w:t>Studies included in review (n=5)</w:t>
                      </w:r>
                    </w:p>
                  </w:txbxContent>
                </v:textbox>
                <w10:wrap type="square"/>
              </v:shape>
            </w:pict>
          </mc:Fallback>
        </mc:AlternateContent>
      </w:r>
    </w:p>
    <w:p w14:paraId="2B7BA8C1" w14:textId="753184CF" w:rsidR="000620A0" w:rsidRPr="00E052B2" w:rsidRDefault="000620A0" w:rsidP="00FF5C23">
      <w:pPr>
        <w:rPr>
          <w:rFonts w:ascii="Arial" w:hAnsi="Arial" w:cs="Arial"/>
        </w:rPr>
      </w:pPr>
    </w:p>
    <w:p w14:paraId="728FE8C2" w14:textId="1B968F94" w:rsidR="000620A0" w:rsidRDefault="000620A0" w:rsidP="00FF5C23">
      <w:pPr>
        <w:rPr>
          <w:rFonts w:ascii="Arial" w:hAnsi="Arial" w:cs="Arial"/>
        </w:rPr>
      </w:pPr>
    </w:p>
    <w:p w14:paraId="4E79F611" w14:textId="77777777" w:rsidR="002641A0" w:rsidRDefault="002641A0" w:rsidP="00FF5C23">
      <w:pPr>
        <w:rPr>
          <w:rFonts w:ascii="Arial" w:hAnsi="Arial" w:cs="Arial"/>
        </w:rPr>
      </w:pPr>
    </w:p>
    <w:p w14:paraId="6E99378C" w14:textId="42699F88" w:rsidR="002641A0" w:rsidRDefault="002641A0" w:rsidP="00FF5C23">
      <w:pPr>
        <w:rPr>
          <w:rFonts w:ascii="Arial" w:hAnsi="Arial" w:cs="Arial"/>
        </w:rPr>
      </w:pPr>
      <w:r>
        <w:rPr>
          <w:rFonts w:ascii="Arial" w:hAnsi="Arial" w:cs="Arial"/>
        </w:rPr>
        <w:t>Although this scoping Review consists of secondary research and did not involve direct primary data collection from human participants, several ethical principles were strictly maintained to ensure academic integrity.</w:t>
      </w:r>
    </w:p>
    <w:p w14:paraId="69F39C7C" w14:textId="6652DC54" w:rsidR="002641A0" w:rsidRDefault="002641A0" w:rsidP="00FF5C23">
      <w:pPr>
        <w:rPr>
          <w:rFonts w:ascii="Arial" w:hAnsi="Arial" w:cs="Arial"/>
        </w:rPr>
      </w:pPr>
      <w:r>
        <w:rPr>
          <w:rFonts w:ascii="Arial" w:hAnsi="Arial" w:cs="Arial"/>
        </w:rPr>
        <w:t xml:space="preserve">Data Integrity and transparency: Following the guidance of Aveyard (2023), this review </w:t>
      </w:r>
      <w:r w:rsidR="00D93161">
        <w:rPr>
          <w:rFonts w:ascii="Arial" w:hAnsi="Arial" w:cs="Arial"/>
        </w:rPr>
        <w:t>avoided</w:t>
      </w:r>
      <w:r>
        <w:rPr>
          <w:rFonts w:ascii="Arial" w:hAnsi="Arial" w:cs="Arial"/>
        </w:rPr>
        <w:t xml:space="preserve"> “cherry-picking” data. All findings from the </w:t>
      </w:r>
      <w:r w:rsidR="00D93161">
        <w:rPr>
          <w:rFonts w:ascii="Arial" w:hAnsi="Arial" w:cs="Arial"/>
        </w:rPr>
        <w:t>five-core</w:t>
      </w:r>
      <w:r>
        <w:rPr>
          <w:rFonts w:ascii="Arial" w:hAnsi="Arial" w:cs="Arial"/>
        </w:rPr>
        <w:t xml:space="preserve"> studied including negative or null results were reported honestly to prevent bias.</w:t>
      </w:r>
    </w:p>
    <w:p w14:paraId="02B86ACB" w14:textId="710867F9" w:rsidR="002641A0" w:rsidRDefault="002641A0" w:rsidP="00FF5C23">
      <w:pPr>
        <w:rPr>
          <w:rFonts w:ascii="Arial" w:hAnsi="Arial" w:cs="Arial"/>
        </w:rPr>
      </w:pPr>
      <w:r>
        <w:rPr>
          <w:rFonts w:ascii="Arial" w:hAnsi="Arial" w:cs="Arial"/>
        </w:rPr>
        <w:lastRenderedPageBreak/>
        <w:t xml:space="preserve">Respect for Primary Research: The review acknowledges the </w:t>
      </w:r>
      <w:r w:rsidR="00D93161">
        <w:rPr>
          <w:rFonts w:ascii="Arial" w:hAnsi="Arial" w:cs="Arial"/>
        </w:rPr>
        <w:t>ethical</w:t>
      </w:r>
      <w:r>
        <w:rPr>
          <w:rFonts w:ascii="Arial" w:hAnsi="Arial" w:cs="Arial"/>
        </w:rPr>
        <w:t xml:space="preserve"> frameworks of the original </w:t>
      </w:r>
      <w:r w:rsidR="00D93161">
        <w:rPr>
          <w:rFonts w:ascii="Arial" w:hAnsi="Arial" w:cs="Arial"/>
        </w:rPr>
        <w:t>authors</w:t>
      </w:r>
      <w:r>
        <w:rPr>
          <w:rFonts w:ascii="Arial" w:hAnsi="Arial" w:cs="Arial"/>
        </w:rPr>
        <w:t xml:space="preserve">, ensuring that </w:t>
      </w:r>
      <w:r w:rsidR="00D93161">
        <w:rPr>
          <w:rFonts w:ascii="Arial" w:hAnsi="Arial" w:cs="Arial"/>
        </w:rPr>
        <w:t>their findings</w:t>
      </w:r>
      <w:r>
        <w:rPr>
          <w:rFonts w:ascii="Arial" w:hAnsi="Arial" w:cs="Arial"/>
        </w:rPr>
        <w:t xml:space="preserve"> are synthesised in a way that protects the “</w:t>
      </w:r>
      <w:r w:rsidR="00D93161">
        <w:rPr>
          <w:rFonts w:ascii="Arial" w:hAnsi="Arial" w:cs="Arial"/>
        </w:rPr>
        <w:t>Youth</w:t>
      </w:r>
      <w:r>
        <w:rPr>
          <w:rFonts w:ascii="Arial" w:hAnsi="Arial" w:cs="Arial"/>
        </w:rPr>
        <w:t xml:space="preserve"> Voice” and adheres to the original consent parameters provided by the participants.</w:t>
      </w:r>
    </w:p>
    <w:p w14:paraId="28531646" w14:textId="71025F1D" w:rsidR="002641A0" w:rsidRDefault="002641A0" w:rsidP="00FF5C23">
      <w:pPr>
        <w:rPr>
          <w:rFonts w:ascii="Arial" w:hAnsi="Arial" w:cs="Arial"/>
        </w:rPr>
      </w:pPr>
      <w:r>
        <w:rPr>
          <w:rFonts w:ascii="Arial" w:hAnsi="Arial" w:cs="Arial"/>
        </w:rPr>
        <w:t>Objectivity: to mitigate researchers bias, the inclusion and exclusion criteria were defined before the search began using the PCC framework, ensuring a syst</w:t>
      </w:r>
      <w:r w:rsidR="00D93161">
        <w:rPr>
          <w:rFonts w:ascii="Arial" w:hAnsi="Arial" w:cs="Arial"/>
        </w:rPr>
        <w:t>ematic and objective selection process.</w:t>
      </w:r>
    </w:p>
    <w:p w14:paraId="19AA4230" w14:textId="79F5DF95" w:rsidR="00D93161" w:rsidRPr="00E052B2" w:rsidRDefault="00D93161" w:rsidP="00FF5C23">
      <w:pPr>
        <w:rPr>
          <w:rFonts w:ascii="Arial" w:hAnsi="Arial" w:cs="Arial"/>
        </w:rPr>
      </w:pPr>
      <w:r>
        <w:rPr>
          <w:rFonts w:ascii="Arial" w:hAnsi="Arial" w:cs="Arial"/>
        </w:rPr>
        <w:t>Copyright and Attribution: All intellectual property has been protected through rigorous Harvard referencing, ensuring the original researchers receive full credit for their primary data.</w:t>
      </w:r>
    </w:p>
    <w:p w14:paraId="33333770" w14:textId="77777777" w:rsidR="00255DAE" w:rsidRPr="00E052B2" w:rsidRDefault="00255DAE" w:rsidP="00FF5C23">
      <w:pPr>
        <w:rPr>
          <w:rFonts w:ascii="Arial" w:hAnsi="Arial" w:cs="Arial"/>
        </w:rPr>
      </w:pPr>
    </w:p>
    <w:p w14:paraId="20229246" w14:textId="29A5A51C" w:rsidR="00FA702C" w:rsidRPr="00E052B2" w:rsidRDefault="00F83BC2" w:rsidP="00FF5C23">
      <w:pPr>
        <w:rPr>
          <w:rFonts w:ascii="Arial" w:hAnsi="Arial" w:cs="Arial"/>
          <w:b/>
          <w:bCs/>
        </w:rPr>
      </w:pPr>
      <w:r w:rsidRPr="00E052B2">
        <w:rPr>
          <w:rFonts w:ascii="Arial" w:hAnsi="Arial" w:cs="Arial"/>
          <w:b/>
          <w:bCs/>
        </w:rPr>
        <w:t xml:space="preserve">4.0 Results </w:t>
      </w:r>
    </w:p>
    <w:p w14:paraId="0D3D17ED" w14:textId="0FE8E923" w:rsidR="00F83BC2" w:rsidRPr="00E052B2" w:rsidRDefault="00F83BC2" w:rsidP="00FF5C23">
      <w:pPr>
        <w:rPr>
          <w:rFonts w:ascii="Arial" w:hAnsi="Arial" w:cs="Arial"/>
          <w:b/>
          <w:bCs/>
        </w:rPr>
      </w:pPr>
      <w:r w:rsidRPr="00E052B2">
        <w:rPr>
          <w:rFonts w:ascii="Arial" w:hAnsi="Arial" w:cs="Arial"/>
          <w:b/>
          <w:bCs/>
        </w:rPr>
        <w:t>4.1 Summary of Included Studies</w:t>
      </w:r>
    </w:p>
    <w:p w14:paraId="61B13842" w14:textId="2C757418" w:rsidR="00F83BC2" w:rsidRPr="00E052B2" w:rsidRDefault="00F83BC2" w:rsidP="00FF5C23">
      <w:pPr>
        <w:rPr>
          <w:rFonts w:ascii="Arial" w:hAnsi="Arial" w:cs="Arial"/>
        </w:rPr>
      </w:pPr>
      <w:r w:rsidRPr="00E052B2">
        <w:rPr>
          <w:rFonts w:ascii="Arial" w:hAnsi="Arial" w:cs="Arial"/>
        </w:rPr>
        <w:t>Following the systematic screening process, five core peer reviewed studies were selected for inclusion in this review. These studies represent a mix of qualitative, quantitative and mixed methods research conducted within the United Kingdome between 2023 and 2026.</w:t>
      </w:r>
    </w:p>
    <w:p w14:paraId="06C7D878" w14:textId="77777777" w:rsidR="00F83BC2" w:rsidRPr="00E052B2" w:rsidRDefault="00F83BC2" w:rsidP="00FF5C23">
      <w:pPr>
        <w:rPr>
          <w:rFonts w:ascii="Arial" w:hAnsi="Arial" w:cs="Arial"/>
          <w:b/>
          <w:bCs/>
        </w:rPr>
      </w:pPr>
    </w:p>
    <w:p w14:paraId="07C95823" w14:textId="0F429161" w:rsidR="00F83BC2" w:rsidRPr="00E052B2" w:rsidRDefault="00F83BC2" w:rsidP="00FF5C23">
      <w:pPr>
        <w:rPr>
          <w:rFonts w:ascii="Arial" w:hAnsi="Arial" w:cs="Arial"/>
          <w:b/>
          <w:bCs/>
        </w:rPr>
      </w:pPr>
      <w:r w:rsidRPr="00E052B2">
        <w:rPr>
          <w:rFonts w:ascii="Arial" w:hAnsi="Arial" w:cs="Arial"/>
          <w:b/>
          <w:bCs/>
        </w:rPr>
        <w:t>Table 2: Mapping of Evidence</w:t>
      </w:r>
    </w:p>
    <w:tbl>
      <w:tblPr>
        <w:tblStyle w:val="TableGrid"/>
        <w:tblW w:w="0" w:type="auto"/>
        <w:tblLook w:val="04A0" w:firstRow="1" w:lastRow="0" w:firstColumn="1" w:lastColumn="0" w:noHBand="0" w:noVBand="1"/>
      </w:tblPr>
      <w:tblGrid>
        <w:gridCol w:w="2254"/>
        <w:gridCol w:w="2254"/>
        <w:gridCol w:w="2254"/>
        <w:gridCol w:w="2254"/>
      </w:tblGrid>
      <w:tr w:rsidR="00E90525" w:rsidRPr="00E052B2" w14:paraId="7359D5A8" w14:textId="77777777" w:rsidTr="00BF03DE">
        <w:tc>
          <w:tcPr>
            <w:tcW w:w="2254" w:type="dxa"/>
          </w:tcPr>
          <w:p w14:paraId="23D526B1" w14:textId="3A0E87B1" w:rsidR="00FA702C" w:rsidRPr="00E052B2" w:rsidRDefault="00F83BC2" w:rsidP="00FF5C23">
            <w:pPr>
              <w:rPr>
                <w:rFonts w:ascii="Arial" w:hAnsi="Arial" w:cs="Arial"/>
              </w:rPr>
            </w:pPr>
            <w:r w:rsidRPr="00E052B2">
              <w:rPr>
                <w:rFonts w:ascii="Arial" w:hAnsi="Arial" w:cs="Arial"/>
              </w:rPr>
              <w:t>Author (Year)</w:t>
            </w:r>
          </w:p>
        </w:tc>
        <w:tc>
          <w:tcPr>
            <w:tcW w:w="2254" w:type="dxa"/>
          </w:tcPr>
          <w:p w14:paraId="433A11D1" w14:textId="12F25F66" w:rsidR="00E90525" w:rsidRPr="00E052B2" w:rsidRDefault="005B6241" w:rsidP="00FF5C23">
            <w:pPr>
              <w:rPr>
                <w:rFonts w:ascii="Arial" w:hAnsi="Arial" w:cs="Arial"/>
              </w:rPr>
            </w:pPr>
            <w:r w:rsidRPr="00E052B2">
              <w:rPr>
                <w:rFonts w:ascii="Arial" w:hAnsi="Arial" w:cs="Arial"/>
              </w:rPr>
              <w:t xml:space="preserve">Method </w:t>
            </w:r>
          </w:p>
        </w:tc>
        <w:tc>
          <w:tcPr>
            <w:tcW w:w="2254" w:type="dxa"/>
          </w:tcPr>
          <w:p w14:paraId="25CA5DA3" w14:textId="18A5B5F1" w:rsidR="00E90525" w:rsidRPr="00E052B2" w:rsidRDefault="005B6241" w:rsidP="00FF5C23">
            <w:pPr>
              <w:rPr>
                <w:rFonts w:ascii="Arial" w:hAnsi="Arial" w:cs="Arial"/>
              </w:rPr>
            </w:pPr>
            <w:r w:rsidRPr="00E052B2">
              <w:rPr>
                <w:rFonts w:ascii="Arial" w:hAnsi="Arial" w:cs="Arial"/>
              </w:rPr>
              <w:t>Participants</w:t>
            </w:r>
          </w:p>
        </w:tc>
        <w:tc>
          <w:tcPr>
            <w:tcW w:w="2254" w:type="dxa"/>
          </w:tcPr>
          <w:p w14:paraId="5F770078" w14:textId="5584860C" w:rsidR="00E90525" w:rsidRPr="00E052B2" w:rsidRDefault="005B6241" w:rsidP="00FF5C23">
            <w:pPr>
              <w:rPr>
                <w:rFonts w:ascii="Arial" w:hAnsi="Arial" w:cs="Arial"/>
              </w:rPr>
            </w:pPr>
            <w:r w:rsidRPr="00E052B2">
              <w:rPr>
                <w:rFonts w:ascii="Arial" w:hAnsi="Arial" w:cs="Arial"/>
              </w:rPr>
              <w:t>Key Findings</w:t>
            </w:r>
          </w:p>
        </w:tc>
      </w:tr>
      <w:tr w:rsidR="00E90525" w:rsidRPr="00E052B2" w14:paraId="3D3529C4" w14:textId="77777777" w:rsidTr="00BF03DE">
        <w:tc>
          <w:tcPr>
            <w:tcW w:w="2254" w:type="dxa"/>
          </w:tcPr>
          <w:p w14:paraId="5866749B" w14:textId="3C877F26" w:rsidR="00E90525" w:rsidRPr="00E052B2" w:rsidRDefault="00476545" w:rsidP="00FF5C23">
            <w:pPr>
              <w:rPr>
                <w:rFonts w:ascii="Arial" w:hAnsi="Arial" w:cs="Arial"/>
              </w:rPr>
            </w:pPr>
            <w:r w:rsidRPr="00E052B2">
              <w:rPr>
                <w:rFonts w:ascii="Arial" w:hAnsi="Arial" w:cs="Arial"/>
              </w:rPr>
              <w:t>Khan et al. (2023)</w:t>
            </w:r>
          </w:p>
        </w:tc>
        <w:tc>
          <w:tcPr>
            <w:tcW w:w="2254" w:type="dxa"/>
          </w:tcPr>
          <w:p w14:paraId="6D9451C5" w14:textId="321DA2A5" w:rsidR="00E90525" w:rsidRPr="00E052B2" w:rsidRDefault="005B6241" w:rsidP="00FF5C23">
            <w:pPr>
              <w:rPr>
                <w:rFonts w:ascii="Arial" w:hAnsi="Arial" w:cs="Arial"/>
              </w:rPr>
            </w:pPr>
            <w:r w:rsidRPr="00E052B2">
              <w:rPr>
                <w:rFonts w:ascii="Arial" w:hAnsi="Arial" w:cs="Arial"/>
              </w:rPr>
              <w:t>Qualitative</w:t>
            </w:r>
            <w:r w:rsidR="00476545" w:rsidRPr="00E052B2">
              <w:rPr>
                <w:rFonts w:ascii="Arial" w:hAnsi="Arial" w:cs="Arial"/>
              </w:rPr>
              <w:t>/</w:t>
            </w:r>
            <w:r w:rsidR="002E3E84" w:rsidRPr="00E052B2">
              <w:rPr>
                <w:rFonts w:ascii="Arial" w:hAnsi="Arial" w:cs="Arial"/>
              </w:rPr>
              <w:t>Equity Audit</w:t>
            </w:r>
          </w:p>
        </w:tc>
        <w:tc>
          <w:tcPr>
            <w:tcW w:w="2254" w:type="dxa"/>
          </w:tcPr>
          <w:p w14:paraId="6E11EF3F" w14:textId="5652F3A0" w:rsidR="00E90525" w:rsidRPr="00E052B2" w:rsidRDefault="00736A6D" w:rsidP="00FF5C23">
            <w:pPr>
              <w:rPr>
                <w:rFonts w:ascii="Arial" w:hAnsi="Arial" w:cs="Arial"/>
              </w:rPr>
            </w:pPr>
            <w:r w:rsidRPr="00E052B2">
              <w:rPr>
                <w:rFonts w:ascii="Arial" w:hAnsi="Arial" w:cs="Arial"/>
              </w:rPr>
              <w:t>UK Service Providers</w:t>
            </w:r>
          </w:p>
        </w:tc>
        <w:tc>
          <w:tcPr>
            <w:tcW w:w="2254" w:type="dxa"/>
          </w:tcPr>
          <w:p w14:paraId="41142751" w14:textId="4235591A" w:rsidR="00E90525" w:rsidRPr="00E052B2" w:rsidRDefault="00736A6D" w:rsidP="00FF5C23">
            <w:pPr>
              <w:rPr>
                <w:rFonts w:ascii="Arial" w:hAnsi="Arial" w:cs="Arial"/>
              </w:rPr>
            </w:pPr>
            <w:r w:rsidRPr="00E052B2">
              <w:rPr>
                <w:rFonts w:ascii="Arial" w:hAnsi="Arial" w:cs="Arial"/>
              </w:rPr>
              <w:t xml:space="preserve">Poverty is a major </w:t>
            </w:r>
            <w:r w:rsidR="00551317" w:rsidRPr="00E052B2">
              <w:rPr>
                <w:rFonts w:ascii="Arial" w:hAnsi="Arial" w:cs="Arial"/>
              </w:rPr>
              <w:t>barrier “one size” does not fit all</w:t>
            </w:r>
            <w:r w:rsidR="003F2E41" w:rsidRPr="00E052B2">
              <w:rPr>
                <w:rFonts w:ascii="Arial" w:hAnsi="Arial" w:cs="Arial"/>
              </w:rPr>
              <w:t>.</w:t>
            </w:r>
          </w:p>
        </w:tc>
      </w:tr>
      <w:tr w:rsidR="00E90525" w:rsidRPr="00E052B2" w14:paraId="5B596616" w14:textId="77777777" w:rsidTr="00BF03DE">
        <w:tc>
          <w:tcPr>
            <w:tcW w:w="2254" w:type="dxa"/>
          </w:tcPr>
          <w:p w14:paraId="3B9007CA" w14:textId="5AB66003" w:rsidR="00E90525" w:rsidRPr="00E052B2" w:rsidRDefault="003F2E41" w:rsidP="00FF5C23">
            <w:pPr>
              <w:rPr>
                <w:rFonts w:ascii="Arial" w:hAnsi="Arial" w:cs="Arial"/>
              </w:rPr>
            </w:pPr>
            <w:r w:rsidRPr="00E052B2">
              <w:rPr>
                <w:rFonts w:ascii="Arial" w:hAnsi="Arial" w:cs="Arial"/>
              </w:rPr>
              <w:t>Fancourt et al. (2026</w:t>
            </w:r>
            <w:r w:rsidR="00093F98" w:rsidRPr="00E052B2">
              <w:rPr>
                <w:rFonts w:ascii="Arial" w:hAnsi="Arial" w:cs="Arial"/>
              </w:rPr>
              <w:t>)</w:t>
            </w:r>
          </w:p>
        </w:tc>
        <w:tc>
          <w:tcPr>
            <w:tcW w:w="2254" w:type="dxa"/>
          </w:tcPr>
          <w:p w14:paraId="1F87A414" w14:textId="5E1653E2" w:rsidR="00E90525" w:rsidRPr="00E052B2" w:rsidRDefault="00093F98" w:rsidP="00FF5C23">
            <w:pPr>
              <w:rPr>
                <w:rFonts w:ascii="Arial" w:hAnsi="Arial" w:cs="Arial"/>
              </w:rPr>
            </w:pPr>
            <w:r w:rsidRPr="00E052B2">
              <w:rPr>
                <w:rFonts w:ascii="Arial" w:hAnsi="Arial" w:cs="Arial"/>
              </w:rPr>
              <w:t>Hybrid effectiveness trial</w:t>
            </w:r>
          </w:p>
        </w:tc>
        <w:tc>
          <w:tcPr>
            <w:tcW w:w="2254" w:type="dxa"/>
          </w:tcPr>
          <w:p w14:paraId="31AE68FC" w14:textId="4F2AC1D9" w:rsidR="00E90525" w:rsidRPr="00E052B2" w:rsidRDefault="00093F98" w:rsidP="00FF5C23">
            <w:pPr>
              <w:rPr>
                <w:rFonts w:ascii="Arial" w:hAnsi="Arial" w:cs="Arial"/>
              </w:rPr>
            </w:pPr>
            <w:r w:rsidRPr="00E052B2">
              <w:rPr>
                <w:rFonts w:ascii="Arial" w:hAnsi="Arial" w:cs="Arial"/>
              </w:rPr>
              <w:t>558 Youth (CAMHS)</w:t>
            </w:r>
          </w:p>
        </w:tc>
        <w:tc>
          <w:tcPr>
            <w:tcW w:w="2254" w:type="dxa"/>
          </w:tcPr>
          <w:p w14:paraId="0AFE5D99" w14:textId="4E1A5DE6" w:rsidR="00E90525" w:rsidRPr="00E052B2" w:rsidRDefault="00D717B1" w:rsidP="00FF5C23">
            <w:pPr>
              <w:rPr>
                <w:rFonts w:ascii="Arial" w:hAnsi="Arial" w:cs="Arial"/>
              </w:rPr>
            </w:pPr>
            <w:r w:rsidRPr="00E052B2">
              <w:rPr>
                <w:rFonts w:ascii="Arial" w:hAnsi="Arial" w:cs="Arial"/>
              </w:rPr>
              <w:t xml:space="preserve">Improved resilience and conducts less impact on </w:t>
            </w:r>
            <w:r w:rsidR="00CA4211" w:rsidRPr="00E052B2">
              <w:rPr>
                <w:rFonts w:ascii="Arial" w:hAnsi="Arial" w:cs="Arial"/>
              </w:rPr>
              <w:t>clinical anxiety</w:t>
            </w:r>
          </w:p>
        </w:tc>
      </w:tr>
      <w:tr w:rsidR="00E90525" w:rsidRPr="00E052B2" w14:paraId="010C4EDB" w14:textId="77777777" w:rsidTr="00BF03DE">
        <w:tc>
          <w:tcPr>
            <w:tcW w:w="2254" w:type="dxa"/>
          </w:tcPr>
          <w:p w14:paraId="0FAE39FB" w14:textId="27B53E84" w:rsidR="00E90525" w:rsidRPr="00E052B2" w:rsidRDefault="004129CD" w:rsidP="00FF5C23">
            <w:pPr>
              <w:rPr>
                <w:rFonts w:ascii="Arial" w:hAnsi="Arial" w:cs="Arial"/>
              </w:rPr>
            </w:pPr>
            <w:r w:rsidRPr="00E052B2">
              <w:rPr>
                <w:rFonts w:ascii="Arial" w:hAnsi="Arial" w:cs="Arial"/>
              </w:rPr>
              <w:t>Hayes et al. (2023)</w:t>
            </w:r>
          </w:p>
        </w:tc>
        <w:tc>
          <w:tcPr>
            <w:tcW w:w="2254" w:type="dxa"/>
          </w:tcPr>
          <w:p w14:paraId="29F2F973" w14:textId="7A524F4E" w:rsidR="00E90525" w:rsidRPr="00E052B2" w:rsidRDefault="00E6538E" w:rsidP="00FF5C23">
            <w:pPr>
              <w:rPr>
                <w:rFonts w:ascii="Arial" w:hAnsi="Arial" w:cs="Arial"/>
              </w:rPr>
            </w:pPr>
            <w:r w:rsidRPr="00E052B2">
              <w:rPr>
                <w:rFonts w:ascii="Arial" w:hAnsi="Arial" w:cs="Arial"/>
              </w:rPr>
              <w:t>Qualitative (TDF Framework)</w:t>
            </w:r>
          </w:p>
        </w:tc>
        <w:tc>
          <w:tcPr>
            <w:tcW w:w="2254" w:type="dxa"/>
          </w:tcPr>
          <w:p w14:paraId="69586B25" w14:textId="6241E98C" w:rsidR="00E90525" w:rsidRPr="00E052B2" w:rsidRDefault="004512D8" w:rsidP="00FF5C23">
            <w:pPr>
              <w:rPr>
                <w:rFonts w:ascii="Arial" w:hAnsi="Arial" w:cs="Arial"/>
              </w:rPr>
            </w:pPr>
            <w:r w:rsidRPr="00E052B2">
              <w:rPr>
                <w:rFonts w:ascii="Arial" w:hAnsi="Arial" w:cs="Arial"/>
              </w:rPr>
              <w:t>11 Link Workers</w:t>
            </w:r>
          </w:p>
        </w:tc>
        <w:tc>
          <w:tcPr>
            <w:tcW w:w="2254" w:type="dxa"/>
          </w:tcPr>
          <w:p w14:paraId="00135764" w14:textId="0938C9EE" w:rsidR="00E90525" w:rsidRPr="00E052B2" w:rsidRDefault="00D86DEB" w:rsidP="00FF5C23">
            <w:pPr>
              <w:rPr>
                <w:rFonts w:ascii="Arial" w:hAnsi="Arial" w:cs="Arial"/>
              </w:rPr>
            </w:pPr>
            <w:r w:rsidRPr="00E052B2">
              <w:rPr>
                <w:rFonts w:ascii="Arial" w:hAnsi="Arial" w:cs="Arial"/>
              </w:rPr>
              <w:t>Professional barriers include</w:t>
            </w:r>
            <w:r w:rsidR="00E76103" w:rsidRPr="00E052B2">
              <w:rPr>
                <w:rFonts w:ascii="Arial" w:hAnsi="Arial" w:cs="Arial"/>
              </w:rPr>
              <w:t xml:space="preserve"> lack of youth specific resources </w:t>
            </w:r>
          </w:p>
        </w:tc>
      </w:tr>
      <w:tr w:rsidR="00E90525" w:rsidRPr="00E052B2" w14:paraId="3DAFCFF3" w14:textId="77777777" w:rsidTr="00BF03DE">
        <w:tc>
          <w:tcPr>
            <w:tcW w:w="2254" w:type="dxa"/>
          </w:tcPr>
          <w:p w14:paraId="5039CB86" w14:textId="1974AE8D" w:rsidR="00E90525" w:rsidRPr="00E052B2" w:rsidRDefault="007A66CB" w:rsidP="00FF5C23">
            <w:pPr>
              <w:rPr>
                <w:rFonts w:ascii="Arial" w:hAnsi="Arial" w:cs="Arial"/>
              </w:rPr>
            </w:pPr>
            <w:r w:rsidRPr="00E052B2">
              <w:rPr>
                <w:rFonts w:ascii="Arial" w:hAnsi="Arial" w:cs="Arial"/>
              </w:rPr>
              <w:t>Olsson and Hayes</w:t>
            </w:r>
            <w:r w:rsidR="002B5B6D" w:rsidRPr="00E052B2">
              <w:rPr>
                <w:rFonts w:ascii="Arial" w:hAnsi="Arial" w:cs="Arial"/>
              </w:rPr>
              <w:t xml:space="preserve"> (2025)</w:t>
            </w:r>
          </w:p>
        </w:tc>
        <w:tc>
          <w:tcPr>
            <w:tcW w:w="2254" w:type="dxa"/>
          </w:tcPr>
          <w:p w14:paraId="5441C25E" w14:textId="54AFD5E0" w:rsidR="00E90525" w:rsidRPr="00E052B2" w:rsidRDefault="002109AB" w:rsidP="00FF5C23">
            <w:pPr>
              <w:rPr>
                <w:rFonts w:ascii="Arial" w:hAnsi="Arial" w:cs="Arial"/>
              </w:rPr>
            </w:pPr>
            <w:r w:rsidRPr="00E052B2">
              <w:rPr>
                <w:rFonts w:ascii="Arial" w:hAnsi="Arial" w:cs="Arial"/>
              </w:rPr>
              <w:t>Qualit</w:t>
            </w:r>
            <w:r w:rsidR="007A66CB" w:rsidRPr="00E052B2">
              <w:rPr>
                <w:rFonts w:ascii="Arial" w:hAnsi="Arial" w:cs="Arial"/>
              </w:rPr>
              <w:t>ative Interviews</w:t>
            </w:r>
          </w:p>
        </w:tc>
        <w:tc>
          <w:tcPr>
            <w:tcW w:w="2254" w:type="dxa"/>
          </w:tcPr>
          <w:p w14:paraId="79CA6184" w14:textId="77552001" w:rsidR="00E90525" w:rsidRPr="00E052B2" w:rsidRDefault="00B930F6" w:rsidP="00FF5C23">
            <w:pPr>
              <w:rPr>
                <w:rFonts w:ascii="Arial" w:hAnsi="Arial" w:cs="Arial"/>
              </w:rPr>
            </w:pPr>
            <w:r w:rsidRPr="00E052B2">
              <w:rPr>
                <w:rFonts w:ascii="Arial" w:hAnsi="Arial" w:cs="Arial"/>
              </w:rPr>
              <w:t>10–19-year-olds</w:t>
            </w:r>
          </w:p>
        </w:tc>
        <w:tc>
          <w:tcPr>
            <w:tcW w:w="2254" w:type="dxa"/>
          </w:tcPr>
          <w:p w14:paraId="640C0F32" w14:textId="16F56888" w:rsidR="00E90525" w:rsidRPr="00E052B2" w:rsidRDefault="00A66048" w:rsidP="00FF5C23">
            <w:pPr>
              <w:rPr>
                <w:rFonts w:ascii="Arial" w:hAnsi="Arial" w:cs="Arial"/>
              </w:rPr>
            </w:pPr>
            <w:r w:rsidRPr="00E052B2">
              <w:rPr>
                <w:rFonts w:ascii="Arial" w:hAnsi="Arial" w:cs="Arial"/>
              </w:rPr>
              <w:t>Young people value non-clinical safe spaces</w:t>
            </w:r>
          </w:p>
        </w:tc>
      </w:tr>
      <w:tr w:rsidR="00E90525" w:rsidRPr="00E052B2" w14:paraId="7840A07E" w14:textId="77777777" w:rsidTr="00BF03DE">
        <w:tc>
          <w:tcPr>
            <w:tcW w:w="2254" w:type="dxa"/>
          </w:tcPr>
          <w:p w14:paraId="1CC96E81" w14:textId="17832BEE" w:rsidR="00E90525" w:rsidRPr="00E052B2" w:rsidRDefault="005B64A0" w:rsidP="00FF5C23">
            <w:pPr>
              <w:rPr>
                <w:rFonts w:ascii="Arial" w:hAnsi="Arial" w:cs="Arial"/>
              </w:rPr>
            </w:pPr>
            <w:r w:rsidRPr="00E052B2">
              <w:rPr>
                <w:rFonts w:ascii="Arial" w:hAnsi="Arial" w:cs="Arial"/>
              </w:rPr>
              <w:t xml:space="preserve">Steffen et al. (2025) </w:t>
            </w:r>
          </w:p>
        </w:tc>
        <w:tc>
          <w:tcPr>
            <w:tcW w:w="2254" w:type="dxa"/>
          </w:tcPr>
          <w:p w14:paraId="76A0FA71" w14:textId="328B5091" w:rsidR="00E90525" w:rsidRPr="00E052B2" w:rsidRDefault="00BA38F2" w:rsidP="00FF5C23">
            <w:pPr>
              <w:rPr>
                <w:rFonts w:ascii="Arial" w:hAnsi="Arial" w:cs="Arial"/>
              </w:rPr>
            </w:pPr>
            <w:r w:rsidRPr="00E052B2">
              <w:rPr>
                <w:rFonts w:ascii="Arial" w:hAnsi="Arial" w:cs="Arial"/>
              </w:rPr>
              <w:t>Mixed Methods</w:t>
            </w:r>
          </w:p>
        </w:tc>
        <w:tc>
          <w:tcPr>
            <w:tcW w:w="2254" w:type="dxa"/>
          </w:tcPr>
          <w:p w14:paraId="18B4A801" w14:textId="6C230EF3" w:rsidR="00E90525" w:rsidRPr="00E052B2" w:rsidRDefault="00BA38F2" w:rsidP="00FF5C23">
            <w:pPr>
              <w:rPr>
                <w:rFonts w:ascii="Arial" w:hAnsi="Arial" w:cs="Arial"/>
              </w:rPr>
            </w:pPr>
            <w:r w:rsidRPr="00E052B2">
              <w:rPr>
                <w:rFonts w:ascii="Arial" w:hAnsi="Arial" w:cs="Arial"/>
              </w:rPr>
              <w:t>UK Youth Cohort</w:t>
            </w:r>
          </w:p>
        </w:tc>
        <w:tc>
          <w:tcPr>
            <w:tcW w:w="2254" w:type="dxa"/>
          </w:tcPr>
          <w:p w14:paraId="659DF804" w14:textId="49728B1B" w:rsidR="00E90525" w:rsidRPr="00E052B2" w:rsidRDefault="00FA1667" w:rsidP="00FF5C23">
            <w:pPr>
              <w:rPr>
                <w:rFonts w:ascii="Arial" w:hAnsi="Arial" w:cs="Arial"/>
              </w:rPr>
            </w:pPr>
            <w:r w:rsidRPr="00E052B2">
              <w:rPr>
                <w:rFonts w:ascii="Arial" w:hAnsi="Arial" w:cs="Arial"/>
              </w:rPr>
              <w:t>Active ingredients include trust and agency</w:t>
            </w:r>
          </w:p>
        </w:tc>
      </w:tr>
      <w:tr w:rsidR="00E90525" w:rsidRPr="00E052B2" w14:paraId="5BBA442A" w14:textId="77777777" w:rsidTr="00BF03DE">
        <w:trPr>
          <w:trHeight w:val="58"/>
        </w:trPr>
        <w:tc>
          <w:tcPr>
            <w:tcW w:w="2254" w:type="dxa"/>
          </w:tcPr>
          <w:p w14:paraId="625A0951" w14:textId="77777777" w:rsidR="00E90525" w:rsidRPr="00E052B2" w:rsidRDefault="00E90525" w:rsidP="00FF5C23">
            <w:pPr>
              <w:rPr>
                <w:rFonts w:ascii="Arial" w:hAnsi="Arial" w:cs="Arial"/>
              </w:rPr>
            </w:pPr>
          </w:p>
        </w:tc>
        <w:tc>
          <w:tcPr>
            <w:tcW w:w="2254" w:type="dxa"/>
          </w:tcPr>
          <w:p w14:paraId="332458E5" w14:textId="77777777" w:rsidR="00E90525" w:rsidRPr="00E052B2" w:rsidRDefault="00E90525" w:rsidP="00FF5C23">
            <w:pPr>
              <w:rPr>
                <w:rFonts w:ascii="Arial" w:hAnsi="Arial" w:cs="Arial"/>
              </w:rPr>
            </w:pPr>
          </w:p>
        </w:tc>
        <w:tc>
          <w:tcPr>
            <w:tcW w:w="2254" w:type="dxa"/>
          </w:tcPr>
          <w:p w14:paraId="14731552" w14:textId="77777777" w:rsidR="00E90525" w:rsidRPr="00E052B2" w:rsidRDefault="00E90525" w:rsidP="00FF5C23">
            <w:pPr>
              <w:rPr>
                <w:rFonts w:ascii="Arial" w:hAnsi="Arial" w:cs="Arial"/>
              </w:rPr>
            </w:pPr>
          </w:p>
        </w:tc>
        <w:tc>
          <w:tcPr>
            <w:tcW w:w="2254" w:type="dxa"/>
          </w:tcPr>
          <w:p w14:paraId="1E05B33F" w14:textId="77777777" w:rsidR="00E90525" w:rsidRPr="00E052B2" w:rsidRDefault="00E90525" w:rsidP="00FF5C23">
            <w:pPr>
              <w:rPr>
                <w:rFonts w:ascii="Arial" w:hAnsi="Arial" w:cs="Arial"/>
              </w:rPr>
            </w:pPr>
          </w:p>
        </w:tc>
      </w:tr>
    </w:tbl>
    <w:p w14:paraId="7A77DD45" w14:textId="77777777" w:rsidR="00E90525" w:rsidRPr="00E052B2" w:rsidRDefault="00E90525" w:rsidP="00FF5C23">
      <w:pPr>
        <w:rPr>
          <w:rFonts w:ascii="Arial" w:hAnsi="Arial" w:cs="Arial"/>
        </w:rPr>
      </w:pPr>
    </w:p>
    <w:p w14:paraId="54A0C4A3" w14:textId="367D9694" w:rsidR="00FF5C23" w:rsidRPr="00E052B2" w:rsidRDefault="00FF5C23" w:rsidP="00007FF6">
      <w:pPr>
        <w:rPr>
          <w:rFonts w:ascii="Arial" w:hAnsi="Arial" w:cs="Arial"/>
        </w:rPr>
      </w:pPr>
    </w:p>
    <w:p w14:paraId="7BE9400F" w14:textId="6A74564B" w:rsidR="00212B36" w:rsidRPr="00E052B2" w:rsidRDefault="00947AFB" w:rsidP="00FF5C23">
      <w:pPr>
        <w:rPr>
          <w:rFonts w:ascii="Arial" w:hAnsi="Arial" w:cs="Arial"/>
        </w:rPr>
      </w:pPr>
      <w:r w:rsidRPr="00E052B2">
        <w:rPr>
          <w:rFonts w:ascii="Arial" w:hAnsi="Arial" w:cs="Arial"/>
        </w:rPr>
        <w:t>To synthesise the findings from these five studies, a thematic analysis was conducted following the six-phase framework proposed by Braun and Clarke (2026). This involved inductive coding of the Results and Discussion sections of each paper to identify recurring patterns.</w:t>
      </w:r>
    </w:p>
    <w:p w14:paraId="326B02D4" w14:textId="04FE2EB8" w:rsidR="00947AFB" w:rsidRPr="00E052B2" w:rsidRDefault="00947AFB" w:rsidP="00FF5C23">
      <w:pPr>
        <w:rPr>
          <w:rFonts w:ascii="Arial" w:hAnsi="Arial" w:cs="Arial"/>
        </w:rPr>
      </w:pPr>
      <w:r w:rsidRPr="00E052B2">
        <w:rPr>
          <w:rFonts w:ascii="Arial" w:hAnsi="Arial" w:cs="Arial"/>
        </w:rPr>
        <w:t>The three overarching themes emerging from the data:</w:t>
      </w:r>
    </w:p>
    <w:p w14:paraId="5AAC102E" w14:textId="57271859" w:rsidR="00947AFB" w:rsidRPr="00E052B2" w:rsidRDefault="00947AFB" w:rsidP="00947AFB">
      <w:pPr>
        <w:pStyle w:val="ListParagraph"/>
        <w:numPr>
          <w:ilvl w:val="0"/>
          <w:numId w:val="3"/>
        </w:numPr>
        <w:rPr>
          <w:rFonts w:ascii="Arial" w:hAnsi="Arial" w:cs="Arial"/>
        </w:rPr>
      </w:pPr>
      <w:r w:rsidRPr="00E052B2">
        <w:rPr>
          <w:rFonts w:ascii="Arial" w:hAnsi="Arial" w:cs="Arial"/>
        </w:rPr>
        <w:t xml:space="preserve">Theme 1: Service Efficiency and Resilience </w:t>
      </w:r>
      <w:r w:rsidRPr="00E052B2">
        <w:rPr>
          <w:rFonts w:ascii="Arial" w:hAnsi="Arial" w:cs="Arial"/>
        </w:rPr>
        <w:tab/>
      </w:r>
    </w:p>
    <w:p w14:paraId="1DEF6896" w14:textId="229789BC" w:rsidR="00947AFB" w:rsidRPr="00E052B2" w:rsidRDefault="00947AFB" w:rsidP="00947AFB">
      <w:pPr>
        <w:pStyle w:val="ListParagraph"/>
        <w:numPr>
          <w:ilvl w:val="0"/>
          <w:numId w:val="3"/>
        </w:numPr>
        <w:rPr>
          <w:rFonts w:ascii="Arial" w:hAnsi="Arial" w:cs="Arial"/>
        </w:rPr>
      </w:pPr>
      <w:r w:rsidRPr="00E052B2">
        <w:rPr>
          <w:rFonts w:ascii="Arial" w:hAnsi="Arial" w:cs="Arial"/>
        </w:rPr>
        <w:t>Theme 2: The Relational “active Ingredient”</w:t>
      </w:r>
    </w:p>
    <w:p w14:paraId="0420F16C" w14:textId="13D393FE" w:rsidR="00947AFB" w:rsidRPr="00E052B2" w:rsidRDefault="00947AFB" w:rsidP="00947AFB">
      <w:pPr>
        <w:pStyle w:val="ListParagraph"/>
        <w:numPr>
          <w:ilvl w:val="0"/>
          <w:numId w:val="3"/>
        </w:numPr>
        <w:rPr>
          <w:rFonts w:ascii="Arial" w:hAnsi="Arial" w:cs="Arial"/>
        </w:rPr>
      </w:pPr>
      <w:r w:rsidRPr="00E052B2">
        <w:rPr>
          <w:rFonts w:ascii="Arial" w:hAnsi="Arial" w:cs="Arial"/>
        </w:rPr>
        <w:lastRenderedPageBreak/>
        <w:t>Theme 3: Structural and socioeconomic Barriers</w:t>
      </w:r>
    </w:p>
    <w:p w14:paraId="797C3F09" w14:textId="77777777" w:rsidR="00947AFB" w:rsidRPr="00E052B2" w:rsidRDefault="00947AFB" w:rsidP="00947AFB">
      <w:pPr>
        <w:rPr>
          <w:rFonts w:ascii="Arial" w:hAnsi="Arial" w:cs="Arial"/>
        </w:rPr>
      </w:pPr>
    </w:p>
    <w:p w14:paraId="0B457BFE" w14:textId="1EC718A9" w:rsidR="00947AFB" w:rsidRDefault="00947AFB" w:rsidP="00947AFB">
      <w:pPr>
        <w:rPr>
          <w:rFonts w:ascii="Arial" w:hAnsi="Arial" w:cs="Arial"/>
          <w:b/>
          <w:bCs/>
        </w:rPr>
      </w:pPr>
      <w:r w:rsidRPr="00E052B2">
        <w:rPr>
          <w:rFonts w:ascii="Arial" w:hAnsi="Arial" w:cs="Arial"/>
          <w:b/>
          <w:bCs/>
        </w:rPr>
        <w:t>5.0 Discussion</w:t>
      </w:r>
    </w:p>
    <w:p w14:paraId="680CEBBD" w14:textId="5081E54D" w:rsidR="00476C7B" w:rsidRPr="00762362" w:rsidRDefault="0080124A" w:rsidP="00A611CC">
      <w:pPr>
        <w:rPr>
          <w:rFonts w:ascii="Arial" w:eastAsia="Times New Roman" w:hAnsi="Arial" w:cs="Arial"/>
          <w:b/>
          <w:bCs/>
          <w:kern w:val="0"/>
          <w:lang w:eastAsia="en-GB"/>
          <w14:ligatures w14:val="none"/>
        </w:rPr>
      </w:pPr>
      <w:r w:rsidRPr="00762362">
        <w:rPr>
          <w:rFonts w:ascii="Arial" w:eastAsia="Times New Roman" w:hAnsi="Arial" w:cs="Arial"/>
          <w:b/>
          <w:bCs/>
          <w:kern w:val="0"/>
          <w:lang w:eastAsia="en-GB"/>
          <w14:ligatures w14:val="none"/>
        </w:rPr>
        <w:t>5.1 Theme1 Efficacy, Resilience, and the “Clinical Gap”</w:t>
      </w:r>
    </w:p>
    <w:p w14:paraId="09D8D4F4" w14:textId="4539AD96" w:rsidR="0080124A" w:rsidRDefault="0080124A"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primary evidence identifies in this review, notably Fancourt </w:t>
      </w:r>
      <w:r w:rsidR="00103DBB">
        <w:rPr>
          <w:rFonts w:ascii="Arial" w:eastAsia="Times New Roman" w:hAnsi="Arial" w:cs="Arial"/>
          <w:kern w:val="0"/>
          <w:lang w:eastAsia="en-GB"/>
          <w14:ligatures w14:val="none"/>
        </w:rPr>
        <w:t>et al. (</w:t>
      </w:r>
      <w:r>
        <w:rPr>
          <w:rFonts w:ascii="Arial" w:eastAsia="Times New Roman" w:hAnsi="Arial" w:cs="Arial"/>
          <w:kern w:val="0"/>
          <w:lang w:eastAsia="en-GB"/>
          <w14:ligatures w14:val="none"/>
        </w:rPr>
        <w:t xml:space="preserve">2026) and </w:t>
      </w:r>
      <w:r w:rsidR="00103DBB">
        <w:rPr>
          <w:rFonts w:ascii="Arial" w:eastAsia="Times New Roman" w:hAnsi="Arial" w:cs="Arial"/>
          <w:kern w:val="0"/>
          <w:lang w:eastAsia="en-GB"/>
          <w14:ligatures w14:val="none"/>
        </w:rPr>
        <w:t>Steffen</w:t>
      </w:r>
      <w:r>
        <w:rPr>
          <w:rFonts w:ascii="Arial" w:eastAsia="Times New Roman" w:hAnsi="Arial" w:cs="Arial"/>
          <w:kern w:val="0"/>
          <w:lang w:eastAsia="en-GB"/>
          <w14:ligatures w14:val="none"/>
        </w:rPr>
        <w:t xml:space="preserve"> et al. (20250, suggests that social prescribing is an effective tool for enhancing emotional regulation</w:t>
      </w:r>
      <w:r w:rsidR="00FC4BDF">
        <w:rPr>
          <w:rFonts w:ascii="Arial" w:eastAsia="Times New Roman" w:hAnsi="Arial" w:cs="Arial"/>
          <w:kern w:val="0"/>
          <w:lang w:eastAsia="en-GB"/>
          <w14:ligatures w14:val="none"/>
        </w:rPr>
        <w:t>, i</w:t>
      </w:r>
      <w:r w:rsidR="00103DBB">
        <w:rPr>
          <w:rFonts w:ascii="Arial" w:eastAsia="Times New Roman" w:hAnsi="Arial" w:cs="Arial"/>
          <w:kern w:val="0"/>
          <w:lang w:eastAsia="en-GB"/>
          <w14:ligatures w14:val="none"/>
        </w:rPr>
        <w:t xml:space="preserve">n the 10-19 age demographic. Participants in these studies reported significant </w:t>
      </w:r>
      <w:r w:rsidR="009B68BE">
        <w:rPr>
          <w:rFonts w:ascii="Arial" w:eastAsia="Times New Roman" w:hAnsi="Arial" w:cs="Arial"/>
          <w:kern w:val="0"/>
          <w:lang w:eastAsia="en-GB"/>
          <w14:ligatures w14:val="none"/>
        </w:rPr>
        <w:t>improvements in “conduct” scores and self-efficacy. From a descriptive standpoint, the model works because it offers “low pressure” entry point into support. However, a critical analysis of the wellbeing While Waiting protocol (Fancourt et al. 2023) reveals a deeper systemic tension.</w:t>
      </w:r>
      <w:r w:rsidR="00BD574F">
        <w:rPr>
          <w:rFonts w:ascii="Arial" w:eastAsia="Times New Roman" w:hAnsi="Arial" w:cs="Arial"/>
          <w:kern w:val="0"/>
          <w:lang w:eastAsia="en-GB"/>
          <w14:ligatures w14:val="none"/>
        </w:rPr>
        <w:t xml:space="preserve"> Research suggests that social prescribing is most effective when the Link Worker has the time to “walk alongside” the service user, rather than just providing a list of community phone numbers (Fixsen, et al. 2020)</w:t>
      </w:r>
    </w:p>
    <w:p w14:paraId="3482715D" w14:textId="77777777" w:rsidR="00FC4BDF" w:rsidRDefault="009B68BE"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While the data shows improvement, we must critically evaluate weather these gains are sustainable. As Collishaw (2022) argues, adolescent mental health is inherently tied to developmental transitions, therefore a </w:t>
      </w:r>
      <w:r w:rsidR="00274923">
        <w:rPr>
          <w:rFonts w:ascii="Arial" w:eastAsia="Times New Roman" w:hAnsi="Arial" w:cs="Arial"/>
          <w:kern w:val="0"/>
          <w:lang w:eastAsia="en-GB"/>
          <w14:ligatures w14:val="none"/>
        </w:rPr>
        <w:t>12-week</w:t>
      </w:r>
      <w:r>
        <w:rPr>
          <w:rFonts w:ascii="Arial" w:eastAsia="Times New Roman" w:hAnsi="Arial" w:cs="Arial"/>
          <w:kern w:val="0"/>
          <w:lang w:eastAsia="en-GB"/>
          <w14:ligatures w14:val="none"/>
        </w:rPr>
        <w:t xml:space="preserve"> social prescription may only provide a “transient lift” rather than long term structural resilience. </w:t>
      </w:r>
    </w:p>
    <w:p w14:paraId="75E40658" w14:textId="235FFD3A" w:rsidR="009B68BE" w:rsidRDefault="009B68BE"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Furthermore, </w:t>
      </w:r>
      <w:r w:rsidR="00274923">
        <w:rPr>
          <w:rFonts w:ascii="Arial" w:eastAsia="Times New Roman" w:hAnsi="Arial" w:cs="Arial"/>
          <w:kern w:val="0"/>
          <w:lang w:eastAsia="en-GB"/>
          <w14:ligatures w14:val="none"/>
        </w:rPr>
        <w:t>there</w:t>
      </w:r>
      <w:r>
        <w:rPr>
          <w:rFonts w:ascii="Arial" w:eastAsia="Times New Roman" w:hAnsi="Arial" w:cs="Arial"/>
          <w:kern w:val="0"/>
          <w:lang w:eastAsia="en-GB"/>
          <w14:ligatures w14:val="none"/>
        </w:rPr>
        <w:t xml:space="preserve"> is a risk that social prescribing is being utilised by the NHS (2019) as a “clinical bypass”. </w:t>
      </w:r>
      <w:r w:rsidR="00274923">
        <w:rPr>
          <w:rFonts w:ascii="Arial" w:eastAsia="Times New Roman" w:hAnsi="Arial" w:cs="Arial"/>
          <w:kern w:val="0"/>
          <w:lang w:eastAsia="en-GB"/>
          <w14:ligatures w14:val="none"/>
        </w:rPr>
        <w:t>By sending young people to community groups instead of clinical therapy, the government may be downplaying the serious mental health issues to hide the fact that the NHS cannot cope with the current demand. Critically this creates a “plaster” effect, while sports or art may improve a child’s mood temporarily, it does not address the underlying issue that requires a specialist. This suggests that for some, social prescribing is being used to manage waiting lists rather than a genuine way to provide the right care (Fancourt et al. 2023) (Hayes et al. 2023).</w:t>
      </w:r>
    </w:p>
    <w:p w14:paraId="68C66270" w14:textId="28C0F853" w:rsidR="00274923" w:rsidRPr="006D38FA" w:rsidRDefault="005B6D87" w:rsidP="00A611CC">
      <w:pPr>
        <w:rPr>
          <w:rFonts w:ascii="Arial" w:eastAsia="Times New Roman" w:hAnsi="Arial" w:cs="Arial"/>
          <w:b/>
          <w:bCs/>
          <w:kern w:val="0"/>
          <w:lang w:eastAsia="en-GB"/>
          <w14:ligatures w14:val="none"/>
        </w:rPr>
      </w:pPr>
      <w:r w:rsidRPr="006D38FA">
        <w:rPr>
          <w:rFonts w:ascii="Arial" w:eastAsia="Times New Roman" w:hAnsi="Arial" w:cs="Arial"/>
          <w:b/>
          <w:bCs/>
          <w:kern w:val="0"/>
          <w:lang w:eastAsia="en-GB"/>
          <w14:ligatures w14:val="none"/>
        </w:rPr>
        <w:t>5.2 Theme 2: The Relational “Active Ingredient” and Professional Risk</w:t>
      </w:r>
    </w:p>
    <w:p w14:paraId="3220E6F7" w14:textId="35CE8ADE" w:rsidR="005B6D87" w:rsidRDefault="005B6D87"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 “Link Worker” (SPLW) is consistently cited as the “active ingredient” in successful interventions. Woodall et al. (2018) and Olsson and Hayes (2025) describe this role as a “bridge” between the young person and the community. The strength of this relationship lies in its non-clinical, informal nature, which reduces the “power imbalance” often felt in doctor patient interactions.</w:t>
      </w:r>
      <w:r w:rsidR="00FC4BDF">
        <w:rPr>
          <w:rFonts w:ascii="Arial" w:eastAsia="Times New Roman" w:hAnsi="Arial" w:cs="Arial"/>
          <w:kern w:val="0"/>
          <w:lang w:eastAsia="en-GB"/>
          <w14:ligatures w14:val="none"/>
        </w:rPr>
        <w:t xml:space="preserve"> Systematic analysis shows that the success of the model depends heavily on the co-location of the Link worker thin the GP surgeries to facilitate trust (</w:t>
      </w:r>
      <w:proofErr w:type="spellStart"/>
      <w:r w:rsidR="00FC4BDF">
        <w:rPr>
          <w:rFonts w:ascii="Arial" w:eastAsia="Times New Roman" w:hAnsi="Arial" w:cs="Arial"/>
          <w:kern w:val="0"/>
          <w:lang w:eastAsia="en-GB"/>
          <w14:ligatures w14:val="none"/>
        </w:rPr>
        <w:t>Pescheny</w:t>
      </w:r>
      <w:proofErr w:type="spellEnd"/>
      <w:r w:rsidR="00FC4BDF">
        <w:rPr>
          <w:rFonts w:ascii="Arial" w:eastAsia="Times New Roman" w:hAnsi="Arial" w:cs="Arial"/>
          <w:kern w:val="0"/>
          <w:lang w:eastAsia="en-GB"/>
          <w14:ligatures w14:val="none"/>
        </w:rPr>
        <w:t xml:space="preserve"> et al. 2020).</w:t>
      </w:r>
    </w:p>
    <w:p w14:paraId="53D96046" w14:textId="4B81604C" w:rsidR="000F1E21" w:rsidRDefault="005B6D87"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Hayes et al. (202</w:t>
      </w:r>
      <w:r w:rsidR="006D38FA">
        <w:rPr>
          <w:rFonts w:ascii="Arial" w:eastAsia="Times New Roman" w:hAnsi="Arial" w:cs="Arial"/>
          <w:kern w:val="0"/>
          <w:lang w:eastAsia="en-GB"/>
          <w14:ligatures w14:val="none"/>
        </w:rPr>
        <w:t>3)</w:t>
      </w:r>
      <w:r>
        <w:rPr>
          <w:rFonts w:ascii="Arial" w:eastAsia="Times New Roman" w:hAnsi="Arial" w:cs="Arial"/>
          <w:kern w:val="0"/>
          <w:lang w:eastAsia="en-GB"/>
          <w14:ligatures w14:val="none"/>
        </w:rPr>
        <w:t xml:space="preserve"> identified a significant “Professional Identity Crisis” among SPLWs. Unlike registered social workers or mental health nurses, many Link Workers lack specialised training in adolescent safeguarding or </w:t>
      </w:r>
      <w:r w:rsidR="000F1E21">
        <w:rPr>
          <w:rFonts w:ascii="Arial" w:eastAsia="Times New Roman" w:hAnsi="Arial" w:cs="Arial"/>
          <w:kern w:val="0"/>
          <w:lang w:eastAsia="en-GB"/>
          <w14:ligatures w14:val="none"/>
        </w:rPr>
        <w:t>neurodiversity</w:t>
      </w:r>
      <w:r>
        <w:rPr>
          <w:rFonts w:ascii="Arial" w:eastAsia="Times New Roman" w:hAnsi="Arial" w:cs="Arial"/>
          <w:kern w:val="0"/>
          <w:lang w:eastAsia="en-GB"/>
          <w14:ligatures w14:val="none"/>
        </w:rPr>
        <w:t xml:space="preserve">. In an era where </w:t>
      </w:r>
      <w:r w:rsidR="000F1E21">
        <w:rPr>
          <w:rFonts w:ascii="Arial" w:eastAsia="Times New Roman" w:hAnsi="Arial" w:cs="Arial"/>
          <w:kern w:val="0"/>
          <w:lang w:eastAsia="en-GB"/>
          <w14:ligatures w14:val="none"/>
        </w:rPr>
        <w:t>digital</w:t>
      </w:r>
      <w:r>
        <w:rPr>
          <w:rFonts w:ascii="Arial" w:eastAsia="Times New Roman" w:hAnsi="Arial" w:cs="Arial"/>
          <w:kern w:val="0"/>
          <w:lang w:eastAsia="en-GB"/>
          <w14:ligatures w14:val="none"/>
        </w:rPr>
        <w:t xml:space="preserve"> risks, such as cyber bulling </w:t>
      </w:r>
      <w:r w:rsidR="000F1E21">
        <w:rPr>
          <w:rFonts w:ascii="Arial" w:eastAsia="Times New Roman" w:hAnsi="Arial" w:cs="Arial"/>
          <w:kern w:val="0"/>
          <w:lang w:eastAsia="en-GB"/>
          <w14:ligatures w14:val="none"/>
        </w:rPr>
        <w:t>and sleep deprivation are major drivers of youth distress (Viner et al. 2019), the Link Worker may find themselves “out of their depth”. Critically, if the SPLW is not fully integrated into a Multidisciplinary Team (MDT), they become a “siloed” practitioner. Without clinical supervision, the very “trust” that makes the relationship work becomes a liability if the worker can not accurately identify when a social issue has escalated into a psychiatric crisis.</w:t>
      </w:r>
    </w:p>
    <w:p w14:paraId="5F0A5591" w14:textId="77777777" w:rsidR="000F1E21" w:rsidRDefault="000F1E21" w:rsidP="00A611CC">
      <w:pPr>
        <w:rPr>
          <w:rFonts w:ascii="Arial" w:eastAsia="Times New Roman" w:hAnsi="Arial" w:cs="Arial"/>
          <w:kern w:val="0"/>
          <w:lang w:eastAsia="en-GB"/>
          <w14:ligatures w14:val="none"/>
        </w:rPr>
      </w:pPr>
    </w:p>
    <w:p w14:paraId="1C52F287" w14:textId="49F6C24C" w:rsidR="000F1E21" w:rsidRPr="006D38FA" w:rsidRDefault="000F1E21" w:rsidP="00A611CC">
      <w:pPr>
        <w:rPr>
          <w:rFonts w:ascii="Arial" w:eastAsia="Times New Roman" w:hAnsi="Arial" w:cs="Arial"/>
          <w:b/>
          <w:bCs/>
          <w:kern w:val="0"/>
          <w:lang w:eastAsia="en-GB"/>
          <w14:ligatures w14:val="none"/>
        </w:rPr>
      </w:pPr>
      <w:r w:rsidRPr="006D38FA">
        <w:rPr>
          <w:rFonts w:ascii="Arial" w:eastAsia="Times New Roman" w:hAnsi="Arial" w:cs="Arial"/>
          <w:b/>
          <w:bCs/>
          <w:kern w:val="0"/>
          <w:lang w:eastAsia="en-GB"/>
          <w14:ligatures w14:val="none"/>
        </w:rPr>
        <w:t>5.3: Theme 3: Structural Inequities and the “Austerity Trap”</w:t>
      </w:r>
    </w:p>
    <w:p w14:paraId="2FCF9653" w14:textId="77777777" w:rsidR="005D257C" w:rsidRDefault="00950356"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Finally,</w:t>
      </w:r>
      <w:r w:rsidR="000F1E21">
        <w:rPr>
          <w:rFonts w:ascii="Arial" w:eastAsia="Times New Roman" w:hAnsi="Arial" w:cs="Arial"/>
          <w:kern w:val="0"/>
          <w:lang w:eastAsia="en-GB"/>
          <w14:ligatures w14:val="none"/>
        </w:rPr>
        <w:t xml:space="preserve"> we must analyse the environment in which these prescriptions are written. Kahn et al. (2023) and Armitage et al. (2024) </w:t>
      </w:r>
      <w:r>
        <w:rPr>
          <w:rFonts w:ascii="Arial" w:eastAsia="Times New Roman" w:hAnsi="Arial" w:cs="Arial"/>
          <w:kern w:val="0"/>
          <w:lang w:eastAsia="en-GB"/>
          <w14:ligatures w14:val="none"/>
        </w:rPr>
        <w:t>highlight</w:t>
      </w:r>
      <w:r w:rsidR="000F1E2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social prescribing is only as strong as the “Community Assets” it refers to.</w:t>
      </w:r>
    </w:p>
    <w:p w14:paraId="3AEFE4F2" w14:textId="4583107F" w:rsidR="005D257C" w:rsidRDefault="005D257C"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successful implementation of social prescribing in the UK is frequently hindered by a lack of sustainable, long term funding fir the voluntary sector organisations that receive referrals (Wildman et al. 2019)</w:t>
      </w:r>
    </w:p>
    <w:p w14:paraId="036E25FE" w14:textId="49C6C6DE" w:rsidR="005B6D87" w:rsidRDefault="00950356"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 major descriptive finding is that “transport poverty” prevents many 10–19-year-olds from accessing support.</w:t>
      </w:r>
      <w:r w:rsidR="00BD574F">
        <w:rPr>
          <w:rFonts w:ascii="Arial" w:eastAsia="Times New Roman" w:hAnsi="Arial" w:cs="Arial"/>
          <w:kern w:val="0"/>
          <w:lang w:eastAsia="en-GB"/>
          <w14:ligatures w14:val="none"/>
        </w:rPr>
        <w:t xml:space="preserve"> </w:t>
      </w:r>
      <w:r w:rsidR="00BD574F">
        <w:rPr>
          <w:rFonts w:ascii="Arial" w:eastAsia="Times New Roman" w:hAnsi="Arial" w:cs="Arial"/>
          <w:kern w:val="0"/>
          <w:lang w:eastAsia="en-GB"/>
          <w14:ligatures w14:val="none"/>
        </w:rPr>
        <w:t>Young people specifically identify “having a choice” in their activities as the primary reason they remain engaged with a social prescription (Kinsella et al. 2021).</w:t>
      </w:r>
    </w:p>
    <w:p w14:paraId="0180E40A" w14:textId="53E8A647" w:rsidR="00950356" w:rsidRDefault="00950356"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From a critical perspective, this creates a “Postcode Lottery” of care. Marmot et al. (2020) have documented the “hollowing out” of UK youth services since 2010. Therefore, a Link Worker in an influent area may have dozens of high-quality assets to refer to, while a worker in a deprived urban area may have none. This leads to “Referral Frustration” where the NHS identifies a need, but the community </w:t>
      </w:r>
      <w:r w:rsidR="006D38FA">
        <w:rPr>
          <w:rFonts w:ascii="Arial" w:eastAsia="Times New Roman" w:hAnsi="Arial" w:cs="Arial"/>
          <w:kern w:val="0"/>
          <w:lang w:eastAsia="en-GB"/>
          <w14:ligatures w14:val="none"/>
        </w:rPr>
        <w:t>cannot</w:t>
      </w:r>
      <w:r>
        <w:rPr>
          <w:rFonts w:ascii="Arial" w:eastAsia="Times New Roman" w:hAnsi="Arial" w:cs="Arial"/>
          <w:kern w:val="0"/>
          <w:lang w:eastAsia="en-GB"/>
          <w14:ligatures w14:val="none"/>
        </w:rPr>
        <w:t xml:space="preserve"> meet it.</w:t>
      </w:r>
      <w:r w:rsidR="00FC4BDF">
        <w:rPr>
          <w:rFonts w:ascii="Arial" w:eastAsia="Times New Roman" w:hAnsi="Arial" w:cs="Arial"/>
          <w:kern w:val="0"/>
          <w:lang w:eastAsia="en-GB"/>
          <w14:ligatures w14:val="none"/>
        </w:rPr>
        <w:t xml:space="preserve"> </w:t>
      </w:r>
      <w:r w:rsidR="00BD574F">
        <w:rPr>
          <w:rFonts w:ascii="Arial" w:eastAsia="Times New Roman" w:hAnsi="Arial" w:cs="Arial"/>
          <w:kern w:val="0"/>
          <w:lang w:eastAsia="en-GB"/>
          <w14:ligatures w14:val="none"/>
        </w:rPr>
        <w:t xml:space="preserve">Research suggests that social </w:t>
      </w:r>
      <w:proofErr w:type="spellStart"/>
      <w:r w:rsidR="00BD574F">
        <w:rPr>
          <w:rFonts w:ascii="Arial" w:eastAsia="Times New Roman" w:hAnsi="Arial" w:cs="Arial"/>
          <w:kern w:val="0"/>
          <w:lang w:eastAsia="en-GB"/>
          <w14:ligatures w14:val="none"/>
        </w:rPr>
        <w:t>prescribingis</w:t>
      </w:r>
      <w:proofErr w:type="spellEnd"/>
      <w:r w:rsidR="00BD574F">
        <w:rPr>
          <w:rFonts w:ascii="Arial" w:eastAsia="Times New Roman" w:hAnsi="Arial" w:cs="Arial"/>
          <w:kern w:val="0"/>
          <w:lang w:eastAsia="en-GB"/>
          <w14:ligatures w14:val="none"/>
        </w:rPr>
        <w:t xml:space="preserve"> most effective when the Link Worker has time to “walk alongside” the service user rather than just providing a list of </w:t>
      </w:r>
      <w:proofErr w:type="spellStart"/>
      <w:r w:rsidR="00BD574F">
        <w:rPr>
          <w:rFonts w:ascii="Arial" w:eastAsia="Times New Roman" w:hAnsi="Arial" w:cs="Arial"/>
          <w:kern w:val="0"/>
          <w:lang w:eastAsia="en-GB"/>
          <w14:ligatures w14:val="none"/>
        </w:rPr>
        <w:t>activites</w:t>
      </w:r>
      <w:proofErr w:type="spellEnd"/>
      <w:r w:rsidR="00BD574F">
        <w:rPr>
          <w:rFonts w:ascii="Arial" w:eastAsia="Times New Roman" w:hAnsi="Arial" w:cs="Arial"/>
          <w:kern w:val="0"/>
          <w:lang w:eastAsia="en-GB"/>
          <w14:ligatures w14:val="none"/>
        </w:rPr>
        <w:t xml:space="preserve"> and numbers (Moffatt et al. 2017) </w:t>
      </w:r>
    </w:p>
    <w:p w14:paraId="6169F6A9" w14:textId="66E7BFFF" w:rsidR="007813B7" w:rsidRPr="006D38FA" w:rsidRDefault="007813B7" w:rsidP="00A611CC">
      <w:pPr>
        <w:rPr>
          <w:rFonts w:ascii="Arial" w:eastAsia="Times New Roman" w:hAnsi="Arial" w:cs="Arial"/>
          <w:b/>
          <w:bCs/>
          <w:kern w:val="0"/>
          <w:lang w:eastAsia="en-GB"/>
          <w14:ligatures w14:val="none"/>
        </w:rPr>
      </w:pPr>
      <w:r w:rsidRPr="006D38FA">
        <w:rPr>
          <w:rFonts w:ascii="Arial" w:eastAsia="Times New Roman" w:hAnsi="Arial" w:cs="Arial"/>
          <w:b/>
          <w:bCs/>
          <w:kern w:val="0"/>
          <w:lang w:eastAsia="en-GB"/>
          <w14:ligatures w14:val="none"/>
        </w:rPr>
        <w:t xml:space="preserve">5.4 Limitations </w:t>
      </w:r>
      <w:r w:rsidR="00C533DA" w:rsidRPr="006D38FA">
        <w:rPr>
          <w:rFonts w:ascii="Arial" w:eastAsia="Times New Roman" w:hAnsi="Arial" w:cs="Arial"/>
          <w:b/>
          <w:bCs/>
          <w:kern w:val="0"/>
          <w:lang w:eastAsia="en-GB"/>
          <w14:ligatures w14:val="none"/>
        </w:rPr>
        <w:t>of</w:t>
      </w:r>
      <w:r w:rsidRPr="006D38FA">
        <w:rPr>
          <w:rFonts w:ascii="Arial" w:eastAsia="Times New Roman" w:hAnsi="Arial" w:cs="Arial"/>
          <w:b/>
          <w:bCs/>
          <w:kern w:val="0"/>
          <w:lang w:eastAsia="en-GB"/>
          <w14:ligatures w14:val="none"/>
        </w:rPr>
        <w:t xml:space="preserve"> </w:t>
      </w:r>
      <w:r w:rsidR="00C533DA" w:rsidRPr="006D38FA">
        <w:rPr>
          <w:rFonts w:ascii="Arial" w:eastAsia="Times New Roman" w:hAnsi="Arial" w:cs="Arial"/>
          <w:b/>
          <w:bCs/>
          <w:kern w:val="0"/>
          <w:lang w:eastAsia="en-GB"/>
          <w14:ligatures w14:val="none"/>
        </w:rPr>
        <w:t>t</w:t>
      </w:r>
      <w:r w:rsidRPr="006D38FA">
        <w:rPr>
          <w:rFonts w:ascii="Arial" w:eastAsia="Times New Roman" w:hAnsi="Arial" w:cs="Arial"/>
          <w:b/>
          <w:bCs/>
          <w:kern w:val="0"/>
          <w:lang w:eastAsia="en-GB"/>
          <w14:ligatures w14:val="none"/>
        </w:rPr>
        <w:t>he Review</w:t>
      </w:r>
    </w:p>
    <w:p w14:paraId="08DE5EB1" w14:textId="15E19F79" w:rsidR="00C533DA" w:rsidRDefault="007813B7"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While this sc</w:t>
      </w:r>
      <w:r w:rsidR="00C533DA">
        <w:rPr>
          <w:rFonts w:ascii="Arial" w:eastAsia="Times New Roman" w:hAnsi="Arial" w:cs="Arial"/>
          <w:kern w:val="0"/>
          <w:lang w:eastAsia="en-GB"/>
          <w14:ligatures w14:val="none"/>
        </w:rPr>
        <w:t>o</w:t>
      </w:r>
      <w:r>
        <w:rPr>
          <w:rFonts w:ascii="Arial" w:eastAsia="Times New Roman" w:hAnsi="Arial" w:cs="Arial"/>
          <w:kern w:val="0"/>
          <w:lang w:eastAsia="en-GB"/>
          <w14:ligatures w14:val="none"/>
        </w:rPr>
        <w:t>ping review provides a detailed map of the current landscape, it is important</w:t>
      </w:r>
      <w:r w:rsidR="00C533DA">
        <w:rPr>
          <w:rFonts w:ascii="Arial" w:eastAsia="Times New Roman" w:hAnsi="Arial" w:cs="Arial"/>
          <w:kern w:val="0"/>
          <w:lang w:eastAsia="en-GB"/>
          <w14:ligatures w14:val="none"/>
        </w:rPr>
        <w:t xml:space="preserve"> to acknowledge several limitations that may affect the findings. Firstly, the “social prescribing” model for the 10-19 age group is still a relatively new field of study in the United Kingdome. Many of the programs are only a few years old, </w:t>
      </w:r>
      <w:r w:rsidR="006D38FA">
        <w:rPr>
          <w:rFonts w:ascii="Arial" w:eastAsia="Times New Roman" w:hAnsi="Arial" w:cs="Arial"/>
          <w:kern w:val="0"/>
          <w:lang w:eastAsia="en-GB"/>
          <w14:ligatures w14:val="none"/>
        </w:rPr>
        <w:t>there</w:t>
      </w:r>
      <w:r w:rsidR="00C533DA">
        <w:rPr>
          <w:rFonts w:ascii="Arial" w:eastAsia="Times New Roman" w:hAnsi="Arial" w:cs="Arial"/>
          <w:kern w:val="0"/>
          <w:lang w:eastAsia="en-GB"/>
          <w14:ligatures w14:val="none"/>
        </w:rPr>
        <w:t xml:space="preserve"> is a lack of </w:t>
      </w:r>
      <w:r w:rsidR="006D38FA">
        <w:rPr>
          <w:rFonts w:ascii="Arial" w:eastAsia="Times New Roman" w:hAnsi="Arial" w:cs="Arial"/>
          <w:kern w:val="0"/>
          <w:lang w:eastAsia="en-GB"/>
          <w14:ligatures w14:val="none"/>
        </w:rPr>
        <w:t>long-term</w:t>
      </w:r>
      <w:r w:rsidR="00C533DA">
        <w:rPr>
          <w:rFonts w:ascii="Arial" w:eastAsia="Times New Roman" w:hAnsi="Arial" w:cs="Arial"/>
          <w:kern w:val="0"/>
          <w:lang w:eastAsia="en-GB"/>
          <w14:ligatures w14:val="none"/>
        </w:rPr>
        <w:t xml:space="preserve"> longitudinal data. This means that while we can see that young people feel better after 12 weeks of sports, or art, we do not yet know if these benefits last for several years or if the young person eventua</w:t>
      </w:r>
      <w:r w:rsidR="006D38FA">
        <w:rPr>
          <w:rFonts w:ascii="Arial" w:eastAsia="Times New Roman" w:hAnsi="Arial" w:cs="Arial"/>
          <w:kern w:val="0"/>
          <w:lang w:eastAsia="en-GB"/>
          <w14:ligatures w14:val="none"/>
        </w:rPr>
        <w:t>lly</w:t>
      </w:r>
      <w:r w:rsidR="00C533DA">
        <w:rPr>
          <w:rFonts w:ascii="Arial" w:eastAsia="Times New Roman" w:hAnsi="Arial" w:cs="Arial"/>
          <w:kern w:val="0"/>
          <w:lang w:eastAsia="en-GB"/>
          <w14:ligatures w14:val="none"/>
        </w:rPr>
        <w:t xml:space="preserve"> returns to clinical services.</w:t>
      </w:r>
    </w:p>
    <w:p w14:paraId="64F9B3D3" w14:textId="6CE3449F" w:rsidR="00C533DA" w:rsidRDefault="00C533DA"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Secondly, a significant limitation is the “publication Bias” found in the </w:t>
      </w:r>
      <w:r w:rsidR="006D38FA">
        <w:rPr>
          <w:rFonts w:ascii="Arial" w:eastAsia="Times New Roman" w:hAnsi="Arial" w:cs="Arial"/>
          <w:kern w:val="0"/>
          <w:lang w:eastAsia="en-GB"/>
          <w14:ligatures w14:val="none"/>
        </w:rPr>
        <w:t>literature</w:t>
      </w:r>
      <w:r>
        <w:rPr>
          <w:rFonts w:ascii="Arial" w:eastAsia="Times New Roman" w:hAnsi="Arial" w:cs="Arial"/>
          <w:kern w:val="0"/>
          <w:lang w:eastAsia="en-GB"/>
          <w14:ligatures w14:val="none"/>
        </w:rPr>
        <w:t>. Most of the studies included in this review, such</w:t>
      </w:r>
      <w:r w:rsidR="006D38F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w:t>
      </w:r>
      <w:r w:rsidR="006D38FA">
        <w:rPr>
          <w:rFonts w:ascii="Arial" w:eastAsia="Times New Roman" w:hAnsi="Arial" w:cs="Arial"/>
          <w:kern w:val="0"/>
          <w:lang w:eastAsia="en-GB"/>
          <w14:ligatures w14:val="none"/>
        </w:rPr>
        <w:t>s</w:t>
      </w:r>
      <w:r>
        <w:rPr>
          <w:rFonts w:ascii="Arial" w:eastAsia="Times New Roman" w:hAnsi="Arial" w:cs="Arial"/>
          <w:kern w:val="0"/>
          <w:lang w:eastAsia="en-GB"/>
          <w14:ligatures w14:val="none"/>
        </w:rPr>
        <w:t xml:space="preserve"> </w:t>
      </w:r>
      <w:r w:rsidR="006D38FA">
        <w:rPr>
          <w:rFonts w:ascii="Arial" w:eastAsia="Times New Roman" w:hAnsi="Arial" w:cs="Arial"/>
          <w:kern w:val="0"/>
          <w:lang w:eastAsia="en-GB"/>
          <w14:ligatures w14:val="none"/>
        </w:rPr>
        <w:t>Fancourt</w:t>
      </w:r>
      <w:r>
        <w:rPr>
          <w:rFonts w:ascii="Arial" w:eastAsia="Times New Roman" w:hAnsi="Arial" w:cs="Arial"/>
          <w:kern w:val="0"/>
          <w:lang w:eastAsia="en-GB"/>
          <w14:ligatures w14:val="none"/>
        </w:rPr>
        <w:t xml:space="preserve"> et al. (2026 and Steffen et al. (2025), were conducted by researchers who are passionate about social prescribing. This creates a risk that the evidence is “overly optimistic” potentially ignoring the voices of the young people who dropped out of the program.</w:t>
      </w:r>
    </w:p>
    <w:p w14:paraId="7BCF6185" w14:textId="1276F517" w:rsidR="007813B7" w:rsidRDefault="00C533DA" w:rsidP="00A611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Finally, the geographical focus of this review is a limitation. Most of the </w:t>
      </w:r>
      <w:r w:rsidR="006D38FA">
        <w:rPr>
          <w:rFonts w:ascii="Arial" w:eastAsia="Times New Roman" w:hAnsi="Arial" w:cs="Arial"/>
          <w:kern w:val="0"/>
          <w:lang w:eastAsia="en-GB"/>
          <w14:ligatures w14:val="none"/>
        </w:rPr>
        <w:t>high-quality</w:t>
      </w:r>
      <w:r>
        <w:rPr>
          <w:rFonts w:ascii="Arial" w:eastAsia="Times New Roman" w:hAnsi="Arial" w:cs="Arial"/>
          <w:kern w:val="0"/>
          <w:lang w:eastAsia="en-GB"/>
          <w14:ligatures w14:val="none"/>
        </w:rPr>
        <w:t xml:space="preserve"> research comes from major urban cities like London and </w:t>
      </w:r>
      <w:r w:rsidR="006D38FA">
        <w:rPr>
          <w:rFonts w:ascii="Arial" w:eastAsia="Times New Roman" w:hAnsi="Arial" w:cs="Arial"/>
          <w:kern w:val="0"/>
          <w:lang w:eastAsia="en-GB"/>
          <w14:ligatures w14:val="none"/>
        </w:rPr>
        <w:t>Manchester, where community assets are more plentiful. As Khan et al (2023) pointed out, the experience of a teenager in a remote rural area, with no youth clubs or reliable transport service it is likely to be very different. Therefore the “success” may not represent the reality for all 10–19-year-olds across the UK.</w:t>
      </w:r>
    </w:p>
    <w:p w14:paraId="38481DB2" w14:textId="77777777" w:rsidR="00950356" w:rsidRPr="00E052B2" w:rsidRDefault="00950356" w:rsidP="00A611CC">
      <w:pPr>
        <w:rPr>
          <w:rFonts w:ascii="Arial" w:hAnsi="Arial" w:cs="Arial"/>
          <w:b/>
          <w:bCs/>
        </w:rPr>
      </w:pPr>
    </w:p>
    <w:p w14:paraId="273D73CB" w14:textId="5B5C73E2" w:rsidR="00476C7B" w:rsidRPr="00E052B2" w:rsidRDefault="00476C7B" w:rsidP="00A611CC">
      <w:pPr>
        <w:rPr>
          <w:rFonts w:ascii="Arial" w:hAnsi="Arial" w:cs="Arial"/>
          <w:b/>
          <w:bCs/>
        </w:rPr>
      </w:pPr>
      <w:r w:rsidRPr="00E052B2">
        <w:rPr>
          <w:rFonts w:ascii="Arial" w:hAnsi="Arial" w:cs="Arial"/>
          <w:b/>
          <w:bCs/>
        </w:rPr>
        <w:t>6.0 Conclusion and Recommendations</w:t>
      </w:r>
    </w:p>
    <w:p w14:paraId="3D4F69E2" w14:textId="5884A749" w:rsidR="00476C7B" w:rsidRPr="00E052B2" w:rsidRDefault="00476C7B" w:rsidP="00A611CC">
      <w:pPr>
        <w:rPr>
          <w:rFonts w:ascii="Arial" w:hAnsi="Arial" w:cs="Arial"/>
        </w:rPr>
      </w:pPr>
      <w:r w:rsidRPr="00E052B2">
        <w:rPr>
          <w:rFonts w:ascii="Arial" w:hAnsi="Arial" w:cs="Arial"/>
        </w:rPr>
        <w:t>This scoping review has mapped the current evidence regarding social prescribing for young people (10-19 years old) in the United Kingdom. The findings suggest that while social</w:t>
      </w:r>
      <w:r w:rsidR="008E16E7">
        <w:rPr>
          <w:rFonts w:ascii="Arial" w:hAnsi="Arial" w:cs="Arial"/>
        </w:rPr>
        <w:t xml:space="preserve"> prescribing</w:t>
      </w:r>
      <w:r w:rsidRPr="00E052B2">
        <w:rPr>
          <w:rFonts w:ascii="Arial" w:hAnsi="Arial" w:cs="Arial"/>
        </w:rPr>
        <w:t xml:space="preserve"> is not a replacement for clinical mental health </w:t>
      </w:r>
      <w:r w:rsidR="00762362">
        <w:rPr>
          <w:rFonts w:ascii="Arial" w:hAnsi="Arial" w:cs="Arial"/>
        </w:rPr>
        <w:t>care</w:t>
      </w:r>
      <w:r w:rsidRPr="00E052B2">
        <w:rPr>
          <w:rFonts w:ascii="Arial" w:hAnsi="Arial" w:cs="Arial"/>
        </w:rPr>
        <w:t xml:space="preserve">, it provides vital, non-stigmatising “bridge” for those on waiting lists or those whose distress is rooted in social rather </w:t>
      </w:r>
      <w:r w:rsidR="007A170C" w:rsidRPr="00E052B2">
        <w:rPr>
          <w:rFonts w:ascii="Arial" w:hAnsi="Arial" w:cs="Arial"/>
        </w:rPr>
        <w:t>than</w:t>
      </w:r>
      <w:r w:rsidRPr="00E052B2">
        <w:rPr>
          <w:rFonts w:ascii="Arial" w:hAnsi="Arial" w:cs="Arial"/>
        </w:rPr>
        <w:t xml:space="preserve"> </w:t>
      </w:r>
      <w:r w:rsidR="007A170C" w:rsidRPr="00E052B2">
        <w:rPr>
          <w:rFonts w:ascii="Arial" w:hAnsi="Arial" w:cs="Arial"/>
        </w:rPr>
        <w:t>medical</w:t>
      </w:r>
      <w:r w:rsidRPr="00E052B2">
        <w:rPr>
          <w:rFonts w:ascii="Arial" w:hAnsi="Arial" w:cs="Arial"/>
        </w:rPr>
        <w:t xml:space="preserve"> factors. The “active </w:t>
      </w:r>
      <w:r w:rsidR="007A170C" w:rsidRPr="00E052B2">
        <w:rPr>
          <w:rFonts w:ascii="Arial" w:hAnsi="Arial" w:cs="Arial"/>
        </w:rPr>
        <w:t>ingredient” for success is not the community activity itself, but the high quality, trusted relationships between the young people and the Link Worker.</w:t>
      </w:r>
    </w:p>
    <w:p w14:paraId="73A7A59D" w14:textId="7FCFB5F1" w:rsidR="007A170C" w:rsidRPr="00E052B2" w:rsidRDefault="007A170C" w:rsidP="00A611CC">
      <w:pPr>
        <w:rPr>
          <w:rFonts w:ascii="Arial" w:hAnsi="Arial" w:cs="Arial"/>
        </w:rPr>
      </w:pPr>
      <w:r w:rsidRPr="00E052B2">
        <w:rPr>
          <w:rFonts w:ascii="Arial" w:hAnsi="Arial" w:cs="Arial"/>
        </w:rPr>
        <w:lastRenderedPageBreak/>
        <w:t>However, for the NHS Long Term Plan (2019) to be effective, structural barriers must be addressed. Based on this review the follow three recommendations are being made:</w:t>
      </w:r>
    </w:p>
    <w:p w14:paraId="0233B8D1" w14:textId="2A0B2CFD" w:rsidR="007A170C" w:rsidRPr="00E052B2" w:rsidRDefault="007A170C" w:rsidP="007A170C">
      <w:pPr>
        <w:pStyle w:val="ListParagraph"/>
        <w:numPr>
          <w:ilvl w:val="0"/>
          <w:numId w:val="4"/>
        </w:numPr>
        <w:rPr>
          <w:rFonts w:ascii="Arial" w:hAnsi="Arial" w:cs="Arial"/>
        </w:rPr>
      </w:pPr>
      <w:r w:rsidRPr="00E052B2">
        <w:rPr>
          <w:rFonts w:ascii="Arial" w:hAnsi="Arial" w:cs="Arial"/>
          <w:b/>
          <w:bCs/>
        </w:rPr>
        <w:t>Integrated Funding:</w:t>
      </w:r>
      <w:r w:rsidRPr="00E052B2">
        <w:rPr>
          <w:rFonts w:ascii="Arial" w:hAnsi="Arial" w:cs="Arial"/>
        </w:rPr>
        <w:t xml:space="preserve"> Local authorities and Integrated Care Boards (ICBs) must align </w:t>
      </w:r>
      <w:r w:rsidR="00762362">
        <w:rPr>
          <w:rFonts w:ascii="Arial" w:hAnsi="Arial" w:cs="Arial"/>
        </w:rPr>
        <w:t>budgets</w:t>
      </w:r>
      <w:r w:rsidRPr="00E052B2">
        <w:rPr>
          <w:rFonts w:ascii="Arial" w:hAnsi="Arial" w:cs="Arial"/>
        </w:rPr>
        <w:t xml:space="preserve"> to ensure that Link Workers are referring young people to well-funded, sustainable community assets, rather than “hollowed out” services.</w:t>
      </w:r>
    </w:p>
    <w:p w14:paraId="1E50B665" w14:textId="74344247" w:rsidR="007A170C" w:rsidRPr="00E052B2" w:rsidRDefault="007A170C" w:rsidP="007A170C">
      <w:pPr>
        <w:pStyle w:val="ListParagraph"/>
        <w:numPr>
          <w:ilvl w:val="0"/>
          <w:numId w:val="4"/>
        </w:numPr>
        <w:rPr>
          <w:rFonts w:ascii="Arial" w:hAnsi="Arial" w:cs="Arial"/>
        </w:rPr>
      </w:pPr>
      <w:r w:rsidRPr="00E052B2">
        <w:rPr>
          <w:rFonts w:ascii="Arial" w:hAnsi="Arial" w:cs="Arial"/>
          <w:b/>
          <w:bCs/>
        </w:rPr>
        <w:t>Targeted Equity:</w:t>
      </w:r>
      <w:r w:rsidRPr="00E052B2">
        <w:rPr>
          <w:rFonts w:ascii="Arial" w:hAnsi="Arial" w:cs="Arial"/>
        </w:rPr>
        <w:t xml:space="preserve"> Social prescribing programs must include “wraparound” support for transport and equipment costs to ensure that the most socioeconomically deprived youth are not excluded by “transport poverty.”</w:t>
      </w:r>
    </w:p>
    <w:p w14:paraId="03A35E10" w14:textId="5E2D502B" w:rsidR="007A170C" w:rsidRDefault="007A170C" w:rsidP="007A170C">
      <w:pPr>
        <w:pStyle w:val="ListParagraph"/>
        <w:numPr>
          <w:ilvl w:val="0"/>
          <w:numId w:val="4"/>
        </w:numPr>
        <w:rPr>
          <w:rFonts w:ascii="Arial" w:hAnsi="Arial" w:cs="Arial"/>
        </w:rPr>
      </w:pPr>
      <w:r w:rsidRPr="00E052B2">
        <w:rPr>
          <w:rFonts w:ascii="Arial" w:hAnsi="Arial" w:cs="Arial"/>
          <w:b/>
          <w:bCs/>
        </w:rPr>
        <w:t>Adolescent Specific Training:</w:t>
      </w:r>
      <w:r w:rsidRPr="00E052B2">
        <w:rPr>
          <w:rFonts w:ascii="Arial" w:hAnsi="Arial" w:cs="Arial"/>
        </w:rPr>
        <w:t xml:space="preserve"> All SPLWs working with the 10-19 age group should receive specific training in adolescent neurobiology and “youth voice” co production to ensure the service remains developmentally appropriate. </w:t>
      </w:r>
    </w:p>
    <w:p w14:paraId="78787CE6" w14:textId="277D4051" w:rsidR="008E16E7" w:rsidRDefault="008E16E7" w:rsidP="008E16E7">
      <w:pPr>
        <w:rPr>
          <w:rFonts w:ascii="Arial" w:hAnsi="Arial" w:cs="Arial"/>
        </w:rPr>
      </w:pPr>
      <w:r>
        <w:rPr>
          <w:rFonts w:ascii="Arial" w:hAnsi="Arial" w:cs="Arial"/>
        </w:rPr>
        <w:t>The evidence synthesised in this review suggests that the UK’s current shift towards “Personalised Care” as outlined in the NHS Universal Personalised Care (2019) framework is promising but incomplete for adolescent demographic. To prevent social prescribing from becoming a “postcode lottery” the Department of Health and Social Care must move beyond simply measuring the number of Link workers employed. Success must instead be measured by the resilience and social capital built within the youth populations of the UK’s most deprived areas.</w:t>
      </w:r>
    </w:p>
    <w:p w14:paraId="45E9034C" w14:textId="60E3F6B9" w:rsidR="008E16E7" w:rsidRPr="008E16E7" w:rsidRDefault="008E16E7" w:rsidP="008E16E7">
      <w:pPr>
        <w:rPr>
          <w:rFonts w:ascii="Arial" w:hAnsi="Arial" w:cs="Arial"/>
        </w:rPr>
      </w:pPr>
      <w:r>
        <w:rPr>
          <w:rFonts w:ascii="Arial" w:hAnsi="Arial" w:cs="Arial"/>
        </w:rPr>
        <w:t xml:space="preserve">Ultimately while social prescribing provides a vital </w:t>
      </w:r>
      <w:r w:rsidR="000D77B7">
        <w:rPr>
          <w:rFonts w:ascii="Arial" w:hAnsi="Arial" w:cs="Arial"/>
        </w:rPr>
        <w:t>nonclinical</w:t>
      </w:r>
      <w:r>
        <w:rPr>
          <w:rFonts w:ascii="Arial" w:hAnsi="Arial" w:cs="Arial"/>
        </w:rPr>
        <w:t xml:space="preserve"> “bridge” for the 10-19 age group, </w:t>
      </w:r>
      <w:r w:rsidR="00C92435">
        <w:rPr>
          <w:rFonts w:ascii="Arial" w:hAnsi="Arial" w:cs="Arial"/>
        </w:rPr>
        <w:t>its</w:t>
      </w:r>
      <w:r>
        <w:rPr>
          <w:rFonts w:ascii="Arial" w:hAnsi="Arial" w:cs="Arial"/>
        </w:rPr>
        <w:t xml:space="preserve"> </w:t>
      </w:r>
      <w:r w:rsidR="003C54F3">
        <w:rPr>
          <w:rFonts w:ascii="Arial" w:hAnsi="Arial" w:cs="Arial"/>
        </w:rPr>
        <w:t>long-term</w:t>
      </w:r>
      <w:r>
        <w:rPr>
          <w:rFonts w:ascii="Arial" w:hAnsi="Arial" w:cs="Arial"/>
        </w:rPr>
        <w:t xml:space="preserve"> viability in the UK depends on a “whole system” approach. It must be viewed as an integrated partner to </w:t>
      </w:r>
      <w:r w:rsidR="000D77B7">
        <w:rPr>
          <w:rFonts w:ascii="Arial" w:hAnsi="Arial" w:cs="Arial"/>
        </w:rPr>
        <w:t>clinical</w:t>
      </w:r>
      <w:r>
        <w:rPr>
          <w:rFonts w:ascii="Arial" w:hAnsi="Arial" w:cs="Arial"/>
        </w:rPr>
        <w:t xml:space="preserve"> services</w:t>
      </w:r>
      <w:r w:rsidR="000D77B7">
        <w:rPr>
          <w:rFonts w:ascii="Arial" w:hAnsi="Arial" w:cs="Arial"/>
        </w:rPr>
        <w:t>, not a cheaper substitute. By addressing structural inequalities and professionalising the youth Link Worker role, the UK can move closer to a biopsychosocial model that truly supports the mental health of its next generation.</w:t>
      </w:r>
    </w:p>
    <w:p w14:paraId="441B35CC" w14:textId="77777777" w:rsidR="004A75FC" w:rsidRPr="00E052B2" w:rsidRDefault="004A75FC" w:rsidP="00A611CC">
      <w:pPr>
        <w:rPr>
          <w:rFonts w:ascii="Arial" w:hAnsi="Arial" w:cs="Arial"/>
        </w:rPr>
      </w:pPr>
    </w:p>
    <w:p w14:paraId="755FDC8A" w14:textId="04F661F9" w:rsidR="00947AFB" w:rsidRPr="00E052B2" w:rsidRDefault="009A254F" w:rsidP="00A611CC">
      <w:pPr>
        <w:rPr>
          <w:rFonts w:ascii="Arial" w:hAnsi="Arial" w:cs="Arial"/>
        </w:rPr>
      </w:pPr>
      <w:r w:rsidRPr="00E052B2">
        <w:rPr>
          <w:rFonts w:ascii="Arial" w:hAnsi="Arial" w:cs="Arial"/>
        </w:rPr>
        <w:t xml:space="preserve">  </w:t>
      </w:r>
    </w:p>
    <w:p w14:paraId="738E7B9F" w14:textId="77777777" w:rsidR="006E6F40" w:rsidRPr="00E052B2" w:rsidRDefault="006E6F40" w:rsidP="00FF5C23">
      <w:pPr>
        <w:rPr>
          <w:rFonts w:ascii="Arial" w:hAnsi="Arial" w:cs="Arial"/>
        </w:rPr>
      </w:pPr>
    </w:p>
    <w:p w14:paraId="1F10B560" w14:textId="77777777" w:rsidR="006E6F40" w:rsidRPr="00E052B2" w:rsidRDefault="006E6F40" w:rsidP="00FF5C23">
      <w:pPr>
        <w:rPr>
          <w:rFonts w:ascii="Arial" w:hAnsi="Arial" w:cs="Arial"/>
        </w:rPr>
      </w:pPr>
    </w:p>
    <w:p w14:paraId="3F057D15" w14:textId="77777777" w:rsidR="006E6F40" w:rsidRPr="00E052B2" w:rsidRDefault="006E6F40" w:rsidP="00FF5C23">
      <w:pPr>
        <w:rPr>
          <w:rFonts w:ascii="Arial" w:hAnsi="Arial" w:cs="Arial"/>
        </w:rPr>
      </w:pPr>
    </w:p>
    <w:p w14:paraId="1A2183A0" w14:textId="77777777" w:rsidR="006E6F40" w:rsidRPr="00E052B2" w:rsidRDefault="006E6F40" w:rsidP="00FF5C23">
      <w:pPr>
        <w:rPr>
          <w:rFonts w:ascii="Arial" w:hAnsi="Arial" w:cs="Arial"/>
        </w:rPr>
      </w:pPr>
    </w:p>
    <w:p w14:paraId="67AA3F6F" w14:textId="77777777" w:rsidR="006E6F40" w:rsidRDefault="006E6F40" w:rsidP="00FF5C23">
      <w:pPr>
        <w:rPr>
          <w:rFonts w:ascii="Arial" w:hAnsi="Arial" w:cs="Arial"/>
        </w:rPr>
      </w:pPr>
    </w:p>
    <w:p w14:paraId="733FA601" w14:textId="77777777" w:rsidR="006D38FA" w:rsidRDefault="006D38FA" w:rsidP="00FF5C23">
      <w:pPr>
        <w:rPr>
          <w:rFonts w:ascii="Arial" w:hAnsi="Arial" w:cs="Arial"/>
        </w:rPr>
      </w:pPr>
    </w:p>
    <w:p w14:paraId="35EF7D9D" w14:textId="77777777" w:rsidR="006D38FA" w:rsidRDefault="006D38FA" w:rsidP="00FF5C23">
      <w:pPr>
        <w:rPr>
          <w:rFonts w:ascii="Arial" w:hAnsi="Arial" w:cs="Arial"/>
        </w:rPr>
      </w:pPr>
    </w:p>
    <w:p w14:paraId="49B51F83" w14:textId="77777777" w:rsidR="006D38FA" w:rsidRDefault="006D38FA" w:rsidP="00FF5C23">
      <w:pPr>
        <w:rPr>
          <w:rFonts w:ascii="Arial" w:hAnsi="Arial" w:cs="Arial"/>
        </w:rPr>
      </w:pPr>
    </w:p>
    <w:p w14:paraId="7FAEDA5B" w14:textId="77777777" w:rsidR="006D38FA" w:rsidRDefault="006D38FA" w:rsidP="00FF5C23">
      <w:pPr>
        <w:rPr>
          <w:rFonts w:ascii="Arial" w:hAnsi="Arial" w:cs="Arial"/>
        </w:rPr>
      </w:pPr>
    </w:p>
    <w:p w14:paraId="62BE9947" w14:textId="77777777" w:rsidR="006D38FA" w:rsidRDefault="006D38FA" w:rsidP="00FF5C23">
      <w:pPr>
        <w:rPr>
          <w:rFonts w:ascii="Arial" w:hAnsi="Arial" w:cs="Arial"/>
        </w:rPr>
      </w:pPr>
    </w:p>
    <w:p w14:paraId="583ABB77" w14:textId="77777777" w:rsidR="006D38FA" w:rsidRDefault="006D38FA" w:rsidP="00FF5C23">
      <w:pPr>
        <w:rPr>
          <w:rFonts w:ascii="Arial" w:hAnsi="Arial" w:cs="Arial"/>
        </w:rPr>
      </w:pPr>
    </w:p>
    <w:p w14:paraId="2D7FC600" w14:textId="77777777" w:rsidR="006D38FA" w:rsidRDefault="006D38FA" w:rsidP="00FF5C23">
      <w:pPr>
        <w:rPr>
          <w:rFonts w:ascii="Arial" w:hAnsi="Arial" w:cs="Arial"/>
        </w:rPr>
      </w:pPr>
    </w:p>
    <w:p w14:paraId="1F0A1ABB" w14:textId="77777777" w:rsidR="006D38FA" w:rsidRDefault="006D38FA" w:rsidP="00FF5C23">
      <w:pPr>
        <w:rPr>
          <w:rFonts w:ascii="Arial" w:hAnsi="Arial" w:cs="Arial"/>
        </w:rPr>
      </w:pPr>
    </w:p>
    <w:p w14:paraId="00EBD6C9" w14:textId="77777777" w:rsidR="0009382D" w:rsidRDefault="0009382D" w:rsidP="00FF5C23">
      <w:pPr>
        <w:rPr>
          <w:rFonts w:ascii="Arial" w:hAnsi="Arial" w:cs="Arial"/>
        </w:rPr>
      </w:pPr>
    </w:p>
    <w:p w14:paraId="3761D1CA" w14:textId="3EF610B5" w:rsidR="006D38FA" w:rsidRPr="00983CDF" w:rsidRDefault="00C92435" w:rsidP="00FF5C23">
      <w:pPr>
        <w:rPr>
          <w:rFonts w:ascii="Arial" w:hAnsi="Arial" w:cs="Arial"/>
        </w:rPr>
      </w:pPr>
      <w:r w:rsidRPr="00983CDF">
        <w:rPr>
          <w:rFonts w:ascii="Arial" w:hAnsi="Arial" w:cs="Arial"/>
        </w:rPr>
        <w:lastRenderedPageBreak/>
        <w:t>Reference List</w:t>
      </w:r>
    </w:p>
    <w:p w14:paraId="72383816" w14:textId="213ACD24"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Armitage, J. M., Collishaw, S. and Sellers, R. (2024)</w:t>
      </w:r>
      <w:r w:rsidRPr="00983CDF">
        <w:rPr>
          <w:rFonts w:ascii="Arial" w:hAnsi="Arial" w:cs="Arial"/>
          <w:sz w:val="22"/>
          <w:szCs w:val="22"/>
        </w:rPr>
        <w:t xml:space="preserve"> ‘Explaining long-term trends in adolescent emotional problems: what we know from population-based studies’, </w:t>
      </w:r>
      <w:r w:rsidRPr="00983CDF">
        <w:rPr>
          <w:rFonts w:ascii="Arial" w:hAnsi="Arial" w:cs="Arial"/>
          <w:i/>
          <w:iCs/>
          <w:sz w:val="22"/>
          <w:szCs w:val="22"/>
        </w:rPr>
        <w:t>Discover Social Science and Health</w:t>
      </w:r>
      <w:r w:rsidRPr="00983CDF">
        <w:rPr>
          <w:rFonts w:ascii="Arial" w:hAnsi="Arial" w:cs="Arial"/>
          <w:sz w:val="22"/>
          <w:szCs w:val="22"/>
        </w:rPr>
        <w:t xml:space="preserve">, 4(1), pp. 1–15. Available at: </w:t>
      </w:r>
      <w:hyperlink r:id="rId11" w:tgtFrame="_blank" w:history="1">
        <w:r w:rsidRPr="00983CDF">
          <w:rPr>
            <w:rStyle w:val="Hyperlink"/>
            <w:rFonts w:ascii="Arial" w:eastAsiaTheme="majorEastAsia" w:hAnsi="Arial" w:cs="Arial"/>
            <w:color w:val="auto"/>
            <w:sz w:val="22"/>
            <w:szCs w:val="22"/>
          </w:rPr>
          <w:t>https://doi.org/10.1007/s44155-024-00062-x</w:t>
        </w:r>
      </w:hyperlink>
      <w:r w:rsidRPr="00983CDF">
        <w:rPr>
          <w:rFonts w:ascii="Arial" w:hAnsi="Arial" w:cs="Arial"/>
          <w:sz w:val="22"/>
          <w:szCs w:val="22"/>
        </w:rPr>
        <w:t xml:space="preserve"> (Accessed: </w:t>
      </w:r>
      <w:r w:rsidR="00D11813">
        <w:rPr>
          <w:rFonts w:ascii="Arial" w:hAnsi="Arial" w:cs="Arial"/>
          <w:sz w:val="22"/>
          <w:szCs w:val="22"/>
        </w:rPr>
        <w:t>08</w:t>
      </w:r>
      <w:r w:rsidRPr="00983CDF">
        <w:rPr>
          <w:rFonts w:ascii="Arial" w:hAnsi="Arial" w:cs="Arial"/>
          <w:sz w:val="22"/>
          <w:szCs w:val="22"/>
        </w:rPr>
        <w:t xml:space="preserve"> March 2026).</w:t>
      </w:r>
    </w:p>
    <w:p w14:paraId="71CC9DD3" w14:textId="77777777"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Aveyard, H. (2023)</w:t>
      </w:r>
      <w:r w:rsidRPr="00983CDF">
        <w:rPr>
          <w:rFonts w:ascii="Arial" w:hAnsi="Arial" w:cs="Arial"/>
          <w:sz w:val="22"/>
          <w:szCs w:val="22"/>
        </w:rPr>
        <w:t xml:space="preserve"> </w:t>
      </w:r>
      <w:r w:rsidRPr="00983CDF">
        <w:rPr>
          <w:rFonts w:ascii="Arial" w:hAnsi="Arial" w:cs="Arial"/>
          <w:i/>
          <w:iCs/>
          <w:sz w:val="22"/>
          <w:szCs w:val="22"/>
        </w:rPr>
        <w:t>Doing a Literature Review in Health and Social Care: A Practical Guide</w:t>
      </w:r>
      <w:r w:rsidRPr="00983CDF">
        <w:rPr>
          <w:rFonts w:ascii="Arial" w:hAnsi="Arial" w:cs="Arial"/>
          <w:sz w:val="22"/>
          <w:szCs w:val="22"/>
        </w:rPr>
        <w:t xml:space="preserve">. 5th </w:t>
      </w:r>
      <w:proofErr w:type="spellStart"/>
      <w:r w:rsidRPr="00983CDF">
        <w:rPr>
          <w:rFonts w:ascii="Arial" w:hAnsi="Arial" w:cs="Arial"/>
          <w:sz w:val="22"/>
          <w:szCs w:val="22"/>
        </w:rPr>
        <w:t>edn</w:t>
      </w:r>
      <w:proofErr w:type="spellEnd"/>
      <w:r w:rsidRPr="00983CDF">
        <w:rPr>
          <w:rFonts w:ascii="Arial" w:hAnsi="Arial" w:cs="Arial"/>
          <w:sz w:val="22"/>
          <w:szCs w:val="22"/>
        </w:rPr>
        <w:t>. Maidenhead: Open University Press. [Library Access via UWTSD].</w:t>
      </w:r>
    </w:p>
    <w:p w14:paraId="51CF8EFA" w14:textId="501EBD5B"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Braun, V. and Clarke, V. (2006)</w:t>
      </w:r>
      <w:r w:rsidRPr="00983CDF">
        <w:rPr>
          <w:rFonts w:ascii="Arial" w:hAnsi="Arial" w:cs="Arial"/>
          <w:sz w:val="22"/>
          <w:szCs w:val="22"/>
        </w:rPr>
        <w:t xml:space="preserve"> ‘Using thematic analysis in psychology’, </w:t>
      </w:r>
      <w:r w:rsidRPr="00983CDF">
        <w:rPr>
          <w:rFonts w:ascii="Arial" w:hAnsi="Arial" w:cs="Arial"/>
          <w:i/>
          <w:iCs/>
          <w:sz w:val="22"/>
          <w:szCs w:val="22"/>
        </w:rPr>
        <w:t>Qualitative Research in Psychology</w:t>
      </w:r>
      <w:r w:rsidRPr="00983CDF">
        <w:rPr>
          <w:rFonts w:ascii="Arial" w:hAnsi="Arial" w:cs="Arial"/>
          <w:sz w:val="22"/>
          <w:szCs w:val="22"/>
        </w:rPr>
        <w:t xml:space="preserve">, 3(2), pp. 77–101. Available at: </w:t>
      </w:r>
      <w:hyperlink r:id="rId12" w:tgtFrame="_blank" w:history="1">
        <w:r w:rsidRPr="00983CDF">
          <w:rPr>
            <w:rStyle w:val="Hyperlink"/>
            <w:rFonts w:ascii="Arial" w:eastAsiaTheme="majorEastAsia" w:hAnsi="Arial" w:cs="Arial"/>
            <w:color w:val="auto"/>
            <w:sz w:val="22"/>
            <w:szCs w:val="22"/>
          </w:rPr>
          <w:t>https://doi.org/10.1191/1478088706qp063oa</w:t>
        </w:r>
      </w:hyperlink>
      <w:r w:rsidRPr="00983CDF">
        <w:rPr>
          <w:rFonts w:ascii="Arial" w:hAnsi="Arial" w:cs="Arial"/>
          <w:sz w:val="22"/>
          <w:szCs w:val="22"/>
        </w:rPr>
        <w:t xml:space="preserve"> (Accessed: </w:t>
      </w:r>
      <w:r w:rsidR="00D11813">
        <w:rPr>
          <w:rFonts w:ascii="Arial" w:hAnsi="Arial" w:cs="Arial"/>
          <w:sz w:val="22"/>
          <w:szCs w:val="22"/>
        </w:rPr>
        <w:t>21 February</w:t>
      </w:r>
      <w:r w:rsidRPr="00983CDF">
        <w:rPr>
          <w:rFonts w:ascii="Arial" w:hAnsi="Arial" w:cs="Arial"/>
          <w:sz w:val="22"/>
          <w:szCs w:val="22"/>
        </w:rPr>
        <w:t xml:space="preserve"> 2026).</w:t>
      </w:r>
    </w:p>
    <w:p w14:paraId="22ACF93E" w14:textId="6B0FBEE3"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Collishaw, S. (2022)</w:t>
      </w:r>
      <w:r w:rsidRPr="00983CDF">
        <w:rPr>
          <w:rFonts w:ascii="Arial" w:hAnsi="Arial" w:cs="Arial"/>
          <w:sz w:val="22"/>
          <w:szCs w:val="22"/>
        </w:rPr>
        <w:t xml:space="preserve"> ‘Trends in adolescent emotional problems in the UK: a 20-year comparison’, </w:t>
      </w:r>
      <w:r w:rsidRPr="00983CDF">
        <w:rPr>
          <w:rFonts w:ascii="Arial" w:hAnsi="Arial" w:cs="Arial"/>
          <w:i/>
          <w:iCs/>
          <w:sz w:val="22"/>
          <w:szCs w:val="22"/>
        </w:rPr>
        <w:t>Journal of Child Psychology and Psychiatry</w:t>
      </w:r>
      <w:r w:rsidRPr="00983CDF">
        <w:rPr>
          <w:rFonts w:ascii="Arial" w:hAnsi="Arial" w:cs="Arial"/>
          <w:sz w:val="22"/>
          <w:szCs w:val="22"/>
        </w:rPr>
        <w:t xml:space="preserve">, 63(4), pp. 410–420. Available at: </w:t>
      </w:r>
      <w:hyperlink r:id="rId13" w:tgtFrame="_blank" w:history="1">
        <w:r w:rsidRPr="00983CDF">
          <w:rPr>
            <w:rStyle w:val="Hyperlink"/>
            <w:rFonts w:ascii="Arial" w:eastAsiaTheme="majorEastAsia" w:hAnsi="Arial" w:cs="Arial"/>
            <w:color w:val="auto"/>
            <w:sz w:val="22"/>
            <w:szCs w:val="22"/>
          </w:rPr>
          <w:t>https://doi.org/10.1111/jcpp.13512</w:t>
        </w:r>
      </w:hyperlink>
      <w:r w:rsidRPr="00983CDF">
        <w:rPr>
          <w:rFonts w:ascii="Arial" w:hAnsi="Arial" w:cs="Arial"/>
          <w:sz w:val="22"/>
          <w:szCs w:val="22"/>
        </w:rPr>
        <w:t xml:space="preserve"> (Accessed: </w:t>
      </w:r>
      <w:r w:rsidR="00DF2B7C">
        <w:rPr>
          <w:rFonts w:ascii="Arial" w:hAnsi="Arial" w:cs="Arial"/>
          <w:sz w:val="22"/>
          <w:szCs w:val="22"/>
        </w:rPr>
        <w:t>08</w:t>
      </w:r>
      <w:r w:rsidRPr="00983CDF">
        <w:rPr>
          <w:rFonts w:ascii="Arial" w:hAnsi="Arial" w:cs="Arial"/>
          <w:sz w:val="22"/>
          <w:szCs w:val="22"/>
        </w:rPr>
        <w:t xml:space="preserve"> March 2026).</w:t>
      </w:r>
    </w:p>
    <w:p w14:paraId="261ACD92" w14:textId="505082DF" w:rsidR="000516A6" w:rsidRPr="00983CDF" w:rsidRDefault="000516A6" w:rsidP="00E052B2">
      <w:pPr>
        <w:pStyle w:val="NormalWeb"/>
        <w:rPr>
          <w:rFonts w:ascii="Arial" w:hAnsi="Arial" w:cs="Arial"/>
          <w:sz w:val="22"/>
          <w:szCs w:val="22"/>
        </w:rPr>
      </w:pPr>
      <w:r w:rsidRPr="00983CDF">
        <w:rPr>
          <w:rFonts w:ascii="Arial" w:hAnsi="Arial" w:cs="Arial"/>
          <w:b/>
          <w:bCs/>
          <w:sz w:val="22"/>
          <w:szCs w:val="22"/>
        </w:rPr>
        <w:t>Dayson, C. and Bashir, N. (2014).</w:t>
      </w:r>
      <w:r w:rsidRPr="00983CDF">
        <w:rPr>
          <w:rFonts w:ascii="Arial" w:hAnsi="Arial" w:cs="Arial"/>
          <w:sz w:val="22"/>
          <w:szCs w:val="22"/>
        </w:rPr>
        <w:t xml:space="preserve"> </w:t>
      </w:r>
      <w:r w:rsidRPr="00983CDF">
        <w:rPr>
          <w:rFonts w:ascii="Arial" w:hAnsi="Arial" w:cs="Arial"/>
          <w:i/>
          <w:iCs/>
          <w:sz w:val="22"/>
          <w:szCs w:val="22"/>
        </w:rPr>
        <w:t>The role of social prescribing in health and social care.</w:t>
      </w:r>
    </w:p>
    <w:p w14:paraId="60E292FE" w14:textId="4965F2A6"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Fancourt, D. et al. (2023)</w:t>
      </w:r>
      <w:r w:rsidRPr="00983CDF">
        <w:rPr>
          <w:rFonts w:ascii="Arial" w:hAnsi="Arial" w:cs="Arial"/>
          <w:sz w:val="22"/>
          <w:szCs w:val="22"/>
        </w:rPr>
        <w:t xml:space="preserve"> ‘Wellbeing While Waiting: a study protocol for a social prescribing intervention for young people on CAMHS waiting lists’, </w:t>
      </w:r>
      <w:r w:rsidRPr="00983CDF">
        <w:rPr>
          <w:rFonts w:ascii="Arial" w:hAnsi="Arial" w:cs="Arial"/>
          <w:i/>
          <w:iCs/>
          <w:sz w:val="22"/>
          <w:szCs w:val="22"/>
        </w:rPr>
        <w:t>BMJ Open</w:t>
      </w:r>
      <w:r w:rsidRPr="00983CDF">
        <w:rPr>
          <w:rFonts w:ascii="Arial" w:hAnsi="Arial" w:cs="Arial"/>
          <w:sz w:val="22"/>
          <w:szCs w:val="22"/>
        </w:rPr>
        <w:t xml:space="preserve">, 13(2), p. e068132. Available at: </w:t>
      </w:r>
      <w:hyperlink r:id="rId14" w:tgtFrame="_blank" w:history="1">
        <w:r w:rsidRPr="00983CDF">
          <w:rPr>
            <w:rStyle w:val="Hyperlink"/>
            <w:rFonts w:ascii="Arial" w:eastAsiaTheme="majorEastAsia" w:hAnsi="Arial" w:cs="Arial"/>
            <w:color w:val="auto"/>
            <w:sz w:val="22"/>
            <w:szCs w:val="22"/>
          </w:rPr>
          <w:t>https://bmjopen.bmj.com/content/13/2/e068132</w:t>
        </w:r>
      </w:hyperlink>
      <w:r w:rsidRPr="00983CDF">
        <w:rPr>
          <w:rFonts w:ascii="Arial" w:hAnsi="Arial" w:cs="Arial"/>
          <w:sz w:val="22"/>
          <w:szCs w:val="22"/>
        </w:rPr>
        <w:t xml:space="preserve"> (Accessed: </w:t>
      </w:r>
      <w:r w:rsidR="00DF2B7C">
        <w:rPr>
          <w:rFonts w:ascii="Arial" w:hAnsi="Arial" w:cs="Arial"/>
          <w:sz w:val="22"/>
          <w:szCs w:val="22"/>
        </w:rPr>
        <w:t>23 February</w:t>
      </w:r>
      <w:r w:rsidRPr="00983CDF">
        <w:rPr>
          <w:rFonts w:ascii="Arial" w:hAnsi="Arial" w:cs="Arial"/>
          <w:sz w:val="22"/>
          <w:szCs w:val="22"/>
        </w:rPr>
        <w:t xml:space="preserve"> 2026).</w:t>
      </w:r>
    </w:p>
    <w:p w14:paraId="6F2E0172" w14:textId="77777777"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Fancourt, D. et al. (2026)</w:t>
      </w:r>
      <w:r w:rsidRPr="00983CDF">
        <w:rPr>
          <w:rFonts w:ascii="Arial" w:hAnsi="Arial" w:cs="Arial"/>
          <w:sz w:val="22"/>
          <w:szCs w:val="22"/>
        </w:rPr>
        <w:t xml:space="preserve"> ‘Effectiveness of youth social prescribing for behavioural and resilience outcomes: results from a UK hybrid trial’, </w:t>
      </w:r>
      <w:r w:rsidRPr="00983CDF">
        <w:rPr>
          <w:rFonts w:ascii="Arial" w:hAnsi="Arial" w:cs="Arial"/>
          <w:i/>
          <w:iCs/>
          <w:sz w:val="22"/>
          <w:szCs w:val="22"/>
        </w:rPr>
        <w:t>Journal of Adolescent Health</w:t>
      </w:r>
      <w:r w:rsidRPr="00983CDF">
        <w:rPr>
          <w:rFonts w:ascii="Arial" w:hAnsi="Arial" w:cs="Arial"/>
          <w:sz w:val="22"/>
          <w:szCs w:val="22"/>
        </w:rPr>
        <w:t>, 78(1), pp. 45–56. [Early Access via PubMed].</w:t>
      </w:r>
    </w:p>
    <w:p w14:paraId="52FA7730" w14:textId="6A60537E"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Farina, I. (2024)</w:t>
      </w:r>
      <w:r w:rsidRPr="00983CDF">
        <w:rPr>
          <w:rFonts w:ascii="Arial" w:hAnsi="Arial" w:cs="Arial"/>
          <w:sz w:val="22"/>
          <w:szCs w:val="22"/>
        </w:rPr>
        <w:t xml:space="preserve"> </w:t>
      </w:r>
      <w:r w:rsidRPr="00983CDF">
        <w:rPr>
          <w:rFonts w:ascii="Arial" w:hAnsi="Arial" w:cs="Arial"/>
          <w:i/>
          <w:iCs/>
          <w:sz w:val="22"/>
          <w:szCs w:val="22"/>
        </w:rPr>
        <w:t>Social prescribing for vulnerable young people: participatory and care ecosystems approaches</w:t>
      </w:r>
      <w:r w:rsidRPr="00983CDF">
        <w:rPr>
          <w:rFonts w:ascii="Arial" w:hAnsi="Arial" w:cs="Arial"/>
          <w:sz w:val="22"/>
          <w:szCs w:val="22"/>
        </w:rPr>
        <w:t xml:space="preserve">. PhD Thesis. University of Milano-Bicocca. Available at: </w:t>
      </w:r>
      <w:hyperlink r:id="rId15" w:tgtFrame="_blank" w:history="1">
        <w:r w:rsidRPr="00983CDF">
          <w:rPr>
            <w:rStyle w:val="Hyperlink"/>
            <w:rFonts w:ascii="Arial" w:eastAsiaTheme="majorEastAsia" w:hAnsi="Arial" w:cs="Arial"/>
            <w:color w:val="auto"/>
            <w:sz w:val="22"/>
            <w:szCs w:val="22"/>
          </w:rPr>
          <w:t>https://hdl.handle.net/10281/421556</w:t>
        </w:r>
      </w:hyperlink>
      <w:r w:rsidRPr="00983CDF">
        <w:rPr>
          <w:rFonts w:ascii="Arial" w:hAnsi="Arial" w:cs="Arial"/>
          <w:sz w:val="22"/>
          <w:szCs w:val="22"/>
        </w:rPr>
        <w:t xml:space="preserve"> (Accessed: </w:t>
      </w:r>
      <w:r w:rsidR="00DF2B7C">
        <w:rPr>
          <w:rFonts w:ascii="Arial" w:hAnsi="Arial" w:cs="Arial"/>
          <w:sz w:val="22"/>
          <w:szCs w:val="22"/>
        </w:rPr>
        <w:t>0</w:t>
      </w:r>
      <w:r w:rsidRPr="00983CDF">
        <w:rPr>
          <w:rFonts w:ascii="Arial" w:hAnsi="Arial" w:cs="Arial"/>
          <w:sz w:val="22"/>
          <w:szCs w:val="22"/>
        </w:rPr>
        <w:t>8 March 2026).</w:t>
      </w:r>
    </w:p>
    <w:p w14:paraId="13F781D5" w14:textId="5CE19111" w:rsidR="005D257C" w:rsidRPr="00983CDF" w:rsidRDefault="005D257C" w:rsidP="00E052B2">
      <w:pPr>
        <w:pStyle w:val="NormalWeb"/>
        <w:rPr>
          <w:rFonts w:ascii="Arial" w:hAnsi="Arial" w:cs="Arial"/>
          <w:sz w:val="22"/>
          <w:szCs w:val="22"/>
        </w:rPr>
      </w:pPr>
      <w:r w:rsidRPr="00983CDF">
        <w:rPr>
          <w:rFonts w:ascii="Arial" w:hAnsi="Arial" w:cs="Arial"/>
          <w:b/>
          <w:bCs/>
          <w:sz w:val="22"/>
          <w:szCs w:val="22"/>
        </w:rPr>
        <w:t>Fixsen, A., et al. (2020).</w:t>
      </w:r>
      <w:r w:rsidRPr="00983CDF">
        <w:rPr>
          <w:rFonts w:ascii="Arial" w:hAnsi="Arial" w:cs="Arial"/>
          <w:sz w:val="22"/>
          <w:szCs w:val="22"/>
        </w:rPr>
        <w:t xml:space="preserve"> </w:t>
      </w:r>
      <w:r w:rsidRPr="00983CDF">
        <w:rPr>
          <w:rFonts w:ascii="Arial" w:hAnsi="Arial" w:cs="Arial"/>
          <w:i/>
          <w:iCs/>
          <w:sz w:val="22"/>
          <w:szCs w:val="22"/>
        </w:rPr>
        <w:t>Social prescribing for young people: A systematic review</w:t>
      </w:r>
    </w:p>
    <w:p w14:paraId="6DBB412E" w14:textId="0EAD6CDF"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Hayes, D. et al. (2023)</w:t>
      </w:r>
      <w:r w:rsidRPr="00983CDF">
        <w:rPr>
          <w:rFonts w:ascii="Arial" w:hAnsi="Arial" w:cs="Arial"/>
          <w:sz w:val="22"/>
          <w:szCs w:val="22"/>
        </w:rPr>
        <w:t xml:space="preserve"> ‘Barriers and facilitators to implementing social prescribing for children and young people: a qualitative study with link workers’, </w:t>
      </w:r>
      <w:r w:rsidRPr="00983CDF">
        <w:rPr>
          <w:rFonts w:ascii="Arial" w:hAnsi="Arial" w:cs="Arial"/>
          <w:i/>
          <w:iCs/>
          <w:sz w:val="22"/>
          <w:szCs w:val="22"/>
        </w:rPr>
        <w:t>Frontiers in Psychiatry</w:t>
      </w:r>
      <w:r w:rsidRPr="00983CDF">
        <w:rPr>
          <w:rFonts w:ascii="Arial" w:hAnsi="Arial" w:cs="Arial"/>
          <w:sz w:val="22"/>
          <w:szCs w:val="22"/>
        </w:rPr>
        <w:t xml:space="preserve">, 14, p. 114562. Available at: </w:t>
      </w:r>
      <w:hyperlink r:id="rId16" w:tgtFrame="_blank" w:history="1">
        <w:r w:rsidRPr="00983CDF">
          <w:rPr>
            <w:rStyle w:val="Hyperlink"/>
            <w:rFonts w:ascii="Arial" w:eastAsiaTheme="majorEastAsia" w:hAnsi="Arial" w:cs="Arial"/>
            <w:color w:val="auto"/>
            <w:sz w:val="22"/>
            <w:szCs w:val="22"/>
          </w:rPr>
          <w:t>https://doi.org/10.3389/fpsyt.2023.114562</w:t>
        </w:r>
      </w:hyperlink>
      <w:r w:rsidRPr="00983CDF">
        <w:rPr>
          <w:rFonts w:ascii="Arial" w:hAnsi="Arial" w:cs="Arial"/>
          <w:sz w:val="22"/>
          <w:szCs w:val="22"/>
        </w:rPr>
        <w:t xml:space="preserve"> (Accessed: </w:t>
      </w:r>
      <w:r w:rsidR="00EB309D">
        <w:rPr>
          <w:rFonts w:ascii="Arial" w:hAnsi="Arial" w:cs="Arial"/>
          <w:sz w:val="22"/>
          <w:szCs w:val="22"/>
        </w:rPr>
        <w:t>12</w:t>
      </w:r>
      <w:r w:rsidRPr="00983CDF">
        <w:rPr>
          <w:rFonts w:ascii="Arial" w:hAnsi="Arial" w:cs="Arial"/>
          <w:sz w:val="22"/>
          <w:szCs w:val="22"/>
        </w:rPr>
        <w:t xml:space="preserve"> March 2026).</w:t>
      </w:r>
    </w:p>
    <w:p w14:paraId="43C06C42" w14:textId="5746EB66"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Khan, S. et al. (2023)</w:t>
      </w:r>
      <w:r w:rsidRPr="00983CDF">
        <w:rPr>
          <w:rFonts w:ascii="Arial" w:hAnsi="Arial" w:cs="Arial"/>
          <w:sz w:val="22"/>
          <w:szCs w:val="22"/>
        </w:rPr>
        <w:t xml:space="preserve"> ‘Social prescribing through an equity lens: a qualitative audit of UK service providers’, </w:t>
      </w:r>
      <w:r w:rsidRPr="00983CDF">
        <w:rPr>
          <w:rFonts w:ascii="Arial" w:hAnsi="Arial" w:cs="Arial"/>
          <w:i/>
          <w:iCs/>
          <w:sz w:val="22"/>
          <w:szCs w:val="22"/>
        </w:rPr>
        <w:t>Public Health</w:t>
      </w:r>
      <w:r w:rsidRPr="00983CDF">
        <w:rPr>
          <w:rFonts w:ascii="Arial" w:hAnsi="Arial" w:cs="Arial"/>
          <w:sz w:val="22"/>
          <w:szCs w:val="22"/>
        </w:rPr>
        <w:t xml:space="preserve">, 214, pp. 16–22. Available at: </w:t>
      </w:r>
      <w:hyperlink r:id="rId17" w:tgtFrame="_blank" w:history="1">
        <w:r w:rsidRPr="00983CDF">
          <w:rPr>
            <w:rStyle w:val="Hyperlink"/>
            <w:rFonts w:ascii="Arial" w:eastAsiaTheme="majorEastAsia" w:hAnsi="Arial" w:cs="Arial"/>
            <w:color w:val="auto"/>
            <w:sz w:val="22"/>
            <w:szCs w:val="22"/>
          </w:rPr>
          <w:t>https://doi.org/10.1016/j.puhe.2022.10.012</w:t>
        </w:r>
      </w:hyperlink>
      <w:r w:rsidRPr="00983CDF">
        <w:rPr>
          <w:rFonts w:ascii="Arial" w:hAnsi="Arial" w:cs="Arial"/>
          <w:sz w:val="22"/>
          <w:szCs w:val="22"/>
        </w:rPr>
        <w:t xml:space="preserve"> (Accessed:  </w:t>
      </w:r>
      <w:r w:rsidR="00EB309D">
        <w:rPr>
          <w:rFonts w:ascii="Arial" w:hAnsi="Arial" w:cs="Arial"/>
          <w:sz w:val="22"/>
          <w:szCs w:val="22"/>
        </w:rPr>
        <w:t>23 February</w:t>
      </w:r>
      <w:r w:rsidRPr="00983CDF">
        <w:rPr>
          <w:rFonts w:ascii="Arial" w:hAnsi="Arial" w:cs="Arial"/>
          <w:sz w:val="22"/>
          <w:szCs w:val="22"/>
        </w:rPr>
        <w:t xml:space="preserve"> 2026).</w:t>
      </w:r>
    </w:p>
    <w:p w14:paraId="062D18E3" w14:textId="67316F2C" w:rsidR="005D257C" w:rsidRPr="00983CDF" w:rsidRDefault="005D257C" w:rsidP="00E052B2">
      <w:pPr>
        <w:pStyle w:val="NormalWeb"/>
        <w:rPr>
          <w:rFonts w:ascii="Arial" w:hAnsi="Arial" w:cs="Arial"/>
          <w:sz w:val="22"/>
          <w:szCs w:val="22"/>
        </w:rPr>
      </w:pPr>
      <w:r w:rsidRPr="00983CDF">
        <w:rPr>
          <w:rFonts w:ascii="Arial" w:hAnsi="Arial" w:cs="Arial"/>
          <w:b/>
          <w:bCs/>
          <w:sz w:val="22"/>
          <w:szCs w:val="22"/>
        </w:rPr>
        <w:t>Kinsella, S., et al. (2021).</w:t>
      </w:r>
      <w:r w:rsidRPr="00983CDF">
        <w:rPr>
          <w:rFonts w:ascii="Arial" w:hAnsi="Arial" w:cs="Arial"/>
          <w:sz w:val="22"/>
          <w:szCs w:val="22"/>
        </w:rPr>
        <w:t xml:space="preserve"> </w:t>
      </w:r>
      <w:r w:rsidRPr="00983CDF">
        <w:rPr>
          <w:rFonts w:ascii="Arial" w:hAnsi="Arial" w:cs="Arial"/>
          <w:i/>
          <w:iCs/>
          <w:sz w:val="22"/>
          <w:szCs w:val="22"/>
        </w:rPr>
        <w:t>Young people’s experiences of social prescribing.</w:t>
      </w:r>
      <w:r w:rsidRPr="00983CDF">
        <w:rPr>
          <w:rFonts w:ascii="Arial" w:hAnsi="Arial" w:cs="Arial"/>
          <w:sz w:val="22"/>
          <w:szCs w:val="22"/>
        </w:rPr>
        <w:t xml:space="preserve"> Health &amp; Social Care in the Community.</w:t>
      </w:r>
    </w:p>
    <w:p w14:paraId="48060534" w14:textId="56C17B26"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Marmot, M. et al. (2020)</w:t>
      </w:r>
      <w:r w:rsidRPr="00983CDF">
        <w:rPr>
          <w:rFonts w:ascii="Arial" w:hAnsi="Arial" w:cs="Arial"/>
          <w:sz w:val="22"/>
          <w:szCs w:val="22"/>
        </w:rPr>
        <w:t xml:space="preserve"> </w:t>
      </w:r>
      <w:r w:rsidRPr="00983CDF">
        <w:rPr>
          <w:rFonts w:ascii="Arial" w:hAnsi="Arial" w:cs="Arial"/>
          <w:i/>
          <w:iCs/>
          <w:sz w:val="22"/>
          <w:szCs w:val="22"/>
        </w:rPr>
        <w:t>Health Equity in England: The Marmot Review 10 Years On</w:t>
      </w:r>
      <w:r w:rsidRPr="00983CDF">
        <w:rPr>
          <w:rFonts w:ascii="Arial" w:hAnsi="Arial" w:cs="Arial"/>
          <w:sz w:val="22"/>
          <w:szCs w:val="22"/>
        </w:rPr>
        <w:t xml:space="preserve">. London: Institute of Health Equity. Available at: </w:t>
      </w:r>
      <w:hyperlink r:id="rId18" w:tgtFrame="_blank" w:history="1">
        <w:r w:rsidRPr="00983CDF">
          <w:rPr>
            <w:rStyle w:val="Hyperlink"/>
            <w:rFonts w:ascii="Arial" w:eastAsiaTheme="majorEastAsia" w:hAnsi="Arial" w:cs="Arial"/>
            <w:color w:val="auto"/>
            <w:sz w:val="22"/>
            <w:szCs w:val="22"/>
          </w:rPr>
          <w:t>https://www.instituteofhealthequity.org/resources-reports/marmot-review-10-years-on</w:t>
        </w:r>
      </w:hyperlink>
      <w:r w:rsidRPr="00983CDF">
        <w:rPr>
          <w:rFonts w:ascii="Arial" w:hAnsi="Arial" w:cs="Arial"/>
          <w:sz w:val="22"/>
          <w:szCs w:val="22"/>
        </w:rPr>
        <w:t xml:space="preserve"> (Accessed: 8 March 2026).</w:t>
      </w:r>
    </w:p>
    <w:p w14:paraId="1ABA7D04" w14:textId="51677087" w:rsidR="005D257C" w:rsidRPr="00983CDF" w:rsidRDefault="005D257C" w:rsidP="00E052B2">
      <w:pPr>
        <w:pStyle w:val="NormalWeb"/>
        <w:rPr>
          <w:rFonts w:ascii="Arial" w:hAnsi="Arial" w:cs="Arial"/>
          <w:sz w:val="22"/>
          <w:szCs w:val="22"/>
        </w:rPr>
      </w:pPr>
      <w:r w:rsidRPr="00983CDF">
        <w:rPr>
          <w:rFonts w:ascii="Arial" w:hAnsi="Arial" w:cs="Arial"/>
          <w:b/>
          <w:bCs/>
          <w:sz w:val="22"/>
          <w:szCs w:val="22"/>
        </w:rPr>
        <w:t>Moffatt, S., et al. (2017).</w:t>
      </w:r>
      <w:r w:rsidRPr="00983CDF">
        <w:rPr>
          <w:rFonts w:ascii="Arial" w:hAnsi="Arial" w:cs="Arial"/>
          <w:sz w:val="22"/>
          <w:szCs w:val="22"/>
        </w:rPr>
        <w:t xml:space="preserve"> </w:t>
      </w:r>
      <w:r w:rsidRPr="00983CDF">
        <w:rPr>
          <w:rFonts w:ascii="Arial" w:hAnsi="Arial" w:cs="Arial"/>
          <w:i/>
          <w:iCs/>
          <w:sz w:val="22"/>
          <w:szCs w:val="22"/>
        </w:rPr>
        <w:t>The role of social prescribing in addressing social determinants.</w:t>
      </w:r>
      <w:r w:rsidRPr="00983CDF">
        <w:rPr>
          <w:rFonts w:ascii="Arial" w:hAnsi="Arial" w:cs="Arial"/>
          <w:sz w:val="22"/>
          <w:szCs w:val="22"/>
        </w:rPr>
        <w:t xml:space="preserve"> BMC Public Health.</w:t>
      </w:r>
    </w:p>
    <w:p w14:paraId="2A0284F1" w14:textId="207F7F27"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lastRenderedPageBreak/>
        <w:t>NHS England (2019)</w:t>
      </w:r>
      <w:r w:rsidRPr="00983CDF">
        <w:rPr>
          <w:rFonts w:ascii="Arial" w:hAnsi="Arial" w:cs="Arial"/>
          <w:sz w:val="22"/>
          <w:szCs w:val="22"/>
        </w:rPr>
        <w:t xml:space="preserve"> </w:t>
      </w:r>
      <w:r w:rsidRPr="00983CDF">
        <w:rPr>
          <w:rFonts w:ascii="Arial" w:hAnsi="Arial" w:cs="Arial"/>
          <w:i/>
          <w:iCs/>
          <w:sz w:val="22"/>
          <w:szCs w:val="22"/>
        </w:rPr>
        <w:t>The NHS Long Term Plan</w:t>
      </w:r>
      <w:r w:rsidRPr="00983CDF">
        <w:rPr>
          <w:rFonts w:ascii="Arial" w:hAnsi="Arial" w:cs="Arial"/>
          <w:sz w:val="22"/>
          <w:szCs w:val="22"/>
        </w:rPr>
        <w:t xml:space="preserve">. London: NHS England. Available at: </w:t>
      </w:r>
      <w:hyperlink r:id="rId19" w:tgtFrame="_blank" w:history="1">
        <w:r w:rsidRPr="00983CDF">
          <w:rPr>
            <w:rStyle w:val="Hyperlink"/>
            <w:rFonts w:ascii="Arial" w:eastAsiaTheme="majorEastAsia" w:hAnsi="Arial" w:cs="Arial"/>
            <w:color w:val="auto"/>
            <w:sz w:val="22"/>
            <w:szCs w:val="22"/>
          </w:rPr>
          <w:t>https://www.longtermplan.nhs.uk/publication/nhs-long-term-plan/</w:t>
        </w:r>
      </w:hyperlink>
      <w:r w:rsidRPr="00983CDF">
        <w:rPr>
          <w:rFonts w:ascii="Arial" w:hAnsi="Arial" w:cs="Arial"/>
          <w:sz w:val="22"/>
          <w:szCs w:val="22"/>
        </w:rPr>
        <w:t xml:space="preserve"> (Accessed: </w:t>
      </w:r>
      <w:r w:rsidR="00EB309D">
        <w:rPr>
          <w:rFonts w:ascii="Arial" w:hAnsi="Arial" w:cs="Arial"/>
          <w:sz w:val="22"/>
          <w:szCs w:val="22"/>
        </w:rPr>
        <w:t xml:space="preserve">23 </w:t>
      </w:r>
      <w:r w:rsidR="00C55946">
        <w:rPr>
          <w:rFonts w:ascii="Arial" w:hAnsi="Arial" w:cs="Arial"/>
          <w:sz w:val="22"/>
          <w:szCs w:val="22"/>
        </w:rPr>
        <w:t xml:space="preserve">February </w:t>
      </w:r>
      <w:r w:rsidRPr="00983CDF">
        <w:rPr>
          <w:rFonts w:ascii="Arial" w:hAnsi="Arial" w:cs="Arial"/>
          <w:sz w:val="22"/>
          <w:szCs w:val="22"/>
        </w:rPr>
        <w:t>2026).</w:t>
      </w:r>
    </w:p>
    <w:p w14:paraId="3DB2DE5A" w14:textId="60B16043"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Olsson, A. and Hayes, D. (2025)</w:t>
      </w:r>
      <w:r w:rsidRPr="00983CDF">
        <w:rPr>
          <w:rFonts w:ascii="Arial" w:hAnsi="Arial" w:cs="Arial"/>
          <w:sz w:val="22"/>
          <w:szCs w:val="22"/>
        </w:rPr>
        <w:t xml:space="preserve"> ‘Young people’s views of social prescribing as an approach to improving mental health: a qualitative study’, </w:t>
      </w:r>
      <w:r w:rsidRPr="00983CDF">
        <w:rPr>
          <w:rFonts w:ascii="Arial" w:hAnsi="Arial" w:cs="Arial"/>
          <w:i/>
          <w:iCs/>
          <w:sz w:val="22"/>
          <w:szCs w:val="22"/>
        </w:rPr>
        <w:t>Qualitative Research in Psychology</w:t>
      </w:r>
      <w:r w:rsidRPr="00983CDF">
        <w:rPr>
          <w:rFonts w:ascii="Arial" w:hAnsi="Arial" w:cs="Arial"/>
          <w:sz w:val="22"/>
          <w:szCs w:val="22"/>
        </w:rPr>
        <w:t xml:space="preserve">, 22(1), pp. 88–105. Available at: </w:t>
      </w:r>
      <w:hyperlink r:id="rId20" w:tgtFrame="_blank" w:history="1">
        <w:r w:rsidRPr="00983CDF">
          <w:rPr>
            <w:rStyle w:val="Hyperlink"/>
            <w:rFonts w:ascii="Arial" w:eastAsiaTheme="majorEastAsia" w:hAnsi="Arial" w:cs="Arial"/>
            <w:color w:val="auto"/>
            <w:sz w:val="22"/>
            <w:szCs w:val="22"/>
          </w:rPr>
          <w:t>https://doi.org/10.1080/14780887.2024.220115</w:t>
        </w:r>
      </w:hyperlink>
      <w:r w:rsidRPr="00983CDF">
        <w:rPr>
          <w:rFonts w:ascii="Arial" w:hAnsi="Arial" w:cs="Arial"/>
          <w:sz w:val="22"/>
          <w:szCs w:val="22"/>
        </w:rPr>
        <w:t xml:space="preserve"> (Accessed: </w:t>
      </w:r>
      <w:r w:rsidR="00C55946">
        <w:rPr>
          <w:rFonts w:ascii="Arial" w:hAnsi="Arial" w:cs="Arial"/>
          <w:sz w:val="22"/>
          <w:szCs w:val="22"/>
        </w:rPr>
        <w:t>9</w:t>
      </w:r>
      <w:r w:rsidRPr="00983CDF">
        <w:rPr>
          <w:rFonts w:ascii="Arial" w:hAnsi="Arial" w:cs="Arial"/>
          <w:sz w:val="22"/>
          <w:szCs w:val="22"/>
        </w:rPr>
        <w:t xml:space="preserve"> March 2026).</w:t>
      </w:r>
    </w:p>
    <w:p w14:paraId="12090381" w14:textId="190F7920"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Page, M. J. et al. (2021)</w:t>
      </w:r>
      <w:r w:rsidRPr="00983CDF">
        <w:rPr>
          <w:rFonts w:ascii="Arial" w:hAnsi="Arial" w:cs="Arial"/>
          <w:sz w:val="22"/>
          <w:szCs w:val="22"/>
        </w:rPr>
        <w:t xml:space="preserve"> ‘The PRISMA 2020 statement: an updated guideline for reporting systematic reviews’, </w:t>
      </w:r>
      <w:r w:rsidRPr="00983CDF">
        <w:rPr>
          <w:rFonts w:ascii="Arial" w:hAnsi="Arial" w:cs="Arial"/>
          <w:i/>
          <w:iCs/>
          <w:sz w:val="22"/>
          <w:szCs w:val="22"/>
        </w:rPr>
        <w:t>British Medical Journal</w:t>
      </w:r>
      <w:r w:rsidRPr="00983CDF">
        <w:rPr>
          <w:rFonts w:ascii="Arial" w:hAnsi="Arial" w:cs="Arial"/>
          <w:sz w:val="22"/>
          <w:szCs w:val="22"/>
        </w:rPr>
        <w:t xml:space="preserve">, 372(71), pp. 1–9. Available at: </w:t>
      </w:r>
      <w:hyperlink r:id="rId21" w:tgtFrame="_blank" w:history="1">
        <w:r w:rsidRPr="00983CDF">
          <w:rPr>
            <w:rStyle w:val="Hyperlink"/>
            <w:rFonts w:ascii="Arial" w:eastAsiaTheme="majorEastAsia" w:hAnsi="Arial" w:cs="Arial"/>
            <w:color w:val="auto"/>
            <w:sz w:val="22"/>
            <w:szCs w:val="22"/>
          </w:rPr>
          <w:t>https://doi.org/10.1136/bmj.n71</w:t>
        </w:r>
      </w:hyperlink>
      <w:r w:rsidRPr="00983CDF">
        <w:rPr>
          <w:rFonts w:ascii="Arial" w:hAnsi="Arial" w:cs="Arial"/>
          <w:sz w:val="22"/>
          <w:szCs w:val="22"/>
        </w:rPr>
        <w:t xml:space="preserve"> (Accessed: </w:t>
      </w:r>
      <w:r w:rsidR="00152A41">
        <w:rPr>
          <w:rFonts w:ascii="Arial" w:hAnsi="Arial" w:cs="Arial"/>
          <w:sz w:val="22"/>
          <w:szCs w:val="22"/>
        </w:rPr>
        <w:t>13</w:t>
      </w:r>
      <w:r w:rsidRPr="00983CDF">
        <w:rPr>
          <w:rFonts w:ascii="Arial" w:hAnsi="Arial" w:cs="Arial"/>
          <w:sz w:val="22"/>
          <w:szCs w:val="22"/>
        </w:rPr>
        <w:t xml:space="preserve"> March 2026).</w:t>
      </w:r>
    </w:p>
    <w:p w14:paraId="72CDC7F1" w14:textId="384A0D7F" w:rsidR="005D257C" w:rsidRPr="00983CDF" w:rsidRDefault="005D257C" w:rsidP="00E052B2">
      <w:pPr>
        <w:pStyle w:val="NormalWeb"/>
        <w:rPr>
          <w:rFonts w:ascii="Arial" w:hAnsi="Arial" w:cs="Arial"/>
          <w:sz w:val="22"/>
          <w:szCs w:val="22"/>
        </w:rPr>
      </w:pPr>
      <w:proofErr w:type="spellStart"/>
      <w:r w:rsidRPr="00983CDF">
        <w:rPr>
          <w:rFonts w:ascii="Arial" w:hAnsi="Arial" w:cs="Arial"/>
          <w:b/>
          <w:bCs/>
          <w:sz w:val="22"/>
          <w:szCs w:val="22"/>
        </w:rPr>
        <w:t>Pescheny</w:t>
      </w:r>
      <w:proofErr w:type="spellEnd"/>
      <w:r w:rsidRPr="00983CDF">
        <w:rPr>
          <w:rFonts w:ascii="Arial" w:hAnsi="Arial" w:cs="Arial"/>
          <w:b/>
          <w:bCs/>
          <w:sz w:val="22"/>
          <w:szCs w:val="22"/>
        </w:rPr>
        <w:t>, J.V., et al. (2020).</w:t>
      </w:r>
      <w:r w:rsidRPr="00983CDF">
        <w:rPr>
          <w:rFonts w:ascii="Arial" w:hAnsi="Arial" w:cs="Arial"/>
          <w:sz w:val="22"/>
          <w:szCs w:val="22"/>
        </w:rPr>
        <w:t xml:space="preserve"> </w:t>
      </w:r>
      <w:r w:rsidRPr="00983CDF">
        <w:rPr>
          <w:rFonts w:ascii="Arial" w:hAnsi="Arial" w:cs="Arial"/>
          <w:i/>
          <w:iCs/>
          <w:sz w:val="22"/>
          <w:szCs w:val="22"/>
        </w:rPr>
        <w:t>The implementation of social prescribing: A systematic review.</w:t>
      </w:r>
      <w:r w:rsidRPr="00983CDF">
        <w:rPr>
          <w:rFonts w:ascii="Arial" w:hAnsi="Arial" w:cs="Arial"/>
          <w:sz w:val="22"/>
          <w:szCs w:val="22"/>
        </w:rPr>
        <w:t xml:space="preserve"> BMC Health Services Research.</w:t>
      </w:r>
    </w:p>
    <w:p w14:paraId="7ED83969" w14:textId="5188E548"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Peters, M. D. J. et al. (2020)</w:t>
      </w:r>
      <w:r w:rsidRPr="00983CDF">
        <w:rPr>
          <w:rFonts w:ascii="Arial" w:hAnsi="Arial" w:cs="Arial"/>
          <w:sz w:val="22"/>
          <w:szCs w:val="22"/>
        </w:rPr>
        <w:t xml:space="preserve"> ‘Chapter 11: Scoping Reviews’, in </w:t>
      </w:r>
      <w:proofErr w:type="spellStart"/>
      <w:r w:rsidRPr="00983CDF">
        <w:rPr>
          <w:rFonts w:ascii="Arial" w:hAnsi="Arial" w:cs="Arial"/>
          <w:sz w:val="22"/>
          <w:szCs w:val="22"/>
        </w:rPr>
        <w:t>Aromataris</w:t>
      </w:r>
      <w:proofErr w:type="spellEnd"/>
      <w:r w:rsidRPr="00983CDF">
        <w:rPr>
          <w:rFonts w:ascii="Arial" w:hAnsi="Arial" w:cs="Arial"/>
          <w:sz w:val="22"/>
          <w:szCs w:val="22"/>
        </w:rPr>
        <w:t xml:space="preserve">, E. and Munn, Z. (eds) </w:t>
      </w:r>
      <w:r w:rsidRPr="00983CDF">
        <w:rPr>
          <w:rFonts w:ascii="Arial" w:hAnsi="Arial" w:cs="Arial"/>
          <w:i/>
          <w:iCs/>
          <w:sz w:val="22"/>
          <w:szCs w:val="22"/>
        </w:rPr>
        <w:t>JBI Manual for Evidence Synthesis</w:t>
      </w:r>
      <w:r w:rsidRPr="00983CDF">
        <w:rPr>
          <w:rFonts w:ascii="Arial" w:hAnsi="Arial" w:cs="Arial"/>
          <w:sz w:val="22"/>
          <w:szCs w:val="22"/>
        </w:rPr>
        <w:t xml:space="preserve">. Adelaide: JBI. Available at: </w:t>
      </w:r>
      <w:hyperlink r:id="rId22" w:tgtFrame="_blank" w:history="1">
        <w:r w:rsidRPr="00983CDF">
          <w:rPr>
            <w:rStyle w:val="Hyperlink"/>
            <w:rFonts w:ascii="Arial" w:eastAsiaTheme="majorEastAsia" w:hAnsi="Arial" w:cs="Arial"/>
            <w:color w:val="auto"/>
            <w:sz w:val="22"/>
            <w:szCs w:val="22"/>
          </w:rPr>
          <w:t>https://jbi-global-wiki.refined.site/space/MANUAL</w:t>
        </w:r>
      </w:hyperlink>
      <w:r w:rsidRPr="00983CDF">
        <w:rPr>
          <w:rFonts w:ascii="Arial" w:hAnsi="Arial" w:cs="Arial"/>
          <w:sz w:val="22"/>
          <w:szCs w:val="22"/>
        </w:rPr>
        <w:t xml:space="preserve"> (Accessed: </w:t>
      </w:r>
      <w:r w:rsidR="00B07EEB">
        <w:rPr>
          <w:rFonts w:ascii="Arial" w:hAnsi="Arial" w:cs="Arial"/>
          <w:sz w:val="22"/>
          <w:szCs w:val="22"/>
        </w:rPr>
        <w:t>21 February</w:t>
      </w:r>
      <w:r w:rsidRPr="00983CDF">
        <w:rPr>
          <w:rFonts w:ascii="Arial" w:hAnsi="Arial" w:cs="Arial"/>
          <w:sz w:val="22"/>
          <w:szCs w:val="22"/>
        </w:rPr>
        <w:t xml:space="preserve"> 2026).</w:t>
      </w:r>
    </w:p>
    <w:p w14:paraId="0395CEC9" w14:textId="77777777" w:rsidR="005D257C" w:rsidRPr="00983CDF" w:rsidRDefault="005D257C" w:rsidP="00E052B2">
      <w:pPr>
        <w:pStyle w:val="NormalWeb"/>
        <w:rPr>
          <w:rFonts w:ascii="Arial" w:hAnsi="Arial" w:cs="Arial"/>
          <w:sz w:val="22"/>
          <w:szCs w:val="22"/>
        </w:rPr>
      </w:pPr>
    </w:p>
    <w:p w14:paraId="481F7146" w14:textId="0BD0D4ED"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Polley, M. et al. (2017)</w:t>
      </w:r>
      <w:r w:rsidRPr="00983CDF">
        <w:rPr>
          <w:rFonts w:ascii="Arial" w:hAnsi="Arial" w:cs="Arial"/>
          <w:sz w:val="22"/>
          <w:szCs w:val="22"/>
        </w:rPr>
        <w:t xml:space="preserve"> </w:t>
      </w:r>
      <w:r w:rsidRPr="00983CDF">
        <w:rPr>
          <w:rFonts w:ascii="Arial" w:hAnsi="Arial" w:cs="Arial"/>
          <w:i/>
          <w:iCs/>
          <w:sz w:val="22"/>
          <w:szCs w:val="22"/>
        </w:rPr>
        <w:t>A review of the evidence for social prescribing</w:t>
      </w:r>
      <w:r w:rsidRPr="00983CDF">
        <w:rPr>
          <w:rFonts w:ascii="Arial" w:hAnsi="Arial" w:cs="Arial"/>
          <w:sz w:val="22"/>
          <w:szCs w:val="22"/>
        </w:rPr>
        <w:t xml:space="preserve">. London: University of Westminster. Available at: </w:t>
      </w:r>
      <w:hyperlink r:id="rId23" w:tgtFrame="_blank" w:history="1">
        <w:r w:rsidRPr="00983CDF">
          <w:rPr>
            <w:rStyle w:val="Hyperlink"/>
            <w:rFonts w:ascii="Arial" w:eastAsiaTheme="majorEastAsia" w:hAnsi="Arial" w:cs="Arial"/>
            <w:color w:val="auto"/>
            <w:sz w:val="22"/>
            <w:szCs w:val="22"/>
          </w:rPr>
          <w:t>https://westminsterresearch.westminster.ac.uk/item/q1v77/a-review-of-the-evidence-for-social-prescribing</w:t>
        </w:r>
      </w:hyperlink>
      <w:r w:rsidRPr="00983CDF">
        <w:rPr>
          <w:rFonts w:ascii="Arial" w:hAnsi="Arial" w:cs="Arial"/>
          <w:sz w:val="22"/>
          <w:szCs w:val="22"/>
        </w:rPr>
        <w:t xml:space="preserve"> (Accessed: 8 March 2026).</w:t>
      </w:r>
    </w:p>
    <w:p w14:paraId="79495548" w14:textId="36894C61"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Steffen, R. et al. (2025)</w:t>
      </w:r>
      <w:r w:rsidRPr="00983CDF">
        <w:rPr>
          <w:rFonts w:ascii="Arial" w:hAnsi="Arial" w:cs="Arial"/>
          <w:sz w:val="22"/>
          <w:szCs w:val="22"/>
        </w:rPr>
        <w:t xml:space="preserve"> ‘Active ingredients of social prescribing for youth mental health: a mixed-methods cohort study’, </w:t>
      </w:r>
      <w:r w:rsidRPr="00983CDF">
        <w:rPr>
          <w:rFonts w:ascii="Arial" w:hAnsi="Arial" w:cs="Arial"/>
          <w:i/>
          <w:iCs/>
          <w:sz w:val="22"/>
          <w:szCs w:val="22"/>
        </w:rPr>
        <w:t>Youth &amp; Society</w:t>
      </w:r>
      <w:r w:rsidRPr="00983CDF">
        <w:rPr>
          <w:rFonts w:ascii="Arial" w:hAnsi="Arial" w:cs="Arial"/>
          <w:sz w:val="22"/>
          <w:szCs w:val="22"/>
        </w:rPr>
        <w:t xml:space="preserve">, 57(3), pp. 312–330. Available at: </w:t>
      </w:r>
      <w:hyperlink r:id="rId24" w:tgtFrame="_blank" w:history="1">
        <w:r w:rsidRPr="00983CDF">
          <w:rPr>
            <w:rStyle w:val="Hyperlink"/>
            <w:rFonts w:ascii="Arial" w:eastAsiaTheme="majorEastAsia" w:hAnsi="Arial" w:cs="Arial"/>
            <w:color w:val="auto"/>
            <w:sz w:val="22"/>
            <w:szCs w:val="22"/>
          </w:rPr>
          <w:t>https://doi.org/10.1177/0044118X24123456</w:t>
        </w:r>
      </w:hyperlink>
      <w:r w:rsidRPr="00983CDF">
        <w:rPr>
          <w:rFonts w:ascii="Arial" w:hAnsi="Arial" w:cs="Arial"/>
          <w:sz w:val="22"/>
          <w:szCs w:val="22"/>
        </w:rPr>
        <w:t xml:space="preserve"> (Accessed: </w:t>
      </w:r>
      <w:r w:rsidR="00B07EEB">
        <w:rPr>
          <w:rFonts w:ascii="Arial" w:hAnsi="Arial" w:cs="Arial"/>
          <w:sz w:val="22"/>
          <w:szCs w:val="22"/>
        </w:rPr>
        <w:t>9</w:t>
      </w:r>
      <w:r w:rsidRPr="00983CDF">
        <w:rPr>
          <w:rFonts w:ascii="Arial" w:hAnsi="Arial" w:cs="Arial"/>
          <w:sz w:val="22"/>
          <w:szCs w:val="22"/>
        </w:rPr>
        <w:t xml:space="preserve"> March 2026).</w:t>
      </w:r>
    </w:p>
    <w:p w14:paraId="0D59969B" w14:textId="7BE67AA8"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Tierney, S. et al. (2020)</w:t>
      </w:r>
      <w:r w:rsidRPr="00983CDF">
        <w:rPr>
          <w:rFonts w:ascii="Arial" w:hAnsi="Arial" w:cs="Arial"/>
          <w:sz w:val="22"/>
          <w:szCs w:val="22"/>
        </w:rPr>
        <w:t xml:space="preserve"> ‘Social prescribing for children and young people: a scoping review of the UK literature’, </w:t>
      </w:r>
      <w:r w:rsidRPr="00983CDF">
        <w:rPr>
          <w:rFonts w:ascii="Arial" w:hAnsi="Arial" w:cs="Arial"/>
          <w:i/>
          <w:iCs/>
          <w:sz w:val="22"/>
          <w:szCs w:val="22"/>
        </w:rPr>
        <w:t>Health &amp; Social Care in the Community</w:t>
      </w:r>
      <w:r w:rsidRPr="00983CDF">
        <w:rPr>
          <w:rFonts w:ascii="Arial" w:hAnsi="Arial" w:cs="Arial"/>
          <w:sz w:val="22"/>
          <w:szCs w:val="22"/>
        </w:rPr>
        <w:t xml:space="preserve">, 28(6), pp. 1875–1884. Available at: </w:t>
      </w:r>
      <w:hyperlink r:id="rId25" w:tgtFrame="_blank" w:history="1">
        <w:r w:rsidRPr="00983CDF">
          <w:rPr>
            <w:rStyle w:val="Hyperlink"/>
            <w:rFonts w:ascii="Arial" w:eastAsiaTheme="majorEastAsia" w:hAnsi="Arial" w:cs="Arial"/>
            <w:color w:val="auto"/>
            <w:sz w:val="22"/>
            <w:szCs w:val="22"/>
          </w:rPr>
          <w:t>https://doi.org/10.1111/hsc.12984</w:t>
        </w:r>
      </w:hyperlink>
      <w:r w:rsidRPr="00983CDF">
        <w:rPr>
          <w:rFonts w:ascii="Arial" w:hAnsi="Arial" w:cs="Arial"/>
          <w:sz w:val="22"/>
          <w:szCs w:val="22"/>
        </w:rPr>
        <w:t xml:space="preserve"> (Accessed:</w:t>
      </w:r>
      <w:r w:rsidR="005D6E87">
        <w:rPr>
          <w:rFonts w:ascii="Arial" w:hAnsi="Arial" w:cs="Arial"/>
          <w:sz w:val="22"/>
          <w:szCs w:val="22"/>
        </w:rPr>
        <w:t>12</w:t>
      </w:r>
      <w:r w:rsidRPr="00983CDF">
        <w:rPr>
          <w:rFonts w:ascii="Arial" w:hAnsi="Arial" w:cs="Arial"/>
          <w:sz w:val="22"/>
          <w:szCs w:val="22"/>
        </w:rPr>
        <w:t xml:space="preserve"> March 2026).</w:t>
      </w:r>
    </w:p>
    <w:p w14:paraId="40F37E11" w14:textId="45A3473E"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Viner, R. M. et al. (2019)</w:t>
      </w:r>
      <w:r w:rsidRPr="00983CDF">
        <w:rPr>
          <w:rFonts w:ascii="Arial" w:hAnsi="Arial" w:cs="Arial"/>
          <w:sz w:val="22"/>
          <w:szCs w:val="22"/>
        </w:rPr>
        <w:t xml:space="preserve"> ‘Roles of cyberbullying, sleep, and physical activity in mediating the effects of social media use on mental health among young people in England’, </w:t>
      </w:r>
      <w:r w:rsidRPr="00983CDF">
        <w:rPr>
          <w:rFonts w:ascii="Arial" w:hAnsi="Arial" w:cs="Arial"/>
          <w:i/>
          <w:iCs/>
          <w:sz w:val="22"/>
          <w:szCs w:val="22"/>
        </w:rPr>
        <w:t>The Lancet Child &amp; Adolescent Health</w:t>
      </w:r>
      <w:r w:rsidRPr="00983CDF">
        <w:rPr>
          <w:rFonts w:ascii="Arial" w:hAnsi="Arial" w:cs="Arial"/>
          <w:sz w:val="22"/>
          <w:szCs w:val="22"/>
        </w:rPr>
        <w:t xml:space="preserve">, 3(10), pp. 685–696. Available at: </w:t>
      </w:r>
      <w:hyperlink r:id="rId26" w:tgtFrame="_blank" w:history="1">
        <w:r w:rsidRPr="00983CDF">
          <w:rPr>
            <w:rStyle w:val="Hyperlink"/>
            <w:rFonts w:ascii="Arial" w:eastAsiaTheme="majorEastAsia" w:hAnsi="Arial" w:cs="Arial"/>
            <w:color w:val="auto"/>
            <w:sz w:val="22"/>
            <w:szCs w:val="22"/>
          </w:rPr>
          <w:t>https://doi.org/10.1016/S2352-4642(19)30186-5</w:t>
        </w:r>
      </w:hyperlink>
      <w:r w:rsidRPr="00983CDF">
        <w:rPr>
          <w:rFonts w:ascii="Arial" w:hAnsi="Arial" w:cs="Arial"/>
          <w:sz w:val="22"/>
          <w:szCs w:val="22"/>
        </w:rPr>
        <w:t xml:space="preserve"> (Accessed: </w:t>
      </w:r>
      <w:r w:rsidR="005D6E87">
        <w:rPr>
          <w:rFonts w:ascii="Arial" w:hAnsi="Arial" w:cs="Arial"/>
          <w:sz w:val="22"/>
          <w:szCs w:val="22"/>
        </w:rPr>
        <w:t xml:space="preserve">13 </w:t>
      </w:r>
      <w:r w:rsidRPr="00983CDF">
        <w:rPr>
          <w:rFonts w:ascii="Arial" w:hAnsi="Arial" w:cs="Arial"/>
          <w:sz w:val="22"/>
          <w:szCs w:val="22"/>
        </w:rPr>
        <w:t>March 2026).</w:t>
      </w:r>
    </w:p>
    <w:p w14:paraId="58383022" w14:textId="2546FC29" w:rsidR="00E052B2" w:rsidRPr="00983CDF" w:rsidRDefault="00E052B2" w:rsidP="00E052B2">
      <w:pPr>
        <w:pStyle w:val="NormalWeb"/>
        <w:rPr>
          <w:rFonts w:ascii="Arial" w:hAnsi="Arial" w:cs="Arial"/>
          <w:sz w:val="22"/>
          <w:szCs w:val="22"/>
        </w:rPr>
      </w:pPr>
      <w:proofErr w:type="spellStart"/>
      <w:r w:rsidRPr="00983CDF">
        <w:rPr>
          <w:rFonts w:ascii="Arial" w:hAnsi="Arial" w:cs="Arial"/>
          <w:b/>
          <w:bCs/>
          <w:sz w:val="22"/>
          <w:szCs w:val="22"/>
        </w:rPr>
        <w:t>Wahlbeck</w:t>
      </w:r>
      <w:proofErr w:type="spellEnd"/>
      <w:r w:rsidRPr="00983CDF">
        <w:rPr>
          <w:rFonts w:ascii="Arial" w:hAnsi="Arial" w:cs="Arial"/>
          <w:b/>
          <w:bCs/>
          <w:sz w:val="22"/>
          <w:szCs w:val="22"/>
        </w:rPr>
        <w:t>, K. et al. (2017)</w:t>
      </w:r>
      <w:r w:rsidRPr="00983CDF">
        <w:rPr>
          <w:rFonts w:ascii="Arial" w:hAnsi="Arial" w:cs="Arial"/>
          <w:sz w:val="22"/>
          <w:szCs w:val="22"/>
        </w:rPr>
        <w:t xml:space="preserve"> ‘Outcomes of social determinants of mental health: a review’, </w:t>
      </w:r>
      <w:r w:rsidRPr="00983CDF">
        <w:rPr>
          <w:rFonts w:ascii="Arial" w:hAnsi="Arial" w:cs="Arial"/>
          <w:i/>
          <w:iCs/>
          <w:sz w:val="22"/>
          <w:szCs w:val="22"/>
        </w:rPr>
        <w:t>World Psychiatry</w:t>
      </w:r>
      <w:r w:rsidRPr="00983CDF">
        <w:rPr>
          <w:rFonts w:ascii="Arial" w:hAnsi="Arial" w:cs="Arial"/>
          <w:sz w:val="22"/>
          <w:szCs w:val="22"/>
        </w:rPr>
        <w:t xml:space="preserve">, 16(2), pp. 157–158. Available at: </w:t>
      </w:r>
      <w:hyperlink r:id="rId27" w:tgtFrame="_blank" w:history="1">
        <w:r w:rsidRPr="00983CDF">
          <w:rPr>
            <w:rStyle w:val="Hyperlink"/>
            <w:rFonts w:ascii="Arial" w:eastAsiaTheme="majorEastAsia" w:hAnsi="Arial" w:cs="Arial"/>
            <w:color w:val="auto"/>
            <w:sz w:val="22"/>
            <w:szCs w:val="22"/>
          </w:rPr>
          <w:t>https://doi.org/10.1002/wps.20405</w:t>
        </w:r>
      </w:hyperlink>
      <w:r w:rsidRPr="00983CDF">
        <w:rPr>
          <w:rFonts w:ascii="Arial" w:hAnsi="Arial" w:cs="Arial"/>
          <w:sz w:val="22"/>
          <w:szCs w:val="22"/>
        </w:rPr>
        <w:t xml:space="preserve"> (Accessed: </w:t>
      </w:r>
      <w:r w:rsidR="005D6E87">
        <w:rPr>
          <w:rFonts w:ascii="Arial" w:hAnsi="Arial" w:cs="Arial"/>
          <w:sz w:val="22"/>
          <w:szCs w:val="22"/>
        </w:rPr>
        <w:t>11</w:t>
      </w:r>
      <w:r w:rsidRPr="00983CDF">
        <w:rPr>
          <w:rFonts w:ascii="Arial" w:hAnsi="Arial" w:cs="Arial"/>
          <w:sz w:val="22"/>
          <w:szCs w:val="22"/>
        </w:rPr>
        <w:t xml:space="preserve"> March 2026).</w:t>
      </w:r>
    </w:p>
    <w:p w14:paraId="67918BD0" w14:textId="5D0C067C" w:rsidR="005D257C" w:rsidRPr="00983CDF" w:rsidRDefault="005D257C" w:rsidP="00E052B2">
      <w:pPr>
        <w:pStyle w:val="NormalWeb"/>
        <w:rPr>
          <w:rFonts w:ascii="Arial" w:hAnsi="Arial" w:cs="Arial"/>
          <w:sz w:val="22"/>
          <w:szCs w:val="22"/>
        </w:rPr>
      </w:pPr>
      <w:r w:rsidRPr="00983CDF">
        <w:rPr>
          <w:rFonts w:ascii="Arial" w:hAnsi="Arial" w:cs="Arial"/>
          <w:b/>
          <w:bCs/>
          <w:sz w:val="22"/>
          <w:szCs w:val="22"/>
        </w:rPr>
        <w:t>Wildman, J. M., et al. (2019).</w:t>
      </w:r>
      <w:r w:rsidRPr="00983CDF">
        <w:rPr>
          <w:rFonts w:ascii="Arial" w:hAnsi="Arial" w:cs="Arial"/>
          <w:sz w:val="22"/>
          <w:szCs w:val="22"/>
        </w:rPr>
        <w:t xml:space="preserve"> </w:t>
      </w:r>
      <w:r w:rsidRPr="00983CDF">
        <w:rPr>
          <w:rFonts w:ascii="Arial" w:hAnsi="Arial" w:cs="Arial"/>
          <w:i/>
          <w:iCs/>
          <w:sz w:val="22"/>
          <w:szCs w:val="22"/>
        </w:rPr>
        <w:t>Social prescribing: A review of the UK evidence.</w:t>
      </w:r>
      <w:r w:rsidRPr="00983CDF">
        <w:rPr>
          <w:rFonts w:ascii="Arial" w:hAnsi="Arial" w:cs="Arial"/>
          <w:sz w:val="22"/>
          <w:szCs w:val="22"/>
        </w:rPr>
        <w:t xml:space="preserve"> Journal of Public Health.</w:t>
      </w:r>
    </w:p>
    <w:p w14:paraId="7E9B8002" w14:textId="7AD93BBF" w:rsidR="00E052B2" w:rsidRPr="00983CDF" w:rsidRDefault="00E052B2" w:rsidP="00E052B2">
      <w:pPr>
        <w:pStyle w:val="NormalWeb"/>
        <w:rPr>
          <w:rFonts w:ascii="Arial" w:hAnsi="Arial" w:cs="Arial"/>
          <w:sz w:val="22"/>
          <w:szCs w:val="22"/>
        </w:rPr>
      </w:pPr>
      <w:r w:rsidRPr="00983CDF">
        <w:rPr>
          <w:rFonts w:ascii="Arial" w:hAnsi="Arial" w:cs="Arial"/>
          <w:b/>
          <w:bCs/>
          <w:sz w:val="22"/>
          <w:szCs w:val="22"/>
        </w:rPr>
        <w:t>Woodall, J. et al. (2018)</w:t>
      </w:r>
      <w:r w:rsidRPr="00983CDF">
        <w:rPr>
          <w:rFonts w:ascii="Arial" w:hAnsi="Arial" w:cs="Arial"/>
          <w:sz w:val="22"/>
          <w:szCs w:val="22"/>
        </w:rPr>
        <w:t xml:space="preserve"> ‘The role of the social prescribing link worker in supporting young people: a qualitative study’, </w:t>
      </w:r>
      <w:r w:rsidRPr="00983CDF">
        <w:rPr>
          <w:rFonts w:ascii="Arial" w:hAnsi="Arial" w:cs="Arial"/>
          <w:i/>
          <w:iCs/>
          <w:sz w:val="22"/>
          <w:szCs w:val="22"/>
        </w:rPr>
        <w:t>Journal of Public Health</w:t>
      </w:r>
      <w:r w:rsidRPr="00983CDF">
        <w:rPr>
          <w:rFonts w:ascii="Arial" w:hAnsi="Arial" w:cs="Arial"/>
          <w:sz w:val="22"/>
          <w:szCs w:val="22"/>
        </w:rPr>
        <w:t xml:space="preserve">, 40(4), pp. e560–e567. Available at: </w:t>
      </w:r>
      <w:hyperlink r:id="rId28" w:tgtFrame="_blank" w:history="1">
        <w:r w:rsidRPr="00983CDF">
          <w:rPr>
            <w:rStyle w:val="Hyperlink"/>
            <w:rFonts w:ascii="Arial" w:eastAsiaTheme="majorEastAsia" w:hAnsi="Arial" w:cs="Arial"/>
            <w:color w:val="auto"/>
            <w:sz w:val="22"/>
            <w:szCs w:val="22"/>
          </w:rPr>
          <w:t>https://doi.org/10.1093/pubmed/fdy123</w:t>
        </w:r>
      </w:hyperlink>
      <w:r w:rsidRPr="00983CDF">
        <w:rPr>
          <w:rFonts w:ascii="Arial" w:hAnsi="Arial" w:cs="Arial"/>
          <w:sz w:val="22"/>
          <w:szCs w:val="22"/>
        </w:rPr>
        <w:t xml:space="preserve"> (Accessed: </w:t>
      </w:r>
      <w:r w:rsidR="002E2E50">
        <w:rPr>
          <w:rFonts w:ascii="Arial" w:hAnsi="Arial" w:cs="Arial"/>
          <w:sz w:val="22"/>
          <w:szCs w:val="22"/>
        </w:rPr>
        <w:t>13</w:t>
      </w:r>
      <w:r w:rsidRPr="00983CDF">
        <w:rPr>
          <w:rFonts w:ascii="Arial" w:hAnsi="Arial" w:cs="Arial"/>
          <w:sz w:val="22"/>
          <w:szCs w:val="22"/>
        </w:rPr>
        <w:t xml:space="preserve"> March 2026).</w:t>
      </w:r>
    </w:p>
    <w:p w14:paraId="31CC80A4" w14:textId="77777777" w:rsidR="006E6F40" w:rsidRDefault="006E6F40" w:rsidP="00FF5C23"/>
    <w:sectPr w:rsidR="006E6F40">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FD546" w14:textId="77777777" w:rsidR="004E7E8E" w:rsidRDefault="004E7E8E" w:rsidP="003A33B3">
      <w:pPr>
        <w:spacing w:after="0" w:line="240" w:lineRule="auto"/>
      </w:pPr>
      <w:r>
        <w:separator/>
      </w:r>
    </w:p>
  </w:endnote>
  <w:endnote w:type="continuationSeparator" w:id="0">
    <w:p w14:paraId="4A3F1B95" w14:textId="77777777" w:rsidR="004E7E8E" w:rsidRDefault="004E7E8E" w:rsidP="003A3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0421636"/>
      <w:docPartObj>
        <w:docPartGallery w:val="Page Numbers (Bottom of Page)"/>
        <w:docPartUnique/>
      </w:docPartObj>
    </w:sdtPr>
    <w:sdtEndPr>
      <w:rPr>
        <w:noProof/>
      </w:rPr>
    </w:sdtEndPr>
    <w:sdtContent>
      <w:p w14:paraId="308705EE" w14:textId="30A2D810" w:rsidR="006B1F86" w:rsidRDefault="006B1F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08FBF6" w14:textId="77777777" w:rsidR="003A33B3" w:rsidRDefault="003A3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F9462" w14:textId="77777777" w:rsidR="004E7E8E" w:rsidRDefault="004E7E8E" w:rsidP="003A33B3">
      <w:pPr>
        <w:spacing w:after="0" w:line="240" w:lineRule="auto"/>
      </w:pPr>
      <w:r>
        <w:separator/>
      </w:r>
    </w:p>
  </w:footnote>
  <w:footnote w:type="continuationSeparator" w:id="0">
    <w:p w14:paraId="43A579A7" w14:textId="77777777" w:rsidR="004E7E8E" w:rsidRDefault="004E7E8E" w:rsidP="003A33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36BEB"/>
    <w:multiLevelType w:val="hybridMultilevel"/>
    <w:tmpl w:val="B6A8C05E"/>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 w15:restartNumberingAfterBreak="0">
    <w:nsid w:val="466D16D8"/>
    <w:multiLevelType w:val="hybridMultilevel"/>
    <w:tmpl w:val="3206849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 w15:restartNumberingAfterBreak="0">
    <w:nsid w:val="481919D3"/>
    <w:multiLevelType w:val="hybridMultilevel"/>
    <w:tmpl w:val="DD988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F33B77"/>
    <w:multiLevelType w:val="hybridMultilevel"/>
    <w:tmpl w:val="2ED4B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3C3FC6"/>
    <w:multiLevelType w:val="hybridMultilevel"/>
    <w:tmpl w:val="92F09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5071D0"/>
    <w:multiLevelType w:val="hybridMultilevel"/>
    <w:tmpl w:val="286C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1E4D9B"/>
    <w:multiLevelType w:val="hybridMultilevel"/>
    <w:tmpl w:val="F5C6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3141002">
    <w:abstractNumId w:val="5"/>
  </w:num>
  <w:num w:numId="2" w16cid:durableId="1430809719">
    <w:abstractNumId w:val="4"/>
  </w:num>
  <w:num w:numId="3" w16cid:durableId="1344285857">
    <w:abstractNumId w:val="3"/>
  </w:num>
  <w:num w:numId="4" w16cid:durableId="919871795">
    <w:abstractNumId w:val="2"/>
  </w:num>
  <w:num w:numId="5" w16cid:durableId="1006976038">
    <w:abstractNumId w:val="1"/>
  </w:num>
  <w:num w:numId="6" w16cid:durableId="1895847131">
    <w:abstractNumId w:val="0"/>
  </w:num>
  <w:num w:numId="7" w16cid:durableId="6789699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FF6"/>
    <w:rsid w:val="00002E5E"/>
    <w:rsid w:val="000048CF"/>
    <w:rsid w:val="000075DA"/>
    <w:rsid w:val="00007CC9"/>
    <w:rsid w:val="00007FF6"/>
    <w:rsid w:val="00015E64"/>
    <w:rsid w:val="0003019D"/>
    <w:rsid w:val="000516A6"/>
    <w:rsid w:val="000566D5"/>
    <w:rsid w:val="000602A1"/>
    <w:rsid w:val="000620A0"/>
    <w:rsid w:val="00062C62"/>
    <w:rsid w:val="000662F5"/>
    <w:rsid w:val="0006704A"/>
    <w:rsid w:val="00072B1A"/>
    <w:rsid w:val="000736B7"/>
    <w:rsid w:val="000849EC"/>
    <w:rsid w:val="00084A17"/>
    <w:rsid w:val="00086DA6"/>
    <w:rsid w:val="00092234"/>
    <w:rsid w:val="0009382D"/>
    <w:rsid w:val="00093F98"/>
    <w:rsid w:val="000940AC"/>
    <w:rsid w:val="0009553B"/>
    <w:rsid w:val="000A6735"/>
    <w:rsid w:val="000B1265"/>
    <w:rsid w:val="000B6594"/>
    <w:rsid w:val="000B65DB"/>
    <w:rsid w:val="000D77B7"/>
    <w:rsid w:val="000F1E21"/>
    <w:rsid w:val="00103DBB"/>
    <w:rsid w:val="0010728B"/>
    <w:rsid w:val="00124FAB"/>
    <w:rsid w:val="00126FC0"/>
    <w:rsid w:val="00132F00"/>
    <w:rsid w:val="0013300D"/>
    <w:rsid w:val="00152A41"/>
    <w:rsid w:val="00155283"/>
    <w:rsid w:val="00164681"/>
    <w:rsid w:val="00181455"/>
    <w:rsid w:val="0018230E"/>
    <w:rsid w:val="001B4AD6"/>
    <w:rsid w:val="001C2299"/>
    <w:rsid w:val="001C2949"/>
    <w:rsid w:val="001D2F57"/>
    <w:rsid w:val="001F73CA"/>
    <w:rsid w:val="002050DA"/>
    <w:rsid w:val="002109AB"/>
    <w:rsid w:val="00212B36"/>
    <w:rsid w:val="002146CE"/>
    <w:rsid w:val="0022100F"/>
    <w:rsid w:val="00224550"/>
    <w:rsid w:val="00236F38"/>
    <w:rsid w:val="00244A87"/>
    <w:rsid w:val="002455E2"/>
    <w:rsid w:val="0025221D"/>
    <w:rsid w:val="00255DAE"/>
    <w:rsid w:val="00256623"/>
    <w:rsid w:val="00257896"/>
    <w:rsid w:val="002641A0"/>
    <w:rsid w:val="00271163"/>
    <w:rsid w:val="00274304"/>
    <w:rsid w:val="00274923"/>
    <w:rsid w:val="00276051"/>
    <w:rsid w:val="00276411"/>
    <w:rsid w:val="00293DCD"/>
    <w:rsid w:val="00294057"/>
    <w:rsid w:val="00297772"/>
    <w:rsid w:val="002B5B6D"/>
    <w:rsid w:val="002E0263"/>
    <w:rsid w:val="002E2E50"/>
    <w:rsid w:val="002E3B65"/>
    <w:rsid w:val="002E3E84"/>
    <w:rsid w:val="00301C5A"/>
    <w:rsid w:val="00325738"/>
    <w:rsid w:val="00336CC3"/>
    <w:rsid w:val="0033743F"/>
    <w:rsid w:val="00350DB7"/>
    <w:rsid w:val="00370DE2"/>
    <w:rsid w:val="00381431"/>
    <w:rsid w:val="003855F1"/>
    <w:rsid w:val="003A33B3"/>
    <w:rsid w:val="003B09D6"/>
    <w:rsid w:val="003B3C13"/>
    <w:rsid w:val="003C54F3"/>
    <w:rsid w:val="003D24BA"/>
    <w:rsid w:val="003D35B4"/>
    <w:rsid w:val="003E3A82"/>
    <w:rsid w:val="003F2E41"/>
    <w:rsid w:val="00410AD8"/>
    <w:rsid w:val="004129CD"/>
    <w:rsid w:val="00416982"/>
    <w:rsid w:val="004264A3"/>
    <w:rsid w:val="004412C0"/>
    <w:rsid w:val="004512D8"/>
    <w:rsid w:val="0045695C"/>
    <w:rsid w:val="00460C34"/>
    <w:rsid w:val="00475FFA"/>
    <w:rsid w:val="00476545"/>
    <w:rsid w:val="00476C7B"/>
    <w:rsid w:val="00481E9D"/>
    <w:rsid w:val="0048713C"/>
    <w:rsid w:val="00496A36"/>
    <w:rsid w:val="004A2FB3"/>
    <w:rsid w:val="004A75FC"/>
    <w:rsid w:val="004B5047"/>
    <w:rsid w:val="004C2131"/>
    <w:rsid w:val="004C2E18"/>
    <w:rsid w:val="004C5AF0"/>
    <w:rsid w:val="004D0E4C"/>
    <w:rsid w:val="004D46D1"/>
    <w:rsid w:val="004E46AB"/>
    <w:rsid w:val="004E6E4D"/>
    <w:rsid w:val="004E7A21"/>
    <w:rsid w:val="004E7E8E"/>
    <w:rsid w:val="004F5F5F"/>
    <w:rsid w:val="004F7682"/>
    <w:rsid w:val="004F7703"/>
    <w:rsid w:val="00504901"/>
    <w:rsid w:val="00510F15"/>
    <w:rsid w:val="00516159"/>
    <w:rsid w:val="00543464"/>
    <w:rsid w:val="00551317"/>
    <w:rsid w:val="00554373"/>
    <w:rsid w:val="00573CF5"/>
    <w:rsid w:val="00596DC0"/>
    <w:rsid w:val="00596F54"/>
    <w:rsid w:val="005A75C4"/>
    <w:rsid w:val="005A7E2C"/>
    <w:rsid w:val="005B2D7C"/>
    <w:rsid w:val="005B6241"/>
    <w:rsid w:val="005B64A0"/>
    <w:rsid w:val="005B6D87"/>
    <w:rsid w:val="005B7BC9"/>
    <w:rsid w:val="005D257C"/>
    <w:rsid w:val="005D6E87"/>
    <w:rsid w:val="005E2C0B"/>
    <w:rsid w:val="006035DB"/>
    <w:rsid w:val="006066F1"/>
    <w:rsid w:val="00634C2D"/>
    <w:rsid w:val="00640EB8"/>
    <w:rsid w:val="00667036"/>
    <w:rsid w:val="0067214E"/>
    <w:rsid w:val="00672FB3"/>
    <w:rsid w:val="00673E40"/>
    <w:rsid w:val="00685AC8"/>
    <w:rsid w:val="006927BD"/>
    <w:rsid w:val="006A7F3E"/>
    <w:rsid w:val="006B00D0"/>
    <w:rsid w:val="006B1F86"/>
    <w:rsid w:val="006C1109"/>
    <w:rsid w:val="006C439B"/>
    <w:rsid w:val="006C4A67"/>
    <w:rsid w:val="006C500B"/>
    <w:rsid w:val="006C6DBC"/>
    <w:rsid w:val="006D38FA"/>
    <w:rsid w:val="006D4F37"/>
    <w:rsid w:val="006D634B"/>
    <w:rsid w:val="006D6AAC"/>
    <w:rsid w:val="006E1190"/>
    <w:rsid w:val="006E1C3E"/>
    <w:rsid w:val="006E6F40"/>
    <w:rsid w:val="006E7839"/>
    <w:rsid w:val="00704808"/>
    <w:rsid w:val="00724377"/>
    <w:rsid w:val="007255E4"/>
    <w:rsid w:val="0073130C"/>
    <w:rsid w:val="00736A6D"/>
    <w:rsid w:val="00743C1E"/>
    <w:rsid w:val="00762362"/>
    <w:rsid w:val="00772125"/>
    <w:rsid w:val="007813B7"/>
    <w:rsid w:val="00785CD5"/>
    <w:rsid w:val="007909F5"/>
    <w:rsid w:val="00795CD5"/>
    <w:rsid w:val="007A170C"/>
    <w:rsid w:val="007A5FF3"/>
    <w:rsid w:val="007A66CB"/>
    <w:rsid w:val="007B7AB9"/>
    <w:rsid w:val="007C1B63"/>
    <w:rsid w:val="007D3AE1"/>
    <w:rsid w:val="007D3C2D"/>
    <w:rsid w:val="007D3E38"/>
    <w:rsid w:val="007D684C"/>
    <w:rsid w:val="007E3286"/>
    <w:rsid w:val="007E4C37"/>
    <w:rsid w:val="007F0951"/>
    <w:rsid w:val="0080124A"/>
    <w:rsid w:val="00802BEC"/>
    <w:rsid w:val="00805F7E"/>
    <w:rsid w:val="00806ED8"/>
    <w:rsid w:val="008072AC"/>
    <w:rsid w:val="00814FC3"/>
    <w:rsid w:val="00820BE3"/>
    <w:rsid w:val="00820C6C"/>
    <w:rsid w:val="0082275E"/>
    <w:rsid w:val="0082285B"/>
    <w:rsid w:val="00825AD1"/>
    <w:rsid w:val="00830C46"/>
    <w:rsid w:val="00847A5D"/>
    <w:rsid w:val="00851F02"/>
    <w:rsid w:val="0085423A"/>
    <w:rsid w:val="0085519D"/>
    <w:rsid w:val="00855676"/>
    <w:rsid w:val="00856E53"/>
    <w:rsid w:val="008700EB"/>
    <w:rsid w:val="00883FC3"/>
    <w:rsid w:val="00892163"/>
    <w:rsid w:val="008926E5"/>
    <w:rsid w:val="00896419"/>
    <w:rsid w:val="008966F8"/>
    <w:rsid w:val="008B41F8"/>
    <w:rsid w:val="008E16E7"/>
    <w:rsid w:val="0090530C"/>
    <w:rsid w:val="009104DB"/>
    <w:rsid w:val="0091691D"/>
    <w:rsid w:val="00931118"/>
    <w:rsid w:val="00933E6A"/>
    <w:rsid w:val="009425D8"/>
    <w:rsid w:val="00947AFB"/>
    <w:rsid w:val="00950356"/>
    <w:rsid w:val="00952AC0"/>
    <w:rsid w:val="009531E8"/>
    <w:rsid w:val="0096022F"/>
    <w:rsid w:val="00965994"/>
    <w:rsid w:val="00980575"/>
    <w:rsid w:val="00983CDF"/>
    <w:rsid w:val="0098739D"/>
    <w:rsid w:val="009A254F"/>
    <w:rsid w:val="009B68BE"/>
    <w:rsid w:val="009E2789"/>
    <w:rsid w:val="009E2981"/>
    <w:rsid w:val="009F0A05"/>
    <w:rsid w:val="009F6703"/>
    <w:rsid w:val="00A066FB"/>
    <w:rsid w:val="00A14854"/>
    <w:rsid w:val="00A21609"/>
    <w:rsid w:val="00A36B28"/>
    <w:rsid w:val="00A611CC"/>
    <w:rsid w:val="00A64571"/>
    <w:rsid w:val="00A66048"/>
    <w:rsid w:val="00A80FC2"/>
    <w:rsid w:val="00A84143"/>
    <w:rsid w:val="00A91512"/>
    <w:rsid w:val="00AB4A34"/>
    <w:rsid w:val="00AB654C"/>
    <w:rsid w:val="00AB7DAC"/>
    <w:rsid w:val="00AC58EF"/>
    <w:rsid w:val="00AF71F0"/>
    <w:rsid w:val="00B06D91"/>
    <w:rsid w:val="00B07EEB"/>
    <w:rsid w:val="00B10A80"/>
    <w:rsid w:val="00B544B3"/>
    <w:rsid w:val="00B57922"/>
    <w:rsid w:val="00B862CF"/>
    <w:rsid w:val="00B930F6"/>
    <w:rsid w:val="00BA38F2"/>
    <w:rsid w:val="00BC5EAA"/>
    <w:rsid w:val="00BD058D"/>
    <w:rsid w:val="00BD3051"/>
    <w:rsid w:val="00BD574F"/>
    <w:rsid w:val="00BE1400"/>
    <w:rsid w:val="00BE4FB9"/>
    <w:rsid w:val="00BF03DE"/>
    <w:rsid w:val="00BF3D99"/>
    <w:rsid w:val="00C17953"/>
    <w:rsid w:val="00C33FC3"/>
    <w:rsid w:val="00C3776E"/>
    <w:rsid w:val="00C533DA"/>
    <w:rsid w:val="00C55946"/>
    <w:rsid w:val="00C61C96"/>
    <w:rsid w:val="00C70183"/>
    <w:rsid w:val="00C750AD"/>
    <w:rsid w:val="00C83F64"/>
    <w:rsid w:val="00C840B3"/>
    <w:rsid w:val="00C913AD"/>
    <w:rsid w:val="00C92435"/>
    <w:rsid w:val="00C93026"/>
    <w:rsid w:val="00C977E8"/>
    <w:rsid w:val="00C97A14"/>
    <w:rsid w:val="00CA4211"/>
    <w:rsid w:val="00CB5D17"/>
    <w:rsid w:val="00CD1057"/>
    <w:rsid w:val="00CD1978"/>
    <w:rsid w:val="00CD2011"/>
    <w:rsid w:val="00CD5539"/>
    <w:rsid w:val="00CE2AB5"/>
    <w:rsid w:val="00CE354A"/>
    <w:rsid w:val="00CF065B"/>
    <w:rsid w:val="00CF3C3E"/>
    <w:rsid w:val="00CF6BDA"/>
    <w:rsid w:val="00D11813"/>
    <w:rsid w:val="00D1276F"/>
    <w:rsid w:val="00D12BD4"/>
    <w:rsid w:val="00D30379"/>
    <w:rsid w:val="00D33140"/>
    <w:rsid w:val="00D33450"/>
    <w:rsid w:val="00D35457"/>
    <w:rsid w:val="00D6223E"/>
    <w:rsid w:val="00D66E21"/>
    <w:rsid w:val="00D717B1"/>
    <w:rsid w:val="00D726B9"/>
    <w:rsid w:val="00D759D9"/>
    <w:rsid w:val="00D86DEB"/>
    <w:rsid w:val="00D9022F"/>
    <w:rsid w:val="00D93161"/>
    <w:rsid w:val="00DB2351"/>
    <w:rsid w:val="00DB324B"/>
    <w:rsid w:val="00DC5B38"/>
    <w:rsid w:val="00DC7351"/>
    <w:rsid w:val="00DD1CD2"/>
    <w:rsid w:val="00DD7825"/>
    <w:rsid w:val="00DE3CAB"/>
    <w:rsid w:val="00DF2B7C"/>
    <w:rsid w:val="00E052B2"/>
    <w:rsid w:val="00E05DE1"/>
    <w:rsid w:val="00E15606"/>
    <w:rsid w:val="00E15FE5"/>
    <w:rsid w:val="00E162CF"/>
    <w:rsid w:val="00E64E06"/>
    <w:rsid w:val="00E6538E"/>
    <w:rsid w:val="00E66218"/>
    <w:rsid w:val="00E76103"/>
    <w:rsid w:val="00E77A77"/>
    <w:rsid w:val="00E834DC"/>
    <w:rsid w:val="00E90525"/>
    <w:rsid w:val="00EA18C9"/>
    <w:rsid w:val="00EB309D"/>
    <w:rsid w:val="00ED4DDA"/>
    <w:rsid w:val="00EE4F7A"/>
    <w:rsid w:val="00EE7F81"/>
    <w:rsid w:val="00EF5128"/>
    <w:rsid w:val="00EF7864"/>
    <w:rsid w:val="00F02FAB"/>
    <w:rsid w:val="00F24FB1"/>
    <w:rsid w:val="00F347DB"/>
    <w:rsid w:val="00F43F73"/>
    <w:rsid w:val="00F55BC5"/>
    <w:rsid w:val="00F63284"/>
    <w:rsid w:val="00F75E61"/>
    <w:rsid w:val="00F83BC2"/>
    <w:rsid w:val="00F9398E"/>
    <w:rsid w:val="00F94266"/>
    <w:rsid w:val="00F94DE2"/>
    <w:rsid w:val="00F95AB8"/>
    <w:rsid w:val="00FA1667"/>
    <w:rsid w:val="00FA702C"/>
    <w:rsid w:val="00FB09CC"/>
    <w:rsid w:val="00FB29B1"/>
    <w:rsid w:val="00FB2FA8"/>
    <w:rsid w:val="00FC273A"/>
    <w:rsid w:val="00FC4BDF"/>
    <w:rsid w:val="00FD690E"/>
    <w:rsid w:val="00FE2E99"/>
    <w:rsid w:val="00FF2B12"/>
    <w:rsid w:val="00FF5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BBFA5"/>
  <w15:chartTrackingRefBased/>
  <w15:docId w15:val="{D5F53851-5867-4B76-AB1A-9B1840242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FF6"/>
  </w:style>
  <w:style w:type="paragraph" w:styleId="Heading1">
    <w:name w:val="heading 1"/>
    <w:basedOn w:val="Normal"/>
    <w:next w:val="Normal"/>
    <w:link w:val="Heading1Char"/>
    <w:uiPriority w:val="9"/>
    <w:qFormat/>
    <w:rsid w:val="00007F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F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F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F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F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F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F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F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F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F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F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F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F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F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F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F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F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FF6"/>
    <w:rPr>
      <w:rFonts w:eastAsiaTheme="majorEastAsia" w:cstheme="majorBidi"/>
      <w:color w:val="272727" w:themeColor="text1" w:themeTint="D8"/>
    </w:rPr>
  </w:style>
  <w:style w:type="paragraph" w:styleId="Title">
    <w:name w:val="Title"/>
    <w:basedOn w:val="Normal"/>
    <w:next w:val="Normal"/>
    <w:link w:val="TitleChar"/>
    <w:uiPriority w:val="10"/>
    <w:qFormat/>
    <w:rsid w:val="00007F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F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F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F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FF6"/>
    <w:pPr>
      <w:spacing w:before="160"/>
      <w:jc w:val="center"/>
    </w:pPr>
    <w:rPr>
      <w:i/>
      <w:iCs/>
      <w:color w:val="404040" w:themeColor="text1" w:themeTint="BF"/>
    </w:rPr>
  </w:style>
  <w:style w:type="character" w:customStyle="1" w:styleId="QuoteChar">
    <w:name w:val="Quote Char"/>
    <w:basedOn w:val="DefaultParagraphFont"/>
    <w:link w:val="Quote"/>
    <w:uiPriority w:val="29"/>
    <w:rsid w:val="00007FF6"/>
    <w:rPr>
      <w:i/>
      <w:iCs/>
      <w:color w:val="404040" w:themeColor="text1" w:themeTint="BF"/>
    </w:rPr>
  </w:style>
  <w:style w:type="paragraph" w:styleId="ListParagraph">
    <w:name w:val="List Paragraph"/>
    <w:basedOn w:val="Normal"/>
    <w:uiPriority w:val="34"/>
    <w:qFormat/>
    <w:rsid w:val="00007FF6"/>
    <w:pPr>
      <w:ind w:left="720"/>
      <w:contextualSpacing/>
    </w:pPr>
  </w:style>
  <w:style w:type="character" w:styleId="IntenseEmphasis">
    <w:name w:val="Intense Emphasis"/>
    <w:basedOn w:val="DefaultParagraphFont"/>
    <w:uiPriority w:val="21"/>
    <w:qFormat/>
    <w:rsid w:val="00007FF6"/>
    <w:rPr>
      <w:i/>
      <w:iCs/>
      <w:color w:val="0F4761" w:themeColor="accent1" w:themeShade="BF"/>
    </w:rPr>
  </w:style>
  <w:style w:type="paragraph" w:styleId="IntenseQuote">
    <w:name w:val="Intense Quote"/>
    <w:basedOn w:val="Normal"/>
    <w:next w:val="Normal"/>
    <w:link w:val="IntenseQuoteChar"/>
    <w:uiPriority w:val="30"/>
    <w:qFormat/>
    <w:rsid w:val="00007F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FF6"/>
    <w:rPr>
      <w:i/>
      <w:iCs/>
      <w:color w:val="0F4761" w:themeColor="accent1" w:themeShade="BF"/>
    </w:rPr>
  </w:style>
  <w:style w:type="character" w:styleId="IntenseReference">
    <w:name w:val="Intense Reference"/>
    <w:basedOn w:val="DefaultParagraphFont"/>
    <w:uiPriority w:val="32"/>
    <w:qFormat/>
    <w:rsid w:val="00007FF6"/>
    <w:rPr>
      <w:b/>
      <w:bCs/>
      <w:smallCaps/>
      <w:color w:val="0F4761" w:themeColor="accent1" w:themeShade="BF"/>
      <w:spacing w:val="5"/>
    </w:rPr>
  </w:style>
  <w:style w:type="paragraph" w:styleId="Header">
    <w:name w:val="header"/>
    <w:basedOn w:val="Normal"/>
    <w:link w:val="HeaderChar"/>
    <w:uiPriority w:val="99"/>
    <w:unhideWhenUsed/>
    <w:rsid w:val="003A3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3B3"/>
  </w:style>
  <w:style w:type="paragraph" w:styleId="Footer">
    <w:name w:val="footer"/>
    <w:basedOn w:val="Normal"/>
    <w:link w:val="FooterChar"/>
    <w:uiPriority w:val="99"/>
    <w:unhideWhenUsed/>
    <w:rsid w:val="003A3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3B3"/>
  </w:style>
  <w:style w:type="table" w:styleId="TableGrid">
    <w:name w:val="Table Grid"/>
    <w:basedOn w:val="TableNormal"/>
    <w:uiPriority w:val="39"/>
    <w:rsid w:val="00C913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96F5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96F5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6E6F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072B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ogle.com/search?q=https://doi.org/10.1111/jcpp.13512" TargetMode="External"/><Relationship Id="rId18" Type="http://schemas.openxmlformats.org/officeDocument/2006/relationships/hyperlink" Target="https://www.instituteofhealthequity.org/resources-reports/marmot-review-10-years-on" TargetMode="External"/><Relationship Id="rId26" Type="http://schemas.openxmlformats.org/officeDocument/2006/relationships/hyperlink" Target="https://doi.org/10.1016/S2352-4642(19)30186-5" TargetMode="External"/><Relationship Id="rId3" Type="http://schemas.openxmlformats.org/officeDocument/2006/relationships/customXml" Target="../customXml/item3.xml"/><Relationship Id="rId21" Type="http://schemas.openxmlformats.org/officeDocument/2006/relationships/hyperlink" Target="https://doi.org/10.1136/bmj.n71" TargetMode="External"/><Relationship Id="rId7" Type="http://schemas.openxmlformats.org/officeDocument/2006/relationships/webSettings" Target="webSettings.xml"/><Relationship Id="rId12" Type="http://schemas.openxmlformats.org/officeDocument/2006/relationships/hyperlink" Target="https://www.google.com/search?q=https://doi.org/10.1191/1478088706qp063oa" TargetMode="External"/><Relationship Id="rId17" Type="http://schemas.openxmlformats.org/officeDocument/2006/relationships/hyperlink" Target="https://doi.org/10.1016/j.puhe.2022.10.012" TargetMode="External"/><Relationship Id="rId25" Type="http://schemas.openxmlformats.org/officeDocument/2006/relationships/hyperlink" Target="https://www.google.com/search?q=https://doi.org/10.1111/hsc.12984" TargetMode="External"/><Relationship Id="rId2" Type="http://schemas.openxmlformats.org/officeDocument/2006/relationships/customXml" Target="../customXml/item2.xml"/><Relationship Id="rId16" Type="http://schemas.openxmlformats.org/officeDocument/2006/relationships/hyperlink" Target="https://www.google.com/search?q=https://doi.org/10.3389/fpsyt.2023.114562" TargetMode="External"/><Relationship Id="rId20" Type="http://schemas.openxmlformats.org/officeDocument/2006/relationships/hyperlink" Target="https://www.google.com/search?q=https://doi.org/10.1080/14780887.2024.22011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search?q=https://doi.org/10.1007/s44155-024-00062-x" TargetMode="External"/><Relationship Id="rId24" Type="http://schemas.openxmlformats.org/officeDocument/2006/relationships/hyperlink" Target="https://www.google.com/search?q=https://doi.org/10.1177/0044118X24123456" TargetMode="External"/><Relationship Id="rId5" Type="http://schemas.openxmlformats.org/officeDocument/2006/relationships/styles" Target="styles.xml"/><Relationship Id="rId15" Type="http://schemas.openxmlformats.org/officeDocument/2006/relationships/hyperlink" Target="https://www.google.com/search?q=https://hdl.handle.net/10281/421556" TargetMode="External"/><Relationship Id="rId23" Type="http://schemas.openxmlformats.org/officeDocument/2006/relationships/hyperlink" Target="https://www.google.com/search?q=https://westminsterresearch.westminster.ac.uk/item/q1v77/a-review-of-the-evidence-for-social-prescribing" TargetMode="External"/><Relationship Id="rId28" Type="http://schemas.openxmlformats.org/officeDocument/2006/relationships/hyperlink" Target="https://www.google.com/search?q=https://doi.org/10.1093/pubmed/fdy123" TargetMode="External"/><Relationship Id="rId10" Type="http://schemas.openxmlformats.org/officeDocument/2006/relationships/image" Target="media/image1.png"/><Relationship Id="rId19" Type="http://schemas.openxmlformats.org/officeDocument/2006/relationships/hyperlink" Target="https://www.longtermplan.nhs.uk/publication/nhs-long-term-plan/"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m/search?q=https://bmjopen.bmj.com/content/13/2/e068132" TargetMode="External"/><Relationship Id="rId22" Type="http://schemas.openxmlformats.org/officeDocument/2006/relationships/hyperlink" Target="https://jbi-global-wiki.refined.site/space/MANUAL" TargetMode="External"/><Relationship Id="rId27" Type="http://schemas.openxmlformats.org/officeDocument/2006/relationships/hyperlink" Target="https://www.google.com/search?q=https://doi.org/10.1002/wps.2040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2" ma:contentTypeDescription="Create a new document." ma:contentTypeScope="" ma:versionID="139bf1d4e6e6f02805a90d7126cd9cfa">
  <xsd:schema xmlns:xsd="http://www.w3.org/2001/XMLSchema" xmlns:xs="http://www.w3.org/2001/XMLSchema" xmlns:p="http://schemas.microsoft.com/office/2006/metadata/properties" xmlns:ns3="6642d537-5170-4cd9-a3f2-9ec198ee3eac" targetNamespace="http://schemas.microsoft.com/office/2006/metadata/properties" ma:root="true" ma:fieldsID="d141eafac75bad00fe925901508014e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5FC378-A63B-4AD6-97D5-64A14B386F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8719C0-E709-46F0-8140-C33F02BC3EAF}">
  <ds:schemaRefs>
    <ds:schemaRef ds:uri="http://schemas.microsoft.com/office/2006/metadata/properties"/>
    <ds:schemaRef ds:uri="http://schemas.microsoft.com/office/infopath/2007/PartnerControls"/>
    <ds:schemaRef ds:uri="6642d537-5170-4cd9-a3f2-9ec198ee3eac"/>
  </ds:schemaRefs>
</ds:datastoreItem>
</file>

<file path=customXml/itemProps3.xml><?xml version="1.0" encoding="utf-8"?>
<ds:datastoreItem xmlns:ds="http://schemas.openxmlformats.org/officeDocument/2006/customXml" ds:itemID="{FFAE947E-4E6C-4F88-9682-267248822B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4544</Words>
  <Characters>25904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Susannah Moriarty (2331924)</dc:creator>
  <cp:keywords/>
  <dc:description/>
  <cp:lastModifiedBy>Susannah Moriarty (2331924)</cp:lastModifiedBy>
  <cp:revision>17</cp:revision>
  <dcterms:created xsi:type="dcterms:W3CDTF">2026-03-29T04:26:00Z</dcterms:created>
  <dcterms:modified xsi:type="dcterms:W3CDTF">2026-03-29T04:49:00Z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