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9F26C" w14:textId="2F5F8063" w:rsidR="00AA73C3" w:rsidRDefault="006A33F6" w:rsidP="00AA73C3">
      <w:pPr>
        <w:spacing w:line="360" w:lineRule="auto"/>
        <w:jc w:val="center"/>
        <w:rPr>
          <w:rFonts w:ascii="Times New Roman" w:hAnsi="Times New Roman" w:cs="Times New Roman"/>
          <w:b/>
          <w:bCs/>
          <w:sz w:val="44"/>
          <w:szCs w:val="44"/>
        </w:rPr>
      </w:pPr>
      <w:r>
        <w:rPr>
          <w:rFonts w:ascii="Times New Roman" w:hAnsi="Times New Roman" w:cs="Times New Roman"/>
          <w:b/>
          <w:bCs/>
          <w:noProof/>
          <w:sz w:val="44"/>
          <w:szCs w:val="44"/>
        </w:rPr>
        <w:drawing>
          <wp:inline distT="0" distB="0" distL="0" distR="0" wp14:anchorId="7DCD3220" wp14:editId="2B288940">
            <wp:extent cx="5947200" cy="2973600"/>
            <wp:effectExtent l="0" t="0" r="0" b="0"/>
            <wp:docPr id="1" name="Picture 1" descr="A logo with a shield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
                    <pic:cNvPicPr/>
                  </pic:nvPicPr>
                  <pic:blipFill>
                    <a:blip r:embed="rId8">
                      <a:extLst>
                        <a:ext uri="{28A0092B-C50C-407E-A947-70E740481C1C}">
                          <a14:useLocalDpi xmlns:a14="http://schemas.microsoft.com/office/drawing/2010/main" val="0"/>
                        </a:ext>
                      </a:extLst>
                    </a:blip>
                    <a:stretch>
                      <a:fillRect/>
                    </a:stretch>
                  </pic:blipFill>
                  <pic:spPr>
                    <a:xfrm>
                      <a:off x="0" y="0"/>
                      <a:ext cx="5947200" cy="2973600"/>
                    </a:xfrm>
                    <a:prstGeom prst="rect">
                      <a:avLst/>
                    </a:prstGeom>
                  </pic:spPr>
                </pic:pic>
              </a:graphicData>
            </a:graphic>
          </wp:inline>
        </w:drawing>
      </w:r>
    </w:p>
    <w:p w14:paraId="2C26793C" w14:textId="57EC01C2" w:rsidR="000156DE" w:rsidRDefault="006A33F6" w:rsidP="006A33F6">
      <w:pPr>
        <w:spacing w:line="360" w:lineRule="auto"/>
        <w:rPr>
          <w:rFonts w:ascii="Times New Roman" w:hAnsi="Times New Roman" w:cs="Times New Roman"/>
          <w:b/>
          <w:bCs/>
          <w:sz w:val="44"/>
          <w:szCs w:val="44"/>
        </w:rPr>
      </w:pPr>
      <w:r>
        <w:rPr>
          <w:rFonts w:ascii="Times New Roman" w:hAnsi="Times New Roman" w:cs="Times New Roman"/>
          <w:b/>
          <w:bCs/>
          <w:sz w:val="44"/>
          <w:szCs w:val="44"/>
        </w:rPr>
        <w:t xml:space="preserve">       </w:t>
      </w:r>
      <w:r w:rsidR="000156DE" w:rsidRPr="00AA73C3">
        <w:rPr>
          <w:rFonts w:ascii="Times New Roman" w:hAnsi="Times New Roman" w:cs="Times New Roman"/>
          <w:b/>
          <w:bCs/>
          <w:sz w:val="44"/>
          <w:szCs w:val="44"/>
        </w:rPr>
        <w:t>Halfords PLC Strategic Expansion in Spain</w:t>
      </w:r>
    </w:p>
    <w:p w14:paraId="37962C64" w14:textId="77777777" w:rsidR="006A33F6" w:rsidRDefault="006A33F6" w:rsidP="006A33F6">
      <w:pPr>
        <w:spacing w:line="360" w:lineRule="auto"/>
        <w:rPr>
          <w:rFonts w:ascii="Times New Roman" w:hAnsi="Times New Roman" w:cs="Times New Roman"/>
          <w:b/>
          <w:bCs/>
          <w:sz w:val="44"/>
          <w:szCs w:val="44"/>
        </w:rPr>
      </w:pPr>
    </w:p>
    <w:p w14:paraId="6B0E27AC" w14:textId="047168A0" w:rsidR="006A33F6" w:rsidRDefault="0080759E" w:rsidP="006A33F6">
      <w:pPr>
        <w:spacing w:line="360" w:lineRule="auto"/>
        <w:rPr>
          <w:rFonts w:ascii="Times New Roman" w:hAnsi="Times New Roman" w:cs="Times New Roman"/>
          <w:b/>
          <w:bCs/>
          <w:sz w:val="44"/>
          <w:szCs w:val="44"/>
        </w:rPr>
      </w:pPr>
      <w:r>
        <w:rPr>
          <w:rFonts w:ascii="Times New Roman" w:hAnsi="Times New Roman" w:cs="Times New Roman"/>
          <w:b/>
          <w:bCs/>
          <w:sz w:val="44"/>
          <w:szCs w:val="44"/>
        </w:rPr>
        <w:t xml:space="preserve">       </w:t>
      </w:r>
      <w:r w:rsidR="006A33F6">
        <w:rPr>
          <w:rFonts w:ascii="Times New Roman" w:hAnsi="Times New Roman" w:cs="Times New Roman"/>
          <w:b/>
          <w:bCs/>
          <w:sz w:val="44"/>
          <w:szCs w:val="44"/>
        </w:rPr>
        <w:t>Module Name:</w:t>
      </w:r>
      <w:r>
        <w:rPr>
          <w:rFonts w:ascii="Times New Roman" w:hAnsi="Times New Roman" w:cs="Times New Roman"/>
          <w:b/>
          <w:bCs/>
          <w:sz w:val="44"/>
          <w:szCs w:val="44"/>
        </w:rPr>
        <w:t xml:space="preserve"> Strategic Management</w:t>
      </w:r>
    </w:p>
    <w:p w14:paraId="03132EAE" w14:textId="786E1FA6" w:rsidR="006A33F6" w:rsidRDefault="0080759E" w:rsidP="006A33F6">
      <w:pPr>
        <w:spacing w:line="360" w:lineRule="auto"/>
        <w:rPr>
          <w:rFonts w:ascii="Times New Roman" w:hAnsi="Times New Roman" w:cs="Times New Roman"/>
          <w:b/>
          <w:bCs/>
          <w:sz w:val="44"/>
          <w:szCs w:val="44"/>
        </w:rPr>
      </w:pPr>
      <w:r>
        <w:rPr>
          <w:rFonts w:ascii="Times New Roman" w:hAnsi="Times New Roman" w:cs="Times New Roman"/>
          <w:b/>
          <w:bCs/>
          <w:sz w:val="44"/>
          <w:szCs w:val="44"/>
        </w:rPr>
        <w:t xml:space="preserve">       </w:t>
      </w:r>
      <w:r w:rsidR="006A33F6">
        <w:rPr>
          <w:rFonts w:ascii="Times New Roman" w:hAnsi="Times New Roman" w:cs="Times New Roman"/>
          <w:b/>
          <w:bCs/>
          <w:sz w:val="44"/>
          <w:szCs w:val="44"/>
        </w:rPr>
        <w:t>Module Code:</w:t>
      </w:r>
      <w:r>
        <w:rPr>
          <w:rFonts w:ascii="Times New Roman" w:hAnsi="Times New Roman" w:cs="Times New Roman"/>
          <w:b/>
          <w:bCs/>
          <w:sz w:val="44"/>
          <w:szCs w:val="44"/>
        </w:rPr>
        <w:t xml:space="preserve"> LCMB7003</w:t>
      </w:r>
    </w:p>
    <w:p w14:paraId="22841E65" w14:textId="2D6708C6" w:rsidR="006A33F6" w:rsidRDefault="0080759E" w:rsidP="006A33F6">
      <w:pPr>
        <w:spacing w:line="360" w:lineRule="auto"/>
        <w:rPr>
          <w:rFonts w:ascii="Times New Roman" w:hAnsi="Times New Roman" w:cs="Times New Roman"/>
          <w:b/>
          <w:bCs/>
          <w:sz w:val="44"/>
          <w:szCs w:val="44"/>
        </w:rPr>
      </w:pPr>
      <w:r>
        <w:rPr>
          <w:rFonts w:ascii="Times New Roman" w:hAnsi="Times New Roman" w:cs="Times New Roman"/>
          <w:b/>
          <w:bCs/>
          <w:sz w:val="44"/>
          <w:szCs w:val="44"/>
        </w:rPr>
        <w:t xml:space="preserve">       </w:t>
      </w:r>
      <w:r w:rsidR="00EC2810">
        <w:rPr>
          <w:rFonts w:ascii="Times New Roman" w:hAnsi="Times New Roman" w:cs="Times New Roman"/>
          <w:b/>
          <w:bCs/>
          <w:sz w:val="44"/>
          <w:szCs w:val="44"/>
        </w:rPr>
        <w:t xml:space="preserve"> </w:t>
      </w:r>
      <w:r w:rsidR="006A33F6">
        <w:rPr>
          <w:rFonts w:ascii="Times New Roman" w:hAnsi="Times New Roman" w:cs="Times New Roman"/>
          <w:b/>
          <w:bCs/>
          <w:sz w:val="44"/>
          <w:szCs w:val="44"/>
        </w:rPr>
        <w:t>Student Name:</w:t>
      </w:r>
      <w:r>
        <w:rPr>
          <w:rFonts w:ascii="Times New Roman" w:hAnsi="Times New Roman" w:cs="Times New Roman"/>
          <w:b/>
          <w:bCs/>
          <w:sz w:val="44"/>
          <w:szCs w:val="44"/>
        </w:rPr>
        <w:t xml:space="preserve"> Marina Ivanova</w:t>
      </w:r>
    </w:p>
    <w:p w14:paraId="357EA5D3" w14:textId="13AA3AC5" w:rsidR="006A33F6" w:rsidRDefault="0080759E" w:rsidP="006A33F6">
      <w:pPr>
        <w:spacing w:line="360" w:lineRule="auto"/>
        <w:rPr>
          <w:rFonts w:ascii="Times New Roman" w:hAnsi="Times New Roman" w:cs="Times New Roman"/>
          <w:b/>
          <w:bCs/>
          <w:sz w:val="44"/>
          <w:szCs w:val="44"/>
        </w:rPr>
      </w:pPr>
      <w:r>
        <w:rPr>
          <w:rFonts w:ascii="Times New Roman" w:hAnsi="Times New Roman" w:cs="Times New Roman"/>
          <w:b/>
          <w:bCs/>
          <w:sz w:val="44"/>
          <w:szCs w:val="44"/>
        </w:rPr>
        <w:t xml:space="preserve">       </w:t>
      </w:r>
      <w:r w:rsidR="006A33F6">
        <w:rPr>
          <w:rFonts w:ascii="Times New Roman" w:hAnsi="Times New Roman" w:cs="Times New Roman"/>
          <w:b/>
          <w:bCs/>
          <w:sz w:val="44"/>
          <w:szCs w:val="44"/>
        </w:rPr>
        <w:t>Student ID:</w:t>
      </w:r>
      <w:r>
        <w:rPr>
          <w:rFonts w:ascii="Times New Roman" w:hAnsi="Times New Roman" w:cs="Times New Roman"/>
          <w:b/>
          <w:bCs/>
          <w:sz w:val="44"/>
          <w:szCs w:val="44"/>
        </w:rPr>
        <w:t xml:space="preserve"> 2128092</w:t>
      </w:r>
    </w:p>
    <w:p w14:paraId="2E5DAE33" w14:textId="281A4A89" w:rsidR="006A33F6" w:rsidRPr="00AA73C3" w:rsidRDefault="0080759E" w:rsidP="006A33F6">
      <w:pPr>
        <w:spacing w:line="360" w:lineRule="auto"/>
        <w:rPr>
          <w:rFonts w:ascii="Times New Roman" w:hAnsi="Times New Roman" w:cs="Times New Roman"/>
          <w:b/>
          <w:bCs/>
          <w:sz w:val="24"/>
          <w:szCs w:val="24"/>
        </w:rPr>
      </w:pPr>
      <w:r>
        <w:rPr>
          <w:rFonts w:ascii="Times New Roman" w:hAnsi="Times New Roman" w:cs="Times New Roman"/>
          <w:b/>
          <w:bCs/>
          <w:sz w:val="44"/>
          <w:szCs w:val="44"/>
        </w:rPr>
        <w:t xml:space="preserve">      </w:t>
      </w:r>
      <w:r w:rsidR="006A33F6">
        <w:rPr>
          <w:rFonts w:ascii="Times New Roman" w:hAnsi="Times New Roman" w:cs="Times New Roman"/>
          <w:b/>
          <w:bCs/>
          <w:sz w:val="44"/>
          <w:szCs w:val="44"/>
        </w:rPr>
        <w:t>Lecturer Name:</w:t>
      </w:r>
      <w:r>
        <w:rPr>
          <w:rFonts w:ascii="Times New Roman" w:hAnsi="Times New Roman" w:cs="Times New Roman"/>
          <w:b/>
          <w:bCs/>
          <w:sz w:val="44"/>
          <w:szCs w:val="44"/>
        </w:rPr>
        <w:t xml:space="preserve"> Simon Chatterton </w:t>
      </w:r>
    </w:p>
    <w:p w14:paraId="3C0870AF" w14:textId="2AD7C7E9" w:rsidR="003F736C" w:rsidRPr="00AA73C3" w:rsidRDefault="003F736C" w:rsidP="00AA73C3">
      <w:pPr>
        <w:spacing w:line="360" w:lineRule="auto"/>
        <w:jc w:val="both"/>
        <w:rPr>
          <w:rFonts w:ascii="Times New Roman" w:hAnsi="Times New Roman" w:cs="Times New Roman"/>
          <w:sz w:val="24"/>
          <w:szCs w:val="24"/>
        </w:rPr>
      </w:pPr>
      <w:r w:rsidRPr="00AA73C3">
        <w:rPr>
          <w:rFonts w:ascii="Times New Roman" w:hAnsi="Times New Roman" w:cs="Times New Roman"/>
          <w:sz w:val="24"/>
          <w:szCs w:val="24"/>
        </w:rPr>
        <w:br w:type="page"/>
      </w:r>
    </w:p>
    <w:sdt>
      <w:sdtPr>
        <w:rPr>
          <w:rFonts w:ascii="Times New Roman" w:hAnsi="Times New Roman" w:cs="Times New Roman"/>
          <w:caps w:val="0"/>
          <w:color w:val="auto"/>
          <w:spacing w:val="0"/>
          <w:sz w:val="24"/>
          <w:szCs w:val="24"/>
        </w:rPr>
        <w:id w:val="-147601132"/>
        <w:docPartObj>
          <w:docPartGallery w:val="Table of Contents"/>
          <w:docPartUnique/>
        </w:docPartObj>
      </w:sdtPr>
      <w:sdtEndPr>
        <w:rPr>
          <w:b/>
          <w:bCs/>
          <w:noProof/>
        </w:rPr>
      </w:sdtEndPr>
      <w:sdtContent>
        <w:p w14:paraId="241297F2" w14:textId="6853E31E" w:rsidR="003F736C" w:rsidRPr="00A22CC2" w:rsidRDefault="003F736C" w:rsidP="00A22CC2">
          <w:pPr>
            <w:pStyle w:val="TOCHeading"/>
            <w:spacing w:line="360" w:lineRule="auto"/>
            <w:jc w:val="both"/>
            <w:rPr>
              <w:rFonts w:ascii="Times New Roman" w:hAnsi="Times New Roman" w:cs="Times New Roman"/>
              <w:sz w:val="24"/>
              <w:szCs w:val="24"/>
            </w:rPr>
          </w:pPr>
          <w:r w:rsidRPr="00A22CC2">
            <w:rPr>
              <w:rFonts w:ascii="Times New Roman" w:hAnsi="Times New Roman" w:cs="Times New Roman"/>
              <w:sz w:val="24"/>
              <w:szCs w:val="24"/>
            </w:rPr>
            <w:t>Table of Contents</w:t>
          </w:r>
        </w:p>
        <w:p w14:paraId="4F7C26B2" w14:textId="00B9EE79" w:rsidR="00A22CC2" w:rsidRPr="00A22CC2" w:rsidRDefault="003F736C"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r w:rsidRPr="00A22CC2">
            <w:rPr>
              <w:rFonts w:ascii="Times New Roman" w:hAnsi="Times New Roman" w:cs="Times New Roman"/>
              <w:sz w:val="24"/>
              <w:szCs w:val="24"/>
            </w:rPr>
            <w:fldChar w:fldCharType="begin"/>
          </w:r>
          <w:r w:rsidRPr="00A22CC2">
            <w:rPr>
              <w:rFonts w:ascii="Times New Roman" w:hAnsi="Times New Roman" w:cs="Times New Roman"/>
              <w:sz w:val="24"/>
              <w:szCs w:val="24"/>
            </w:rPr>
            <w:instrText xml:space="preserve"> TOC \o "1-3" \h \z \u </w:instrText>
          </w:r>
          <w:r w:rsidRPr="00A22CC2">
            <w:rPr>
              <w:rFonts w:ascii="Times New Roman" w:hAnsi="Times New Roman" w:cs="Times New Roman"/>
              <w:sz w:val="24"/>
              <w:szCs w:val="24"/>
            </w:rPr>
            <w:fldChar w:fldCharType="separate"/>
          </w:r>
          <w:hyperlink w:anchor="_Toc214728186" w:history="1">
            <w:r w:rsidR="00A22CC2" w:rsidRPr="00A22CC2">
              <w:rPr>
                <w:rStyle w:val="Hyperlink"/>
                <w:rFonts w:ascii="Times New Roman" w:hAnsi="Times New Roman" w:cs="Times New Roman"/>
                <w:noProof/>
                <w:sz w:val="24"/>
                <w:szCs w:val="24"/>
              </w:rPr>
              <w:t>1. Introduction and Organisational Overview</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_Toc214728186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3</w:t>
            </w:r>
            <w:r w:rsidR="00A22CC2" w:rsidRPr="00A22CC2">
              <w:rPr>
                <w:rFonts w:ascii="Times New Roman" w:hAnsi="Times New Roman" w:cs="Times New Roman"/>
                <w:noProof/>
                <w:webHidden/>
                <w:sz w:val="24"/>
                <w:szCs w:val="24"/>
              </w:rPr>
              <w:fldChar w:fldCharType="end"/>
            </w:r>
          </w:hyperlink>
        </w:p>
        <w:p w14:paraId="68E55BB2" w14:textId="6EA9D523" w:rsidR="00A22CC2" w:rsidRPr="00A22CC2" w:rsidRDefault="00000000"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87" w:history="1">
            <w:r w:rsidR="00A22CC2" w:rsidRPr="00A22CC2">
              <w:rPr>
                <w:rStyle w:val="Hyperlink"/>
                <w:rFonts w:ascii="Times New Roman" w:hAnsi="Times New Roman" w:cs="Times New Roman"/>
                <w:noProof/>
                <w:sz w:val="24"/>
                <w:szCs w:val="24"/>
              </w:rPr>
              <w:t>2. Selection of Target Market and Justification</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_Toc214728187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4</w:t>
            </w:r>
            <w:r w:rsidR="00A22CC2" w:rsidRPr="00A22CC2">
              <w:rPr>
                <w:rFonts w:ascii="Times New Roman" w:hAnsi="Times New Roman" w:cs="Times New Roman"/>
                <w:noProof/>
                <w:webHidden/>
                <w:sz w:val="24"/>
                <w:szCs w:val="24"/>
              </w:rPr>
              <w:fldChar w:fldCharType="end"/>
            </w:r>
          </w:hyperlink>
        </w:p>
        <w:p w14:paraId="41FB9E1F" w14:textId="54986365"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88" w:history="1">
            <w:r w:rsidR="00A22CC2" w:rsidRPr="00A22CC2">
              <w:rPr>
                <w:rStyle w:val="Hyperlink"/>
                <w:rFonts w:ascii="Times New Roman" w:hAnsi="Times New Roman" w:cs="Times New Roman"/>
                <w:noProof/>
                <w:sz w:val="24"/>
                <w:szCs w:val="24"/>
              </w:rPr>
              <w:t>2.1 Market Opportunity Context</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_Toc214728188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4</w:t>
            </w:r>
            <w:r w:rsidR="00A22CC2" w:rsidRPr="00A22CC2">
              <w:rPr>
                <w:rFonts w:ascii="Times New Roman" w:hAnsi="Times New Roman" w:cs="Times New Roman"/>
                <w:noProof/>
                <w:webHidden/>
                <w:sz w:val="24"/>
                <w:szCs w:val="24"/>
              </w:rPr>
              <w:fldChar w:fldCharType="end"/>
            </w:r>
          </w:hyperlink>
        </w:p>
        <w:p w14:paraId="6CEDD8A9" w14:textId="6858F895"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89" w:history="1">
            <w:r w:rsidR="00A22CC2" w:rsidRPr="00A22CC2">
              <w:rPr>
                <w:rStyle w:val="Hyperlink"/>
                <w:rFonts w:ascii="Times New Roman" w:hAnsi="Times New Roman" w:cs="Times New Roman"/>
                <w:noProof/>
                <w:sz w:val="24"/>
                <w:szCs w:val="24"/>
              </w:rPr>
              <w:t>2.2 Sectoral Attractiveness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_Toc214728189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4</w:t>
            </w:r>
            <w:r w:rsidR="00A22CC2" w:rsidRPr="00A22CC2">
              <w:rPr>
                <w:rFonts w:ascii="Times New Roman" w:hAnsi="Times New Roman" w:cs="Times New Roman"/>
                <w:noProof/>
                <w:webHidden/>
                <w:sz w:val="24"/>
                <w:szCs w:val="24"/>
              </w:rPr>
              <w:fldChar w:fldCharType="end"/>
            </w:r>
          </w:hyperlink>
        </w:p>
        <w:p w14:paraId="7B9DBD95" w14:textId="559141A4"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0" w:history="1">
            <w:r w:rsidR="00A22CC2" w:rsidRPr="00A22CC2">
              <w:rPr>
                <w:rStyle w:val="Hyperlink"/>
                <w:rFonts w:ascii="Times New Roman" w:hAnsi="Times New Roman" w:cs="Times New Roman"/>
                <w:noProof/>
                <w:sz w:val="24"/>
                <w:szCs w:val="24"/>
              </w:rPr>
              <w:t>2.3 Strategic Fit with Halfords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_Toc214728190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5</w:t>
            </w:r>
            <w:r w:rsidR="00A22CC2" w:rsidRPr="00A22CC2">
              <w:rPr>
                <w:rFonts w:ascii="Times New Roman" w:hAnsi="Times New Roman" w:cs="Times New Roman"/>
                <w:noProof/>
                <w:webHidden/>
                <w:sz w:val="24"/>
                <w:szCs w:val="24"/>
              </w:rPr>
              <w:fldChar w:fldCharType="end"/>
            </w:r>
          </w:hyperlink>
        </w:p>
        <w:p w14:paraId="6D7EF66F" w14:textId="753C4AE1"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1" w:history="1">
            <w:r w:rsidR="00A22CC2" w:rsidRPr="00A22CC2">
              <w:rPr>
                <w:rStyle w:val="Hyperlink"/>
                <w:rFonts w:ascii="Times New Roman" w:hAnsi="Times New Roman" w:cs="Times New Roman"/>
                <w:noProof/>
                <w:sz w:val="24"/>
                <w:szCs w:val="24"/>
              </w:rPr>
              <w:t>2.4 Competitive Benchmark</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_Toc214728191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6</w:t>
            </w:r>
            <w:r w:rsidR="00A22CC2" w:rsidRPr="00A22CC2">
              <w:rPr>
                <w:rFonts w:ascii="Times New Roman" w:hAnsi="Times New Roman" w:cs="Times New Roman"/>
                <w:noProof/>
                <w:webHidden/>
                <w:sz w:val="24"/>
                <w:szCs w:val="24"/>
              </w:rPr>
              <w:fldChar w:fldCharType="end"/>
            </w:r>
          </w:hyperlink>
        </w:p>
        <w:p w14:paraId="3AC10386" w14:textId="2DCA55A1"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2" w:history="1">
            <w:r w:rsidR="00A22CC2" w:rsidRPr="00A22CC2">
              <w:rPr>
                <w:rStyle w:val="Hyperlink"/>
                <w:rFonts w:ascii="Times New Roman" w:hAnsi="Times New Roman" w:cs="Times New Roman"/>
                <w:noProof/>
                <w:sz w:val="24"/>
                <w:szCs w:val="24"/>
              </w:rPr>
              <w:t>2.5 Entry Justification Summary</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_Toc214728192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6</w:t>
            </w:r>
            <w:r w:rsidR="00A22CC2" w:rsidRPr="00A22CC2">
              <w:rPr>
                <w:rFonts w:ascii="Times New Roman" w:hAnsi="Times New Roman" w:cs="Times New Roman"/>
                <w:noProof/>
                <w:webHidden/>
                <w:sz w:val="24"/>
                <w:szCs w:val="24"/>
              </w:rPr>
              <w:fldChar w:fldCharType="end"/>
            </w:r>
          </w:hyperlink>
        </w:p>
        <w:p w14:paraId="19B1079F" w14:textId="31C0F407" w:rsidR="00A22CC2" w:rsidRPr="00A22CC2" w:rsidRDefault="00000000"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3" w:history="1">
            <w:r w:rsidR="00A22CC2" w:rsidRPr="00A22CC2">
              <w:rPr>
                <w:rStyle w:val="Hyperlink"/>
                <w:rFonts w:ascii="Times New Roman" w:hAnsi="Times New Roman" w:cs="Times New Roman"/>
                <w:noProof/>
                <w:sz w:val="24"/>
                <w:szCs w:val="24"/>
              </w:rPr>
              <w:t>3. Comprehensive Strategic Analysis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_Toc214728193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7</w:t>
            </w:r>
            <w:r w:rsidR="00A22CC2" w:rsidRPr="00A22CC2">
              <w:rPr>
                <w:rFonts w:ascii="Times New Roman" w:hAnsi="Times New Roman" w:cs="Times New Roman"/>
                <w:noProof/>
                <w:webHidden/>
                <w:sz w:val="24"/>
                <w:szCs w:val="24"/>
              </w:rPr>
              <w:fldChar w:fldCharType="end"/>
            </w:r>
          </w:hyperlink>
        </w:p>
        <w:p w14:paraId="377E0D5E" w14:textId="0F9C4707"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4" w:history="1">
            <w:r w:rsidR="00A22CC2" w:rsidRPr="00A22CC2">
              <w:rPr>
                <w:rStyle w:val="Hyperlink"/>
                <w:rFonts w:ascii="Times New Roman" w:hAnsi="Times New Roman" w:cs="Times New Roman"/>
                <w:noProof/>
                <w:sz w:val="24"/>
                <w:szCs w:val="24"/>
              </w:rPr>
              <w:t>3.1 PESTEL Analysis: Spain’s External Environment</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_Toc214728194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7</w:t>
            </w:r>
            <w:r w:rsidR="00A22CC2" w:rsidRPr="00A22CC2">
              <w:rPr>
                <w:rFonts w:ascii="Times New Roman" w:hAnsi="Times New Roman" w:cs="Times New Roman"/>
                <w:noProof/>
                <w:webHidden/>
                <w:sz w:val="24"/>
                <w:szCs w:val="24"/>
              </w:rPr>
              <w:fldChar w:fldCharType="end"/>
            </w:r>
          </w:hyperlink>
        </w:p>
        <w:p w14:paraId="79D3A83C" w14:textId="154369A3"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5" w:history="1">
            <w:r w:rsidR="00A22CC2" w:rsidRPr="00A22CC2">
              <w:rPr>
                <w:rStyle w:val="Hyperlink"/>
                <w:rFonts w:ascii="Times New Roman" w:hAnsi="Times New Roman" w:cs="Times New Roman"/>
                <w:noProof/>
                <w:sz w:val="24"/>
                <w:szCs w:val="24"/>
              </w:rPr>
              <w:t>3.2 Porter’s Five Forces: Spanish Automotive and Cycling Retail Industry</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_Toc214728195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8</w:t>
            </w:r>
            <w:r w:rsidR="00A22CC2" w:rsidRPr="00A22CC2">
              <w:rPr>
                <w:rFonts w:ascii="Times New Roman" w:hAnsi="Times New Roman" w:cs="Times New Roman"/>
                <w:noProof/>
                <w:webHidden/>
                <w:sz w:val="24"/>
                <w:szCs w:val="24"/>
              </w:rPr>
              <w:fldChar w:fldCharType="end"/>
            </w:r>
          </w:hyperlink>
        </w:p>
        <w:p w14:paraId="47EA04E0" w14:textId="498B5551"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6" w:history="1">
            <w:r w:rsidR="00A22CC2" w:rsidRPr="00A22CC2">
              <w:rPr>
                <w:rStyle w:val="Hyperlink"/>
                <w:rFonts w:ascii="Times New Roman" w:hAnsi="Times New Roman" w:cs="Times New Roman"/>
                <w:noProof/>
                <w:sz w:val="24"/>
                <w:szCs w:val="24"/>
              </w:rPr>
              <w:t>3.2.1 Threat of New Entrants: Moderate</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_Toc214728196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8</w:t>
            </w:r>
            <w:r w:rsidR="00A22CC2" w:rsidRPr="00A22CC2">
              <w:rPr>
                <w:rFonts w:ascii="Times New Roman" w:hAnsi="Times New Roman" w:cs="Times New Roman"/>
                <w:noProof/>
                <w:webHidden/>
                <w:sz w:val="24"/>
                <w:szCs w:val="24"/>
              </w:rPr>
              <w:fldChar w:fldCharType="end"/>
            </w:r>
          </w:hyperlink>
        </w:p>
        <w:p w14:paraId="77C9E19C" w14:textId="2DEB7EE1"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7" w:history="1">
            <w:r w:rsidR="00A22CC2" w:rsidRPr="00A22CC2">
              <w:rPr>
                <w:rStyle w:val="Hyperlink"/>
                <w:rFonts w:ascii="Times New Roman" w:hAnsi="Times New Roman" w:cs="Times New Roman"/>
                <w:noProof/>
                <w:sz w:val="24"/>
                <w:szCs w:val="24"/>
              </w:rPr>
              <w:t>3.2.2 Supplier Power: Moderate</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_Toc214728197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9</w:t>
            </w:r>
            <w:r w:rsidR="00A22CC2" w:rsidRPr="00A22CC2">
              <w:rPr>
                <w:rFonts w:ascii="Times New Roman" w:hAnsi="Times New Roman" w:cs="Times New Roman"/>
                <w:noProof/>
                <w:webHidden/>
                <w:sz w:val="24"/>
                <w:szCs w:val="24"/>
              </w:rPr>
              <w:fldChar w:fldCharType="end"/>
            </w:r>
          </w:hyperlink>
        </w:p>
        <w:p w14:paraId="16E10E84" w14:textId="4EA83B26"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8" w:history="1">
            <w:r w:rsidR="00A22CC2" w:rsidRPr="00A22CC2">
              <w:rPr>
                <w:rStyle w:val="Hyperlink"/>
                <w:rFonts w:ascii="Times New Roman" w:hAnsi="Times New Roman" w:cs="Times New Roman"/>
                <w:noProof/>
                <w:sz w:val="24"/>
                <w:szCs w:val="24"/>
              </w:rPr>
              <w:t>3.2.3 Buyer Power: High</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_Toc214728198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9</w:t>
            </w:r>
            <w:r w:rsidR="00A22CC2" w:rsidRPr="00A22CC2">
              <w:rPr>
                <w:rFonts w:ascii="Times New Roman" w:hAnsi="Times New Roman" w:cs="Times New Roman"/>
                <w:noProof/>
                <w:webHidden/>
                <w:sz w:val="24"/>
                <w:szCs w:val="24"/>
              </w:rPr>
              <w:fldChar w:fldCharType="end"/>
            </w:r>
          </w:hyperlink>
        </w:p>
        <w:p w14:paraId="52F6A6B5" w14:textId="2C153E85"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199" w:history="1">
            <w:r w:rsidR="00A22CC2" w:rsidRPr="00A22CC2">
              <w:rPr>
                <w:rStyle w:val="Hyperlink"/>
                <w:rFonts w:ascii="Times New Roman" w:hAnsi="Times New Roman" w:cs="Times New Roman"/>
                <w:noProof/>
                <w:sz w:val="24"/>
                <w:szCs w:val="24"/>
              </w:rPr>
              <w:t>3.2.4 Threat of Substitutes: High</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_Toc214728199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9</w:t>
            </w:r>
            <w:r w:rsidR="00A22CC2" w:rsidRPr="00A22CC2">
              <w:rPr>
                <w:rFonts w:ascii="Times New Roman" w:hAnsi="Times New Roman" w:cs="Times New Roman"/>
                <w:noProof/>
                <w:webHidden/>
                <w:sz w:val="24"/>
                <w:szCs w:val="24"/>
              </w:rPr>
              <w:fldChar w:fldCharType="end"/>
            </w:r>
          </w:hyperlink>
        </w:p>
        <w:p w14:paraId="5B6655E7" w14:textId="5FA0D767"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0" w:history="1">
            <w:r w:rsidR="00A22CC2" w:rsidRPr="00A22CC2">
              <w:rPr>
                <w:rStyle w:val="Hyperlink"/>
                <w:rFonts w:ascii="Times New Roman" w:hAnsi="Times New Roman" w:cs="Times New Roman"/>
                <w:noProof/>
                <w:sz w:val="24"/>
                <w:szCs w:val="24"/>
              </w:rPr>
              <w:t>3.2.5 Industry Rivalry: Intense</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_Toc214728200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9</w:t>
            </w:r>
            <w:r w:rsidR="00A22CC2" w:rsidRPr="00A22CC2">
              <w:rPr>
                <w:rFonts w:ascii="Times New Roman" w:hAnsi="Times New Roman" w:cs="Times New Roman"/>
                <w:noProof/>
                <w:webHidden/>
                <w:sz w:val="24"/>
                <w:szCs w:val="24"/>
              </w:rPr>
              <w:fldChar w:fldCharType="end"/>
            </w:r>
          </w:hyperlink>
        </w:p>
        <w:p w14:paraId="7FFA6B30" w14:textId="65CC5769"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1" w:history="1">
            <w:r w:rsidR="00A22CC2" w:rsidRPr="00A22CC2">
              <w:rPr>
                <w:rStyle w:val="Hyperlink"/>
                <w:rFonts w:ascii="Times New Roman" w:hAnsi="Times New Roman" w:cs="Times New Roman"/>
                <w:noProof/>
                <w:sz w:val="24"/>
                <w:szCs w:val="24"/>
              </w:rPr>
              <w:t>3.3 SWOT and VRIO Synthesis: Halfords’ Internal Readiness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_Toc214728201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10</w:t>
            </w:r>
            <w:r w:rsidR="00A22CC2" w:rsidRPr="00A22CC2">
              <w:rPr>
                <w:rFonts w:ascii="Times New Roman" w:hAnsi="Times New Roman" w:cs="Times New Roman"/>
                <w:noProof/>
                <w:webHidden/>
                <w:sz w:val="24"/>
                <w:szCs w:val="24"/>
              </w:rPr>
              <w:fldChar w:fldCharType="end"/>
            </w:r>
          </w:hyperlink>
        </w:p>
        <w:p w14:paraId="44EEFC56" w14:textId="6A34ED7A"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2" w:history="1">
            <w:r w:rsidR="00A22CC2" w:rsidRPr="00A22CC2">
              <w:rPr>
                <w:rStyle w:val="Hyperlink"/>
                <w:rFonts w:ascii="Times New Roman" w:hAnsi="Times New Roman" w:cs="Times New Roman"/>
                <w:noProof/>
                <w:sz w:val="24"/>
                <w:szCs w:val="24"/>
              </w:rPr>
              <w:t>3.3.1 SWOT Summary</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_Toc214728202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10</w:t>
            </w:r>
            <w:r w:rsidR="00A22CC2" w:rsidRPr="00A22CC2">
              <w:rPr>
                <w:rFonts w:ascii="Times New Roman" w:hAnsi="Times New Roman" w:cs="Times New Roman"/>
                <w:noProof/>
                <w:webHidden/>
                <w:sz w:val="24"/>
                <w:szCs w:val="24"/>
              </w:rPr>
              <w:fldChar w:fldCharType="end"/>
            </w:r>
          </w:hyperlink>
        </w:p>
        <w:p w14:paraId="1F53384D" w14:textId="61EEF7C9" w:rsidR="00A22CC2" w:rsidRPr="00A22CC2" w:rsidRDefault="00000000" w:rsidP="00A22CC2">
          <w:pPr>
            <w:pStyle w:val="TOC3"/>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3" w:history="1">
            <w:r w:rsidR="00A22CC2" w:rsidRPr="00A22CC2">
              <w:rPr>
                <w:rStyle w:val="Hyperlink"/>
                <w:rFonts w:ascii="Times New Roman" w:hAnsi="Times New Roman" w:cs="Times New Roman"/>
                <w:noProof/>
                <w:sz w:val="24"/>
                <w:szCs w:val="24"/>
              </w:rPr>
              <w:t>3.3.2 VRIO Analysis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_Toc214728203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10</w:t>
            </w:r>
            <w:r w:rsidR="00A22CC2" w:rsidRPr="00A22CC2">
              <w:rPr>
                <w:rFonts w:ascii="Times New Roman" w:hAnsi="Times New Roman" w:cs="Times New Roman"/>
                <w:noProof/>
                <w:webHidden/>
                <w:sz w:val="24"/>
                <w:szCs w:val="24"/>
              </w:rPr>
              <w:fldChar w:fldCharType="end"/>
            </w:r>
          </w:hyperlink>
        </w:p>
        <w:p w14:paraId="56A39945" w14:textId="745B532D"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4" w:history="1">
            <w:r w:rsidR="00A22CC2" w:rsidRPr="00A22CC2">
              <w:rPr>
                <w:rStyle w:val="Hyperlink"/>
                <w:rFonts w:ascii="Times New Roman" w:hAnsi="Times New Roman" w:cs="Times New Roman"/>
                <w:noProof/>
                <w:sz w:val="24"/>
                <w:szCs w:val="24"/>
              </w:rPr>
              <w:t>3.4 Integrated Strategic Implications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_Toc214728204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11</w:t>
            </w:r>
            <w:r w:rsidR="00A22CC2" w:rsidRPr="00A22CC2">
              <w:rPr>
                <w:rFonts w:ascii="Times New Roman" w:hAnsi="Times New Roman" w:cs="Times New Roman"/>
                <w:noProof/>
                <w:webHidden/>
                <w:sz w:val="24"/>
                <w:szCs w:val="24"/>
              </w:rPr>
              <w:fldChar w:fldCharType="end"/>
            </w:r>
          </w:hyperlink>
        </w:p>
        <w:p w14:paraId="5D3BC7DA" w14:textId="15465AEB"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5" w:history="1">
            <w:r w:rsidR="00A22CC2" w:rsidRPr="00A22CC2">
              <w:rPr>
                <w:rStyle w:val="Hyperlink"/>
                <w:rFonts w:ascii="Times New Roman" w:hAnsi="Times New Roman" w:cs="Times New Roman"/>
                <w:noProof/>
                <w:sz w:val="24"/>
                <w:szCs w:val="24"/>
              </w:rPr>
              <w:t>3.5 Critical Evaluation of Analytical Tools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_Toc214728205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12</w:t>
            </w:r>
            <w:r w:rsidR="00A22CC2" w:rsidRPr="00A22CC2">
              <w:rPr>
                <w:rFonts w:ascii="Times New Roman" w:hAnsi="Times New Roman" w:cs="Times New Roman"/>
                <w:noProof/>
                <w:webHidden/>
                <w:sz w:val="24"/>
                <w:szCs w:val="24"/>
              </w:rPr>
              <w:fldChar w:fldCharType="end"/>
            </w:r>
          </w:hyperlink>
        </w:p>
        <w:p w14:paraId="596EE397" w14:textId="66C0174F" w:rsidR="00A22CC2" w:rsidRPr="00A22CC2" w:rsidRDefault="00000000"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6" w:history="1">
            <w:r w:rsidR="00A22CC2" w:rsidRPr="00A22CC2">
              <w:rPr>
                <w:rStyle w:val="Hyperlink"/>
                <w:rFonts w:ascii="Times New Roman" w:hAnsi="Times New Roman" w:cs="Times New Roman"/>
                <w:noProof/>
                <w:sz w:val="24"/>
                <w:szCs w:val="24"/>
              </w:rPr>
              <w:t>4. Strategy Development and Formulation</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_Toc214728206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12</w:t>
            </w:r>
            <w:r w:rsidR="00A22CC2" w:rsidRPr="00A22CC2">
              <w:rPr>
                <w:rFonts w:ascii="Times New Roman" w:hAnsi="Times New Roman" w:cs="Times New Roman"/>
                <w:noProof/>
                <w:webHidden/>
                <w:sz w:val="24"/>
                <w:szCs w:val="24"/>
              </w:rPr>
              <w:fldChar w:fldCharType="end"/>
            </w:r>
          </w:hyperlink>
        </w:p>
        <w:p w14:paraId="0E1DF931" w14:textId="44A77790"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7" w:history="1">
            <w:r w:rsidR="00A22CC2" w:rsidRPr="00A22CC2">
              <w:rPr>
                <w:rStyle w:val="Hyperlink"/>
                <w:rFonts w:ascii="Times New Roman" w:hAnsi="Times New Roman" w:cs="Times New Roman"/>
                <w:noProof/>
                <w:sz w:val="24"/>
                <w:szCs w:val="24"/>
              </w:rPr>
              <w:t>4.1 Strategic Objectives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_Toc214728207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13</w:t>
            </w:r>
            <w:r w:rsidR="00A22CC2" w:rsidRPr="00A22CC2">
              <w:rPr>
                <w:rFonts w:ascii="Times New Roman" w:hAnsi="Times New Roman" w:cs="Times New Roman"/>
                <w:noProof/>
                <w:webHidden/>
                <w:sz w:val="24"/>
                <w:szCs w:val="24"/>
              </w:rPr>
              <w:fldChar w:fldCharType="end"/>
            </w:r>
          </w:hyperlink>
        </w:p>
        <w:p w14:paraId="2EED7E68" w14:textId="661D9064"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8" w:history="1">
            <w:r w:rsidR="00A22CC2" w:rsidRPr="00A22CC2">
              <w:rPr>
                <w:rStyle w:val="Hyperlink"/>
                <w:rFonts w:ascii="Times New Roman" w:hAnsi="Times New Roman" w:cs="Times New Roman"/>
                <w:noProof/>
                <w:sz w:val="24"/>
                <w:szCs w:val="24"/>
              </w:rPr>
              <w:t>4.2 Ansoff Matrix Application</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_Toc214728208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13</w:t>
            </w:r>
            <w:r w:rsidR="00A22CC2" w:rsidRPr="00A22CC2">
              <w:rPr>
                <w:rFonts w:ascii="Times New Roman" w:hAnsi="Times New Roman" w:cs="Times New Roman"/>
                <w:noProof/>
                <w:webHidden/>
                <w:sz w:val="24"/>
                <w:szCs w:val="24"/>
              </w:rPr>
              <w:fldChar w:fldCharType="end"/>
            </w:r>
          </w:hyperlink>
        </w:p>
        <w:p w14:paraId="681718B2" w14:textId="08123EEF"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09" w:history="1">
            <w:r w:rsidR="00A22CC2" w:rsidRPr="00A22CC2">
              <w:rPr>
                <w:rStyle w:val="Hyperlink"/>
                <w:rFonts w:ascii="Times New Roman" w:hAnsi="Times New Roman" w:cs="Times New Roman"/>
                <w:noProof/>
                <w:sz w:val="24"/>
                <w:szCs w:val="24"/>
              </w:rPr>
              <w:t>4.3 Entry Mode Analysis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_Toc214728209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14</w:t>
            </w:r>
            <w:r w:rsidR="00A22CC2" w:rsidRPr="00A22CC2">
              <w:rPr>
                <w:rFonts w:ascii="Times New Roman" w:hAnsi="Times New Roman" w:cs="Times New Roman"/>
                <w:noProof/>
                <w:webHidden/>
                <w:sz w:val="24"/>
                <w:szCs w:val="24"/>
              </w:rPr>
              <w:fldChar w:fldCharType="end"/>
            </w:r>
          </w:hyperlink>
        </w:p>
        <w:p w14:paraId="591B585A" w14:textId="3DE20F3C"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0" w:history="1">
            <w:r w:rsidR="00A22CC2" w:rsidRPr="00A22CC2">
              <w:rPr>
                <w:rStyle w:val="Hyperlink"/>
                <w:rFonts w:ascii="Times New Roman" w:hAnsi="Times New Roman" w:cs="Times New Roman"/>
                <w:noProof/>
                <w:sz w:val="24"/>
                <w:szCs w:val="24"/>
              </w:rPr>
              <w:t>4.4 Porter’s Generic Strategy: Competitive Advantage</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_Toc214728210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15</w:t>
            </w:r>
            <w:r w:rsidR="00A22CC2" w:rsidRPr="00A22CC2">
              <w:rPr>
                <w:rFonts w:ascii="Times New Roman" w:hAnsi="Times New Roman" w:cs="Times New Roman"/>
                <w:noProof/>
                <w:webHidden/>
                <w:sz w:val="24"/>
                <w:szCs w:val="24"/>
              </w:rPr>
              <w:fldChar w:fldCharType="end"/>
            </w:r>
          </w:hyperlink>
        </w:p>
        <w:p w14:paraId="09195FEC" w14:textId="5A3EFB87"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1" w:history="1">
            <w:r w:rsidR="00A22CC2" w:rsidRPr="00A22CC2">
              <w:rPr>
                <w:rStyle w:val="Hyperlink"/>
                <w:rFonts w:ascii="Times New Roman" w:hAnsi="Times New Roman" w:cs="Times New Roman"/>
                <w:noProof/>
                <w:sz w:val="24"/>
                <w:szCs w:val="24"/>
              </w:rPr>
              <w:t>4.5 TOWS Matrix: Strategic Synthesis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_Toc214728211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15</w:t>
            </w:r>
            <w:r w:rsidR="00A22CC2" w:rsidRPr="00A22CC2">
              <w:rPr>
                <w:rFonts w:ascii="Times New Roman" w:hAnsi="Times New Roman" w:cs="Times New Roman"/>
                <w:noProof/>
                <w:webHidden/>
                <w:sz w:val="24"/>
                <w:szCs w:val="24"/>
              </w:rPr>
              <w:fldChar w:fldCharType="end"/>
            </w:r>
          </w:hyperlink>
        </w:p>
        <w:p w14:paraId="2D819170" w14:textId="7F997F03"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2" w:history="1">
            <w:r w:rsidR="00A22CC2" w:rsidRPr="00A22CC2">
              <w:rPr>
                <w:rStyle w:val="Hyperlink"/>
                <w:rFonts w:ascii="Times New Roman" w:hAnsi="Times New Roman" w:cs="Times New Roman"/>
                <w:noProof/>
                <w:sz w:val="24"/>
                <w:szCs w:val="24"/>
              </w:rPr>
              <w:t>4.6 Risk Assessment and Mitigation</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_Toc214728212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16</w:t>
            </w:r>
            <w:r w:rsidR="00A22CC2" w:rsidRPr="00A22CC2">
              <w:rPr>
                <w:rFonts w:ascii="Times New Roman" w:hAnsi="Times New Roman" w:cs="Times New Roman"/>
                <w:noProof/>
                <w:webHidden/>
                <w:sz w:val="24"/>
                <w:szCs w:val="24"/>
              </w:rPr>
              <w:fldChar w:fldCharType="end"/>
            </w:r>
          </w:hyperlink>
        </w:p>
        <w:p w14:paraId="5EB55213" w14:textId="2EB3EB42"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3" w:history="1">
            <w:r w:rsidR="00A22CC2" w:rsidRPr="00A22CC2">
              <w:rPr>
                <w:rStyle w:val="Hyperlink"/>
                <w:rFonts w:ascii="Times New Roman" w:hAnsi="Times New Roman" w:cs="Times New Roman"/>
                <w:noProof/>
                <w:sz w:val="24"/>
                <w:szCs w:val="24"/>
              </w:rPr>
              <w:t>4.7 Implementation Roadmap</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_Toc214728213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17</w:t>
            </w:r>
            <w:r w:rsidR="00A22CC2" w:rsidRPr="00A22CC2">
              <w:rPr>
                <w:rFonts w:ascii="Times New Roman" w:hAnsi="Times New Roman" w:cs="Times New Roman"/>
                <w:noProof/>
                <w:webHidden/>
                <w:sz w:val="24"/>
                <w:szCs w:val="24"/>
              </w:rPr>
              <w:fldChar w:fldCharType="end"/>
            </w:r>
          </w:hyperlink>
        </w:p>
        <w:p w14:paraId="6D1A7B51" w14:textId="2342DD83"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4" w:history="1">
            <w:r w:rsidR="00A22CC2" w:rsidRPr="00A22CC2">
              <w:rPr>
                <w:rStyle w:val="Hyperlink"/>
                <w:rFonts w:ascii="Times New Roman" w:hAnsi="Times New Roman" w:cs="Times New Roman"/>
                <w:noProof/>
                <w:sz w:val="24"/>
                <w:szCs w:val="24"/>
              </w:rPr>
              <w:t>4.8 Strategic Coherence and Positioning</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_Toc214728214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17</w:t>
            </w:r>
            <w:r w:rsidR="00A22CC2" w:rsidRPr="00A22CC2">
              <w:rPr>
                <w:rFonts w:ascii="Times New Roman" w:hAnsi="Times New Roman" w:cs="Times New Roman"/>
                <w:noProof/>
                <w:webHidden/>
                <w:sz w:val="24"/>
                <w:szCs w:val="24"/>
              </w:rPr>
              <w:fldChar w:fldCharType="end"/>
            </w:r>
          </w:hyperlink>
        </w:p>
        <w:p w14:paraId="2BF9B927" w14:textId="32C9DBB4" w:rsidR="00A22CC2" w:rsidRPr="00A22CC2" w:rsidRDefault="00000000"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5" w:history="1">
            <w:r w:rsidR="00A22CC2" w:rsidRPr="00A22CC2">
              <w:rPr>
                <w:rStyle w:val="Hyperlink"/>
                <w:rFonts w:ascii="Times New Roman" w:hAnsi="Times New Roman" w:cs="Times New Roman"/>
                <w:noProof/>
                <w:sz w:val="24"/>
                <w:szCs w:val="24"/>
              </w:rPr>
              <w:t>5. Performance Evaluation Framework</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_Toc214728215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18</w:t>
            </w:r>
            <w:r w:rsidR="00A22CC2" w:rsidRPr="00A22CC2">
              <w:rPr>
                <w:rFonts w:ascii="Times New Roman" w:hAnsi="Times New Roman" w:cs="Times New Roman"/>
                <w:noProof/>
                <w:webHidden/>
                <w:sz w:val="24"/>
                <w:szCs w:val="24"/>
              </w:rPr>
              <w:fldChar w:fldCharType="end"/>
            </w:r>
          </w:hyperlink>
        </w:p>
        <w:p w14:paraId="2640E835" w14:textId="299056B5"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6" w:history="1">
            <w:r w:rsidR="00A22CC2" w:rsidRPr="00A22CC2">
              <w:rPr>
                <w:rStyle w:val="Hyperlink"/>
                <w:rFonts w:ascii="Times New Roman" w:hAnsi="Times New Roman" w:cs="Times New Roman"/>
                <w:noProof/>
                <w:sz w:val="24"/>
                <w:szCs w:val="24"/>
              </w:rPr>
              <w:t>5.1 Rationale for Using the Balanced Scorecard (BSC)</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_Toc214728216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18</w:t>
            </w:r>
            <w:r w:rsidR="00A22CC2" w:rsidRPr="00A22CC2">
              <w:rPr>
                <w:rFonts w:ascii="Times New Roman" w:hAnsi="Times New Roman" w:cs="Times New Roman"/>
                <w:noProof/>
                <w:webHidden/>
                <w:sz w:val="24"/>
                <w:szCs w:val="24"/>
              </w:rPr>
              <w:fldChar w:fldCharType="end"/>
            </w:r>
          </w:hyperlink>
        </w:p>
        <w:p w14:paraId="23190755" w14:textId="42933DD9"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7" w:history="1">
            <w:r w:rsidR="00A22CC2" w:rsidRPr="00A22CC2">
              <w:rPr>
                <w:rStyle w:val="Hyperlink"/>
                <w:rFonts w:ascii="Times New Roman" w:hAnsi="Times New Roman" w:cs="Times New Roman"/>
                <w:noProof/>
                <w:sz w:val="24"/>
                <w:szCs w:val="24"/>
              </w:rPr>
              <w:t>5.2 Balanced Scorecard for Halfords Spain</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_Toc214728217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18</w:t>
            </w:r>
            <w:r w:rsidR="00A22CC2" w:rsidRPr="00A22CC2">
              <w:rPr>
                <w:rFonts w:ascii="Times New Roman" w:hAnsi="Times New Roman" w:cs="Times New Roman"/>
                <w:noProof/>
                <w:webHidden/>
                <w:sz w:val="24"/>
                <w:szCs w:val="24"/>
              </w:rPr>
              <w:fldChar w:fldCharType="end"/>
            </w:r>
          </w:hyperlink>
        </w:p>
        <w:p w14:paraId="123B05B3" w14:textId="34B7F1F5"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8" w:history="1">
            <w:r w:rsidR="00A22CC2" w:rsidRPr="00A22CC2">
              <w:rPr>
                <w:rStyle w:val="Hyperlink"/>
                <w:rFonts w:ascii="Times New Roman" w:hAnsi="Times New Roman" w:cs="Times New Roman"/>
                <w:noProof/>
                <w:sz w:val="24"/>
                <w:szCs w:val="24"/>
              </w:rPr>
              <w:t>5.3 Integrating the Triple Bottom Line (TBL)</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_Toc214728218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19</w:t>
            </w:r>
            <w:r w:rsidR="00A22CC2" w:rsidRPr="00A22CC2">
              <w:rPr>
                <w:rFonts w:ascii="Times New Roman" w:hAnsi="Times New Roman" w:cs="Times New Roman"/>
                <w:noProof/>
                <w:webHidden/>
                <w:sz w:val="24"/>
                <w:szCs w:val="24"/>
              </w:rPr>
              <w:fldChar w:fldCharType="end"/>
            </w:r>
          </w:hyperlink>
        </w:p>
        <w:p w14:paraId="7D5651E1" w14:textId="562FECED"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19" w:history="1">
            <w:r w:rsidR="00A22CC2" w:rsidRPr="00A22CC2">
              <w:rPr>
                <w:rStyle w:val="Hyperlink"/>
                <w:rFonts w:ascii="Times New Roman" w:hAnsi="Times New Roman" w:cs="Times New Roman"/>
                <w:noProof/>
                <w:sz w:val="24"/>
                <w:szCs w:val="24"/>
              </w:rPr>
              <w:t>5.4 Monitoring and Review</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_Toc214728219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20</w:t>
            </w:r>
            <w:r w:rsidR="00A22CC2" w:rsidRPr="00A22CC2">
              <w:rPr>
                <w:rFonts w:ascii="Times New Roman" w:hAnsi="Times New Roman" w:cs="Times New Roman"/>
                <w:noProof/>
                <w:webHidden/>
                <w:sz w:val="24"/>
                <w:szCs w:val="24"/>
              </w:rPr>
              <w:fldChar w:fldCharType="end"/>
            </w:r>
          </w:hyperlink>
        </w:p>
        <w:p w14:paraId="73902B3B" w14:textId="4CDCA1CC" w:rsidR="00A22CC2" w:rsidRPr="00A22CC2" w:rsidRDefault="00000000" w:rsidP="00A22CC2">
          <w:pPr>
            <w:pStyle w:val="TOC2"/>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20" w:history="1">
            <w:r w:rsidR="00A22CC2" w:rsidRPr="00A22CC2">
              <w:rPr>
                <w:rStyle w:val="Hyperlink"/>
                <w:rFonts w:ascii="Times New Roman" w:hAnsi="Times New Roman" w:cs="Times New Roman"/>
                <w:noProof/>
                <w:sz w:val="24"/>
                <w:szCs w:val="24"/>
              </w:rPr>
              <w:t>5.5 Strategic Relevance</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_Toc214728220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20</w:t>
            </w:r>
            <w:r w:rsidR="00A22CC2" w:rsidRPr="00A22CC2">
              <w:rPr>
                <w:rFonts w:ascii="Times New Roman" w:hAnsi="Times New Roman" w:cs="Times New Roman"/>
                <w:noProof/>
                <w:webHidden/>
                <w:sz w:val="24"/>
                <w:szCs w:val="24"/>
              </w:rPr>
              <w:fldChar w:fldCharType="end"/>
            </w:r>
          </w:hyperlink>
        </w:p>
        <w:p w14:paraId="7CD7786E" w14:textId="4516394A" w:rsidR="00A22CC2" w:rsidRPr="00A22CC2" w:rsidRDefault="00000000"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21" w:history="1">
            <w:r w:rsidR="00A22CC2" w:rsidRPr="00A22CC2">
              <w:rPr>
                <w:rStyle w:val="Hyperlink"/>
                <w:rFonts w:ascii="Times New Roman" w:hAnsi="Times New Roman" w:cs="Times New Roman"/>
                <w:noProof/>
                <w:sz w:val="24"/>
                <w:szCs w:val="24"/>
              </w:rPr>
              <w:t>6. Conclusion</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_Toc214728221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20</w:t>
            </w:r>
            <w:r w:rsidR="00A22CC2" w:rsidRPr="00A22CC2">
              <w:rPr>
                <w:rFonts w:ascii="Times New Roman" w:hAnsi="Times New Roman" w:cs="Times New Roman"/>
                <w:noProof/>
                <w:webHidden/>
                <w:sz w:val="24"/>
                <w:szCs w:val="24"/>
              </w:rPr>
              <w:fldChar w:fldCharType="end"/>
            </w:r>
          </w:hyperlink>
        </w:p>
        <w:p w14:paraId="713419DB" w14:textId="2C5BEEE4" w:rsidR="00A22CC2" w:rsidRPr="00A22CC2" w:rsidRDefault="00000000" w:rsidP="00A22CC2">
          <w:pPr>
            <w:pStyle w:val="TOC1"/>
            <w:tabs>
              <w:tab w:val="right" w:leader="dot" w:pos="9350"/>
            </w:tabs>
            <w:spacing w:line="360" w:lineRule="auto"/>
            <w:jc w:val="both"/>
            <w:rPr>
              <w:rFonts w:ascii="Times New Roman" w:hAnsi="Times New Roman" w:cs="Times New Roman"/>
              <w:noProof/>
              <w:kern w:val="2"/>
              <w:sz w:val="24"/>
              <w:szCs w:val="24"/>
              <w:lang w:eastAsia="en-GB"/>
              <w14:ligatures w14:val="standardContextual"/>
            </w:rPr>
          </w:pPr>
          <w:hyperlink w:anchor="_Toc214728222" w:history="1">
            <w:r w:rsidR="00A22CC2" w:rsidRPr="00A22CC2">
              <w:rPr>
                <w:rStyle w:val="Hyperlink"/>
                <w:rFonts w:ascii="Times New Roman" w:hAnsi="Times New Roman" w:cs="Times New Roman"/>
                <w:noProof/>
                <w:sz w:val="24"/>
                <w:szCs w:val="24"/>
              </w:rPr>
              <w:t>References</w:t>
            </w:r>
            <w:r w:rsidR="00A22CC2" w:rsidRPr="00A22CC2">
              <w:rPr>
                <w:rFonts w:ascii="Times New Roman" w:hAnsi="Times New Roman" w:cs="Times New Roman"/>
                <w:noProof/>
                <w:webHidden/>
                <w:sz w:val="24"/>
                <w:szCs w:val="24"/>
              </w:rPr>
              <w:tab/>
            </w:r>
            <w:r w:rsidR="00A22CC2" w:rsidRPr="00A22CC2">
              <w:rPr>
                <w:rFonts w:ascii="Times New Roman" w:hAnsi="Times New Roman" w:cs="Times New Roman"/>
                <w:noProof/>
                <w:webHidden/>
                <w:sz w:val="24"/>
                <w:szCs w:val="24"/>
              </w:rPr>
              <w:fldChar w:fldCharType="begin"/>
            </w:r>
            <w:r w:rsidR="00A22CC2" w:rsidRPr="00A22CC2">
              <w:rPr>
                <w:rFonts w:ascii="Times New Roman" w:hAnsi="Times New Roman" w:cs="Times New Roman"/>
                <w:noProof/>
                <w:webHidden/>
                <w:sz w:val="24"/>
                <w:szCs w:val="24"/>
              </w:rPr>
              <w:instrText xml:space="preserve"> PAGEREF _Toc214728222 \h </w:instrText>
            </w:r>
            <w:r w:rsidR="00A22CC2" w:rsidRPr="00A22CC2">
              <w:rPr>
                <w:rFonts w:ascii="Times New Roman" w:hAnsi="Times New Roman" w:cs="Times New Roman"/>
                <w:noProof/>
                <w:webHidden/>
                <w:sz w:val="24"/>
                <w:szCs w:val="24"/>
              </w:rPr>
            </w:r>
            <w:r w:rsidR="00A22CC2" w:rsidRPr="00A22CC2">
              <w:rPr>
                <w:rFonts w:ascii="Times New Roman" w:hAnsi="Times New Roman" w:cs="Times New Roman"/>
                <w:noProof/>
                <w:webHidden/>
                <w:sz w:val="24"/>
                <w:szCs w:val="24"/>
              </w:rPr>
              <w:fldChar w:fldCharType="separate"/>
            </w:r>
            <w:r w:rsidR="00EC2810">
              <w:rPr>
                <w:rFonts w:ascii="Times New Roman" w:hAnsi="Times New Roman" w:cs="Times New Roman"/>
                <w:noProof/>
                <w:webHidden/>
                <w:sz w:val="24"/>
                <w:szCs w:val="24"/>
              </w:rPr>
              <w:t>22</w:t>
            </w:r>
            <w:r w:rsidR="00A22CC2" w:rsidRPr="00A22CC2">
              <w:rPr>
                <w:rFonts w:ascii="Times New Roman" w:hAnsi="Times New Roman" w:cs="Times New Roman"/>
                <w:noProof/>
                <w:webHidden/>
                <w:sz w:val="24"/>
                <w:szCs w:val="24"/>
              </w:rPr>
              <w:fldChar w:fldCharType="end"/>
            </w:r>
          </w:hyperlink>
        </w:p>
        <w:p w14:paraId="785BD1F0" w14:textId="76D0D72C" w:rsidR="003F736C" w:rsidRPr="00AA73C3" w:rsidRDefault="003F736C" w:rsidP="00A22CC2">
          <w:pPr>
            <w:spacing w:line="360" w:lineRule="auto"/>
            <w:jc w:val="both"/>
            <w:rPr>
              <w:rFonts w:ascii="Times New Roman" w:hAnsi="Times New Roman" w:cs="Times New Roman"/>
              <w:sz w:val="24"/>
              <w:szCs w:val="24"/>
            </w:rPr>
          </w:pPr>
          <w:r w:rsidRPr="00A22CC2">
            <w:rPr>
              <w:rFonts w:ascii="Times New Roman" w:hAnsi="Times New Roman" w:cs="Times New Roman"/>
              <w:b/>
              <w:bCs/>
              <w:noProof/>
              <w:sz w:val="24"/>
              <w:szCs w:val="24"/>
            </w:rPr>
            <w:fldChar w:fldCharType="end"/>
          </w:r>
        </w:p>
      </w:sdtContent>
    </w:sdt>
    <w:p w14:paraId="20AD3553" w14:textId="2FE3762A" w:rsidR="003F736C" w:rsidRPr="00AA73C3" w:rsidRDefault="003F736C" w:rsidP="00AA73C3">
      <w:pPr>
        <w:spacing w:line="360" w:lineRule="auto"/>
        <w:jc w:val="both"/>
        <w:rPr>
          <w:rFonts w:ascii="Times New Roman" w:hAnsi="Times New Roman" w:cs="Times New Roman"/>
          <w:sz w:val="24"/>
          <w:szCs w:val="24"/>
        </w:rPr>
      </w:pPr>
      <w:r w:rsidRPr="00AA73C3">
        <w:rPr>
          <w:rFonts w:ascii="Times New Roman" w:hAnsi="Times New Roman" w:cs="Times New Roman"/>
          <w:sz w:val="24"/>
          <w:szCs w:val="24"/>
        </w:rPr>
        <w:br w:type="page"/>
      </w:r>
    </w:p>
    <w:p w14:paraId="2D9BBADF" w14:textId="27EA38A5" w:rsidR="00266AD2" w:rsidRPr="00AA73C3" w:rsidRDefault="00266AD2" w:rsidP="00AA73C3">
      <w:pPr>
        <w:pStyle w:val="Heading1"/>
        <w:spacing w:line="360" w:lineRule="auto"/>
        <w:jc w:val="both"/>
        <w:rPr>
          <w:rFonts w:ascii="Times New Roman" w:hAnsi="Times New Roman" w:cs="Times New Roman"/>
          <w:sz w:val="24"/>
          <w:szCs w:val="24"/>
        </w:rPr>
      </w:pPr>
      <w:bookmarkStart w:id="0" w:name="_Toc214728186"/>
      <w:r w:rsidRPr="00AA73C3">
        <w:rPr>
          <w:rFonts w:ascii="Times New Roman" w:hAnsi="Times New Roman" w:cs="Times New Roman"/>
          <w:sz w:val="24"/>
          <w:szCs w:val="24"/>
        </w:rPr>
        <w:lastRenderedPageBreak/>
        <w:t>1. Introduction and Organisational Overview</w:t>
      </w:r>
      <w:bookmarkEnd w:id="0"/>
      <w:r w:rsidRPr="00AA73C3">
        <w:rPr>
          <w:rFonts w:ascii="Times New Roman" w:hAnsi="Times New Roman" w:cs="Times New Roman"/>
          <w:sz w:val="24"/>
          <w:szCs w:val="24"/>
        </w:rPr>
        <w:t xml:space="preserve"> </w:t>
      </w:r>
    </w:p>
    <w:p w14:paraId="34B15960" w14:textId="4D0EB744" w:rsidR="00757279" w:rsidRPr="00EC2810" w:rsidRDefault="00757279" w:rsidP="00AA73C3">
      <w:pPr>
        <w:spacing w:line="360" w:lineRule="auto"/>
        <w:jc w:val="both"/>
        <w:rPr>
          <w:rFonts w:ascii="Arial" w:hAnsi="Arial" w:cs="Arial"/>
          <w:sz w:val="22"/>
          <w:szCs w:val="22"/>
        </w:rPr>
      </w:pPr>
      <w:r w:rsidRPr="00EC2810">
        <w:rPr>
          <w:rFonts w:ascii="Arial" w:hAnsi="Arial" w:cs="Arial"/>
          <w:sz w:val="22"/>
          <w:szCs w:val="22"/>
        </w:rPr>
        <w:t xml:space="preserve">Halfords Group plc is a major UK-based retailer and service provider in the automotive, cycling, and leisure industries, which operates through an integrated network of retail outlets, autocentres, and online platforms. The company was established in 1892 and has since diversified to be a mobility business which offers products and services to its customers, which include vehicle maintenance, MOT testing, cycling equipment, and e-mobility solutions. As </w:t>
      </w:r>
      <w:r w:rsidR="000E3881" w:rsidRPr="00EC2810">
        <w:rPr>
          <w:rFonts w:ascii="Arial" w:hAnsi="Arial" w:cs="Arial"/>
          <w:sz w:val="22"/>
          <w:szCs w:val="22"/>
        </w:rPr>
        <w:t>(Halfords Group plc, 2025)</w:t>
      </w:r>
      <w:r w:rsidRPr="00EC2810">
        <w:rPr>
          <w:rFonts w:ascii="Arial" w:hAnsi="Arial" w:cs="Arial"/>
          <w:sz w:val="22"/>
          <w:szCs w:val="22"/>
        </w:rPr>
        <w:t xml:space="preserve"> suggests, the enterprise has four prevalent divisions: Retail Motoring, Retail Cycling, Autocentres, and B2B Fleet Services, with the help of a powerful omnichannel platform covering more than 90% of UK households. The company has recorded a stable growth in its revenue in FY2025 and reiterated its long-term goal of entering new markets in Europe and diversifying its revenue to follow new mobility trends.</w:t>
      </w:r>
    </w:p>
    <w:p w14:paraId="12BE97C9" w14:textId="77777777" w:rsidR="00757279" w:rsidRPr="00EC2810" w:rsidRDefault="00757279" w:rsidP="00AA73C3">
      <w:pPr>
        <w:spacing w:line="360" w:lineRule="auto"/>
        <w:jc w:val="both"/>
        <w:rPr>
          <w:rFonts w:ascii="Arial" w:hAnsi="Arial" w:cs="Arial"/>
          <w:sz w:val="22"/>
          <w:szCs w:val="22"/>
        </w:rPr>
      </w:pPr>
      <w:r w:rsidRPr="00EC2810">
        <w:rPr>
          <w:rFonts w:ascii="Arial" w:hAnsi="Arial" w:cs="Arial"/>
          <w:sz w:val="22"/>
          <w:szCs w:val="22"/>
        </w:rPr>
        <w:t>The world is changing at an accelerated rate due to the introduction of electrification of transportation, the digitalisation of shopping, and the growing environmental concern. According to McKinsey &amp; Company (2024), the automotive industry in Europe is moving towards electric cars (EVs) and sustainable transportation solutions that give significant chances to businesses that bundle mobility services with the convenience of retailing. The skills that Halfords has in terms of EV service, cycling outlet, and hybrid care models can place it in a good position to capitalise on those trends. Simultaneously, the robust digital network of the company, which is mentioned in the FY2024 Preliminary Results (Halfords Group plc, 2024), offers a base in regard to international scalability due to data-based retailing and integration of omnichannel services.</w:t>
      </w:r>
    </w:p>
    <w:p w14:paraId="34D1C0AE" w14:textId="0072B71F" w:rsidR="00757279" w:rsidRPr="00EC2810" w:rsidRDefault="00757279" w:rsidP="00AA73C3">
      <w:pPr>
        <w:spacing w:line="360" w:lineRule="auto"/>
        <w:jc w:val="both"/>
        <w:rPr>
          <w:rFonts w:ascii="Arial" w:hAnsi="Arial" w:cs="Arial"/>
          <w:sz w:val="22"/>
          <w:szCs w:val="22"/>
        </w:rPr>
      </w:pPr>
      <w:r w:rsidRPr="00EC2810">
        <w:rPr>
          <w:rFonts w:ascii="Arial" w:hAnsi="Arial" w:cs="Arial"/>
          <w:sz w:val="22"/>
          <w:szCs w:val="22"/>
        </w:rPr>
        <w:t xml:space="preserve">The market of Spain is one of the most appealing to expand, as the country boasts a fast-developing EV system, increasing cycling, and a well-established retail environment. CaixaBank Research (2024) and </w:t>
      </w:r>
      <w:r w:rsidR="000E3881" w:rsidRPr="00EC2810">
        <w:rPr>
          <w:rFonts w:ascii="Arial" w:hAnsi="Arial" w:cs="Arial"/>
          <w:sz w:val="22"/>
          <w:szCs w:val="22"/>
        </w:rPr>
        <w:t>(Velco, 2023)</w:t>
      </w:r>
      <w:r w:rsidRPr="00EC2810">
        <w:rPr>
          <w:rFonts w:ascii="Arial" w:hAnsi="Arial" w:cs="Arial"/>
          <w:sz w:val="22"/>
          <w:szCs w:val="22"/>
        </w:rPr>
        <w:t xml:space="preserve"> state that the automotive and cycling sectors in Spain are undergoing a high level of structural development, supported by government incentives for sustainable mobility and the desire of consumers to purchase e-bikes and electric vehicles. This is in line with the sustainability agenda of Halfords and its One Halfords strategy that is pegged on mobility solutions and convenience-based retailing (Halfords Group plc, 2023).</w:t>
      </w:r>
    </w:p>
    <w:p w14:paraId="64C8521D" w14:textId="6DD991B3" w:rsidR="00266AD2" w:rsidRPr="00EC2810" w:rsidRDefault="00757279" w:rsidP="00AA73C3">
      <w:pPr>
        <w:spacing w:line="360" w:lineRule="auto"/>
        <w:jc w:val="both"/>
        <w:rPr>
          <w:rFonts w:ascii="Arial" w:hAnsi="Arial" w:cs="Arial"/>
          <w:sz w:val="22"/>
          <w:szCs w:val="22"/>
        </w:rPr>
      </w:pPr>
      <w:r w:rsidRPr="00EC2810">
        <w:rPr>
          <w:rFonts w:ascii="Arial" w:hAnsi="Arial" w:cs="Arial"/>
          <w:sz w:val="22"/>
          <w:szCs w:val="22"/>
        </w:rPr>
        <w:t>This report will provide a strategic entry strategy for Halfords into Spain, by using advanced analytical frameworks to evaluate the external environment, develop a consistent entry strategy, and develop a performance evaluation framework. The analysis will show how Halfords can use its core competencies to gain a competitive presence in the Spanish market and realise sustainable international expansion.</w:t>
      </w:r>
    </w:p>
    <w:p w14:paraId="068DAF8E" w14:textId="7AA7CAA4" w:rsidR="00F602ED" w:rsidRPr="00EC2810" w:rsidRDefault="00F602ED" w:rsidP="00AA73C3">
      <w:pPr>
        <w:pStyle w:val="Heading1"/>
        <w:spacing w:line="360" w:lineRule="auto"/>
        <w:jc w:val="both"/>
        <w:rPr>
          <w:rFonts w:ascii="Arial" w:hAnsi="Arial" w:cs="Arial"/>
        </w:rPr>
      </w:pPr>
      <w:bookmarkStart w:id="1" w:name="_Toc214728187"/>
      <w:r w:rsidRPr="00EC2810">
        <w:rPr>
          <w:rFonts w:ascii="Arial" w:hAnsi="Arial" w:cs="Arial"/>
        </w:rPr>
        <w:lastRenderedPageBreak/>
        <w:t>2. Selection of Target Market and Justification</w:t>
      </w:r>
      <w:bookmarkEnd w:id="1"/>
    </w:p>
    <w:p w14:paraId="04948B5E" w14:textId="77777777" w:rsidR="00F602ED" w:rsidRPr="00EC2810" w:rsidRDefault="00F602ED" w:rsidP="00AA73C3">
      <w:pPr>
        <w:pStyle w:val="Heading2"/>
        <w:spacing w:line="360" w:lineRule="auto"/>
        <w:jc w:val="both"/>
        <w:rPr>
          <w:rFonts w:ascii="Arial" w:hAnsi="Arial" w:cs="Arial"/>
          <w:sz w:val="22"/>
          <w:szCs w:val="22"/>
        </w:rPr>
      </w:pPr>
      <w:bookmarkStart w:id="2" w:name="_Toc214728188"/>
      <w:r w:rsidRPr="00EC2810">
        <w:rPr>
          <w:rFonts w:ascii="Arial" w:hAnsi="Arial" w:cs="Arial"/>
          <w:sz w:val="22"/>
          <w:szCs w:val="22"/>
        </w:rPr>
        <w:t>2.1 Market Opportunity Context</w:t>
      </w:r>
      <w:bookmarkEnd w:id="2"/>
    </w:p>
    <w:p w14:paraId="74B7F496" w14:textId="6AF278BB" w:rsidR="00160B22" w:rsidRPr="00EC2810" w:rsidRDefault="001F2867" w:rsidP="00AA73C3">
      <w:pPr>
        <w:spacing w:line="360" w:lineRule="auto"/>
        <w:jc w:val="both"/>
        <w:rPr>
          <w:rFonts w:ascii="Arial" w:hAnsi="Arial" w:cs="Arial"/>
          <w:sz w:val="22"/>
          <w:szCs w:val="22"/>
        </w:rPr>
      </w:pPr>
      <w:r w:rsidRPr="00EC2810">
        <w:rPr>
          <w:rFonts w:ascii="Arial" w:hAnsi="Arial" w:cs="Arial"/>
          <w:sz w:val="22"/>
          <w:szCs w:val="22"/>
        </w:rPr>
        <w:t>Spain is also one of the most promising markets in terms of mobility in Europe</w:t>
      </w:r>
      <w:r w:rsidR="00EC2810">
        <w:rPr>
          <w:rFonts w:ascii="Arial" w:hAnsi="Arial" w:cs="Arial"/>
          <w:sz w:val="22"/>
          <w:szCs w:val="22"/>
        </w:rPr>
        <w:t>,</w:t>
      </w:r>
      <w:r w:rsidRPr="00EC2810">
        <w:rPr>
          <w:rFonts w:ascii="Arial" w:hAnsi="Arial" w:cs="Arial"/>
          <w:sz w:val="22"/>
          <w:szCs w:val="22"/>
        </w:rPr>
        <w:t xml:space="preserve"> because it has one of the strongest industrial chains and consumer needs, as well as growth driven by sustainability. The automotive sector of the country contributes to the GDP of almost 10 per cent, and it employs over two million individuals (CaixaBank Research, 2024). Government incentives and EU funding have seen Spain emerge as a major participant in the electric vehicle (EV) transformation of Europe, both in terms of local manufacturing and vehicle uptake by consumers. The growing role of the country in the electrification value chain is supported by major investments, including the EUR4.33 billion battery factory of EVs in Stellantis and CATL in 2024 (Reuters, 2024).</w:t>
      </w:r>
    </w:p>
    <w:p w14:paraId="502F0D63" w14:textId="033A692C" w:rsidR="00160B22" w:rsidRPr="00EC2810" w:rsidRDefault="001F2867" w:rsidP="00AA73C3">
      <w:pPr>
        <w:spacing w:line="360" w:lineRule="auto"/>
        <w:jc w:val="both"/>
        <w:rPr>
          <w:rFonts w:ascii="Arial" w:hAnsi="Arial" w:cs="Arial"/>
          <w:sz w:val="22"/>
          <w:szCs w:val="22"/>
        </w:rPr>
      </w:pPr>
      <w:r w:rsidRPr="00EC2810">
        <w:rPr>
          <w:rFonts w:ascii="Arial" w:hAnsi="Arial" w:cs="Arial"/>
          <w:sz w:val="22"/>
          <w:szCs w:val="22"/>
        </w:rPr>
        <w:t xml:space="preserve">This shift presents good grounds for Halfords, whose strategy is based on integrated mobility, which includes motoring services, EV services, and cycling retail. The </w:t>
      </w:r>
      <w:r w:rsidR="000E3881" w:rsidRPr="00EC2810">
        <w:rPr>
          <w:rFonts w:ascii="Arial" w:hAnsi="Arial" w:cs="Arial"/>
          <w:sz w:val="22"/>
          <w:szCs w:val="22"/>
        </w:rPr>
        <w:t>(Halfords Group plc, 2025)</w:t>
      </w:r>
      <w:r w:rsidRPr="00EC2810">
        <w:rPr>
          <w:rFonts w:ascii="Arial" w:hAnsi="Arial" w:cs="Arial"/>
          <w:sz w:val="22"/>
          <w:szCs w:val="22"/>
        </w:rPr>
        <w:t xml:space="preserve"> presents its model One Halfords, which is supposed to be a conglomeration of automotive servicing, bicycle retail, and powerful digital penetration. The changing automotive ecosystem in Spain fits this vision fine.</w:t>
      </w:r>
    </w:p>
    <w:p w14:paraId="38216236" w14:textId="4A97031B" w:rsidR="00160B22" w:rsidRPr="00EC2810" w:rsidRDefault="0099394A" w:rsidP="00AA73C3">
      <w:pPr>
        <w:spacing w:line="360" w:lineRule="auto"/>
        <w:jc w:val="both"/>
        <w:rPr>
          <w:rFonts w:ascii="Arial" w:hAnsi="Arial" w:cs="Arial"/>
          <w:sz w:val="22"/>
          <w:szCs w:val="22"/>
        </w:rPr>
      </w:pPr>
      <w:r w:rsidRPr="00EC2810">
        <w:rPr>
          <w:rFonts w:ascii="Arial" w:hAnsi="Arial" w:cs="Arial"/>
          <w:sz w:val="22"/>
          <w:szCs w:val="22"/>
        </w:rPr>
        <w:t xml:space="preserve">Moreover, the bicycle industry is a fast-growing one. According to </w:t>
      </w:r>
      <w:r w:rsidR="000E3881" w:rsidRPr="00EC2810">
        <w:rPr>
          <w:rFonts w:ascii="Arial" w:hAnsi="Arial" w:cs="Arial"/>
          <w:sz w:val="22"/>
          <w:szCs w:val="22"/>
        </w:rPr>
        <w:t>(Velco, 2023)</w:t>
      </w:r>
      <w:r w:rsidRPr="00EC2810">
        <w:rPr>
          <w:rFonts w:ascii="Arial" w:hAnsi="Arial" w:cs="Arial"/>
          <w:sz w:val="22"/>
          <w:szCs w:val="22"/>
        </w:rPr>
        <w:t xml:space="preserve">, Spain is ranked fifth in bicycle production in Europe, with production of 2.5 million bikes in 2022. The e-bikes have shown a strong demand, especially with the growth in sustainability and movements in urban settings. This change helps to directly serve the cycling and e-mobility divisions of Halfords that the </w:t>
      </w:r>
      <w:r w:rsidR="000E3881" w:rsidRPr="00EC2810">
        <w:rPr>
          <w:rFonts w:ascii="Arial" w:hAnsi="Arial" w:cs="Arial"/>
          <w:sz w:val="22"/>
          <w:szCs w:val="22"/>
        </w:rPr>
        <w:t>(Halfords Annual Report, 2025)</w:t>
      </w:r>
      <w:r w:rsidRPr="00EC2810">
        <w:rPr>
          <w:rFonts w:ascii="Arial" w:hAnsi="Arial" w:cs="Arial"/>
          <w:sz w:val="22"/>
          <w:szCs w:val="22"/>
        </w:rPr>
        <w:t xml:space="preserve"> singles out as growth priorities.</w:t>
      </w:r>
    </w:p>
    <w:p w14:paraId="357E4E61" w14:textId="77777777" w:rsidR="00160B22" w:rsidRPr="00EC2810" w:rsidRDefault="00160B22" w:rsidP="00AA73C3">
      <w:pPr>
        <w:pStyle w:val="Heading2"/>
        <w:spacing w:line="360" w:lineRule="auto"/>
        <w:jc w:val="both"/>
        <w:rPr>
          <w:rFonts w:ascii="Arial" w:hAnsi="Arial" w:cs="Arial"/>
          <w:sz w:val="22"/>
          <w:szCs w:val="22"/>
        </w:rPr>
      </w:pPr>
      <w:bookmarkStart w:id="3" w:name="_Toc214728189"/>
      <w:r w:rsidRPr="00EC2810">
        <w:rPr>
          <w:rFonts w:ascii="Arial" w:hAnsi="Arial" w:cs="Arial"/>
          <w:sz w:val="22"/>
          <w:szCs w:val="22"/>
        </w:rPr>
        <w:t>2.2 Sectoral Attractiveness</w:t>
      </w:r>
      <w:bookmarkEnd w:id="3"/>
    </w:p>
    <w:p w14:paraId="446C4E5C" w14:textId="3AD1FD8E" w:rsidR="00160B22" w:rsidRPr="00EC2810" w:rsidRDefault="00F77BC4" w:rsidP="00AA73C3">
      <w:pPr>
        <w:spacing w:line="360" w:lineRule="auto"/>
        <w:jc w:val="both"/>
        <w:rPr>
          <w:rFonts w:ascii="Arial" w:hAnsi="Arial" w:cs="Arial"/>
          <w:sz w:val="22"/>
          <w:szCs w:val="22"/>
        </w:rPr>
      </w:pPr>
      <w:r w:rsidRPr="00EC2810">
        <w:rPr>
          <w:rFonts w:ascii="Arial" w:hAnsi="Arial" w:cs="Arial"/>
          <w:sz w:val="22"/>
          <w:szCs w:val="22"/>
        </w:rPr>
        <w:t xml:space="preserve">The automotive and cycling market of Spain is a good complementary business with high growth opportunities. According to </w:t>
      </w:r>
      <w:r w:rsidR="000E3881" w:rsidRPr="00EC2810">
        <w:rPr>
          <w:rFonts w:ascii="Arial" w:hAnsi="Arial" w:cs="Arial"/>
          <w:sz w:val="22"/>
          <w:szCs w:val="22"/>
        </w:rPr>
        <w:t>(Euromonitor International, 2023)</w:t>
      </w:r>
      <w:r w:rsidRPr="00EC2810">
        <w:rPr>
          <w:rFonts w:ascii="Arial" w:hAnsi="Arial" w:cs="Arial"/>
          <w:sz w:val="22"/>
          <w:szCs w:val="22"/>
        </w:rPr>
        <w:t xml:space="preserve">, the vehicle repair and maintenance market is growing at approximately 4 per cent every year, which is backed by the ageing vehicle fleet and the growing number of hybrid and electric vehicles. </w:t>
      </w:r>
      <w:r w:rsidR="000E3881" w:rsidRPr="00EC2810">
        <w:rPr>
          <w:rFonts w:ascii="Arial" w:hAnsi="Arial" w:cs="Arial"/>
          <w:sz w:val="22"/>
          <w:szCs w:val="22"/>
        </w:rPr>
        <w:t>(Ministerio de Industria, 2024)</w:t>
      </w:r>
      <w:r w:rsidRPr="00EC2810">
        <w:rPr>
          <w:rFonts w:ascii="Arial" w:hAnsi="Arial" w:cs="Arial"/>
          <w:sz w:val="22"/>
          <w:szCs w:val="22"/>
        </w:rPr>
        <w:t xml:space="preserve"> documents that the number of registered vehicles in Spain is more than 35 million, which is a huge market that Halfords can target through its Autocentres.</w:t>
      </w:r>
    </w:p>
    <w:p w14:paraId="0A06FF09" w14:textId="6F8DEFAD" w:rsidR="00160B22" w:rsidRPr="00EC2810" w:rsidRDefault="003671F8" w:rsidP="00AA73C3">
      <w:pPr>
        <w:spacing w:line="360" w:lineRule="auto"/>
        <w:jc w:val="both"/>
        <w:rPr>
          <w:rFonts w:ascii="Arial" w:hAnsi="Arial" w:cs="Arial"/>
          <w:sz w:val="22"/>
          <w:szCs w:val="22"/>
        </w:rPr>
      </w:pPr>
      <w:r w:rsidRPr="00EC2810">
        <w:rPr>
          <w:rFonts w:ascii="Arial" w:hAnsi="Arial" w:cs="Arial"/>
          <w:sz w:val="22"/>
          <w:szCs w:val="22"/>
        </w:rPr>
        <w:t xml:space="preserve">Meanwhile, the biking market has emerged as a synonym of green transportation. On the one hand, the prices of bicycles on average decreased, whereas the products of superior models and </w:t>
      </w:r>
      <w:r w:rsidRPr="00EC2810">
        <w:rPr>
          <w:rFonts w:ascii="Arial" w:hAnsi="Arial" w:cs="Arial"/>
          <w:sz w:val="22"/>
          <w:szCs w:val="22"/>
        </w:rPr>
        <w:lastRenderedPageBreak/>
        <w:t xml:space="preserve">accessories have been rising in demand (CyclingIndustry.news, 2025). The </w:t>
      </w:r>
      <w:r w:rsidR="000E3881" w:rsidRPr="00EC2810">
        <w:rPr>
          <w:rFonts w:ascii="Arial" w:hAnsi="Arial" w:cs="Arial"/>
          <w:sz w:val="22"/>
          <w:szCs w:val="22"/>
        </w:rPr>
        <w:t>(Deep Market Insights, 2024)</w:t>
      </w:r>
      <w:r w:rsidRPr="00EC2810">
        <w:rPr>
          <w:rFonts w:ascii="Arial" w:hAnsi="Arial" w:cs="Arial"/>
          <w:sz w:val="22"/>
          <w:szCs w:val="22"/>
        </w:rPr>
        <w:t xml:space="preserve"> estimates a market of cycling apparel and accessories in Spain to grow 6.5</w:t>
      </w:r>
      <w:r w:rsidR="00CA0AE6" w:rsidRPr="00EC2810">
        <w:rPr>
          <w:rFonts w:ascii="Arial" w:hAnsi="Arial" w:cs="Arial"/>
          <w:sz w:val="22"/>
          <w:szCs w:val="22"/>
        </w:rPr>
        <w:t>%</w:t>
      </w:r>
      <w:r w:rsidRPr="00EC2810">
        <w:rPr>
          <w:rFonts w:ascii="Arial" w:hAnsi="Arial" w:cs="Arial"/>
          <w:sz w:val="22"/>
          <w:szCs w:val="22"/>
        </w:rPr>
        <w:t xml:space="preserve"> a year between 2025 and 2033, demonstrating a long-term and stable opportunity for the retail division of Halfords.</w:t>
      </w:r>
    </w:p>
    <w:tbl>
      <w:tblPr>
        <w:tblStyle w:val="TableGrid"/>
        <w:tblW w:w="0" w:type="auto"/>
        <w:tblLook w:val="04A0" w:firstRow="1" w:lastRow="0" w:firstColumn="1" w:lastColumn="0" w:noHBand="0" w:noVBand="1"/>
      </w:tblPr>
      <w:tblGrid>
        <w:gridCol w:w="2925"/>
        <w:gridCol w:w="2309"/>
        <w:gridCol w:w="4116"/>
      </w:tblGrid>
      <w:tr w:rsidR="00160B22" w:rsidRPr="00EC2810" w14:paraId="2E908AD0" w14:textId="77777777" w:rsidTr="00160B22">
        <w:tc>
          <w:tcPr>
            <w:tcW w:w="0" w:type="auto"/>
            <w:hideMark/>
          </w:tcPr>
          <w:p w14:paraId="4972A70E" w14:textId="77777777" w:rsidR="00160B22" w:rsidRPr="00EC2810" w:rsidRDefault="00160B22" w:rsidP="00AA73C3">
            <w:pPr>
              <w:spacing w:after="160" w:line="360" w:lineRule="auto"/>
              <w:jc w:val="both"/>
              <w:rPr>
                <w:rFonts w:ascii="Arial" w:hAnsi="Arial" w:cs="Arial"/>
                <w:b/>
                <w:bCs/>
                <w:sz w:val="22"/>
                <w:szCs w:val="22"/>
              </w:rPr>
            </w:pPr>
            <w:r w:rsidRPr="00EC2810">
              <w:rPr>
                <w:rFonts w:ascii="Arial" w:hAnsi="Arial" w:cs="Arial"/>
                <w:b/>
                <w:bCs/>
                <w:sz w:val="22"/>
                <w:szCs w:val="22"/>
              </w:rPr>
              <w:t>Key Sector Indicators (2024–2025)</w:t>
            </w:r>
          </w:p>
        </w:tc>
        <w:tc>
          <w:tcPr>
            <w:tcW w:w="0" w:type="auto"/>
            <w:hideMark/>
          </w:tcPr>
          <w:p w14:paraId="4E7F930F" w14:textId="77777777" w:rsidR="00160B22" w:rsidRPr="00EC2810" w:rsidRDefault="00160B22" w:rsidP="00AA73C3">
            <w:pPr>
              <w:spacing w:after="160" w:line="360" w:lineRule="auto"/>
              <w:jc w:val="both"/>
              <w:rPr>
                <w:rFonts w:ascii="Arial" w:hAnsi="Arial" w:cs="Arial"/>
                <w:b/>
                <w:bCs/>
                <w:sz w:val="22"/>
                <w:szCs w:val="22"/>
              </w:rPr>
            </w:pPr>
            <w:r w:rsidRPr="00EC2810">
              <w:rPr>
                <w:rFonts w:ascii="Arial" w:hAnsi="Arial" w:cs="Arial"/>
                <w:b/>
                <w:bCs/>
                <w:sz w:val="22"/>
                <w:szCs w:val="22"/>
              </w:rPr>
              <w:t>Source</w:t>
            </w:r>
          </w:p>
        </w:tc>
        <w:tc>
          <w:tcPr>
            <w:tcW w:w="0" w:type="auto"/>
            <w:hideMark/>
          </w:tcPr>
          <w:p w14:paraId="0F399186" w14:textId="77777777" w:rsidR="00160B22" w:rsidRPr="00EC2810" w:rsidRDefault="00160B22" w:rsidP="00AA73C3">
            <w:pPr>
              <w:spacing w:after="160" w:line="360" w:lineRule="auto"/>
              <w:jc w:val="both"/>
              <w:rPr>
                <w:rFonts w:ascii="Arial" w:hAnsi="Arial" w:cs="Arial"/>
                <w:b/>
                <w:bCs/>
                <w:sz w:val="22"/>
                <w:szCs w:val="22"/>
              </w:rPr>
            </w:pPr>
            <w:r w:rsidRPr="00EC2810">
              <w:rPr>
                <w:rFonts w:ascii="Arial" w:hAnsi="Arial" w:cs="Arial"/>
                <w:b/>
                <w:bCs/>
                <w:sz w:val="22"/>
                <w:szCs w:val="22"/>
              </w:rPr>
              <w:t>Implication for Halfords</w:t>
            </w:r>
          </w:p>
        </w:tc>
      </w:tr>
      <w:tr w:rsidR="00160B22" w:rsidRPr="00EC2810" w14:paraId="37FFEDBC" w14:textId="77777777" w:rsidTr="00160B22">
        <w:tc>
          <w:tcPr>
            <w:tcW w:w="0" w:type="auto"/>
            <w:hideMark/>
          </w:tcPr>
          <w:p w14:paraId="7A2A0BD3"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€4.33 billion EV battery investment</w:t>
            </w:r>
          </w:p>
        </w:tc>
        <w:tc>
          <w:tcPr>
            <w:tcW w:w="0" w:type="auto"/>
            <w:hideMark/>
          </w:tcPr>
          <w:p w14:paraId="3A149BAF" w14:textId="58A59870" w:rsidR="00160B22" w:rsidRPr="00EC2810" w:rsidRDefault="00F10228" w:rsidP="00AA73C3">
            <w:pPr>
              <w:spacing w:after="160" w:line="360" w:lineRule="auto"/>
              <w:jc w:val="both"/>
              <w:rPr>
                <w:rFonts w:ascii="Arial" w:hAnsi="Arial" w:cs="Arial"/>
                <w:sz w:val="22"/>
                <w:szCs w:val="22"/>
              </w:rPr>
            </w:pPr>
            <w:r w:rsidRPr="00EC2810">
              <w:rPr>
                <w:rFonts w:ascii="Arial" w:hAnsi="Arial" w:cs="Arial"/>
                <w:sz w:val="22"/>
                <w:szCs w:val="22"/>
              </w:rPr>
              <w:t>(</w:t>
            </w:r>
            <w:r w:rsidR="00160B22" w:rsidRPr="00EC2810">
              <w:rPr>
                <w:rFonts w:ascii="Arial" w:hAnsi="Arial" w:cs="Arial"/>
                <w:sz w:val="22"/>
                <w:szCs w:val="22"/>
              </w:rPr>
              <w:t>Reuters</w:t>
            </w:r>
            <w:r w:rsidRPr="00EC2810">
              <w:rPr>
                <w:rFonts w:ascii="Arial" w:hAnsi="Arial" w:cs="Arial"/>
                <w:sz w:val="22"/>
                <w:szCs w:val="22"/>
              </w:rPr>
              <w:t xml:space="preserve">, </w:t>
            </w:r>
            <w:r w:rsidR="00160B22" w:rsidRPr="00EC2810">
              <w:rPr>
                <w:rFonts w:ascii="Arial" w:hAnsi="Arial" w:cs="Arial"/>
                <w:sz w:val="22"/>
                <w:szCs w:val="22"/>
              </w:rPr>
              <w:t>2024)</w:t>
            </w:r>
          </w:p>
        </w:tc>
        <w:tc>
          <w:tcPr>
            <w:tcW w:w="0" w:type="auto"/>
            <w:hideMark/>
          </w:tcPr>
          <w:p w14:paraId="43A55021"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Expanding EV infrastructure aligns with Halfords’ EV service strategy</w:t>
            </w:r>
          </w:p>
        </w:tc>
      </w:tr>
      <w:tr w:rsidR="00160B22" w:rsidRPr="00EC2810" w14:paraId="3E5223F7" w14:textId="77777777" w:rsidTr="00160B22">
        <w:tc>
          <w:tcPr>
            <w:tcW w:w="0" w:type="auto"/>
            <w:hideMark/>
          </w:tcPr>
          <w:p w14:paraId="705026C7"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2.5 million bicycles produced in 2022</w:t>
            </w:r>
          </w:p>
        </w:tc>
        <w:tc>
          <w:tcPr>
            <w:tcW w:w="0" w:type="auto"/>
            <w:hideMark/>
          </w:tcPr>
          <w:p w14:paraId="4DEC8632" w14:textId="5D9591C3" w:rsidR="00160B22" w:rsidRPr="00EC2810" w:rsidRDefault="00F10228" w:rsidP="00AA73C3">
            <w:pPr>
              <w:spacing w:after="160" w:line="360" w:lineRule="auto"/>
              <w:jc w:val="both"/>
              <w:rPr>
                <w:rFonts w:ascii="Arial" w:hAnsi="Arial" w:cs="Arial"/>
                <w:sz w:val="22"/>
                <w:szCs w:val="22"/>
              </w:rPr>
            </w:pPr>
            <w:r w:rsidRPr="00EC2810">
              <w:rPr>
                <w:rFonts w:ascii="Arial" w:hAnsi="Arial" w:cs="Arial"/>
                <w:sz w:val="22"/>
                <w:szCs w:val="22"/>
              </w:rPr>
              <w:t>(</w:t>
            </w:r>
            <w:r w:rsidR="00160B22" w:rsidRPr="00EC2810">
              <w:rPr>
                <w:rFonts w:ascii="Arial" w:hAnsi="Arial" w:cs="Arial"/>
                <w:sz w:val="22"/>
                <w:szCs w:val="22"/>
              </w:rPr>
              <w:t>Eurostat</w:t>
            </w:r>
            <w:r w:rsidRPr="00EC2810">
              <w:rPr>
                <w:rFonts w:ascii="Arial" w:hAnsi="Arial" w:cs="Arial"/>
                <w:sz w:val="22"/>
                <w:szCs w:val="22"/>
              </w:rPr>
              <w:t xml:space="preserve">, </w:t>
            </w:r>
            <w:r w:rsidR="00160B22" w:rsidRPr="00EC2810">
              <w:rPr>
                <w:rFonts w:ascii="Arial" w:hAnsi="Arial" w:cs="Arial"/>
                <w:sz w:val="22"/>
                <w:szCs w:val="22"/>
              </w:rPr>
              <w:t>2023)</w:t>
            </w:r>
          </w:p>
        </w:tc>
        <w:tc>
          <w:tcPr>
            <w:tcW w:w="0" w:type="auto"/>
            <w:hideMark/>
          </w:tcPr>
          <w:p w14:paraId="05E50735"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Strong cycling culture supports retail expansion</w:t>
            </w:r>
          </w:p>
        </w:tc>
      </w:tr>
      <w:tr w:rsidR="00160B22" w:rsidRPr="00EC2810" w14:paraId="5EDD6E6F" w14:textId="77777777" w:rsidTr="00160B22">
        <w:tc>
          <w:tcPr>
            <w:tcW w:w="0" w:type="auto"/>
            <w:hideMark/>
          </w:tcPr>
          <w:p w14:paraId="703A9EE8"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+4% annual growth in vehicle maintenance</w:t>
            </w:r>
          </w:p>
        </w:tc>
        <w:tc>
          <w:tcPr>
            <w:tcW w:w="0" w:type="auto"/>
            <w:hideMark/>
          </w:tcPr>
          <w:p w14:paraId="13EF24DE" w14:textId="2E83170A" w:rsidR="00160B22" w:rsidRPr="00EC2810" w:rsidRDefault="00F10228" w:rsidP="00AA73C3">
            <w:pPr>
              <w:spacing w:after="160" w:line="360" w:lineRule="auto"/>
              <w:jc w:val="both"/>
              <w:rPr>
                <w:rFonts w:ascii="Arial" w:hAnsi="Arial" w:cs="Arial"/>
                <w:sz w:val="22"/>
                <w:szCs w:val="22"/>
              </w:rPr>
            </w:pPr>
            <w:r w:rsidRPr="00EC2810">
              <w:rPr>
                <w:rFonts w:ascii="Arial" w:hAnsi="Arial" w:cs="Arial"/>
                <w:sz w:val="22"/>
                <w:szCs w:val="22"/>
              </w:rPr>
              <w:t>(</w:t>
            </w:r>
            <w:r w:rsidR="00160B22" w:rsidRPr="00EC2810">
              <w:rPr>
                <w:rFonts w:ascii="Arial" w:hAnsi="Arial" w:cs="Arial"/>
                <w:sz w:val="22"/>
                <w:szCs w:val="22"/>
              </w:rPr>
              <w:t>Euromonitor</w:t>
            </w:r>
            <w:r w:rsidRPr="00EC2810">
              <w:rPr>
                <w:rFonts w:ascii="Arial" w:hAnsi="Arial" w:cs="Arial"/>
                <w:sz w:val="22"/>
                <w:szCs w:val="22"/>
              </w:rPr>
              <w:t xml:space="preserve">, </w:t>
            </w:r>
            <w:r w:rsidR="00160B22" w:rsidRPr="00EC2810">
              <w:rPr>
                <w:rFonts w:ascii="Arial" w:hAnsi="Arial" w:cs="Arial"/>
                <w:sz w:val="22"/>
                <w:szCs w:val="22"/>
              </w:rPr>
              <w:t>2023)</w:t>
            </w:r>
          </w:p>
        </w:tc>
        <w:tc>
          <w:tcPr>
            <w:tcW w:w="0" w:type="auto"/>
            <w:hideMark/>
          </w:tcPr>
          <w:p w14:paraId="5866126B"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Expanding market for Autocentres</w:t>
            </w:r>
          </w:p>
        </w:tc>
      </w:tr>
      <w:tr w:rsidR="00160B22" w:rsidRPr="00EC2810" w14:paraId="440AA2C5" w14:textId="77777777" w:rsidTr="00160B22">
        <w:tc>
          <w:tcPr>
            <w:tcW w:w="0" w:type="auto"/>
            <w:hideMark/>
          </w:tcPr>
          <w:p w14:paraId="6FE270D0"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6.5% CAGR in cycling apparel (2025–2033)</w:t>
            </w:r>
          </w:p>
        </w:tc>
        <w:tc>
          <w:tcPr>
            <w:tcW w:w="0" w:type="auto"/>
            <w:hideMark/>
          </w:tcPr>
          <w:p w14:paraId="5D0EC942" w14:textId="5BCCBFE7" w:rsidR="00160B22" w:rsidRPr="00EC2810" w:rsidRDefault="00F10228" w:rsidP="00AA73C3">
            <w:pPr>
              <w:spacing w:after="160" w:line="360" w:lineRule="auto"/>
              <w:jc w:val="both"/>
              <w:rPr>
                <w:rFonts w:ascii="Arial" w:hAnsi="Arial" w:cs="Arial"/>
                <w:sz w:val="22"/>
                <w:szCs w:val="22"/>
              </w:rPr>
            </w:pPr>
            <w:r w:rsidRPr="00EC2810">
              <w:rPr>
                <w:rFonts w:ascii="Arial" w:hAnsi="Arial" w:cs="Arial"/>
                <w:sz w:val="22"/>
                <w:szCs w:val="22"/>
              </w:rPr>
              <w:t>(</w:t>
            </w:r>
            <w:r w:rsidR="00160B22" w:rsidRPr="00EC2810">
              <w:rPr>
                <w:rFonts w:ascii="Arial" w:hAnsi="Arial" w:cs="Arial"/>
                <w:sz w:val="22"/>
                <w:szCs w:val="22"/>
              </w:rPr>
              <w:t>Deep Market Insights</w:t>
            </w:r>
            <w:r w:rsidRPr="00EC2810">
              <w:rPr>
                <w:rFonts w:ascii="Arial" w:hAnsi="Arial" w:cs="Arial"/>
                <w:sz w:val="22"/>
                <w:szCs w:val="22"/>
              </w:rPr>
              <w:t xml:space="preserve">, </w:t>
            </w:r>
            <w:r w:rsidR="00160B22" w:rsidRPr="00EC2810">
              <w:rPr>
                <w:rFonts w:ascii="Arial" w:hAnsi="Arial" w:cs="Arial"/>
                <w:sz w:val="22"/>
                <w:szCs w:val="22"/>
              </w:rPr>
              <w:t>2024)</w:t>
            </w:r>
          </w:p>
        </w:tc>
        <w:tc>
          <w:tcPr>
            <w:tcW w:w="0" w:type="auto"/>
            <w:hideMark/>
          </w:tcPr>
          <w:p w14:paraId="1B4BBFD2"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Retail growth potential in accessories and clothing</w:t>
            </w:r>
          </w:p>
        </w:tc>
      </w:tr>
      <w:tr w:rsidR="00160B22" w:rsidRPr="00EC2810" w14:paraId="70A4583C" w14:textId="77777777" w:rsidTr="00160B22">
        <w:tc>
          <w:tcPr>
            <w:tcW w:w="0" w:type="auto"/>
            <w:hideMark/>
          </w:tcPr>
          <w:p w14:paraId="67134458"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35 million registered vehicles</w:t>
            </w:r>
          </w:p>
        </w:tc>
        <w:tc>
          <w:tcPr>
            <w:tcW w:w="0" w:type="auto"/>
            <w:hideMark/>
          </w:tcPr>
          <w:p w14:paraId="6931C992" w14:textId="02E588A4" w:rsidR="00160B22" w:rsidRPr="00EC2810" w:rsidRDefault="00F10228" w:rsidP="00AA73C3">
            <w:pPr>
              <w:spacing w:after="160" w:line="360" w:lineRule="auto"/>
              <w:jc w:val="both"/>
              <w:rPr>
                <w:rFonts w:ascii="Arial" w:hAnsi="Arial" w:cs="Arial"/>
                <w:sz w:val="22"/>
                <w:szCs w:val="22"/>
              </w:rPr>
            </w:pPr>
            <w:r w:rsidRPr="00EC2810">
              <w:rPr>
                <w:rFonts w:ascii="Arial" w:hAnsi="Arial" w:cs="Arial"/>
                <w:sz w:val="22"/>
                <w:szCs w:val="22"/>
              </w:rPr>
              <w:t>(</w:t>
            </w:r>
            <w:r w:rsidR="00160B22" w:rsidRPr="00EC2810">
              <w:rPr>
                <w:rFonts w:ascii="Arial" w:hAnsi="Arial" w:cs="Arial"/>
                <w:sz w:val="22"/>
                <w:szCs w:val="22"/>
              </w:rPr>
              <w:t>Ministerio de Industria</w:t>
            </w:r>
            <w:r w:rsidRPr="00EC2810">
              <w:rPr>
                <w:rFonts w:ascii="Arial" w:hAnsi="Arial" w:cs="Arial"/>
                <w:sz w:val="22"/>
                <w:szCs w:val="22"/>
              </w:rPr>
              <w:t xml:space="preserve">, </w:t>
            </w:r>
            <w:r w:rsidR="00160B22" w:rsidRPr="00EC2810">
              <w:rPr>
                <w:rFonts w:ascii="Arial" w:hAnsi="Arial" w:cs="Arial"/>
                <w:sz w:val="22"/>
                <w:szCs w:val="22"/>
              </w:rPr>
              <w:t>2024)</w:t>
            </w:r>
          </w:p>
        </w:tc>
        <w:tc>
          <w:tcPr>
            <w:tcW w:w="0" w:type="auto"/>
            <w:hideMark/>
          </w:tcPr>
          <w:p w14:paraId="360ECB91"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Large, stable aftersales market</w:t>
            </w:r>
          </w:p>
        </w:tc>
      </w:tr>
      <w:tr w:rsidR="00160B22" w:rsidRPr="00EC2810" w14:paraId="5674E378" w14:textId="77777777" w:rsidTr="00160B22">
        <w:tc>
          <w:tcPr>
            <w:tcW w:w="0" w:type="auto"/>
            <w:hideMark/>
          </w:tcPr>
          <w:p w14:paraId="6BD9D87A"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82% e-commerce penetration</w:t>
            </w:r>
          </w:p>
        </w:tc>
        <w:tc>
          <w:tcPr>
            <w:tcW w:w="0" w:type="auto"/>
            <w:hideMark/>
          </w:tcPr>
          <w:p w14:paraId="1F52A2B4" w14:textId="55241BDE" w:rsidR="00160B22" w:rsidRPr="00EC2810" w:rsidRDefault="00F10228" w:rsidP="00AA73C3">
            <w:pPr>
              <w:spacing w:after="160" w:line="360" w:lineRule="auto"/>
              <w:jc w:val="both"/>
              <w:rPr>
                <w:rFonts w:ascii="Arial" w:hAnsi="Arial" w:cs="Arial"/>
                <w:sz w:val="22"/>
                <w:szCs w:val="22"/>
              </w:rPr>
            </w:pPr>
            <w:r w:rsidRPr="00EC2810">
              <w:rPr>
                <w:rFonts w:ascii="Arial" w:hAnsi="Arial" w:cs="Arial"/>
                <w:sz w:val="22"/>
                <w:szCs w:val="22"/>
              </w:rPr>
              <w:t>(</w:t>
            </w:r>
            <w:r w:rsidR="00160B22" w:rsidRPr="00EC2810">
              <w:rPr>
                <w:rFonts w:ascii="Arial" w:hAnsi="Arial" w:cs="Arial"/>
                <w:sz w:val="22"/>
                <w:szCs w:val="22"/>
              </w:rPr>
              <w:t>Ecommerce Europe</w:t>
            </w:r>
            <w:r w:rsidRPr="00EC2810">
              <w:rPr>
                <w:rFonts w:ascii="Arial" w:hAnsi="Arial" w:cs="Arial"/>
                <w:sz w:val="22"/>
                <w:szCs w:val="22"/>
              </w:rPr>
              <w:t xml:space="preserve">, </w:t>
            </w:r>
            <w:r w:rsidR="00160B22" w:rsidRPr="00EC2810">
              <w:rPr>
                <w:rFonts w:ascii="Arial" w:hAnsi="Arial" w:cs="Arial"/>
                <w:sz w:val="22"/>
                <w:szCs w:val="22"/>
              </w:rPr>
              <w:t>2024)</w:t>
            </w:r>
          </w:p>
        </w:tc>
        <w:tc>
          <w:tcPr>
            <w:tcW w:w="0" w:type="auto"/>
            <w:hideMark/>
          </w:tcPr>
          <w:p w14:paraId="403899E6" w14:textId="77777777" w:rsidR="00160B22" w:rsidRPr="00EC2810" w:rsidRDefault="00160B22" w:rsidP="00AA73C3">
            <w:pPr>
              <w:spacing w:after="160" w:line="360" w:lineRule="auto"/>
              <w:jc w:val="both"/>
              <w:rPr>
                <w:rFonts w:ascii="Arial" w:hAnsi="Arial" w:cs="Arial"/>
                <w:sz w:val="22"/>
                <w:szCs w:val="22"/>
              </w:rPr>
            </w:pPr>
            <w:r w:rsidRPr="00EC2810">
              <w:rPr>
                <w:rFonts w:ascii="Arial" w:hAnsi="Arial" w:cs="Arial"/>
                <w:sz w:val="22"/>
                <w:szCs w:val="22"/>
              </w:rPr>
              <w:t>Favourable environment for omnichannel retail</w:t>
            </w:r>
          </w:p>
        </w:tc>
      </w:tr>
    </w:tbl>
    <w:p w14:paraId="4C9CE353" w14:textId="2559A7C6" w:rsidR="00520B2A" w:rsidRPr="00EC2810" w:rsidRDefault="00520B2A" w:rsidP="00520B2A">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009F13D9" w:rsidRPr="00EC2810">
        <w:rPr>
          <w:rFonts w:ascii="Arial" w:hAnsi="Arial" w:cs="Arial"/>
          <w:noProof/>
          <w:sz w:val="22"/>
          <w:szCs w:val="22"/>
        </w:rPr>
        <w:t>1</w:t>
      </w:r>
      <w:r w:rsidR="00000000" w:rsidRPr="00EC2810">
        <w:rPr>
          <w:rFonts w:ascii="Arial" w:hAnsi="Arial" w:cs="Arial"/>
          <w:noProof/>
          <w:sz w:val="22"/>
          <w:szCs w:val="22"/>
        </w:rPr>
        <w:fldChar w:fldCharType="end"/>
      </w:r>
      <w:r w:rsidRPr="00EC2810">
        <w:rPr>
          <w:rFonts w:ascii="Arial" w:hAnsi="Arial" w:cs="Arial"/>
          <w:sz w:val="22"/>
          <w:szCs w:val="22"/>
        </w:rPr>
        <w:t>: Key Sector Indicators (Created by Author)</w:t>
      </w:r>
    </w:p>
    <w:p w14:paraId="5D476768" w14:textId="0A6B2CA8" w:rsidR="00160B22" w:rsidRPr="00EC2810" w:rsidRDefault="00160B22" w:rsidP="00AA73C3">
      <w:pPr>
        <w:pStyle w:val="Heading2"/>
        <w:spacing w:line="360" w:lineRule="auto"/>
        <w:jc w:val="both"/>
        <w:rPr>
          <w:rFonts w:ascii="Arial" w:hAnsi="Arial" w:cs="Arial"/>
          <w:sz w:val="22"/>
          <w:szCs w:val="22"/>
        </w:rPr>
      </w:pPr>
      <w:bookmarkStart w:id="4" w:name="_Toc214728190"/>
      <w:r w:rsidRPr="00EC2810">
        <w:rPr>
          <w:rFonts w:ascii="Arial" w:hAnsi="Arial" w:cs="Arial"/>
          <w:sz w:val="22"/>
          <w:szCs w:val="22"/>
        </w:rPr>
        <w:t>2.3 Strategic Fit with Halfords</w:t>
      </w:r>
      <w:bookmarkEnd w:id="4"/>
    </w:p>
    <w:p w14:paraId="4B5A1EAF" w14:textId="77777777" w:rsidR="00B333FD" w:rsidRPr="00EC2810" w:rsidRDefault="00B333FD" w:rsidP="00AA73C3">
      <w:pPr>
        <w:spacing w:line="360" w:lineRule="auto"/>
        <w:jc w:val="both"/>
        <w:rPr>
          <w:rFonts w:ascii="Arial" w:hAnsi="Arial" w:cs="Arial"/>
          <w:sz w:val="22"/>
          <w:szCs w:val="22"/>
        </w:rPr>
      </w:pPr>
      <w:r w:rsidRPr="00EC2810">
        <w:rPr>
          <w:rFonts w:ascii="Arial" w:hAnsi="Arial" w:cs="Arial"/>
          <w:sz w:val="22"/>
          <w:szCs w:val="22"/>
        </w:rPr>
        <w:t>The strengths of Halfords in its operations can be closely aligned with the changes in the market in Spain. The Preliminary Results of FY2024 of the company emphasise the effectiveness of the omnichannel approach through the combination of the physical retail and online sources. The 82% of Spanish people shopping online (Ecommerce Europe, 2024) means that Halfords' Hybrid retail model will be ideal in the country.</w:t>
      </w:r>
    </w:p>
    <w:p w14:paraId="5B57FCA2" w14:textId="33C3EB56" w:rsidR="00B333FD" w:rsidRPr="00EC2810" w:rsidRDefault="00B333FD" w:rsidP="00AA73C3">
      <w:pPr>
        <w:spacing w:line="360" w:lineRule="auto"/>
        <w:jc w:val="both"/>
        <w:rPr>
          <w:rFonts w:ascii="Arial" w:hAnsi="Arial" w:cs="Arial"/>
          <w:sz w:val="22"/>
          <w:szCs w:val="22"/>
        </w:rPr>
      </w:pPr>
      <w:r w:rsidRPr="00EC2810">
        <w:rPr>
          <w:rFonts w:ascii="Arial" w:hAnsi="Arial" w:cs="Arial"/>
          <w:sz w:val="22"/>
          <w:szCs w:val="22"/>
        </w:rPr>
        <w:t xml:space="preserve">The service experience that Halfords has in EV services and battery installation fits the Spanish shift to electric mobility. Its involvement in fleet arrangements and cycle-to-work programmes can </w:t>
      </w:r>
      <w:r w:rsidRPr="00EC2810">
        <w:rPr>
          <w:rFonts w:ascii="Arial" w:hAnsi="Arial" w:cs="Arial"/>
          <w:sz w:val="22"/>
          <w:szCs w:val="22"/>
        </w:rPr>
        <w:lastRenderedPageBreak/>
        <w:t xml:space="preserve">be used to fit into the emerging corporate mobility in Spain. Efficient supply chain and centralised logistics, which are emphasised in the </w:t>
      </w:r>
      <w:r w:rsidR="000E3881" w:rsidRPr="00EC2810">
        <w:rPr>
          <w:rFonts w:ascii="Arial" w:hAnsi="Arial" w:cs="Arial"/>
          <w:sz w:val="22"/>
          <w:szCs w:val="22"/>
        </w:rPr>
        <w:t>(Annual Report, 2025)</w:t>
      </w:r>
      <w:r w:rsidRPr="00EC2810">
        <w:rPr>
          <w:rFonts w:ascii="Arial" w:hAnsi="Arial" w:cs="Arial"/>
          <w:sz w:val="22"/>
          <w:szCs w:val="22"/>
        </w:rPr>
        <w:t>, can allow the company to scale to the European markets with ease and effectiveness in terms of cost efficiency.</w:t>
      </w:r>
    </w:p>
    <w:p w14:paraId="33163AC4" w14:textId="4CCF8221" w:rsidR="00160B22" w:rsidRPr="00EC2810" w:rsidRDefault="00B333FD" w:rsidP="00AA73C3">
      <w:pPr>
        <w:spacing w:line="360" w:lineRule="auto"/>
        <w:jc w:val="both"/>
        <w:rPr>
          <w:rFonts w:ascii="Arial" w:hAnsi="Arial" w:cs="Arial"/>
          <w:sz w:val="22"/>
          <w:szCs w:val="22"/>
        </w:rPr>
      </w:pPr>
      <w:r w:rsidRPr="00EC2810">
        <w:rPr>
          <w:rFonts w:ascii="Arial" w:hAnsi="Arial" w:cs="Arial"/>
          <w:sz w:val="22"/>
          <w:szCs w:val="22"/>
        </w:rPr>
        <w:t xml:space="preserve">Another strategy that Halfords should consider in its product diversification is the cycling boom in Spain. Increase in commuter biking and the need for e-bikes fit the product range and service delivery of Halfords. Also, </w:t>
      </w:r>
      <w:r w:rsidR="000E3881" w:rsidRPr="00EC2810">
        <w:rPr>
          <w:rFonts w:ascii="Arial" w:hAnsi="Arial" w:cs="Arial"/>
          <w:sz w:val="22"/>
          <w:szCs w:val="22"/>
        </w:rPr>
        <w:t>(McKinsey, 2023)</w:t>
      </w:r>
      <w:r w:rsidRPr="00EC2810">
        <w:rPr>
          <w:rFonts w:ascii="Arial" w:hAnsi="Arial" w:cs="Arial"/>
          <w:sz w:val="22"/>
          <w:szCs w:val="22"/>
        </w:rPr>
        <w:t xml:space="preserve"> identifies the growing importance of sustainability and the convenience of the services as a feature valued by European customers, and the focus of Halfords' brand position.</w:t>
      </w:r>
    </w:p>
    <w:p w14:paraId="76D93B28" w14:textId="77777777" w:rsidR="00160B22" w:rsidRPr="00EC2810" w:rsidRDefault="00160B22" w:rsidP="00AA73C3">
      <w:pPr>
        <w:pStyle w:val="Heading2"/>
        <w:spacing w:line="360" w:lineRule="auto"/>
        <w:jc w:val="both"/>
        <w:rPr>
          <w:rFonts w:ascii="Arial" w:hAnsi="Arial" w:cs="Arial"/>
          <w:sz w:val="22"/>
          <w:szCs w:val="22"/>
        </w:rPr>
      </w:pPr>
      <w:bookmarkStart w:id="5" w:name="_Toc214728191"/>
      <w:r w:rsidRPr="00EC2810">
        <w:rPr>
          <w:rFonts w:ascii="Arial" w:hAnsi="Arial" w:cs="Arial"/>
          <w:sz w:val="22"/>
          <w:szCs w:val="22"/>
        </w:rPr>
        <w:t>2.4 Competitive Benchmark</w:t>
      </w:r>
      <w:bookmarkEnd w:id="5"/>
    </w:p>
    <w:p w14:paraId="06BF5217" w14:textId="183D6134" w:rsidR="00160B22" w:rsidRPr="00EC2810" w:rsidRDefault="00CE0DF0" w:rsidP="00AA73C3">
      <w:pPr>
        <w:spacing w:line="360" w:lineRule="auto"/>
        <w:jc w:val="both"/>
        <w:rPr>
          <w:rFonts w:ascii="Arial" w:hAnsi="Arial" w:cs="Arial"/>
          <w:sz w:val="22"/>
          <w:szCs w:val="22"/>
        </w:rPr>
      </w:pPr>
      <w:r w:rsidRPr="00EC2810">
        <w:rPr>
          <w:rFonts w:ascii="Arial" w:hAnsi="Arial" w:cs="Arial"/>
          <w:sz w:val="22"/>
          <w:szCs w:val="22"/>
        </w:rPr>
        <w:t xml:space="preserve">The retail and service environment of Spain is the weakest, and there is a definite opportunity for an integrated mobility retailer. The major competitors are Decathlon, </w:t>
      </w:r>
      <w:proofErr w:type="spellStart"/>
      <w:r w:rsidRPr="00EC2810">
        <w:rPr>
          <w:rFonts w:ascii="Arial" w:hAnsi="Arial" w:cs="Arial"/>
          <w:sz w:val="22"/>
          <w:szCs w:val="22"/>
        </w:rPr>
        <w:t>Norauto</w:t>
      </w:r>
      <w:proofErr w:type="spellEnd"/>
      <w:r w:rsidRPr="00EC2810">
        <w:rPr>
          <w:rFonts w:ascii="Arial" w:hAnsi="Arial" w:cs="Arial"/>
          <w:sz w:val="22"/>
          <w:szCs w:val="22"/>
        </w:rPr>
        <w:t xml:space="preserve">, and the automotive department of Amazon. According to </w:t>
      </w:r>
      <w:r w:rsidR="000E3881" w:rsidRPr="00EC2810">
        <w:rPr>
          <w:rFonts w:ascii="Arial" w:hAnsi="Arial" w:cs="Arial"/>
          <w:sz w:val="22"/>
          <w:szCs w:val="22"/>
        </w:rPr>
        <w:t>(El País / Cinco Días, 2025)</w:t>
      </w:r>
      <w:r w:rsidRPr="00EC2810">
        <w:rPr>
          <w:rFonts w:ascii="Arial" w:hAnsi="Arial" w:cs="Arial"/>
          <w:sz w:val="22"/>
          <w:szCs w:val="22"/>
        </w:rPr>
        <w:t xml:space="preserve">, the profit of Decathlon in Spain is reduced by 42% because of the high level of competition and high operational costs, which are indicators of the saturation of the market in conventional retail. </w:t>
      </w:r>
      <w:proofErr w:type="spellStart"/>
      <w:r w:rsidRPr="00EC2810">
        <w:rPr>
          <w:rFonts w:ascii="Arial" w:hAnsi="Arial" w:cs="Arial"/>
          <w:sz w:val="22"/>
          <w:szCs w:val="22"/>
        </w:rPr>
        <w:t>Norauto</w:t>
      </w:r>
      <w:proofErr w:type="spellEnd"/>
      <w:r w:rsidRPr="00EC2810">
        <w:rPr>
          <w:rFonts w:ascii="Arial" w:hAnsi="Arial" w:cs="Arial"/>
          <w:sz w:val="22"/>
          <w:szCs w:val="22"/>
        </w:rPr>
        <w:t xml:space="preserve"> specialises more in servicing vehicles, but it does not have the product variety and omnichannel format that Halfords has.</w:t>
      </w:r>
    </w:p>
    <w:p w14:paraId="74BCE6D6" w14:textId="43C03347" w:rsidR="00160B22" w:rsidRPr="00EC2810" w:rsidRDefault="000546C6" w:rsidP="00AA73C3">
      <w:pPr>
        <w:spacing w:line="360" w:lineRule="auto"/>
        <w:jc w:val="both"/>
        <w:rPr>
          <w:rFonts w:ascii="Arial" w:hAnsi="Arial" w:cs="Arial"/>
          <w:sz w:val="22"/>
          <w:szCs w:val="22"/>
        </w:rPr>
      </w:pPr>
      <w:r w:rsidRPr="00EC2810">
        <w:rPr>
          <w:rFonts w:ascii="Arial" w:hAnsi="Arial" w:cs="Arial"/>
          <w:sz w:val="22"/>
          <w:szCs w:val="22"/>
        </w:rPr>
        <w:t xml:space="preserve">Halfords has a differentiation of offering motoring, cycling and retail experience through a single brand. With the service reliability and convenience based on value, this integrated model positions the company well to win both the cost-sensitive consumers and quality-sensitive consumers. As </w:t>
      </w:r>
      <w:r w:rsidR="000E3881" w:rsidRPr="00EC2810">
        <w:rPr>
          <w:rFonts w:ascii="Arial" w:hAnsi="Arial" w:cs="Arial"/>
          <w:sz w:val="22"/>
          <w:szCs w:val="22"/>
        </w:rPr>
        <w:t>(Kohli et al., 2023)</w:t>
      </w:r>
      <w:r w:rsidRPr="00EC2810">
        <w:rPr>
          <w:rFonts w:ascii="Arial" w:hAnsi="Arial" w:cs="Arial"/>
          <w:sz w:val="22"/>
          <w:szCs w:val="22"/>
        </w:rPr>
        <w:t xml:space="preserve"> and </w:t>
      </w:r>
      <w:r w:rsidR="000E3881" w:rsidRPr="00EC2810">
        <w:rPr>
          <w:rFonts w:ascii="Arial" w:hAnsi="Arial" w:cs="Arial"/>
          <w:sz w:val="22"/>
          <w:szCs w:val="22"/>
        </w:rPr>
        <w:t>(Thomas et al., 2024)</w:t>
      </w:r>
      <w:r w:rsidRPr="00EC2810">
        <w:rPr>
          <w:rFonts w:ascii="Arial" w:hAnsi="Arial" w:cs="Arial"/>
          <w:sz w:val="22"/>
          <w:szCs w:val="22"/>
        </w:rPr>
        <w:t xml:space="preserve"> emphasise, post-pandemic retail situations favour omnichannel companies that are not overly dependent on digital interaction but focus on physical contact.</w:t>
      </w:r>
    </w:p>
    <w:p w14:paraId="0DF09F93" w14:textId="77777777" w:rsidR="00160B22" w:rsidRPr="00EC2810" w:rsidRDefault="00160B22" w:rsidP="00AA73C3">
      <w:pPr>
        <w:pStyle w:val="Heading2"/>
        <w:spacing w:line="360" w:lineRule="auto"/>
        <w:jc w:val="both"/>
        <w:rPr>
          <w:rFonts w:ascii="Arial" w:hAnsi="Arial" w:cs="Arial"/>
          <w:sz w:val="22"/>
          <w:szCs w:val="22"/>
        </w:rPr>
      </w:pPr>
      <w:bookmarkStart w:id="6" w:name="_Toc214728192"/>
      <w:r w:rsidRPr="00EC2810">
        <w:rPr>
          <w:rFonts w:ascii="Arial" w:hAnsi="Arial" w:cs="Arial"/>
          <w:sz w:val="22"/>
          <w:szCs w:val="22"/>
        </w:rPr>
        <w:t>2.5 Entry Justification Summary</w:t>
      </w:r>
      <w:bookmarkEnd w:id="6"/>
    </w:p>
    <w:p w14:paraId="390CB4B8" w14:textId="7665F28F" w:rsidR="00FF0240" w:rsidRPr="00EC2810" w:rsidRDefault="00FF0240" w:rsidP="00AA73C3">
      <w:pPr>
        <w:spacing w:line="360" w:lineRule="auto"/>
        <w:jc w:val="both"/>
        <w:rPr>
          <w:rFonts w:ascii="Arial" w:hAnsi="Arial" w:cs="Arial"/>
          <w:sz w:val="22"/>
          <w:szCs w:val="22"/>
        </w:rPr>
      </w:pPr>
      <w:r w:rsidRPr="00EC2810">
        <w:rPr>
          <w:rFonts w:ascii="Arial" w:hAnsi="Arial" w:cs="Arial"/>
          <w:sz w:val="22"/>
          <w:szCs w:val="22"/>
        </w:rPr>
        <w:t xml:space="preserve">The economic strength, sustainability initiative and customer mobility trends in Spain are very favourable to Halfords' strategic direction. According to </w:t>
      </w:r>
      <w:r w:rsidR="000E3881" w:rsidRPr="00EC2810">
        <w:rPr>
          <w:rFonts w:ascii="Arial" w:hAnsi="Arial" w:cs="Arial"/>
          <w:sz w:val="22"/>
          <w:szCs w:val="22"/>
        </w:rPr>
        <w:t>(Jackson, 2024)</w:t>
      </w:r>
      <w:r w:rsidRPr="00EC2810">
        <w:rPr>
          <w:rFonts w:ascii="Arial" w:hAnsi="Arial" w:cs="Arial"/>
          <w:sz w:val="22"/>
          <w:szCs w:val="22"/>
        </w:rPr>
        <w:t>, effective internationalisation involves the exploitation of available strengths to satisfy the requirements of customers in the local markets, which is one of the strategies that Halfords should adopt owing to its experience in retail and mobility services through the omnichannel model.</w:t>
      </w:r>
    </w:p>
    <w:p w14:paraId="5ACD19DE" w14:textId="7E4400DC" w:rsidR="00F602ED" w:rsidRPr="00EC2810" w:rsidRDefault="003C2655" w:rsidP="00AA73C3">
      <w:pPr>
        <w:spacing w:line="360" w:lineRule="auto"/>
        <w:jc w:val="both"/>
        <w:rPr>
          <w:rFonts w:ascii="Arial" w:hAnsi="Arial" w:cs="Arial"/>
          <w:sz w:val="22"/>
          <w:szCs w:val="22"/>
        </w:rPr>
      </w:pPr>
      <w:r w:rsidRPr="00EC2810">
        <w:rPr>
          <w:rFonts w:ascii="Arial" w:hAnsi="Arial" w:cs="Arial"/>
          <w:sz w:val="22"/>
          <w:szCs w:val="22"/>
        </w:rPr>
        <w:t>(Brouthers, 2022)</w:t>
      </w:r>
      <w:r w:rsidR="00FF0240" w:rsidRPr="00EC2810">
        <w:rPr>
          <w:rFonts w:ascii="Arial" w:hAnsi="Arial" w:cs="Arial"/>
          <w:sz w:val="22"/>
          <w:szCs w:val="22"/>
        </w:rPr>
        <w:t xml:space="preserve"> and </w:t>
      </w:r>
      <w:r w:rsidRPr="00EC2810">
        <w:rPr>
          <w:rFonts w:ascii="Arial" w:hAnsi="Arial" w:cs="Arial"/>
          <w:sz w:val="22"/>
          <w:szCs w:val="22"/>
        </w:rPr>
        <w:t>(Amankwah-Amoah et al., 2022)</w:t>
      </w:r>
      <w:r w:rsidR="00FF0240" w:rsidRPr="00EC2810">
        <w:rPr>
          <w:rFonts w:ascii="Arial" w:hAnsi="Arial" w:cs="Arial"/>
          <w:sz w:val="22"/>
          <w:szCs w:val="22"/>
        </w:rPr>
        <w:t xml:space="preserve"> conduct other studies that also support this method, arguing that the market knowledge and strategic fit are the determinants of foreign </w:t>
      </w:r>
      <w:r w:rsidR="00FF0240" w:rsidRPr="00EC2810">
        <w:rPr>
          <w:rFonts w:ascii="Arial" w:hAnsi="Arial" w:cs="Arial"/>
          <w:sz w:val="22"/>
          <w:szCs w:val="22"/>
        </w:rPr>
        <w:lastRenderedPageBreak/>
        <w:t>entry success. Halfords already has functioning systems, brand equity, and a digital infrastructural base that can enable it to enter Spain with the least structural interference.</w:t>
      </w:r>
    </w:p>
    <w:p w14:paraId="21B02A1D" w14:textId="761E8BD8" w:rsidR="00F602ED" w:rsidRPr="00EC2810" w:rsidRDefault="00F602ED" w:rsidP="00AA73C3">
      <w:pPr>
        <w:pStyle w:val="Heading1"/>
        <w:spacing w:line="360" w:lineRule="auto"/>
        <w:jc w:val="both"/>
        <w:rPr>
          <w:rFonts w:ascii="Arial" w:hAnsi="Arial" w:cs="Arial"/>
        </w:rPr>
      </w:pPr>
      <w:bookmarkStart w:id="7" w:name="_Toc214728193"/>
      <w:r w:rsidRPr="00EC2810">
        <w:rPr>
          <w:rFonts w:ascii="Arial" w:hAnsi="Arial" w:cs="Arial"/>
        </w:rPr>
        <w:t>3. Comprehensive Strategic Analysis</w:t>
      </w:r>
      <w:bookmarkEnd w:id="7"/>
    </w:p>
    <w:p w14:paraId="20F101FA" w14:textId="7E178CAD" w:rsidR="00B373BC" w:rsidRPr="00EC2810" w:rsidRDefault="00DC27DF" w:rsidP="00AA73C3">
      <w:pPr>
        <w:spacing w:line="360" w:lineRule="auto"/>
        <w:jc w:val="both"/>
        <w:rPr>
          <w:rFonts w:ascii="Arial" w:hAnsi="Arial" w:cs="Arial"/>
          <w:sz w:val="22"/>
          <w:szCs w:val="22"/>
        </w:rPr>
      </w:pPr>
      <w:r w:rsidRPr="00EC2810">
        <w:rPr>
          <w:rFonts w:ascii="Arial" w:hAnsi="Arial" w:cs="Arial"/>
          <w:sz w:val="22"/>
          <w:szCs w:val="22"/>
        </w:rPr>
        <w:t>In this section, a strategic discussion of the intended expansion of Halfords PLC into Spain is carried out through the integration of PESTEL, Porter's Five Forces and VRIO-SWOT synthesis to analyse the external environment, competitiveness of the industry and internal preparedness of Halfords. It ends with a critical evaluation of the tools of analysis that were used.</w:t>
      </w:r>
    </w:p>
    <w:p w14:paraId="3F6EAF9E" w14:textId="77777777" w:rsidR="00B373BC" w:rsidRPr="00EC2810" w:rsidRDefault="00B373BC" w:rsidP="00AA73C3">
      <w:pPr>
        <w:pStyle w:val="Heading2"/>
        <w:spacing w:line="360" w:lineRule="auto"/>
        <w:jc w:val="both"/>
        <w:rPr>
          <w:rFonts w:ascii="Arial" w:hAnsi="Arial" w:cs="Arial"/>
          <w:sz w:val="22"/>
          <w:szCs w:val="22"/>
        </w:rPr>
      </w:pPr>
      <w:bookmarkStart w:id="8" w:name="_Toc214728194"/>
      <w:r w:rsidRPr="00EC2810">
        <w:rPr>
          <w:rFonts w:ascii="Arial" w:hAnsi="Arial" w:cs="Arial"/>
          <w:sz w:val="22"/>
          <w:szCs w:val="22"/>
        </w:rPr>
        <w:t>3.1 PESTEL Analysis: Spain’s External Environment</w:t>
      </w:r>
      <w:bookmarkEnd w:id="8"/>
    </w:p>
    <w:p w14:paraId="14541E10" w14:textId="37A3505B" w:rsidR="00B373BC" w:rsidRPr="00EC2810" w:rsidRDefault="009057F7" w:rsidP="00AA73C3">
      <w:pPr>
        <w:spacing w:line="360" w:lineRule="auto"/>
        <w:jc w:val="both"/>
        <w:rPr>
          <w:rFonts w:ascii="Arial" w:hAnsi="Arial" w:cs="Arial"/>
          <w:sz w:val="22"/>
          <w:szCs w:val="22"/>
        </w:rPr>
      </w:pPr>
      <w:r w:rsidRPr="00EC2810">
        <w:rPr>
          <w:rFonts w:ascii="Arial" w:hAnsi="Arial" w:cs="Arial"/>
          <w:sz w:val="22"/>
          <w:szCs w:val="22"/>
        </w:rPr>
        <w:t>The PESTEL analysis assists in evaluating the macro-environmental factors of Spain in regard to the entry of Halfords.</w:t>
      </w:r>
    </w:p>
    <w:tbl>
      <w:tblPr>
        <w:tblStyle w:val="TableGrid"/>
        <w:tblW w:w="0" w:type="auto"/>
        <w:tblLook w:val="04A0" w:firstRow="1" w:lastRow="0" w:firstColumn="1" w:lastColumn="0" w:noHBand="0" w:noVBand="1"/>
      </w:tblPr>
      <w:tblGrid>
        <w:gridCol w:w="1745"/>
        <w:gridCol w:w="4582"/>
        <w:gridCol w:w="3023"/>
      </w:tblGrid>
      <w:tr w:rsidR="00B373BC" w:rsidRPr="00EC2810" w14:paraId="7FB72D50" w14:textId="77777777" w:rsidTr="00B373BC">
        <w:tc>
          <w:tcPr>
            <w:tcW w:w="0" w:type="auto"/>
            <w:hideMark/>
          </w:tcPr>
          <w:p w14:paraId="7A12013C"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Factor</w:t>
            </w:r>
          </w:p>
        </w:tc>
        <w:tc>
          <w:tcPr>
            <w:tcW w:w="0" w:type="auto"/>
            <w:hideMark/>
          </w:tcPr>
          <w:p w14:paraId="1FC64832"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Key Evidence and Data</w:t>
            </w:r>
          </w:p>
        </w:tc>
        <w:tc>
          <w:tcPr>
            <w:tcW w:w="0" w:type="auto"/>
            <w:hideMark/>
          </w:tcPr>
          <w:p w14:paraId="14CC6123"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Strategic Implication for Halfords</w:t>
            </w:r>
          </w:p>
        </w:tc>
      </w:tr>
      <w:tr w:rsidR="00B373BC" w:rsidRPr="00EC2810" w14:paraId="780FEE5D" w14:textId="77777777" w:rsidTr="00B373BC">
        <w:tc>
          <w:tcPr>
            <w:tcW w:w="0" w:type="auto"/>
            <w:hideMark/>
          </w:tcPr>
          <w:p w14:paraId="31525FB5"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Political</w:t>
            </w:r>
          </w:p>
        </w:tc>
        <w:tc>
          <w:tcPr>
            <w:tcW w:w="0" w:type="auto"/>
            <w:hideMark/>
          </w:tcPr>
          <w:p w14:paraId="402E7028"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Spain is an EU member with stable governance and a pro-business investment climate. The Spanish Government’s PERTE for Electric and Connected Vehicles allocates €4.3 billion in incentives to accelerate EV manufacturing and infrastructure (CaixaBank Research, 2024).</w:t>
            </w:r>
          </w:p>
        </w:tc>
        <w:tc>
          <w:tcPr>
            <w:tcW w:w="0" w:type="auto"/>
            <w:hideMark/>
          </w:tcPr>
          <w:p w14:paraId="50917A5C"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Stable and supportive political climate for EV and e-mobility initiatives aligns with Halfords’ expertise in EV maintenance and charging solutions.</w:t>
            </w:r>
          </w:p>
        </w:tc>
      </w:tr>
      <w:tr w:rsidR="00B373BC" w:rsidRPr="00EC2810" w14:paraId="1DA8ED3C" w14:textId="77777777" w:rsidTr="00B373BC">
        <w:tc>
          <w:tcPr>
            <w:tcW w:w="0" w:type="auto"/>
            <w:hideMark/>
          </w:tcPr>
          <w:p w14:paraId="163868EA"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Economic</w:t>
            </w:r>
          </w:p>
        </w:tc>
        <w:tc>
          <w:tcPr>
            <w:tcW w:w="0" w:type="auto"/>
            <w:hideMark/>
          </w:tcPr>
          <w:p w14:paraId="0D1D87B1"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GDP growth forecast: 2.1% for 2025 (CaixaBank Research, 2024). Unemployment at 11.7%, but inflation has fallen below 3%, boosting real disposable income. The automotive industry contributes 10% of GDP and employs over 2 million people.</w:t>
            </w:r>
          </w:p>
        </w:tc>
        <w:tc>
          <w:tcPr>
            <w:tcW w:w="0" w:type="auto"/>
            <w:hideMark/>
          </w:tcPr>
          <w:p w14:paraId="40EB4AFF"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Economic recovery and middle-class resilience support mid-priced retail segments. Strong industrial base ensures automotive supply chain access.</w:t>
            </w:r>
          </w:p>
        </w:tc>
      </w:tr>
      <w:tr w:rsidR="00B373BC" w:rsidRPr="00EC2810" w14:paraId="7D195669" w14:textId="77777777" w:rsidTr="00B373BC">
        <w:tc>
          <w:tcPr>
            <w:tcW w:w="0" w:type="auto"/>
            <w:hideMark/>
          </w:tcPr>
          <w:p w14:paraId="74A1CD0B"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Social</w:t>
            </w:r>
          </w:p>
        </w:tc>
        <w:tc>
          <w:tcPr>
            <w:tcW w:w="0" w:type="auto"/>
            <w:hideMark/>
          </w:tcPr>
          <w:p w14:paraId="7E440C50"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 xml:space="preserve">Spain’s urban cycling participation has increased by 25% between 2019 and 2024 </w:t>
            </w:r>
            <w:r w:rsidRPr="00EC2810">
              <w:rPr>
                <w:rFonts w:ascii="Arial" w:hAnsi="Arial" w:cs="Arial"/>
                <w:sz w:val="22"/>
                <w:szCs w:val="22"/>
              </w:rPr>
              <w:lastRenderedPageBreak/>
              <w:t>(Velco, 2023). Bicycle ownership now exceeds 30 bikes per 100 inhabitants (Eurostat, 2023). Health-conscious consumers are shifting to sustainable commuting.</w:t>
            </w:r>
          </w:p>
        </w:tc>
        <w:tc>
          <w:tcPr>
            <w:tcW w:w="0" w:type="auto"/>
            <w:hideMark/>
          </w:tcPr>
          <w:p w14:paraId="139959DE"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lastRenderedPageBreak/>
              <w:t xml:space="preserve">Expanding cycling culture creates market demand for </w:t>
            </w:r>
            <w:r w:rsidRPr="00EC2810">
              <w:rPr>
                <w:rFonts w:ascii="Arial" w:hAnsi="Arial" w:cs="Arial"/>
                <w:sz w:val="22"/>
                <w:szCs w:val="22"/>
              </w:rPr>
              <w:lastRenderedPageBreak/>
              <w:t xml:space="preserve">Halfords’ retail bikes, accessories, and service </w:t>
            </w:r>
            <w:proofErr w:type="spellStart"/>
            <w:r w:rsidRPr="00EC2810">
              <w:rPr>
                <w:rFonts w:ascii="Arial" w:hAnsi="Arial" w:cs="Arial"/>
                <w:sz w:val="22"/>
                <w:szCs w:val="22"/>
              </w:rPr>
              <w:t>centers</w:t>
            </w:r>
            <w:proofErr w:type="spellEnd"/>
            <w:r w:rsidRPr="00EC2810">
              <w:rPr>
                <w:rFonts w:ascii="Arial" w:hAnsi="Arial" w:cs="Arial"/>
                <w:sz w:val="22"/>
                <w:szCs w:val="22"/>
              </w:rPr>
              <w:t>.</w:t>
            </w:r>
          </w:p>
        </w:tc>
      </w:tr>
      <w:tr w:rsidR="00B373BC" w:rsidRPr="00EC2810" w14:paraId="36794B5C" w14:textId="77777777" w:rsidTr="00B373BC">
        <w:tc>
          <w:tcPr>
            <w:tcW w:w="0" w:type="auto"/>
            <w:hideMark/>
          </w:tcPr>
          <w:p w14:paraId="50150643"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lastRenderedPageBreak/>
              <w:t>Technological</w:t>
            </w:r>
          </w:p>
        </w:tc>
        <w:tc>
          <w:tcPr>
            <w:tcW w:w="0" w:type="auto"/>
            <w:hideMark/>
          </w:tcPr>
          <w:p w14:paraId="519E0597"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82% of Spaniards shop online (Ecommerce Europe, 2024). Internet penetration exceeds 94%, with 65% of e-shoppers purchasing sports or automotive products. Advanced logistics networks enable same-day delivery.</w:t>
            </w:r>
          </w:p>
        </w:tc>
        <w:tc>
          <w:tcPr>
            <w:tcW w:w="0" w:type="auto"/>
            <w:hideMark/>
          </w:tcPr>
          <w:p w14:paraId="3649561C" w14:textId="021B924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Highly conducive to Halfords’ omnichannel strategy, online ordering with in-store service and maintenance.</w:t>
            </w:r>
          </w:p>
        </w:tc>
      </w:tr>
      <w:tr w:rsidR="00B373BC" w:rsidRPr="00EC2810" w14:paraId="675014C9" w14:textId="77777777" w:rsidTr="00B373BC">
        <w:tc>
          <w:tcPr>
            <w:tcW w:w="0" w:type="auto"/>
            <w:hideMark/>
          </w:tcPr>
          <w:p w14:paraId="664CE46F"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Environmental</w:t>
            </w:r>
          </w:p>
        </w:tc>
        <w:tc>
          <w:tcPr>
            <w:tcW w:w="0" w:type="auto"/>
            <w:hideMark/>
          </w:tcPr>
          <w:p w14:paraId="2EE45243"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Spain produced 14.7 million bicycles in 2022, a 12% year-on-year increase (Eurostat, 2023). National EV registrations rose 45% in 2024, exceeding 180,000 units (Ministerio de Industria, 2024).</w:t>
            </w:r>
          </w:p>
        </w:tc>
        <w:tc>
          <w:tcPr>
            <w:tcW w:w="0" w:type="auto"/>
            <w:hideMark/>
          </w:tcPr>
          <w:p w14:paraId="0834A950"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Reinforces Halfords’ alignment with sustainability trends and low-emission mobility.</w:t>
            </w:r>
          </w:p>
        </w:tc>
      </w:tr>
      <w:tr w:rsidR="00B373BC" w:rsidRPr="00EC2810" w14:paraId="555800AC" w14:textId="77777777" w:rsidTr="00B373BC">
        <w:tc>
          <w:tcPr>
            <w:tcW w:w="0" w:type="auto"/>
            <w:hideMark/>
          </w:tcPr>
          <w:p w14:paraId="063A621A"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Legal</w:t>
            </w:r>
          </w:p>
        </w:tc>
        <w:tc>
          <w:tcPr>
            <w:tcW w:w="0" w:type="auto"/>
            <w:hideMark/>
          </w:tcPr>
          <w:p w14:paraId="08D23553"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Strong EU-aligned consumer protection and data laws (GDPR). New EV technician certifications required by 2024.</w:t>
            </w:r>
          </w:p>
        </w:tc>
        <w:tc>
          <w:tcPr>
            <w:tcW w:w="0" w:type="auto"/>
            <w:hideMark/>
          </w:tcPr>
          <w:p w14:paraId="03545546"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Halfords’ prior experience in UK and EU compliance ensures smooth adaptation to Spanish regulation.</w:t>
            </w:r>
          </w:p>
        </w:tc>
      </w:tr>
    </w:tbl>
    <w:p w14:paraId="2C1EA0B4" w14:textId="4A8414AE" w:rsidR="00B373BC" w:rsidRPr="00EC2810" w:rsidRDefault="00520B2A" w:rsidP="00520B2A">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009F13D9" w:rsidRPr="00EC2810">
        <w:rPr>
          <w:rFonts w:ascii="Arial" w:hAnsi="Arial" w:cs="Arial"/>
          <w:noProof/>
          <w:sz w:val="22"/>
          <w:szCs w:val="22"/>
        </w:rPr>
        <w:t>2</w:t>
      </w:r>
      <w:r w:rsidR="00000000" w:rsidRPr="00EC2810">
        <w:rPr>
          <w:rFonts w:ascii="Arial" w:hAnsi="Arial" w:cs="Arial"/>
          <w:noProof/>
          <w:sz w:val="22"/>
          <w:szCs w:val="22"/>
        </w:rPr>
        <w:fldChar w:fldCharType="end"/>
      </w:r>
      <w:r w:rsidRPr="00EC2810">
        <w:rPr>
          <w:rFonts w:ascii="Arial" w:hAnsi="Arial" w:cs="Arial"/>
          <w:sz w:val="22"/>
          <w:szCs w:val="22"/>
        </w:rPr>
        <w:t>: PESTLE Analysis (Created by Author)</w:t>
      </w:r>
    </w:p>
    <w:p w14:paraId="7DFD3ECA" w14:textId="77777777" w:rsidR="00B373BC" w:rsidRPr="00EC2810" w:rsidRDefault="00B373BC" w:rsidP="00AA73C3">
      <w:pPr>
        <w:pStyle w:val="Heading2"/>
        <w:spacing w:line="360" w:lineRule="auto"/>
        <w:jc w:val="both"/>
        <w:rPr>
          <w:rFonts w:ascii="Arial" w:hAnsi="Arial" w:cs="Arial"/>
          <w:sz w:val="22"/>
          <w:szCs w:val="22"/>
        </w:rPr>
      </w:pPr>
      <w:bookmarkStart w:id="9" w:name="_Toc214728195"/>
      <w:r w:rsidRPr="00EC2810">
        <w:rPr>
          <w:rFonts w:ascii="Arial" w:hAnsi="Arial" w:cs="Arial"/>
          <w:sz w:val="22"/>
          <w:szCs w:val="22"/>
        </w:rPr>
        <w:t>3.2 Porter’s Five Forces: Spanish Automotive and Cycling Retail Industry</w:t>
      </w:r>
      <w:bookmarkEnd w:id="9"/>
    </w:p>
    <w:p w14:paraId="2600C4E8" w14:textId="3966880B" w:rsidR="00B373BC" w:rsidRPr="00EC2810" w:rsidRDefault="00B373BC" w:rsidP="00AA73C3">
      <w:pPr>
        <w:pStyle w:val="Heading3"/>
        <w:spacing w:line="360" w:lineRule="auto"/>
        <w:jc w:val="both"/>
        <w:rPr>
          <w:rFonts w:ascii="Arial" w:hAnsi="Arial" w:cs="Arial"/>
          <w:sz w:val="22"/>
          <w:szCs w:val="22"/>
        </w:rPr>
      </w:pPr>
      <w:bookmarkStart w:id="10" w:name="_Toc214728196"/>
      <w:r w:rsidRPr="00EC2810">
        <w:rPr>
          <w:rFonts w:ascii="Arial" w:hAnsi="Arial" w:cs="Arial"/>
          <w:sz w:val="22"/>
          <w:szCs w:val="22"/>
        </w:rPr>
        <w:t>3.2.1 Threat of New Entrants: Moderate</w:t>
      </w:r>
      <w:bookmarkEnd w:id="10"/>
    </w:p>
    <w:p w14:paraId="775EC2AA" w14:textId="11F65DBF" w:rsidR="00B373BC" w:rsidRPr="00EC2810" w:rsidRDefault="0096162D" w:rsidP="00AA73C3">
      <w:pPr>
        <w:spacing w:line="360" w:lineRule="auto"/>
        <w:jc w:val="both"/>
        <w:rPr>
          <w:rFonts w:ascii="Arial" w:hAnsi="Arial" w:cs="Arial"/>
          <w:sz w:val="22"/>
          <w:szCs w:val="22"/>
        </w:rPr>
      </w:pPr>
      <w:r w:rsidRPr="00EC2810">
        <w:rPr>
          <w:rFonts w:ascii="Arial" w:hAnsi="Arial" w:cs="Arial"/>
          <w:sz w:val="22"/>
          <w:szCs w:val="22"/>
        </w:rPr>
        <w:t xml:space="preserve">The EUR33 billion automotive retail and repair industry of Spain (Euromonitor, 2023) is competitive but fragmented. The barriers to entry are the capital investment in the infrastructure of the service and brand awareness. Online retailing is growing very fast, though, and that works against the traditional barriers to entry. The high brand name and omnichannel nature of Halfords, with over 400 outlets in the UK and a customer satisfaction rating of more than 90% </w:t>
      </w:r>
      <w:proofErr w:type="gramStart"/>
      <w:r w:rsidRPr="00EC2810">
        <w:rPr>
          <w:rFonts w:ascii="Arial" w:hAnsi="Arial" w:cs="Arial"/>
          <w:sz w:val="22"/>
          <w:szCs w:val="22"/>
        </w:rPr>
        <w:t>( Halfords</w:t>
      </w:r>
      <w:proofErr w:type="gramEnd"/>
      <w:r w:rsidRPr="00EC2810">
        <w:rPr>
          <w:rFonts w:ascii="Arial" w:hAnsi="Arial" w:cs="Arial"/>
          <w:sz w:val="22"/>
          <w:szCs w:val="22"/>
        </w:rPr>
        <w:t xml:space="preserve"> Annual Report, 2025), provide it with a first-mover advantage over UK-based entrants.</w:t>
      </w:r>
    </w:p>
    <w:p w14:paraId="170BA8F9" w14:textId="42E6D95B" w:rsidR="00B373BC" w:rsidRPr="00EC2810" w:rsidRDefault="00B373BC" w:rsidP="00AA73C3">
      <w:pPr>
        <w:pStyle w:val="Heading3"/>
        <w:spacing w:line="360" w:lineRule="auto"/>
        <w:jc w:val="both"/>
        <w:rPr>
          <w:rFonts w:ascii="Arial" w:hAnsi="Arial" w:cs="Arial"/>
          <w:sz w:val="22"/>
          <w:szCs w:val="22"/>
        </w:rPr>
      </w:pPr>
      <w:bookmarkStart w:id="11" w:name="_Toc214728197"/>
      <w:r w:rsidRPr="00EC2810">
        <w:rPr>
          <w:rFonts w:ascii="Arial" w:hAnsi="Arial" w:cs="Arial"/>
          <w:sz w:val="22"/>
          <w:szCs w:val="22"/>
        </w:rPr>
        <w:lastRenderedPageBreak/>
        <w:t>3.2.2 Supplier Power: Moderate</w:t>
      </w:r>
      <w:bookmarkEnd w:id="11"/>
    </w:p>
    <w:p w14:paraId="095EFA8F" w14:textId="13EE24A0" w:rsidR="00B373BC" w:rsidRPr="00EC2810" w:rsidRDefault="001F2335" w:rsidP="00AA73C3">
      <w:pPr>
        <w:spacing w:line="360" w:lineRule="auto"/>
        <w:jc w:val="both"/>
        <w:rPr>
          <w:rFonts w:ascii="Arial" w:hAnsi="Arial" w:cs="Arial"/>
          <w:sz w:val="22"/>
          <w:szCs w:val="22"/>
        </w:rPr>
      </w:pPr>
      <w:r w:rsidRPr="00EC2810">
        <w:rPr>
          <w:rFonts w:ascii="Arial" w:hAnsi="Arial" w:cs="Arial"/>
          <w:sz w:val="22"/>
          <w:szCs w:val="22"/>
        </w:rPr>
        <w:t>In 2022, the local bicycle manufacturing in Spain increased to 2.5 million units (Eurostat, 2023). The EV components supply chain, though, is still import-based, and the currently built EUR4.33 billion battery plant of Stellantis and CATL is still under construction (Reuters, 2024). Halfords has long-term supplier contracts and scale, so that the costs can be controlled and the procurement can be done flexibly.</w:t>
      </w:r>
    </w:p>
    <w:p w14:paraId="0F73005D" w14:textId="68FF6C1A" w:rsidR="00B373BC" w:rsidRPr="00EC2810" w:rsidRDefault="00B373BC" w:rsidP="00AA73C3">
      <w:pPr>
        <w:pStyle w:val="Heading3"/>
        <w:spacing w:line="360" w:lineRule="auto"/>
        <w:jc w:val="both"/>
        <w:rPr>
          <w:rFonts w:ascii="Arial" w:hAnsi="Arial" w:cs="Arial"/>
          <w:sz w:val="22"/>
          <w:szCs w:val="22"/>
        </w:rPr>
      </w:pPr>
      <w:bookmarkStart w:id="12" w:name="_Toc214728198"/>
      <w:r w:rsidRPr="00EC2810">
        <w:rPr>
          <w:rFonts w:ascii="Arial" w:hAnsi="Arial" w:cs="Arial"/>
          <w:sz w:val="22"/>
          <w:szCs w:val="22"/>
        </w:rPr>
        <w:t>3.2.3 Buyer Power: High</w:t>
      </w:r>
      <w:bookmarkEnd w:id="12"/>
    </w:p>
    <w:p w14:paraId="1BBEEABC" w14:textId="6E217769" w:rsidR="00B373BC" w:rsidRPr="00EC2810" w:rsidRDefault="00285603" w:rsidP="00AA73C3">
      <w:pPr>
        <w:spacing w:line="360" w:lineRule="auto"/>
        <w:jc w:val="both"/>
        <w:rPr>
          <w:rFonts w:ascii="Arial" w:hAnsi="Arial" w:cs="Arial"/>
          <w:sz w:val="22"/>
          <w:szCs w:val="22"/>
        </w:rPr>
      </w:pPr>
      <w:r w:rsidRPr="00EC2810">
        <w:rPr>
          <w:rFonts w:ascii="Arial" w:hAnsi="Arial" w:cs="Arial"/>
          <w:sz w:val="22"/>
          <w:szCs w:val="22"/>
        </w:rPr>
        <w:t xml:space="preserve">Spanish customers are information-conscious and digital natives. </w:t>
      </w:r>
      <w:r w:rsidR="000E3881" w:rsidRPr="00EC2810">
        <w:rPr>
          <w:rFonts w:ascii="Arial" w:hAnsi="Arial" w:cs="Arial"/>
          <w:sz w:val="22"/>
          <w:szCs w:val="22"/>
        </w:rPr>
        <w:t>(Kohli et al., 2023)</w:t>
      </w:r>
      <w:r w:rsidRPr="00EC2810">
        <w:rPr>
          <w:rFonts w:ascii="Arial" w:hAnsi="Arial" w:cs="Arial"/>
          <w:sz w:val="22"/>
          <w:szCs w:val="22"/>
        </w:rPr>
        <w:t xml:space="preserve"> note that 7 out of 10 consumers in Europe check the prices online before they buy. The bargaining power of buyers is high, as 82% of Spanish households are using e-commerce. Halfords can reduce this by bundling its services, such as a free bike service, or by providing a discount on EV accessories with maintenance packages.</w:t>
      </w:r>
    </w:p>
    <w:p w14:paraId="371AA328" w14:textId="249FC3B5" w:rsidR="00B373BC" w:rsidRPr="00EC2810" w:rsidRDefault="00B373BC" w:rsidP="00AA73C3">
      <w:pPr>
        <w:pStyle w:val="Heading3"/>
        <w:spacing w:line="360" w:lineRule="auto"/>
        <w:jc w:val="both"/>
        <w:rPr>
          <w:rFonts w:ascii="Arial" w:hAnsi="Arial" w:cs="Arial"/>
          <w:sz w:val="22"/>
          <w:szCs w:val="22"/>
        </w:rPr>
      </w:pPr>
      <w:bookmarkStart w:id="13" w:name="_Toc214728199"/>
      <w:r w:rsidRPr="00EC2810">
        <w:rPr>
          <w:rFonts w:ascii="Arial" w:hAnsi="Arial" w:cs="Arial"/>
          <w:sz w:val="22"/>
          <w:szCs w:val="22"/>
        </w:rPr>
        <w:t>3.2.4 Threat of Substitutes: High</w:t>
      </w:r>
      <w:bookmarkEnd w:id="13"/>
    </w:p>
    <w:p w14:paraId="063FFD46" w14:textId="14D300A1" w:rsidR="00B373BC" w:rsidRPr="00EC2810" w:rsidRDefault="005C3F74" w:rsidP="00AA73C3">
      <w:pPr>
        <w:spacing w:line="360" w:lineRule="auto"/>
        <w:jc w:val="both"/>
        <w:rPr>
          <w:rFonts w:ascii="Arial" w:hAnsi="Arial" w:cs="Arial"/>
          <w:sz w:val="22"/>
          <w:szCs w:val="22"/>
        </w:rPr>
      </w:pPr>
      <w:r w:rsidRPr="00EC2810">
        <w:rPr>
          <w:rFonts w:ascii="Arial" w:hAnsi="Arial" w:cs="Arial"/>
          <w:sz w:val="22"/>
          <w:szCs w:val="22"/>
        </w:rPr>
        <w:t xml:space="preserve">There is strong competition with online platforms (Amazon, </w:t>
      </w:r>
      <w:proofErr w:type="spellStart"/>
      <w:r w:rsidRPr="00EC2810">
        <w:rPr>
          <w:rFonts w:ascii="Arial" w:hAnsi="Arial" w:cs="Arial"/>
          <w:sz w:val="22"/>
          <w:szCs w:val="22"/>
        </w:rPr>
        <w:t>BikeInn</w:t>
      </w:r>
      <w:proofErr w:type="spellEnd"/>
      <w:r w:rsidRPr="00EC2810">
        <w:rPr>
          <w:rFonts w:ascii="Arial" w:hAnsi="Arial" w:cs="Arial"/>
          <w:sz w:val="22"/>
          <w:szCs w:val="22"/>
        </w:rPr>
        <w:t xml:space="preserve">) and independent garages. </w:t>
      </w:r>
      <w:r w:rsidR="000E3881" w:rsidRPr="00EC2810">
        <w:rPr>
          <w:rFonts w:ascii="Arial" w:hAnsi="Arial" w:cs="Arial"/>
          <w:sz w:val="22"/>
          <w:szCs w:val="22"/>
        </w:rPr>
        <w:t>(Thomas et al., 2024)</w:t>
      </w:r>
      <w:r w:rsidRPr="00EC2810">
        <w:rPr>
          <w:rFonts w:ascii="Arial" w:hAnsi="Arial" w:cs="Arial"/>
          <w:sz w:val="22"/>
          <w:szCs w:val="22"/>
        </w:rPr>
        <w:t xml:space="preserve"> point out that the omnichannel retailers are better than pure e-commerce players as they offer localised service support. The hybrid nature of Halfords, combining online shopping with in-store service provision, offers differentiation which minimises the threats of substitution.</w:t>
      </w:r>
    </w:p>
    <w:p w14:paraId="2C7F316B" w14:textId="64F6E261" w:rsidR="00B373BC" w:rsidRPr="00EC2810" w:rsidRDefault="00B373BC" w:rsidP="00AA73C3">
      <w:pPr>
        <w:pStyle w:val="Heading3"/>
        <w:spacing w:line="360" w:lineRule="auto"/>
        <w:jc w:val="both"/>
        <w:rPr>
          <w:rFonts w:ascii="Arial" w:hAnsi="Arial" w:cs="Arial"/>
          <w:sz w:val="22"/>
          <w:szCs w:val="22"/>
        </w:rPr>
      </w:pPr>
      <w:bookmarkStart w:id="14" w:name="_Toc214728200"/>
      <w:r w:rsidRPr="00EC2810">
        <w:rPr>
          <w:rFonts w:ascii="Arial" w:hAnsi="Arial" w:cs="Arial"/>
          <w:sz w:val="22"/>
          <w:szCs w:val="22"/>
        </w:rPr>
        <w:t>3.2.5 Industry Rivalry: Intense</w:t>
      </w:r>
      <w:bookmarkEnd w:id="14"/>
    </w:p>
    <w:p w14:paraId="4F57CD35" w14:textId="36873A5F" w:rsidR="00B373BC" w:rsidRPr="00EC2810" w:rsidRDefault="00A351EF" w:rsidP="00AA73C3">
      <w:pPr>
        <w:spacing w:line="360" w:lineRule="auto"/>
        <w:jc w:val="both"/>
        <w:rPr>
          <w:rFonts w:ascii="Arial" w:hAnsi="Arial" w:cs="Arial"/>
          <w:sz w:val="22"/>
          <w:szCs w:val="22"/>
        </w:rPr>
      </w:pPr>
      <w:r w:rsidRPr="00EC2810">
        <w:rPr>
          <w:rFonts w:ascii="Arial" w:hAnsi="Arial" w:cs="Arial"/>
          <w:sz w:val="22"/>
          <w:szCs w:val="22"/>
        </w:rPr>
        <w:t xml:space="preserve">The </w:t>
      </w:r>
      <w:r w:rsidR="00583BD7" w:rsidRPr="00EC2810">
        <w:rPr>
          <w:rFonts w:ascii="Arial" w:hAnsi="Arial" w:cs="Arial"/>
          <w:sz w:val="22"/>
          <w:szCs w:val="22"/>
        </w:rPr>
        <w:t>top competitors</w:t>
      </w:r>
      <w:r w:rsidRPr="00EC2810">
        <w:rPr>
          <w:rFonts w:ascii="Arial" w:hAnsi="Arial" w:cs="Arial"/>
          <w:sz w:val="22"/>
          <w:szCs w:val="22"/>
        </w:rPr>
        <w:t xml:space="preserve"> of Spain are Decathlon (cycling), </w:t>
      </w:r>
      <w:proofErr w:type="spellStart"/>
      <w:r w:rsidRPr="00EC2810">
        <w:rPr>
          <w:rFonts w:ascii="Arial" w:hAnsi="Arial" w:cs="Arial"/>
          <w:sz w:val="22"/>
          <w:szCs w:val="22"/>
        </w:rPr>
        <w:t>Norauto</w:t>
      </w:r>
      <w:proofErr w:type="spellEnd"/>
      <w:r w:rsidRPr="00EC2810">
        <w:rPr>
          <w:rFonts w:ascii="Arial" w:hAnsi="Arial" w:cs="Arial"/>
          <w:sz w:val="22"/>
          <w:szCs w:val="22"/>
        </w:rPr>
        <w:t xml:space="preserve"> (automotive services), and Amazon (retail). According to </w:t>
      </w:r>
      <w:r w:rsidR="000E3881" w:rsidRPr="00EC2810">
        <w:rPr>
          <w:rFonts w:ascii="Arial" w:hAnsi="Arial" w:cs="Arial"/>
          <w:sz w:val="22"/>
          <w:szCs w:val="22"/>
        </w:rPr>
        <w:t>(El País / Cinco Días, 2025)</w:t>
      </w:r>
      <w:r w:rsidRPr="00EC2810">
        <w:rPr>
          <w:rFonts w:ascii="Arial" w:hAnsi="Arial" w:cs="Arial"/>
          <w:sz w:val="22"/>
          <w:szCs w:val="22"/>
        </w:rPr>
        <w:t>, Decathlon experienced a decline in profit of 42 per cent in 2025, which is caused by the margin strain and consumer price elasticity. This means there is intense competition as well as market fragmentation, something Halford can seal with its product-service offering.</w:t>
      </w:r>
    </w:p>
    <w:tbl>
      <w:tblPr>
        <w:tblStyle w:val="TableGrid"/>
        <w:tblW w:w="0" w:type="auto"/>
        <w:tblLook w:val="04A0" w:firstRow="1" w:lastRow="0" w:firstColumn="1" w:lastColumn="0" w:noHBand="0" w:noVBand="1"/>
      </w:tblPr>
      <w:tblGrid>
        <w:gridCol w:w="1708"/>
        <w:gridCol w:w="1146"/>
        <w:gridCol w:w="5145"/>
      </w:tblGrid>
      <w:tr w:rsidR="00B373BC" w:rsidRPr="00EC2810" w14:paraId="36242D02" w14:textId="77777777" w:rsidTr="00B373BC">
        <w:tc>
          <w:tcPr>
            <w:tcW w:w="0" w:type="auto"/>
            <w:hideMark/>
          </w:tcPr>
          <w:p w14:paraId="76684EE1"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Force</w:t>
            </w:r>
          </w:p>
        </w:tc>
        <w:tc>
          <w:tcPr>
            <w:tcW w:w="0" w:type="auto"/>
            <w:hideMark/>
          </w:tcPr>
          <w:p w14:paraId="1AA70BC5"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Intensity</w:t>
            </w:r>
          </w:p>
        </w:tc>
        <w:tc>
          <w:tcPr>
            <w:tcW w:w="0" w:type="auto"/>
            <w:hideMark/>
          </w:tcPr>
          <w:p w14:paraId="157B4C20"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Key Impact on Halfords</w:t>
            </w:r>
          </w:p>
        </w:tc>
      </w:tr>
      <w:tr w:rsidR="00B373BC" w:rsidRPr="00EC2810" w14:paraId="6B1EF61D" w14:textId="77777777" w:rsidTr="00B373BC">
        <w:tc>
          <w:tcPr>
            <w:tcW w:w="0" w:type="auto"/>
            <w:hideMark/>
          </w:tcPr>
          <w:p w14:paraId="24DF8736"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New Entrants</w:t>
            </w:r>
          </w:p>
        </w:tc>
        <w:tc>
          <w:tcPr>
            <w:tcW w:w="0" w:type="auto"/>
            <w:hideMark/>
          </w:tcPr>
          <w:p w14:paraId="2E52E228"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3CBAF392"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Requires capital and localisation investment</w:t>
            </w:r>
          </w:p>
        </w:tc>
      </w:tr>
      <w:tr w:rsidR="00B373BC" w:rsidRPr="00EC2810" w14:paraId="30A8B35A" w14:textId="77777777" w:rsidTr="00B373BC">
        <w:tc>
          <w:tcPr>
            <w:tcW w:w="0" w:type="auto"/>
            <w:hideMark/>
          </w:tcPr>
          <w:p w14:paraId="1DD49AB7"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Supplier Power</w:t>
            </w:r>
          </w:p>
        </w:tc>
        <w:tc>
          <w:tcPr>
            <w:tcW w:w="0" w:type="auto"/>
            <w:hideMark/>
          </w:tcPr>
          <w:p w14:paraId="004032C7"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39E8BD08"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Manageable via global procurement partnerships</w:t>
            </w:r>
          </w:p>
        </w:tc>
      </w:tr>
      <w:tr w:rsidR="00B373BC" w:rsidRPr="00EC2810" w14:paraId="5FB1C3C1" w14:textId="77777777" w:rsidTr="00B373BC">
        <w:tc>
          <w:tcPr>
            <w:tcW w:w="0" w:type="auto"/>
            <w:hideMark/>
          </w:tcPr>
          <w:p w14:paraId="52F54495"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lastRenderedPageBreak/>
              <w:t>Buyer Power</w:t>
            </w:r>
          </w:p>
        </w:tc>
        <w:tc>
          <w:tcPr>
            <w:tcW w:w="0" w:type="auto"/>
            <w:hideMark/>
          </w:tcPr>
          <w:p w14:paraId="2654ED82"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High</w:t>
            </w:r>
          </w:p>
        </w:tc>
        <w:tc>
          <w:tcPr>
            <w:tcW w:w="0" w:type="auto"/>
            <w:hideMark/>
          </w:tcPr>
          <w:p w14:paraId="232864DA"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Necessitates differentiation through service quality</w:t>
            </w:r>
          </w:p>
        </w:tc>
      </w:tr>
      <w:tr w:rsidR="00B373BC" w:rsidRPr="00EC2810" w14:paraId="720A313F" w14:textId="77777777" w:rsidTr="00B373BC">
        <w:tc>
          <w:tcPr>
            <w:tcW w:w="0" w:type="auto"/>
            <w:hideMark/>
          </w:tcPr>
          <w:p w14:paraId="41AFA4AC"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Substitutes</w:t>
            </w:r>
          </w:p>
        </w:tc>
        <w:tc>
          <w:tcPr>
            <w:tcW w:w="0" w:type="auto"/>
            <w:hideMark/>
          </w:tcPr>
          <w:p w14:paraId="0A4D20FF"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High</w:t>
            </w:r>
          </w:p>
        </w:tc>
        <w:tc>
          <w:tcPr>
            <w:tcW w:w="0" w:type="auto"/>
            <w:hideMark/>
          </w:tcPr>
          <w:p w14:paraId="4BF78731"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Omnichannel model mitigates digital substitution</w:t>
            </w:r>
          </w:p>
        </w:tc>
      </w:tr>
      <w:tr w:rsidR="00B373BC" w:rsidRPr="00EC2810" w14:paraId="0CA2C049" w14:textId="77777777" w:rsidTr="00B373BC">
        <w:tc>
          <w:tcPr>
            <w:tcW w:w="0" w:type="auto"/>
            <w:hideMark/>
          </w:tcPr>
          <w:p w14:paraId="0C1044E9"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Rivalry</w:t>
            </w:r>
          </w:p>
        </w:tc>
        <w:tc>
          <w:tcPr>
            <w:tcW w:w="0" w:type="auto"/>
            <w:hideMark/>
          </w:tcPr>
          <w:p w14:paraId="67305E68"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Intense</w:t>
            </w:r>
          </w:p>
        </w:tc>
        <w:tc>
          <w:tcPr>
            <w:tcW w:w="0" w:type="auto"/>
            <w:hideMark/>
          </w:tcPr>
          <w:p w14:paraId="45A2ABB9"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Compete via integrated services and trusted brand</w:t>
            </w:r>
          </w:p>
        </w:tc>
      </w:tr>
    </w:tbl>
    <w:p w14:paraId="03DDFBA2" w14:textId="3935EF9A" w:rsidR="00520B2A" w:rsidRPr="00EC2810" w:rsidRDefault="00520B2A" w:rsidP="00520B2A">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009F13D9" w:rsidRPr="00EC2810">
        <w:rPr>
          <w:rFonts w:ascii="Arial" w:hAnsi="Arial" w:cs="Arial"/>
          <w:noProof/>
          <w:sz w:val="22"/>
          <w:szCs w:val="22"/>
        </w:rPr>
        <w:t>3</w:t>
      </w:r>
      <w:r w:rsidR="00000000" w:rsidRPr="00EC2810">
        <w:rPr>
          <w:rFonts w:ascii="Arial" w:hAnsi="Arial" w:cs="Arial"/>
          <w:noProof/>
          <w:sz w:val="22"/>
          <w:szCs w:val="22"/>
        </w:rPr>
        <w:fldChar w:fldCharType="end"/>
      </w:r>
      <w:r w:rsidRPr="00EC2810">
        <w:rPr>
          <w:rFonts w:ascii="Arial" w:hAnsi="Arial" w:cs="Arial"/>
          <w:sz w:val="22"/>
          <w:szCs w:val="22"/>
        </w:rPr>
        <w:t>: Porter's 5 Forces (Created by Author)</w:t>
      </w:r>
    </w:p>
    <w:p w14:paraId="72FB9C5B" w14:textId="22CF402E" w:rsidR="00B373BC" w:rsidRPr="00EC2810" w:rsidRDefault="00B373BC" w:rsidP="00AA73C3">
      <w:pPr>
        <w:pStyle w:val="Heading2"/>
        <w:spacing w:line="360" w:lineRule="auto"/>
        <w:jc w:val="both"/>
        <w:rPr>
          <w:rFonts w:ascii="Arial" w:hAnsi="Arial" w:cs="Arial"/>
          <w:sz w:val="22"/>
          <w:szCs w:val="22"/>
        </w:rPr>
      </w:pPr>
      <w:bookmarkStart w:id="15" w:name="_Toc214728201"/>
      <w:r w:rsidRPr="00EC2810">
        <w:rPr>
          <w:rFonts w:ascii="Arial" w:hAnsi="Arial" w:cs="Arial"/>
          <w:sz w:val="22"/>
          <w:szCs w:val="22"/>
        </w:rPr>
        <w:t>3.3 SWOT and VRIO Synthesis: Halfords’ Internal Readiness</w:t>
      </w:r>
      <w:bookmarkEnd w:id="15"/>
    </w:p>
    <w:p w14:paraId="39AA569B" w14:textId="08DE74CB" w:rsidR="00B373BC" w:rsidRPr="00EC2810" w:rsidRDefault="005E3466" w:rsidP="00AA73C3">
      <w:pPr>
        <w:pStyle w:val="Heading3"/>
        <w:spacing w:line="360" w:lineRule="auto"/>
        <w:jc w:val="both"/>
        <w:rPr>
          <w:rFonts w:ascii="Arial" w:hAnsi="Arial" w:cs="Arial"/>
          <w:sz w:val="22"/>
          <w:szCs w:val="22"/>
        </w:rPr>
      </w:pPr>
      <w:bookmarkStart w:id="16" w:name="_Toc214728202"/>
      <w:r w:rsidRPr="00EC2810">
        <w:rPr>
          <w:rFonts w:ascii="Arial" w:hAnsi="Arial" w:cs="Arial"/>
          <w:sz w:val="22"/>
          <w:szCs w:val="22"/>
        </w:rPr>
        <w:t xml:space="preserve">3.3.1 </w:t>
      </w:r>
      <w:r w:rsidR="00B373BC" w:rsidRPr="00EC2810">
        <w:rPr>
          <w:rFonts w:ascii="Arial" w:hAnsi="Arial" w:cs="Arial"/>
          <w:sz w:val="22"/>
          <w:szCs w:val="22"/>
        </w:rPr>
        <w:t>SWOT Summary</w:t>
      </w:r>
      <w:bookmarkEnd w:id="16"/>
    </w:p>
    <w:tbl>
      <w:tblPr>
        <w:tblStyle w:val="TableGrid"/>
        <w:tblW w:w="0" w:type="auto"/>
        <w:tblLook w:val="04A0" w:firstRow="1" w:lastRow="0" w:firstColumn="1" w:lastColumn="0" w:noHBand="0" w:noVBand="1"/>
      </w:tblPr>
      <w:tblGrid>
        <w:gridCol w:w="4891"/>
        <w:gridCol w:w="4459"/>
      </w:tblGrid>
      <w:tr w:rsidR="00B373BC" w:rsidRPr="00EC2810" w14:paraId="2E233DAC" w14:textId="77777777" w:rsidTr="00B373BC">
        <w:tc>
          <w:tcPr>
            <w:tcW w:w="0" w:type="auto"/>
            <w:hideMark/>
          </w:tcPr>
          <w:p w14:paraId="56C94269"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Strengths</w:t>
            </w:r>
          </w:p>
        </w:tc>
        <w:tc>
          <w:tcPr>
            <w:tcW w:w="0" w:type="auto"/>
            <w:hideMark/>
          </w:tcPr>
          <w:p w14:paraId="0205A8A4"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Weaknesses</w:t>
            </w:r>
          </w:p>
        </w:tc>
      </w:tr>
      <w:tr w:rsidR="00B373BC" w:rsidRPr="00EC2810" w14:paraId="29748021" w14:textId="77777777" w:rsidTr="00B373BC">
        <w:tc>
          <w:tcPr>
            <w:tcW w:w="0" w:type="auto"/>
            <w:hideMark/>
          </w:tcPr>
          <w:p w14:paraId="1901BBC4"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 xml:space="preserve">• Market leader in UK motoring and cycling retail. </w:t>
            </w:r>
            <w:r w:rsidRPr="00EC2810">
              <w:rPr>
                <w:rFonts w:ascii="Arial" w:hAnsi="Arial" w:cs="Arial"/>
                <w:sz w:val="22"/>
                <w:szCs w:val="22"/>
              </w:rPr>
              <w:br/>
              <w:t xml:space="preserve">• 450+ stores, 630 garages, and strong digital capabilities. </w:t>
            </w:r>
            <w:r w:rsidRPr="00EC2810">
              <w:rPr>
                <w:rFonts w:ascii="Arial" w:hAnsi="Arial" w:cs="Arial"/>
                <w:sz w:val="22"/>
                <w:szCs w:val="22"/>
              </w:rPr>
              <w:br/>
              <w:t>• Advanced supply chain system handling 90,000 SKUs (</w:t>
            </w:r>
            <w:r w:rsidRPr="00EC2810">
              <w:rPr>
                <w:rFonts w:ascii="Arial" w:hAnsi="Arial" w:cs="Arial"/>
                <w:i/>
                <w:iCs/>
                <w:sz w:val="22"/>
                <w:szCs w:val="22"/>
              </w:rPr>
              <w:t>Halfords, 2025</w:t>
            </w:r>
            <w:r w:rsidRPr="00EC2810">
              <w:rPr>
                <w:rFonts w:ascii="Arial" w:hAnsi="Arial" w:cs="Arial"/>
                <w:sz w:val="22"/>
                <w:szCs w:val="22"/>
              </w:rPr>
              <w:t xml:space="preserve">). </w:t>
            </w:r>
            <w:r w:rsidRPr="00EC2810">
              <w:rPr>
                <w:rFonts w:ascii="Arial" w:hAnsi="Arial" w:cs="Arial"/>
                <w:sz w:val="22"/>
                <w:szCs w:val="22"/>
              </w:rPr>
              <w:br/>
              <w:t>• Expertise in EV servicing and mobility integration.</w:t>
            </w:r>
          </w:p>
        </w:tc>
        <w:tc>
          <w:tcPr>
            <w:tcW w:w="0" w:type="auto"/>
            <w:hideMark/>
          </w:tcPr>
          <w:p w14:paraId="728D153B"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 xml:space="preserve">• Limited European brand recognition. </w:t>
            </w:r>
            <w:r w:rsidRPr="00EC2810">
              <w:rPr>
                <w:rFonts w:ascii="Arial" w:hAnsi="Arial" w:cs="Arial"/>
                <w:sz w:val="22"/>
                <w:szCs w:val="22"/>
              </w:rPr>
              <w:br/>
              <w:t xml:space="preserve">• UK-centric supply network increases logistics cost. </w:t>
            </w:r>
            <w:r w:rsidRPr="00EC2810">
              <w:rPr>
                <w:rFonts w:ascii="Arial" w:hAnsi="Arial" w:cs="Arial"/>
                <w:sz w:val="22"/>
                <w:szCs w:val="22"/>
              </w:rPr>
              <w:br/>
              <w:t>• Moderate adaptation challenge due to cultural and language differences.</w:t>
            </w:r>
          </w:p>
        </w:tc>
      </w:tr>
      <w:tr w:rsidR="00B373BC" w:rsidRPr="00EC2810" w14:paraId="6E21AD19" w14:textId="77777777" w:rsidTr="00B373BC">
        <w:tc>
          <w:tcPr>
            <w:tcW w:w="0" w:type="auto"/>
            <w:hideMark/>
          </w:tcPr>
          <w:p w14:paraId="75644A07"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Opportunities</w:t>
            </w:r>
          </w:p>
        </w:tc>
        <w:tc>
          <w:tcPr>
            <w:tcW w:w="0" w:type="auto"/>
            <w:hideMark/>
          </w:tcPr>
          <w:p w14:paraId="2378D8CB"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b/>
                <w:bCs/>
                <w:sz w:val="22"/>
                <w:szCs w:val="22"/>
              </w:rPr>
              <w:t>Threats</w:t>
            </w:r>
          </w:p>
        </w:tc>
      </w:tr>
      <w:tr w:rsidR="00B373BC" w:rsidRPr="00EC2810" w14:paraId="4E05F2A9" w14:textId="77777777" w:rsidTr="00B373BC">
        <w:tc>
          <w:tcPr>
            <w:tcW w:w="0" w:type="auto"/>
            <w:hideMark/>
          </w:tcPr>
          <w:p w14:paraId="1CFA919E"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 xml:space="preserve">• Spain’s EV market projected to grow </w:t>
            </w:r>
            <w:r w:rsidRPr="00EC2810">
              <w:rPr>
                <w:rFonts w:ascii="Arial" w:hAnsi="Arial" w:cs="Arial"/>
                <w:b/>
                <w:bCs/>
                <w:sz w:val="22"/>
                <w:szCs w:val="22"/>
              </w:rPr>
              <w:t>10x by 2030</w:t>
            </w:r>
            <w:r w:rsidRPr="00EC2810">
              <w:rPr>
                <w:rFonts w:ascii="Arial" w:hAnsi="Arial" w:cs="Arial"/>
                <w:sz w:val="22"/>
                <w:szCs w:val="22"/>
              </w:rPr>
              <w:t xml:space="preserve"> (</w:t>
            </w:r>
            <w:r w:rsidRPr="00EC2810">
              <w:rPr>
                <w:rFonts w:ascii="Arial" w:hAnsi="Arial" w:cs="Arial"/>
                <w:i/>
                <w:iCs/>
                <w:sz w:val="22"/>
                <w:szCs w:val="22"/>
              </w:rPr>
              <w:t>CaixaBank Research, 2024</w:t>
            </w:r>
            <w:r w:rsidRPr="00EC2810">
              <w:rPr>
                <w:rFonts w:ascii="Arial" w:hAnsi="Arial" w:cs="Arial"/>
                <w:sz w:val="22"/>
                <w:szCs w:val="22"/>
              </w:rPr>
              <w:t xml:space="preserve">). </w:t>
            </w:r>
            <w:r w:rsidRPr="00EC2810">
              <w:rPr>
                <w:rFonts w:ascii="Arial" w:hAnsi="Arial" w:cs="Arial"/>
                <w:sz w:val="22"/>
                <w:szCs w:val="22"/>
              </w:rPr>
              <w:br/>
              <w:t xml:space="preserve">• Rising bicycle ownership and e-bike demand. </w:t>
            </w:r>
            <w:r w:rsidRPr="00EC2810">
              <w:rPr>
                <w:rFonts w:ascii="Arial" w:hAnsi="Arial" w:cs="Arial"/>
                <w:sz w:val="22"/>
                <w:szCs w:val="22"/>
              </w:rPr>
              <w:br/>
              <w:t xml:space="preserve">• E-commerce penetration of </w:t>
            </w:r>
            <w:r w:rsidRPr="00EC2810">
              <w:rPr>
                <w:rFonts w:ascii="Arial" w:hAnsi="Arial" w:cs="Arial"/>
                <w:b/>
                <w:bCs/>
                <w:sz w:val="22"/>
                <w:szCs w:val="22"/>
              </w:rPr>
              <w:t>82%</w:t>
            </w:r>
            <w:r w:rsidRPr="00EC2810">
              <w:rPr>
                <w:rFonts w:ascii="Arial" w:hAnsi="Arial" w:cs="Arial"/>
                <w:sz w:val="22"/>
                <w:szCs w:val="22"/>
              </w:rPr>
              <w:t xml:space="preserve"> supports digital growth.</w:t>
            </w:r>
          </w:p>
        </w:tc>
        <w:tc>
          <w:tcPr>
            <w:tcW w:w="0" w:type="auto"/>
            <w:hideMark/>
          </w:tcPr>
          <w:p w14:paraId="53B125DA"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 xml:space="preserve">• Strong competition from Decathlon and local garages. </w:t>
            </w:r>
            <w:r w:rsidRPr="00EC2810">
              <w:rPr>
                <w:rFonts w:ascii="Arial" w:hAnsi="Arial" w:cs="Arial"/>
                <w:sz w:val="22"/>
                <w:szCs w:val="22"/>
              </w:rPr>
              <w:br/>
              <w:t xml:space="preserve">• Price-sensitive consumer behaviour. </w:t>
            </w:r>
            <w:r w:rsidRPr="00EC2810">
              <w:rPr>
                <w:rFonts w:ascii="Arial" w:hAnsi="Arial" w:cs="Arial"/>
                <w:sz w:val="22"/>
                <w:szCs w:val="22"/>
              </w:rPr>
              <w:br/>
              <w:t>• Regulatory adjustments and compliance costs.</w:t>
            </w:r>
          </w:p>
        </w:tc>
      </w:tr>
    </w:tbl>
    <w:p w14:paraId="4E853E6B" w14:textId="25DA381E" w:rsidR="00520B2A" w:rsidRPr="00EC2810" w:rsidRDefault="00520B2A" w:rsidP="00520B2A">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009F13D9" w:rsidRPr="00EC2810">
        <w:rPr>
          <w:rFonts w:ascii="Arial" w:hAnsi="Arial" w:cs="Arial"/>
          <w:noProof/>
          <w:sz w:val="22"/>
          <w:szCs w:val="22"/>
        </w:rPr>
        <w:t>4</w:t>
      </w:r>
      <w:r w:rsidR="00000000" w:rsidRPr="00EC2810">
        <w:rPr>
          <w:rFonts w:ascii="Arial" w:hAnsi="Arial" w:cs="Arial"/>
          <w:noProof/>
          <w:sz w:val="22"/>
          <w:szCs w:val="22"/>
        </w:rPr>
        <w:fldChar w:fldCharType="end"/>
      </w:r>
      <w:r w:rsidRPr="00EC2810">
        <w:rPr>
          <w:rFonts w:ascii="Arial" w:hAnsi="Arial" w:cs="Arial"/>
          <w:sz w:val="22"/>
          <w:szCs w:val="22"/>
        </w:rPr>
        <w:t>: SWOT Analysis (Created by Author)</w:t>
      </w:r>
    </w:p>
    <w:p w14:paraId="553B2EC3" w14:textId="60238A80" w:rsidR="00B373BC" w:rsidRPr="00EC2810" w:rsidRDefault="005E3466" w:rsidP="00AA73C3">
      <w:pPr>
        <w:pStyle w:val="Heading3"/>
        <w:spacing w:line="360" w:lineRule="auto"/>
        <w:jc w:val="both"/>
        <w:rPr>
          <w:rFonts w:ascii="Arial" w:hAnsi="Arial" w:cs="Arial"/>
          <w:sz w:val="22"/>
          <w:szCs w:val="22"/>
        </w:rPr>
      </w:pPr>
      <w:bookmarkStart w:id="17" w:name="_Toc214728203"/>
      <w:r w:rsidRPr="00EC2810">
        <w:rPr>
          <w:rFonts w:ascii="Arial" w:hAnsi="Arial" w:cs="Arial"/>
          <w:sz w:val="22"/>
          <w:szCs w:val="22"/>
        </w:rPr>
        <w:t xml:space="preserve">3.3.2 </w:t>
      </w:r>
      <w:r w:rsidR="00B373BC" w:rsidRPr="00EC2810">
        <w:rPr>
          <w:rFonts w:ascii="Arial" w:hAnsi="Arial" w:cs="Arial"/>
          <w:sz w:val="22"/>
          <w:szCs w:val="22"/>
        </w:rPr>
        <w:t>VRIO Analysis</w:t>
      </w:r>
      <w:bookmarkEnd w:id="17"/>
    </w:p>
    <w:tbl>
      <w:tblPr>
        <w:tblStyle w:val="TableGrid"/>
        <w:tblW w:w="0" w:type="auto"/>
        <w:tblLook w:val="04A0" w:firstRow="1" w:lastRow="0" w:firstColumn="1" w:lastColumn="0" w:noHBand="0" w:noVBand="1"/>
      </w:tblPr>
      <w:tblGrid>
        <w:gridCol w:w="2876"/>
        <w:gridCol w:w="1121"/>
        <w:gridCol w:w="1146"/>
        <w:gridCol w:w="1243"/>
        <w:gridCol w:w="1305"/>
        <w:gridCol w:w="1659"/>
      </w:tblGrid>
      <w:tr w:rsidR="00B373BC" w:rsidRPr="00EC2810" w14:paraId="5F2EB341" w14:textId="77777777" w:rsidTr="00B373BC">
        <w:tc>
          <w:tcPr>
            <w:tcW w:w="0" w:type="auto"/>
            <w:hideMark/>
          </w:tcPr>
          <w:p w14:paraId="5A7DC1DC"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Resource/Capability</w:t>
            </w:r>
          </w:p>
        </w:tc>
        <w:tc>
          <w:tcPr>
            <w:tcW w:w="0" w:type="auto"/>
            <w:hideMark/>
          </w:tcPr>
          <w:p w14:paraId="2582F8A7"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Valuable</w:t>
            </w:r>
          </w:p>
        </w:tc>
        <w:tc>
          <w:tcPr>
            <w:tcW w:w="0" w:type="auto"/>
            <w:hideMark/>
          </w:tcPr>
          <w:p w14:paraId="2C89EF71"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Rare</w:t>
            </w:r>
          </w:p>
        </w:tc>
        <w:tc>
          <w:tcPr>
            <w:tcW w:w="0" w:type="auto"/>
            <w:hideMark/>
          </w:tcPr>
          <w:p w14:paraId="42B3948C"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Inimitable</w:t>
            </w:r>
          </w:p>
        </w:tc>
        <w:tc>
          <w:tcPr>
            <w:tcW w:w="0" w:type="auto"/>
            <w:hideMark/>
          </w:tcPr>
          <w:p w14:paraId="7E56982C"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Organised</w:t>
            </w:r>
          </w:p>
        </w:tc>
        <w:tc>
          <w:tcPr>
            <w:tcW w:w="0" w:type="auto"/>
            <w:hideMark/>
          </w:tcPr>
          <w:p w14:paraId="5B18BD9A" w14:textId="77777777" w:rsidR="00B373BC" w:rsidRPr="00EC2810" w:rsidRDefault="00B373BC" w:rsidP="00AA73C3">
            <w:pPr>
              <w:spacing w:after="160" w:line="360" w:lineRule="auto"/>
              <w:jc w:val="both"/>
              <w:rPr>
                <w:rFonts w:ascii="Arial" w:hAnsi="Arial" w:cs="Arial"/>
                <w:b/>
                <w:bCs/>
                <w:sz w:val="22"/>
                <w:szCs w:val="22"/>
              </w:rPr>
            </w:pPr>
            <w:r w:rsidRPr="00EC2810">
              <w:rPr>
                <w:rFonts w:ascii="Arial" w:hAnsi="Arial" w:cs="Arial"/>
                <w:b/>
                <w:bCs/>
                <w:sz w:val="22"/>
                <w:szCs w:val="22"/>
              </w:rPr>
              <w:t>Result</w:t>
            </w:r>
          </w:p>
        </w:tc>
      </w:tr>
      <w:tr w:rsidR="00B373BC" w:rsidRPr="00EC2810" w14:paraId="0A0F5010" w14:textId="77777777" w:rsidTr="00B373BC">
        <w:tc>
          <w:tcPr>
            <w:tcW w:w="0" w:type="auto"/>
            <w:hideMark/>
          </w:tcPr>
          <w:p w14:paraId="1D9FBD8D"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lastRenderedPageBreak/>
              <w:t>Omnichannel retail and service model</w:t>
            </w:r>
          </w:p>
        </w:tc>
        <w:tc>
          <w:tcPr>
            <w:tcW w:w="0" w:type="auto"/>
            <w:hideMark/>
          </w:tcPr>
          <w:p w14:paraId="14378425"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30D54294"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0067F805"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2FA27989"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071D4C93"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Temporary advantage</w:t>
            </w:r>
          </w:p>
        </w:tc>
      </w:tr>
      <w:tr w:rsidR="00B373BC" w:rsidRPr="00EC2810" w14:paraId="33EF44DD" w14:textId="77777777" w:rsidTr="00B373BC">
        <w:tc>
          <w:tcPr>
            <w:tcW w:w="0" w:type="auto"/>
            <w:hideMark/>
          </w:tcPr>
          <w:p w14:paraId="087F332F"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Brand reputation and trust in mobility</w:t>
            </w:r>
          </w:p>
        </w:tc>
        <w:tc>
          <w:tcPr>
            <w:tcW w:w="0" w:type="auto"/>
            <w:hideMark/>
          </w:tcPr>
          <w:p w14:paraId="12DB3C7D"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7FAC338A"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0C4234D0"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62F0D6D1"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4C6E062A"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Sustained advantage</w:t>
            </w:r>
          </w:p>
        </w:tc>
      </w:tr>
      <w:tr w:rsidR="00B373BC" w:rsidRPr="00EC2810" w14:paraId="590185A3" w14:textId="77777777" w:rsidTr="00B373BC">
        <w:tc>
          <w:tcPr>
            <w:tcW w:w="0" w:type="auto"/>
            <w:hideMark/>
          </w:tcPr>
          <w:p w14:paraId="7D319053"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Integrated supply chain &amp; logistics</w:t>
            </w:r>
          </w:p>
        </w:tc>
        <w:tc>
          <w:tcPr>
            <w:tcW w:w="0" w:type="auto"/>
            <w:hideMark/>
          </w:tcPr>
          <w:p w14:paraId="717AA946"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09BCDCA4"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2D693CF2"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3953E0B0"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61DF926F"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Sustained advantage</w:t>
            </w:r>
          </w:p>
        </w:tc>
      </w:tr>
      <w:tr w:rsidR="00B373BC" w:rsidRPr="00EC2810" w14:paraId="61096A63" w14:textId="77777777" w:rsidTr="00B373BC">
        <w:tc>
          <w:tcPr>
            <w:tcW w:w="0" w:type="auto"/>
            <w:hideMark/>
          </w:tcPr>
          <w:p w14:paraId="2A70ABD6"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EV maintenance and e-bike expertise</w:t>
            </w:r>
          </w:p>
        </w:tc>
        <w:tc>
          <w:tcPr>
            <w:tcW w:w="0" w:type="auto"/>
            <w:hideMark/>
          </w:tcPr>
          <w:p w14:paraId="3F7D009E"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398D7900"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0367D968"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420C2D8B"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683C0144"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Sustained advantage</w:t>
            </w:r>
          </w:p>
        </w:tc>
      </w:tr>
      <w:tr w:rsidR="00B373BC" w:rsidRPr="00EC2810" w14:paraId="51C3A5C7" w14:textId="77777777" w:rsidTr="00B373BC">
        <w:tc>
          <w:tcPr>
            <w:tcW w:w="0" w:type="auto"/>
            <w:hideMark/>
          </w:tcPr>
          <w:p w14:paraId="41434C41"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Data-driven retail analytics</w:t>
            </w:r>
          </w:p>
        </w:tc>
        <w:tc>
          <w:tcPr>
            <w:tcW w:w="0" w:type="auto"/>
            <w:hideMark/>
          </w:tcPr>
          <w:p w14:paraId="4DD12FDB"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6D25C105"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5C6ABC33"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05C2D336"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1E2D7A90"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Sustained advantage</w:t>
            </w:r>
          </w:p>
        </w:tc>
      </w:tr>
      <w:tr w:rsidR="00B373BC" w:rsidRPr="00EC2810" w14:paraId="143D34AD" w14:textId="77777777" w:rsidTr="00B373BC">
        <w:tc>
          <w:tcPr>
            <w:tcW w:w="0" w:type="auto"/>
            <w:hideMark/>
          </w:tcPr>
          <w:p w14:paraId="59BB975C"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B2B fleet servicing</w:t>
            </w:r>
          </w:p>
        </w:tc>
        <w:tc>
          <w:tcPr>
            <w:tcW w:w="0" w:type="auto"/>
            <w:hideMark/>
          </w:tcPr>
          <w:p w14:paraId="0CAA9CFC"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08552CFE"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46ABBDA7"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Moderate</w:t>
            </w:r>
          </w:p>
        </w:tc>
        <w:tc>
          <w:tcPr>
            <w:tcW w:w="0" w:type="auto"/>
            <w:hideMark/>
          </w:tcPr>
          <w:p w14:paraId="45977E0B"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Yes</w:t>
            </w:r>
          </w:p>
        </w:tc>
        <w:tc>
          <w:tcPr>
            <w:tcW w:w="0" w:type="auto"/>
            <w:hideMark/>
          </w:tcPr>
          <w:p w14:paraId="5FCB45AF" w14:textId="77777777" w:rsidR="00B373BC" w:rsidRPr="00EC2810" w:rsidRDefault="00B373BC" w:rsidP="00AA73C3">
            <w:pPr>
              <w:spacing w:after="160" w:line="360" w:lineRule="auto"/>
              <w:jc w:val="both"/>
              <w:rPr>
                <w:rFonts w:ascii="Arial" w:hAnsi="Arial" w:cs="Arial"/>
                <w:sz w:val="22"/>
                <w:szCs w:val="22"/>
              </w:rPr>
            </w:pPr>
            <w:r w:rsidRPr="00EC2810">
              <w:rPr>
                <w:rFonts w:ascii="Arial" w:hAnsi="Arial" w:cs="Arial"/>
                <w:sz w:val="22"/>
                <w:szCs w:val="22"/>
              </w:rPr>
              <w:t>Temporary advantage</w:t>
            </w:r>
          </w:p>
        </w:tc>
      </w:tr>
    </w:tbl>
    <w:p w14:paraId="7D2961F4" w14:textId="4920AB2C" w:rsidR="00520B2A" w:rsidRPr="00EC2810" w:rsidRDefault="00520B2A" w:rsidP="00520B2A">
      <w:pPr>
        <w:pStyle w:val="Caption"/>
        <w:rPr>
          <w:rFonts w:ascii="Arial" w:hAnsi="Arial" w:cs="Arial"/>
          <w:b w:val="0"/>
          <w:bCs w:val="0"/>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009F13D9" w:rsidRPr="00EC2810">
        <w:rPr>
          <w:rFonts w:ascii="Arial" w:hAnsi="Arial" w:cs="Arial"/>
          <w:noProof/>
          <w:sz w:val="22"/>
          <w:szCs w:val="22"/>
        </w:rPr>
        <w:t>5</w:t>
      </w:r>
      <w:r w:rsidR="00000000" w:rsidRPr="00EC2810">
        <w:rPr>
          <w:rFonts w:ascii="Arial" w:hAnsi="Arial" w:cs="Arial"/>
          <w:noProof/>
          <w:sz w:val="22"/>
          <w:szCs w:val="22"/>
        </w:rPr>
        <w:fldChar w:fldCharType="end"/>
      </w:r>
      <w:r w:rsidRPr="00EC2810">
        <w:rPr>
          <w:rFonts w:ascii="Arial" w:hAnsi="Arial" w:cs="Arial"/>
          <w:sz w:val="22"/>
          <w:szCs w:val="22"/>
        </w:rPr>
        <w:t>: VRIO Analysis (Created by Author)</w:t>
      </w:r>
    </w:p>
    <w:p w14:paraId="0B1A8C1F" w14:textId="1F78ED03" w:rsidR="00B373BC" w:rsidRPr="00EC2810" w:rsidRDefault="00B373BC" w:rsidP="00AA73C3">
      <w:pPr>
        <w:spacing w:line="360" w:lineRule="auto"/>
        <w:jc w:val="both"/>
        <w:rPr>
          <w:rFonts w:ascii="Arial" w:hAnsi="Arial" w:cs="Arial"/>
          <w:sz w:val="22"/>
          <w:szCs w:val="22"/>
        </w:rPr>
      </w:pPr>
      <w:r w:rsidRPr="00EC2810">
        <w:rPr>
          <w:rFonts w:ascii="Arial" w:hAnsi="Arial" w:cs="Arial"/>
          <w:b/>
          <w:bCs/>
          <w:sz w:val="22"/>
          <w:szCs w:val="22"/>
        </w:rPr>
        <w:t>Interpretation:</w:t>
      </w:r>
      <w:r w:rsidRPr="00EC2810">
        <w:rPr>
          <w:rFonts w:ascii="Arial" w:hAnsi="Arial" w:cs="Arial"/>
          <w:sz w:val="22"/>
          <w:szCs w:val="22"/>
        </w:rPr>
        <w:t xml:space="preserve"> </w:t>
      </w:r>
      <w:r w:rsidR="0036021C" w:rsidRPr="00EC2810">
        <w:rPr>
          <w:rFonts w:ascii="Arial" w:hAnsi="Arial" w:cs="Arial"/>
          <w:sz w:val="22"/>
          <w:szCs w:val="22"/>
        </w:rPr>
        <w:t>The assets of Halfords in omnichannel retailing, logistics, and EV capabilities are both expensive and infrequent, which will sustain a competitive edge in the long term. Its size and level of operation are something the Spanish local competitors can hardly copy. Nevertheless, these advantages need to be localised via Spanish-language online platforms, domestic supply relationships and culturally differentiated advertising to retain relevance.</w:t>
      </w:r>
    </w:p>
    <w:p w14:paraId="46DFBDAC" w14:textId="77777777" w:rsidR="00B373BC" w:rsidRPr="00EC2810" w:rsidRDefault="00B373BC" w:rsidP="00AA73C3">
      <w:pPr>
        <w:pStyle w:val="Heading2"/>
        <w:spacing w:line="360" w:lineRule="auto"/>
        <w:jc w:val="both"/>
        <w:rPr>
          <w:rFonts w:ascii="Arial" w:hAnsi="Arial" w:cs="Arial"/>
          <w:sz w:val="22"/>
          <w:szCs w:val="22"/>
        </w:rPr>
      </w:pPr>
      <w:bookmarkStart w:id="18" w:name="_Toc214728204"/>
      <w:r w:rsidRPr="00EC2810">
        <w:rPr>
          <w:rFonts w:ascii="Arial" w:hAnsi="Arial" w:cs="Arial"/>
          <w:sz w:val="22"/>
          <w:szCs w:val="22"/>
        </w:rPr>
        <w:t>3.4 Integrated Strategic Implications</w:t>
      </w:r>
      <w:bookmarkEnd w:id="18"/>
    </w:p>
    <w:p w14:paraId="107C3E50" w14:textId="0FCA776C" w:rsidR="00B373BC" w:rsidRPr="00EC2810" w:rsidRDefault="00E244A8" w:rsidP="00AA73C3">
      <w:pPr>
        <w:spacing w:line="360" w:lineRule="auto"/>
        <w:jc w:val="both"/>
        <w:rPr>
          <w:rFonts w:ascii="Arial" w:hAnsi="Arial" w:cs="Arial"/>
          <w:sz w:val="22"/>
          <w:szCs w:val="22"/>
        </w:rPr>
      </w:pPr>
      <w:r w:rsidRPr="00EC2810">
        <w:rPr>
          <w:rFonts w:ascii="Arial" w:hAnsi="Arial" w:cs="Arial"/>
          <w:sz w:val="22"/>
          <w:szCs w:val="22"/>
        </w:rPr>
        <w:t>By combining the external and internal analysis, key strategic implications of Halfords in the entry process to the market are identified:</w:t>
      </w:r>
    </w:p>
    <w:p w14:paraId="096F39D7" w14:textId="667537FA" w:rsidR="00B373BC" w:rsidRPr="00EC2810" w:rsidRDefault="00B373BC" w:rsidP="00AA73C3">
      <w:pPr>
        <w:numPr>
          <w:ilvl w:val="0"/>
          <w:numId w:val="11"/>
        </w:numPr>
        <w:spacing w:line="360" w:lineRule="auto"/>
        <w:jc w:val="both"/>
        <w:rPr>
          <w:rFonts w:ascii="Arial" w:hAnsi="Arial" w:cs="Arial"/>
          <w:sz w:val="22"/>
          <w:szCs w:val="22"/>
        </w:rPr>
      </w:pPr>
      <w:r w:rsidRPr="00EC2810">
        <w:rPr>
          <w:rFonts w:ascii="Arial" w:hAnsi="Arial" w:cs="Arial"/>
          <w:b/>
          <w:bCs/>
          <w:sz w:val="22"/>
          <w:szCs w:val="22"/>
        </w:rPr>
        <w:t>Strategic Alignment:</w:t>
      </w:r>
      <w:r w:rsidRPr="00EC2810">
        <w:rPr>
          <w:rFonts w:ascii="Arial" w:hAnsi="Arial" w:cs="Arial"/>
          <w:sz w:val="22"/>
          <w:szCs w:val="22"/>
        </w:rPr>
        <w:t xml:space="preserve"> </w:t>
      </w:r>
      <w:r w:rsidR="0023271A" w:rsidRPr="00EC2810">
        <w:rPr>
          <w:rFonts w:ascii="Arial" w:hAnsi="Arial" w:cs="Arial"/>
          <w:sz w:val="22"/>
          <w:szCs w:val="22"/>
        </w:rPr>
        <w:t>The sustainable mobility agenda in Spain is a direct alignment with the strategy of Halfords One Halfords. The momentum of entry is created by government incentives for EV adoption and cycling infrastructure</w:t>
      </w:r>
      <w:r w:rsidRPr="00EC2810">
        <w:rPr>
          <w:rFonts w:ascii="Arial" w:hAnsi="Arial" w:cs="Arial"/>
          <w:sz w:val="22"/>
          <w:szCs w:val="22"/>
        </w:rPr>
        <w:t>.</w:t>
      </w:r>
    </w:p>
    <w:p w14:paraId="0B0A981E" w14:textId="5E7849A6" w:rsidR="00B373BC" w:rsidRPr="00EC2810" w:rsidRDefault="00B373BC" w:rsidP="00AA73C3">
      <w:pPr>
        <w:numPr>
          <w:ilvl w:val="0"/>
          <w:numId w:val="11"/>
        </w:numPr>
        <w:spacing w:line="360" w:lineRule="auto"/>
        <w:jc w:val="both"/>
        <w:rPr>
          <w:rFonts w:ascii="Arial" w:hAnsi="Arial" w:cs="Arial"/>
          <w:sz w:val="22"/>
          <w:szCs w:val="22"/>
        </w:rPr>
      </w:pPr>
      <w:r w:rsidRPr="00EC2810">
        <w:rPr>
          <w:rFonts w:ascii="Arial" w:hAnsi="Arial" w:cs="Arial"/>
          <w:b/>
          <w:bCs/>
          <w:sz w:val="22"/>
          <w:szCs w:val="22"/>
        </w:rPr>
        <w:t>Market Opportunity:</w:t>
      </w:r>
      <w:r w:rsidRPr="00EC2810">
        <w:rPr>
          <w:rFonts w:ascii="Arial" w:hAnsi="Arial" w:cs="Arial"/>
          <w:sz w:val="22"/>
          <w:szCs w:val="22"/>
        </w:rPr>
        <w:t xml:space="preserve"> </w:t>
      </w:r>
      <w:r w:rsidR="00405D9C" w:rsidRPr="00EC2810">
        <w:rPr>
          <w:rFonts w:ascii="Arial" w:hAnsi="Arial" w:cs="Arial"/>
          <w:sz w:val="22"/>
          <w:szCs w:val="22"/>
        </w:rPr>
        <w:t xml:space="preserve">The Spanish EV market is estimated to be 1.2 million units in 2030, and bicycle export is above EUR400 million in 2023 (Ministerio de Industria, 2024). This </w:t>
      </w:r>
      <w:r w:rsidR="00405D9C" w:rsidRPr="00EC2810">
        <w:rPr>
          <w:rFonts w:ascii="Arial" w:hAnsi="Arial" w:cs="Arial"/>
          <w:sz w:val="22"/>
          <w:szCs w:val="22"/>
        </w:rPr>
        <w:lastRenderedPageBreak/>
        <w:t>two-market expansion also gives credence to the diversification strategy of Halfords in the two key areas.</w:t>
      </w:r>
    </w:p>
    <w:p w14:paraId="307A746A" w14:textId="7D4B9BBA" w:rsidR="00B373BC" w:rsidRPr="00EC2810" w:rsidRDefault="00B373BC" w:rsidP="00AA73C3">
      <w:pPr>
        <w:numPr>
          <w:ilvl w:val="0"/>
          <w:numId w:val="11"/>
        </w:numPr>
        <w:spacing w:line="360" w:lineRule="auto"/>
        <w:jc w:val="both"/>
        <w:rPr>
          <w:rFonts w:ascii="Arial" w:hAnsi="Arial" w:cs="Arial"/>
          <w:sz w:val="22"/>
          <w:szCs w:val="22"/>
        </w:rPr>
      </w:pPr>
      <w:r w:rsidRPr="00EC2810">
        <w:rPr>
          <w:rFonts w:ascii="Arial" w:hAnsi="Arial" w:cs="Arial"/>
          <w:b/>
          <w:bCs/>
          <w:sz w:val="22"/>
          <w:szCs w:val="22"/>
        </w:rPr>
        <w:t>Differentiation Potential:</w:t>
      </w:r>
      <w:r w:rsidRPr="00EC2810">
        <w:rPr>
          <w:rFonts w:ascii="Arial" w:hAnsi="Arial" w:cs="Arial"/>
          <w:sz w:val="22"/>
          <w:szCs w:val="22"/>
        </w:rPr>
        <w:t xml:space="preserve"> </w:t>
      </w:r>
      <w:r w:rsidR="00160953" w:rsidRPr="00EC2810">
        <w:rPr>
          <w:rFonts w:ascii="Arial" w:hAnsi="Arial" w:cs="Arial"/>
          <w:sz w:val="22"/>
          <w:szCs w:val="22"/>
        </w:rPr>
        <w:t>There is no existing competitor in Spain which can provide integrated automotive servicing, cycling retail, and digital sales under one brand. Halfords can capitalise on this white space because it can market itself as a Mobility Convenience Leader, which will give it an opportunity to offer repair, retail and subscription-based services</w:t>
      </w:r>
      <w:r w:rsidRPr="00EC2810">
        <w:rPr>
          <w:rFonts w:ascii="Arial" w:hAnsi="Arial" w:cs="Arial"/>
          <w:sz w:val="22"/>
          <w:szCs w:val="22"/>
        </w:rPr>
        <w:t>.</w:t>
      </w:r>
    </w:p>
    <w:p w14:paraId="64D0E537" w14:textId="272C1C07" w:rsidR="00B373BC" w:rsidRPr="00EC2810" w:rsidRDefault="00B373BC" w:rsidP="00AA73C3">
      <w:pPr>
        <w:numPr>
          <w:ilvl w:val="0"/>
          <w:numId w:val="11"/>
        </w:numPr>
        <w:spacing w:line="360" w:lineRule="auto"/>
        <w:jc w:val="both"/>
        <w:rPr>
          <w:rFonts w:ascii="Arial" w:hAnsi="Arial" w:cs="Arial"/>
          <w:sz w:val="22"/>
          <w:szCs w:val="22"/>
        </w:rPr>
      </w:pPr>
      <w:r w:rsidRPr="00EC2810">
        <w:rPr>
          <w:rFonts w:ascii="Arial" w:hAnsi="Arial" w:cs="Arial"/>
          <w:b/>
          <w:bCs/>
          <w:sz w:val="22"/>
          <w:szCs w:val="22"/>
        </w:rPr>
        <w:t>Risk Considerations:</w:t>
      </w:r>
      <w:r w:rsidRPr="00EC2810">
        <w:rPr>
          <w:rFonts w:ascii="Arial" w:hAnsi="Arial" w:cs="Arial"/>
          <w:sz w:val="22"/>
          <w:szCs w:val="22"/>
        </w:rPr>
        <w:t xml:space="preserve"> </w:t>
      </w:r>
      <w:r w:rsidR="00345BA1" w:rsidRPr="00EC2810">
        <w:rPr>
          <w:rFonts w:ascii="Arial" w:hAnsi="Arial" w:cs="Arial"/>
          <w:sz w:val="22"/>
          <w:szCs w:val="22"/>
        </w:rPr>
        <w:t xml:space="preserve">There are localisation challenges, a high level of rivalry, and price competition. The entrance should be in urban areas (Madrid, Barcelona, Valencia) where most people are already cycling and there is the highest level of EVs. Such a collaboration with </w:t>
      </w:r>
      <w:proofErr w:type="spellStart"/>
      <w:r w:rsidR="00345BA1" w:rsidRPr="00EC2810">
        <w:rPr>
          <w:rFonts w:ascii="Arial" w:hAnsi="Arial" w:cs="Arial"/>
          <w:sz w:val="22"/>
          <w:szCs w:val="22"/>
        </w:rPr>
        <w:t>Norauto</w:t>
      </w:r>
      <w:proofErr w:type="spellEnd"/>
      <w:r w:rsidR="00345BA1" w:rsidRPr="00EC2810">
        <w:rPr>
          <w:rFonts w:ascii="Arial" w:hAnsi="Arial" w:cs="Arial"/>
          <w:sz w:val="22"/>
          <w:szCs w:val="22"/>
        </w:rPr>
        <w:t xml:space="preserve"> or a local mobility partner would eliminate the risk of market entry, as </w:t>
      </w:r>
      <w:r w:rsidR="003C2655" w:rsidRPr="00EC2810">
        <w:rPr>
          <w:rFonts w:ascii="Arial" w:hAnsi="Arial" w:cs="Arial"/>
          <w:sz w:val="22"/>
          <w:szCs w:val="22"/>
        </w:rPr>
        <w:t>(Amankwah-Amoah et al., 2022)</w:t>
      </w:r>
      <w:r w:rsidR="00345BA1" w:rsidRPr="00EC2810">
        <w:rPr>
          <w:rFonts w:ascii="Arial" w:hAnsi="Arial" w:cs="Arial"/>
          <w:sz w:val="22"/>
          <w:szCs w:val="22"/>
        </w:rPr>
        <w:t xml:space="preserve"> propose</w:t>
      </w:r>
      <w:r w:rsidRPr="00EC2810">
        <w:rPr>
          <w:rFonts w:ascii="Arial" w:hAnsi="Arial" w:cs="Arial"/>
          <w:sz w:val="22"/>
          <w:szCs w:val="22"/>
        </w:rPr>
        <w:t>.</w:t>
      </w:r>
    </w:p>
    <w:p w14:paraId="52BE4AA5" w14:textId="77777777" w:rsidR="00B373BC" w:rsidRPr="00EC2810" w:rsidRDefault="00B373BC" w:rsidP="00AA73C3">
      <w:pPr>
        <w:pStyle w:val="Heading2"/>
        <w:spacing w:line="360" w:lineRule="auto"/>
        <w:jc w:val="both"/>
        <w:rPr>
          <w:rFonts w:ascii="Arial" w:hAnsi="Arial" w:cs="Arial"/>
          <w:sz w:val="22"/>
          <w:szCs w:val="22"/>
        </w:rPr>
      </w:pPr>
      <w:bookmarkStart w:id="19" w:name="_Toc214728205"/>
      <w:r w:rsidRPr="00EC2810">
        <w:rPr>
          <w:rFonts w:ascii="Arial" w:hAnsi="Arial" w:cs="Arial"/>
          <w:sz w:val="22"/>
          <w:szCs w:val="22"/>
        </w:rPr>
        <w:t>3.5 Critical Evaluation of Analytical Tools</w:t>
      </w:r>
      <w:bookmarkEnd w:id="19"/>
    </w:p>
    <w:p w14:paraId="69428284" w14:textId="4D9D7782" w:rsidR="00B373BC" w:rsidRPr="00EC2810" w:rsidRDefault="008F15D2" w:rsidP="00AA73C3">
      <w:pPr>
        <w:spacing w:line="360" w:lineRule="auto"/>
        <w:jc w:val="both"/>
        <w:rPr>
          <w:rFonts w:ascii="Arial" w:hAnsi="Arial" w:cs="Arial"/>
          <w:sz w:val="22"/>
          <w:szCs w:val="22"/>
        </w:rPr>
      </w:pPr>
      <w:r w:rsidRPr="00EC2810">
        <w:rPr>
          <w:rFonts w:ascii="Arial" w:hAnsi="Arial" w:cs="Arial"/>
          <w:sz w:val="22"/>
          <w:szCs w:val="22"/>
        </w:rPr>
        <w:t>Although these frameworks are structured to give insight, they have methodological weaknesses:</w:t>
      </w:r>
    </w:p>
    <w:p w14:paraId="3795F558" w14:textId="67A54531" w:rsidR="00B373BC" w:rsidRPr="00EC2810" w:rsidRDefault="00013559" w:rsidP="00AA73C3">
      <w:pPr>
        <w:numPr>
          <w:ilvl w:val="0"/>
          <w:numId w:val="12"/>
        </w:numPr>
        <w:spacing w:line="360" w:lineRule="auto"/>
        <w:jc w:val="both"/>
        <w:rPr>
          <w:rFonts w:ascii="Arial" w:hAnsi="Arial" w:cs="Arial"/>
          <w:sz w:val="22"/>
          <w:szCs w:val="22"/>
        </w:rPr>
      </w:pPr>
      <w:r w:rsidRPr="00EC2810">
        <w:rPr>
          <w:rFonts w:ascii="Arial" w:hAnsi="Arial" w:cs="Arial"/>
          <w:sz w:val="22"/>
          <w:szCs w:val="22"/>
        </w:rPr>
        <w:t>PESTEL has no dynamic macro perspective of how swift technological switch (e.g., AI-driven logistics) is interacting with social and environmental conditions.</w:t>
      </w:r>
    </w:p>
    <w:p w14:paraId="0EF20052" w14:textId="5DB9763D" w:rsidR="00B373BC" w:rsidRPr="00EC2810" w:rsidRDefault="00013559" w:rsidP="00AA73C3">
      <w:pPr>
        <w:numPr>
          <w:ilvl w:val="0"/>
          <w:numId w:val="12"/>
        </w:numPr>
        <w:spacing w:line="360" w:lineRule="auto"/>
        <w:jc w:val="both"/>
        <w:rPr>
          <w:rFonts w:ascii="Arial" w:hAnsi="Arial" w:cs="Arial"/>
          <w:sz w:val="22"/>
          <w:szCs w:val="22"/>
        </w:rPr>
      </w:pPr>
      <w:r w:rsidRPr="00EC2810">
        <w:rPr>
          <w:rFonts w:ascii="Arial" w:hAnsi="Arial" w:cs="Arial"/>
          <w:sz w:val="22"/>
          <w:szCs w:val="22"/>
        </w:rPr>
        <w:t>Porter's Five Forces presupposes the existence of strict industry borders, whereas Spain is now becoming a mobility ecosystem that is converting, EV services, cycling, and retail are becoming more and more interconnected.</w:t>
      </w:r>
    </w:p>
    <w:p w14:paraId="75030AF9" w14:textId="5049417F" w:rsidR="00B373BC" w:rsidRPr="00EC2810" w:rsidRDefault="00013559" w:rsidP="00AA73C3">
      <w:pPr>
        <w:numPr>
          <w:ilvl w:val="0"/>
          <w:numId w:val="12"/>
        </w:numPr>
        <w:spacing w:line="360" w:lineRule="auto"/>
        <w:jc w:val="both"/>
        <w:rPr>
          <w:rFonts w:ascii="Arial" w:hAnsi="Arial" w:cs="Arial"/>
          <w:sz w:val="22"/>
          <w:szCs w:val="22"/>
        </w:rPr>
      </w:pPr>
      <w:r w:rsidRPr="00EC2810">
        <w:rPr>
          <w:rFonts w:ascii="Arial" w:hAnsi="Arial" w:cs="Arial"/>
          <w:sz w:val="22"/>
          <w:szCs w:val="22"/>
        </w:rPr>
        <w:t>VRIO is limited to physical resources but does not reflect dynamic capabilities, including adaptability and speed of innovations, which are extremely important in post-pandemic retail (Agnihotri et al., 2023).</w:t>
      </w:r>
    </w:p>
    <w:p w14:paraId="10C8F3B6" w14:textId="50F68F3F" w:rsidR="00B373BC" w:rsidRPr="00EC2810" w:rsidRDefault="001F348C" w:rsidP="00AA73C3">
      <w:pPr>
        <w:spacing w:line="360" w:lineRule="auto"/>
        <w:jc w:val="both"/>
        <w:rPr>
          <w:rFonts w:ascii="Arial" w:hAnsi="Arial" w:cs="Arial"/>
          <w:sz w:val="22"/>
          <w:szCs w:val="22"/>
        </w:rPr>
      </w:pPr>
      <w:r w:rsidRPr="00EC2810">
        <w:rPr>
          <w:rFonts w:ascii="Arial" w:hAnsi="Arial" w:cs="Arial"/>
          <w:sz w:val="22"/>
          <w:szCs w:val="22"/>
        </w:rPr>
        <w:t>Hence, these traditional models ought to be complemented by the approach of dynamic capabilities, which entails strategic agility, learning, and collaboration, in the expansion planning of Halfords.</w:t>
      </w:r>
    </w:p>
    <w:p w14:paraId="4EC70312" w14:textId="5568EF0D" w:rsidR="00440643" w:rsidRPr="00EC2810" w:rsidRDefault="00440643" w:rsidP="00AA73C3">
      <w:pPr>
        <w:pStyle w:val="Heading1"/>
        <w:spacing w:line="360" w:lineRule="auto"/>
        <w:jc w:val="both"/>
        <w:rPr>
          <w:rFonts w:ascii="Arial" w:hAnsi="Arial" w:cs="Arial"/>
        </w:rPr>
      </w:pPr>
      <w:bookmarkStart w:id="20" w:name="_Toc214728206"/>
      <w:r w:rsidRPr="00EC2810">
        <w:rPr>
          <w:rFonts w:ascii="Arial" w:hAnsi="Arial" w:cs="Arial"/>
        </w:rPr>
        <w:t>4. Strategy Development and Formulation</w:t>
      </w:r>
      <w:bookmarkEnd w:id="20"/>
    </w:p>
    <w:p w14:paraId="43CDA148" w14:textId="47979801" w:rsidR="00440643" w:rsidRPr="00EC2810" w:rsidRDefault="00CA2FC6" w:rsidP="00AA73C3">
      <w:pPr>
        <w:spacing w:line="360" w:lineRule="auto"/>
        <w:jc w:val="both"/>
        <w:rPr>
          <w:rFonts w:ascii="Arial" w:hAnsi="Arial" w:cs="Arial"/>
          <w:sz w:val="22"/>
          <w:szCs w:val="22"/>
        </w:rPr>
      </w:pPr>
      <w:r w:rsidRPr="00EC2810">
        <w:rPr>
          <w:rFonts w:ascii="Arial" w:hAnsi="Arial" w:cs="Arial"/>
          <w:sz w:val="22"/>
          <w:szCs w:val="22"/>
        </w:rPr>
        <w:t xml:space="preserve">Based on the strategic analysis, this section provides a narrow, evidence-based expansion plan of Halfords PLC entering Spain. It uses the Ansoff Matrix, the generic strategies of Porter and the </w:t>
      </w:r>
      <w:r w:rsidRPr="00EC2810">
        <w:rPr>
          <w:rFonts w:ascii="Arial" w:hAnsi="Arial" w:cs="Arial"/>
          <w:sz w:val="22"/>
          <w:szCs w:val="22"/>
        </w:rPr>
        <w:lastRenderedPageBreak/>
        <w:t>international entry mode theory in developing a coherent market entry strategy in line with the e-mobility growth and Halfords' vision of One Halfords in Spain.</w:t>
      </w:r>
    </w:p>
    <w:p w14:paraId="1E93DC19" w14:textId="77777777" w:rsidR="00440643" w:rsidRPr="00EC2810" w:rsidRDefault="00440643" w:rsidP="00AA73C3">
      <w:pPr>
        <w:pStyle w:val="Heading2"/>
        <w:spacing w:line="360" w:lineRule="auto"/>
        <w:jc w:val="both"/>
        <w:rPr>
          <w:rFonts w:ascii="Arial" w:hAnsi="Arial" w:cs="Arial"/>
          <w:sz w:val="22"/>
          <w:szCs w:val="22"/>
        </w:rPr>
      </w:pPr>
      <w:bookmarkStart w:id="21" w:name="_Toc214728207"/>
      <w:r w:rsidRPr="00EC2810">
        <w:rPr>
          <w:rFonts w:ascii="Arial" w:hAnsi="Arial" w:cs="Arial"/>
          <w:sz w:val="22"/>
          <w:szCs w:val="22"/>
        </w:rPr>
        <w:t>4.1 Strategic Objectives</w:t>
      </w:r>
      <w:bookmarkEnd w:id="21"/>
    </w:p>
    <w:p w14:paraId="296F6ED2" w14:textId="64A49978" w:rsidR="00440643" w:rsidRPr="00EC2810" w:rsidRDefault="000B779B" w:rsidP="00AA73C3">
      <w:pPr>
        <w:spacing w:line="360" w:lineRule="auto"/>
        <w:jc w:val="both"/>
        <w:rPr>
          <w:rFonts w:ascii="Arial" w:hAnsi="Arial" w:cs="Arial"/>
          <w:sz w:val="22"/>
          <w:szCs w:val="22"/>
        </w:rPr>
      </w:pPr>
      <w:r w:rsidRPr="00EC2810">
        <w:rPr>
          <w:rFonts w:ascii="Arial" w:hAnsi="Arial" w:cs="Arial"/>
          <w:sz w:val="22"/>
          <w:szCs w:val="22"/>
        </w:rPr>
        <w:t xml:space="preserve">The </w:t>
      </w:r>
      <w:r w:rsidR="000E3881" w:rsidRPr="00EC2810">
        <w:rPr>
          <w:rFonts w:ascii="Arial" w:hAnsi="Arial" w:cs="Arial"/>
          <w:sz w:val="22"/>
          <w:szCs w:val="22"/>
        </w:rPr>
        <w:t>(Annual Report, 2025)</w:t>
      </w:r>
      <w:r w:rsidRPr="00EC2810">
        <w:rPr>
          <w:rFonts w:ascii="Arial" w:hAnsi="Arial" w:cs="Arial"/>
          <w:sz w:val="22"/>
          <w:szCs w:val="22"/>
        </w:rPr>
        <w:t xml:space="preserve"> of Halfords proves that the company is planning to become the most popular integrated mobility retailer in Europe, integrating motoring, cycling, and digital services. Expanding into Spain directly helps the realisation of this vision since the market is one of the fastest-developing e-mobility markets in Europe.</w:t>
      </w:r>
    </w:p>
    <w:p w14:paraId="32FB298F" w14:textId="77777777" w:rsidR="00440643" w:rsidRPr="00EC2810" w:rsidRDefault="00440643" w:rsidP="00AA73C3">
      <w:pPr>
        <w:spacing w:line="360" w:lineRule="auto"/>
        <w:jc w:val="both"/>
        <w:rPr>
          <w:rFonts w:ascii="Arial" w:hAnsi="Arial" w:cs="Arial"/>
          <w:sz w:val="22"/>
          <w:szCs w:val="22"/>
        </w:rPr>
      </w:pPr>
      <w:r w:rsidRPr="00EC2810">
        <w:rPr>
          <w:rFonts w:ascii="Arial" w:hAnsi="Arial" w:cs="Arial"/>
          <w:sz w:val="22"/>
          <w:szCs w:val="22"/>
        </w:rPr>
        <w:t>Key objectives:</w:t>
      </w:r>
    </w:p>
    <w:p w14:paraId="6876206C" w14:textId="19147AE7" w:rsidR="00440643" w:rsidRPr="00EC2810" w:rsidRDefault="00440643" w:rsidP="00AA73C3">
      <w:pPr>
        <w:numPr>
          <w:ilvl w:val="0"/>
          <w:numId w:val="13"/>
        </w:numPr>
        <w:spacing w:line="360" w:lineRule="auto"/>
        <w:jc w:val="both"/>
        <w:rPr>
          <w:rFonts w:ascii="Arial" w:hAnsi="Arial" w:cs="Arial"/>
          <w:sz w:val="22"/>
          <w:szCs w:val="22"/>
        </w:rPr>
      </w:pPr>
      <w:r w:rsidRPr="00EC2810">
        <w:rPr>
          <w:rFonts w:ascii="Arial" w:hAnsi="Arial" w:cs="Arial"/>
          <w:b/>
          <w:bCs/>
          <w:sz w:val="22"/>
          <w:szCs w:val="22"/>
        </w:rPr>
        <w:t>Market Development:</w:t>
      </w:r>
      <w:r w:rsidRPr="00EC2810">
        <w:rPr>
          <w:rFonts w:ascii="Arial" w:hAnsi="Arial" w:cs="Arial"/>
          <w:sz w:val="22"/>
          <w:szCs w:val="22"/>
        </w:rPr>
        <w:t xml:space="preserve"> </w:t>
      </w:r>
      <w:r w:rsidR="00D20A57" w:rsidRPr="00EC2810">
        <w:rPr>
          <w:rFonts w:ascii="Arial" w:hAnsi="Arial" w:cs="Arial"/>
          <w:sz w:val="22"/>
          <w:szCs w:val="22"/>
        </w:rPr>
        <w:t>Establish physical and online presence in Spain within 24 months to achieve early EV and cycling growth</w:t>
      </w:r>
      <w:r w:rsidRPr="00EC2810">
        <w:rPr>
          <w:rFonts w:ascii="Arial" w:hAnsi="Arial" w:cs="Arial"/>
          <w:sz w:val="22"/>
          <w:szCs w:val="22"/>
        </w:rPr>
        <w:t>.</w:t>
      </w:r>
    </w:p>
    <w:p w14:paraId="16C6C865" w14:textId="3D4B6DD9" w:rsidR="00440643" w:rsidRPr="00EC2810" w:rsidRDefault="00440643" w:rsidP="00AA73C3">
      <w:pPr>
        <w:numPr>
          <w:ilvl w:val="0"/>
          <w:numId w:val="13"/>
        </w:numPr>
        <w:spacing w:line="360" w:lineRule="auto"/>
        <w:jc w:val="both"/>
        <w:rPr>
          <w:rFonts w:ascii="Arial" w:hAnsi="Arial" w:cs="Arial"/>
          <w:sz w:val="22"/>
          <w:szCs w:val="22"/>
        </w:rPr>
      </w:pPr>
      <w:r w:rsidRPr="00EC2810">
        <w:rPr>
          <w:rFonts w:ascii="Arial" w:hAnsi="Arial" w:cs="Arial"/>
          <w:b/>
          <w:bCs/>
          <w:sz w:val="22"/>
          <w:szCs w:val="22"/>
        </w:rPr>
        <w:t>Revenue Growth:</w:t>
      </w:r>
      <w:r w:rsidRPr="00EC2810">
        <w:rPr>
          <w:rFonts w:ascii="Arial" w:hAnsi="Arial" w:cs="Arial"/>
          <w:sz w:val="22"/>
          <w:szCs w:val="22"/>
        </w:rPr>
        <w:t xml:space="preserve"> </w:t>
      </w:r>
      <w:r w:rsidR="003F6338" w:rsidRPr="00EC2810">
        <w:rPr>
          <w:rFonts w:ascii="Arial" w:hAnsi="Arial" w:cs="Arial"/>
          <w:sz w:val="22"/>
          <w:szCs w:val="22"/>
        </w:rPr>
        <w:t>Within five years, have a 10% market share in cycling accessories/services and 5% in automotive maintenance.</w:t>
      </w:r>
    </w:p>
    <w:p w14:paraId="63029984" w14:textId="0E4982A6" w:rsidR="00440643" w:rsidRPr="00EC2810" w:rsidRDefault="00440643" w:rsidP="00AA73C3">
      <w:pPr>
        <w:numPr>
          <w:ilvl w:val="0"/>
          <w:numId w:val="13"/>
        </w:numPr>
        <w:spacing w:line="360" w:lineRule="auto"/>
        <w:jc w:val="both"/>
        <w:rPr>
          <w:rFonts w:ascii="Arial" w:hAnsi="Arial" w:cs="Arial"/>
          <w:sz w:val="22"/>
          <w:szCs w:val="22"/>
        </w:rPr>
      </w:pPr>
      <w:r w:rsidRPr="00EC2810">
        <w:rPr>
          <w:rFonts w:ascii="Arial" w:hAnsi="Arial" w:cs="Arial"/>
          <w:b/>
          <w:bCs/>
          <w:sz w:val="22"/>
          <w:szCs w:val="22"/>
        </w:rPr>
        <w:t>Brand Recognition:</w:t>
      </w:r>
      <w:r w:rsidRPr="00EC2810">
        <w:rPr>
          <w:rFonts w:ascii="Arial" w:hAnsi="Arial" w:cs="Arial"/>
          <w:sz w:val="22"/>
          <w:szCs w:val="22"/>
        </w:rPr>
        <w:t xml:space="preserve"> </w:t>
      </w:r>
      <w:r w:rsidR="007A2645" w:rsidRPr="00EC2810">
        <w:rPr>
          <w:rFonts w:ascii="Arial" w:hAnsi="Arial" w:cs="Arial"/>
          <w:sz w:val="22"/>
          <w:szCs w:val="22"/>
        </w:rPr>
        <w:t>Be a reliable omnichannel mobility brand by co-branding and local marketing with Halfords.</w:t>
      </w:r>
    </w:p>
    <w:p w14:paraId="75C83A16" w14:textId="538B9DCF" w:rsidR="00440643" w:rsidRPr="00EC2810" w:rsidRDefault="00440643" w:rsidP="00AA73C3">
      <w:pPr>
        <w:numPr>
          <w:ilvl w:val="0"/>
          <w:numId w:val="13"/>
        </w:numPr>
        <w:spacing w:line="360" w:lineRule="auto"/>
        <w:jc w:val="both"/>
        <w:rPr>
          <w:rFonts w:ascii="Arial" w:hAnsi="Arial" w:cs="Arial"/>
          <w:sz w:val="22"/>
          <w:szCs w:val="22"/>
        </w:rPr>
      </w:pPr>
      <w:r w:rsidRPr="00EC2810">
        <w:rPr>
          <w:rFonts w:ascii="Arial" w:hAnsi="Arial" w:cs="Arial"/>
          <w:b/>
          <w:bCs/>
          <w:sz w:val="22"/>
          <w:szCs w:val="22"/>
        </w:rPr>
        <w:t>Sustainability Alignment:</w:t>
      </w:r>
      <w:r w:rsidRPr="00EC2810">
        <w:rPr>
          <w:rFonts w:ascii="Arial" w:hAnsi="Arial" w:cs="Arial"/>
          <w:sz w:val="22"/>
          <w:szCs w:val="22"/>
        </w:rPr>
        <w:t xml:space="preserve"> </w:t>
      </w:r>
      <w:r w:rsidR="00CA628D" w:rsidRPr="00EC2810">
        <w:rPr>
          <w:rFonts w:ascii="Arial" w:hAnsi="Arial" w:cs="Arial"/>
          <w:sz w:val="22"/>
          <w:szCs w:val="22"/>
        </w:rPr>
        <w:t>Incorporate with the green mobility 2030 objectives of Spain through the application of environmentally friendly logistical services and EV-charge provisions</w:t>
      </w:r>
      <w:r w:rsidRPr="00EC2810">
        <w:rPr>
          <w:rFonts w:ascii="Arial" w:hAnsi="Arial" w:cs="Arial"/>
          <w:sz w:val="22"/>
          <w:szCs w:val="22"/>
        </w:rPr>
        <w:t>.</w:t>
      </w:r>
    </w:p>
    <w:p w14:paraId="1D6955BB" w14:textId="5F1DD554" w:rsidR="00440643" w:rsidRPr="00EC2810" w:rsidRDefault="000203C9" w:rsidP="00AA73C3">
      <w:pPr>
        <w:spacing w:line="360" w:lineRule="auto"/>
        <w:jc w:val="both"/>
        <w:rPr>
          <w:rFonts w:ascii="Arial" w:hAnsi="Arial" w:cs="Arial"/>
          <w:sz w:val="22"/>
          <w:szCs w:val="22"/>
        </w:rPr>
      </w:pPr>
      <w:r w:rsidRPr="00EC2810">
        <w:rPr>
          <w:rFonts w:ascii="Arial" w:hAnsi="Arial" w:cs="Arial"/>
          <w:sz w:val="22"/>
          <w:szCs w:val="22"/>
        </w:rPr>
        <w:t>They are in line with the ESG commitments and long-term objective of sustainable and technology-driven growth of Halfords.</w:t>
      </w:r>
    </w:p>
    <w:p w14:paraId="4C596E3A" w14:textId="77777777" w:rsidR="00440643" w:rsidRPr="00EC2810" w:rsidRDefault="00440643" w:rsidP="00AA73C3">
      <w:pPr>
        <w:pStyle w:val="Heading2"/>
        <w:spacing w:line="360" w:lineRule="auto"/>
        <w:jc w:val="both"/>
        <w:rPr>
          <w:rFonts w:ascii="Arial" w:hAnsi="Arial" w:cs="Arial"/>
          <w:sz w:val="22"/>
          <w:szCs w:val="22"/>
        </w:rPr>
      </w:pPr>
      <w:bookmarkStart w:id="22" w:name="_Toc214728208"/>
      <w:r w:rsidRPr="00EC2810">
        <w:rPr>
          <w:rFonts w:ascii="Arial" w:hAnsi="Arial" w:cs="Arial"/>
          <w:sz w:val="22"/>
          <w:szCs w:val="22"/>
        </w:rPr>
        <w:t>4.2 Ansoff Matrix Application</w:t>
      </w:r>
      <w:bookmarkEnd w:id="22"/>
    </w:p>
    <w:p w14:paraId="1DE68F99" w14:textId="7C27F13E" w:rsidR="00440643" w:rsidRPr="00EC2810" w:rsidRDefault="004C3800" w:rsidP="00AA73C3">
      <w:pPr>
        <w:spacing w:line="360" w:lineRule="auto"/>
        <w:jc w:val="both"/>
        <w:rPr>
          <w:rFonts w:ascii="Arial" w:hAnsi="Arial" w:cs="Arial"/>
          <w:sz w:val="22"/>
          <w:szCs w:val="22"/>
        </w:rPr>
      </w:pPr>
      <w:r w:rsidRPr="00EC2810">
        <w:rPr>
          <w:rFonts w:ascii="Arial" w:hAnsi="Arial" w:cs="Arial"/>
          <w:sz w:val="22"/>
          <w:szCs w:val="22"/>
        </w:rPr>
        <w:t>Ansoff Matrix determines the most appropriate growth path. In the case of Halfords, Spain is a market development opportunity, which will be facilitated with product modification to suit the local market.</w:t>
      </w:r>
    </w:p>
    <w:tbl>
      <w:tblPr>
        <w:tblStyle w:val="TableGrid"/>
        <w:tblW w:w="0" w:type="auto"/>
        <w:tblLook w:val="04A0" w:firstRow="1" w:lastRow="0" w:firstColumn="1" w:lastColumn="0" w:noHBand="0" w:noVBand="1"/>
      </w:tblPr>
      <w:tblGrid>
        <w:gridCol w:w="2286"/>
        <w:gridCol w:w="2889"/>
        <w:gridCol w:w="4175"/>
      </w:tblGrid>
      <w:tr w:rsidR="00440643" w:rsidRPr="00EC2810" w14:paraId="4426303E" w14:textId="77777777" w:rsidTr="00440643">
        <w:tc>
          <w:tcPr>
            <w:tcW w:w="0" w:type="auto"/>
            <w:hideMark/>
          </w:tcPr>
          <w:p w14:paraId="311FA2F8"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Ansoff Strategy</w:t>
            </w:r>
          </w:p>
        </w:tc>
        <w:tc>
          <w:tcPr>
            <w:tcW w:w="0" w:type="auto"/>
            <w:hideMark/>
          </w:tcPr>
          <w:p w14:paraId="25BBDB63"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Application to Halfords Spain</w:t>
            </w:r>
          </w:p>
        </w:tc>
        <w:tc>
          <w:tcPr>
            <w:tcW w:w="0" w:type="auto"/>
            <w:hideMark/>
          </w:tcPr>
          <w:p w14:paraId="32DC2FE5"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Key Actions</w:t>
            </w:r>
          </w:p>
        </w:tc>
      </w:tr>
      <w:tr w:rsidR="00440643" w:rsidRPr="00EC2810" w14:paraId="67E75F55" w14:textId="77777777" w:rsidTr="00440643">
        <w:tc>
          <w:tcPr>
            <w:tcW w:w="0" w:type="auto"/>
            <w:hideMark/>
          </w:tcPr>
          <w:p w14:paraId="0815A261"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lastRenderedPageBreak/>
              <w:t>Market Penetration</w:t>
            </w:r>
          </w:p>
        </w:tc>
        <w:tc>
          <w:tcPr>
            <w:tcW w:w="0" w:type="auto"/>
            <w:hideMark/>
          </w:tcPr>
          <w:p w14:paraId="41030D46"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Apply proven UK omnichannel model to new consumers.</w:t>
            </w:r>
          </w:p>
        </w:tc>
        <w:tc>
          <w:tcPr>
            <w:tcW w:w="0" w:type="auto"/>
            <w:hideMark/>
          </w:tcPr>
          <w:p w14:paraId="2D210C73"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Use digital marketing and cross-border fulfilment to build initial sales.</w:t>
            </w:r>
          </w:p>
        </w:tc>
      </w:tr>
      <w:tr w:rsidR="00440643" w:rsidRPr="00EC2810" w14:paraId="14715CA8" w14:textId="77777777" w:rsidTr="00440643">
        <w:tc>
          <w:tcPr>
            <w:tcW w:w="0" w:type="auto"/>
            <w:hideMark/>
          </w:tcPr>
          <w:p w14:paraId="32412BA0"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Market Development (Primary)</w:t>
            </w:r>
          </w:p>
        </w:tc>
        <w:tc>
          <w:tcPr>
            <w:tcW w:w="0" w:type="auto"/>
            <w:hideMark/>
          </w:tcPr>
          <w:p w14:paraId="09337A9C"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Enter Spain’s cycling and motoring retail-service market.</w:t>
            </w:r>
          </w:p>
        </w:tc>
        <w:tc>
          <w:tcPr>
            <w:tcW w:w="0" w:type="auto"/>
            <w:hideMark/>
          </w:tcPr>
          <w:p w14:paraId="16F37237"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Launch “Halfords Mobility Centres” in Madrid &amp; Barcelona with Spanish-language e-commerce.</w:t>
            </w:r>
          </w:p>
        </w:tc>
      </w:tr>
      <w:tr w:rsidR="00440643" w:rsidRPr="00EC2810" w14:paraId="77D9821E" w14:textId="77777777" w:rsidTr="00440643">
        <w:tc>
          <w:tcPr>
            <w:tcW w:w="0" w:type="auto"/>
            <w:hideMark/>
          </w:tcPr>
          <w:p w14:paraId="5BFC671B"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Product Development</w:t>
            </w:r>
          </w:p>
        </w:tc>
        <w:tc>
          <w:tcPr>
            <w:tcW w:w="0" w:type="auto"/>
            <w:hideMark/>
          </w:tcPr>
          <w:p w14:paraId="7D0C5AFC"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Adjust range for climate and usage habits.</w:t>
            </w:r>
          </w:p>
        </w:tc>
        <w:tc>
          <w:tcPr>
            <w:tcW w:w="0" w:type="auto"/>
            <w:hideMark/>
          </w:tcPr>
          <w:p w14:paraId="5E0B7021"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Introduce e-bike maintenance, local cycling gear, and EV accessories.</w:t>
            </w:r>
          </w:p>
        </w:tc>
      </w:tr>
      <w:tr w:rsidR="00440643" w:rsidRPr="00EC2810" w14:paraId="478B116C" w14:textId="77777777" w:rsidTr="00440643">
        <w:tc>
          <w:tcPr>
            <w:tcW w:w="0" w:type="auto"/>
            <w:hideMark/>
          </w:tcPr>
          <w:p w14:paraId="6E61BAD2"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Diversification (Future)</w:t>
            </w:r>
          </w:p>
        </w:tc>
        <w:tc>
          <w:tcPr>
            <w:tcW w:w="0" w:type="auto"/>
            <w:hideMark/>
          </w:tcPr>
          <w:p w14:paraId="3649094B"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Explore collaboration in EV innovation.</w:t>
            </w:r>
          </w:p>
        </w:tc>
        <w:tc>
          <w:tcPr>
            <w:tcW w:w="0" w:type="auto"/>
            <w:hideMark/>
          </w:tcPr>
          <w:p w14:paraId="2AF65797"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Partner with Spanish battery or e-bike firms for R&amp;D.</w:t>
            </w:r>
          </w:p>
        </w:tc>
      </w:tr>
    </w:tbl>
    <w:p w14:paraId="7DD8F91B" w14:textId="6B5F56B5" w:rsidR="009F13D9" w:rsidRPr="00EC2810" w:rsidRDefault="009F13D9" w:rsidP="009F13D9">
      <w:pPr>
        <w:pStyle w:val="Caption"/>
        <w:rPr>
          <w:rFonts w:ascii="Arial" w:hAnsi="Arial" w:cs="Arial"/>
          <w:i/>
          <w:iCs/>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Pr="00EC2810">
        <w:rPr>
          <w:rFonts w:ascii="Arial" w:hAnsi="Arial" w:cs="Arial"/>
          <w:noProof/>
          <w:sz w:val="22"/>
          <w:szCs w:val="22"/>
        </w:rPr>
        <w:t>6</w:t>
      </w:r>
      <w:r w:rsidR="00000000" w:rsidRPr="00EC2810">
        <w:rPr>
          <w:rFonts w:ascii="Arial" w:hAnsi="Arial" w:cs="Arial"/>
          <w:noProof/>
          <w:sz w:val="22"/>
          <w:szCs w:val="22"/>
        </w:rPr>
        <w:fldChar w:fldCharType="end"/>
      </w:r>
      <w:r w:rsidRPr="00EC2810">
        <w:rPr>
          <w:rFonts w:ascii="Arial" w:hAnsi="Arial" w:cs="Arial"/>
          <w:sz w:val="22"/>
          <w:szCs w:val="22"/>
        </w:rPr>
        <w:t>: Ansoff Strategy (Created by Author)</w:t>
      </w:r>
    </w:p>
    <w:p w14:paraId="3D2846B5" w14:textId="57AF63BE" w:rsidR="00440643" w:rsidRPr="00EC2810" w:rsidRDefault="000E3881" w:rsidP="00AA73C3">
      <w:pPr>
        <w:spacing w:line="360" w:lineRule="auto"/>
        <w:jc w:val="both"/>
        <w:rPr>
          <w:rFonts w:ascii="Arial" w:hAnsi="Arial" w:cs="Arial"/>
          <w:sz w:val="22"/>
          <w:szCs w:val="22"/>
        </w:rPr>
      </w:pPr>
      <w:r w:rsidRPr="00EC2810">
        <w:rPr>
          <w:rFonts w:ascii="Arial" w:hAnsi="Arial" w:cs="Arial"/>
          <w:i/>
          <w:iCs/>
          <w:sz w:val="22"/>
          <w:szCs w:val="22"/>
        </w:rPr>
        <w:t>(Jackson, 2024)</w:t>
      </w:r>
      <w:r w:rsidR="00440643" w:rsidRPr="00EC2810">
        <w:rPr>
          <w:rFonts w:ascii="Arial" w:hAnsi="Arial" w:cs="Arial"/>
          <w:sz w:val="22"/>
          <w:szCs w:val="22"/>
        </w:rPr>
        <w:t xml:space="preserve"> emphasises that expanding into markets with familiar infrastructure enables faster scale-up with lower strategic risk</w:t>
      </w:r>
      <w:r w:rsidR="006E0BEB" w:rsidRPr="00EC2810">
        <w:rPr>
          <w:rFonts w:ascii="Arial" w:hAnsi="Arial" w:cs="Arial"/>
          <w:sz w:val="22"/>
          <w:szCs w:val="22"/>
        </w:rPr>
        <w:t xml:space="preserve">, </w:t>
      </w:r>
      <w:r w:rsidR="00440643" w:rsidRPr="00EC2810">
        <w:rPr>
          <w:rFonts w:ascii="Arial" w:hAnsi="Arial" w:cs="Arial"/>
          <w:sz w:val="22"/>
          <w:szCs w:val="22"/>
        </w:rPr>
        <w:t>making Spain ideal for Halfords’ operational model.</w:t>
      </w:r>
    </w:p>
    <w:p w14:paraId="628FDC84" w14:textId="77777777" w:rsidR="00440643" w:rsidRPr="00EC2810" w:rsidRDefault="00440643" w:rsidP="00AA73C3">
      <w:pPr>
        <w:pStyle w:val="Heading2"/>
        <w:spacing w:line="360" w:lineRule="auto"/>
        <w:jc w:val="both"/>
        <w:rPr>
          <w:rFonts w:ascii="Arial" w:hAnsi="Arial" w:cs="Arial"/>
          <w:sz w:val="22"/>
          <w:szCs w:val="22"/>
        </w:rPr>
      </w:pPr>
      <w:bookmarkStart w:id="23" w:name="_Toc214728209"/>
      <w:r w:rsidRPr="00EC2810">
        <w:rPr>
          <w:rFonts w:ascii="Arial" w:hAnsi="Arial" w:cs="Arial"/>
          <w:sz w:val="22"/>
          <w:szCs w:val="22"/>
        </w:rPr>
        <w:t>4.3 Entry Mode Analysis</w:t>
      </w:r>
      <w:bookmarkEnd w:id="23"/>
    </w:p>
    <w:p w14:paraId="440BAEFC" w14:textId="08CD107D" w:rsidR="00440643" w:rsidRPr="00EC2810" w:rsidRDefault="003874C2" w:rsidP="00AA73C3">
      <w:pPr>
        <w:spacing w:line="360" w:lineRule="auto"/>
        <w:jc w:val="both"/>
        <w:rPr>
          <w:rFonts w:ascii="Arial" w:hAnsi="Arial" w:cs="Arial"/>
          <w:sz w:val="22"/>
          <w:szCs w:val="22"/>
        </w:rPr>
      </w:pPr>
      <w:r w:rsidRPr="00EC2810">
        <w:rPr>
          <w:rFonts w:ascii="Arial" w:hAnsi="Arial" w:cs="Arial"/>
          <w:sz w:val="22"/>
          <w:szCs w:val="22"/>
        </w:rPr>
        <w:t>The right entry mode provides a balance between control, cost, and risk. According to literature (Wan, 2023), firms are advised to align entry mode to market complexity and institutional distance.</w:t>
      </w:r>
    </w:p>
    <w:tbl>
      <w:tblPr>
        <w:tblStyle w:val="TableGrid"/>
        <w:tblW w:w="0" w:type="auto"/>
        <w:tblLook w:val="04A0" w:firstRow="1" w:lastRow="0" w:firstColumn="1" w:lastColumn="0" w:noHBand="0" w:noVBand="1"/>
      </w:tblPr>
      <w:tblGrid>
        <w:gridCol w:w="1918"/>
        <w:gridCol w:w="2792"/>
        <w:gridCol w:w="2529"/>
        <w:gridCol w:w="2111"/>
      </w:tblGrid>
      <w:tr w:rsidR="00440643" w:rsidRPr="00EC2810" w14:paraId="0C1F157F" w14:textId="77777777" w:rsidTr="00440643">
        <w:tc>
          <w:tcPr>
            <w:tcW w:w="0" w:type="auto"/>
            <w:hideMark/>
          </w:tcPr>
          <w:p w14:paraId="0F44DD21"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Mode</w:t>
            </w:r>
          </w:p>
        </w:tc>
        <w:tc>
          <w:tcPr>
            <w:tcW w:w="0" w:type="auto"/>
            <w:hideMark/>
          </w:tcPr>
          <w:p w14:paraId="5FE3FDD3"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Advantages</w:t>
            </w:r>
          </w:p>
        </w:tc>
        <w:tc>
          <w:tcPr>
            <w:tcW w:w="0" w:type="auto"/>
            <w:hideMark/>
          </w:tcPr>
          <w:p w14:paraId="488D6264"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Disadvantages</w:t>
            </w:r>
          </w:p>
        </w:tc>
        <w:tc>
          <w:tcPr>
            <w:tcW w:w="0" w:type="auto"/>
            <w:hideMark/>
          </w:tcPr>
          <w:p w14:paraId="73046EE4"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Suitability</w:t>
            </w:r>
          </w:p>
        </w:tc>
      </w:tr>
      <w:tr w:rsidR="00440643" w:rsidRPr="00EC2810" w14:paraId="66FC0156" w14:textId="77777777" w:rsidTr="00440643">
        <w:tc>
          <w:tcPr>
            <w:tcW w:w="0" w:type="auto"/>
            <w:hideMark/>
          </w:tcPr>
          <w:p w14:paraId="1F885592"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Greenfield Investment</w:t>
            </w:r>
          </w:p>
        </w:tc>
        <w:tc>
          <w:tcPr>
            <w:tcW w:w="0" w:type="auto"/>
            <w:hideMark/>
          </w:tcPr>
          <w:p w14:paraId="4C4790DD"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Full control, brand consistency.</w:t>
            </w:r>
          </w:p>
        </w:tc>
        <w:tc>
          <w:tcPr>
            <w:tcW w:w="0" w:type="auto"/>
            <w:hideMark/>
          </w:tcPr>
          <w:p w14:paraId="708D4B6B"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High capital cost, slower market entry.</w:t>
            </w:r>
          </w:p>
        </w:tc>
        <w:tc>
          <w:tcPr>
            <w:tcW w:w="0" w:type="auto"/>
            <w:hideMark/>
          </w:tcPr>
          <w:p w14:paraId="77933F9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Viable for later expansion.</w:t>
            </w:r>
          </w:p>
        </w:tc>
      </w:tr>
      <w:tr w:rsidR="00440643" w:rsidRPr="00EC2810" w14:paraId="3977C17B" w14:textId="77777777" w:rsidTr="00440643">
        <w:tc>
          <w:tcPr>
            <w:tcW w:w="0" w:type="auto"/>
            <w:hideMark/>
          </w:tcPr>
          <w:p w14:paraId="6CCC2CF6"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Franchising</w:t>
            </w:r>
          </w:p>
        </w:tc>
        <w:tc>
          <w:tcPr>
            <w:tcW w:w="0" w:type="auto"/>
            <w:hideMark/>
          </w:tcPr>
          <w:p w14:paraId="6FE5C8B5"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Low risk, rapid scale.</w:t>
            </w:r>
          </w:p>
        </w:tc>
        <w:tc>
          <w:tcPr>
            <w:tcW w:w="0" w:type="auto"/>
            <w:hideMark/>
          </w:tcPr>
          <w:p w14:paraId="5D51C4F5"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Weak quality control, diluted brand.</w:t>
            </w:r>
          </w:p>
        </w:tc>
        <w:tc>
          <w:tcPr>
            <w:tcW w:w="0" w:type="auto"/>
            <w:hideMark/>
          </w:tcPr>
          <w:p w14:paraId="24FDD8ED"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Unsuitable for service-based model.</w:t>
            </w:r>
          </w:p>
        </w:tc>
      </w:tr>
      <w:tr w:rsidR="00440643" w:rsidRPr="00EC2810" w14:paraId="367BEABC" w14:textId="77777777" w:rsidTr="00440643">
        <w:tc>
          <w:tcPr>
            <w:tcW w:w="0" w:type="auto"/>
            <w:hideMark/>
          </w:tcPr>
          <w:p w14:paraId="42466D2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Joint Venture (Preferred)</w:t>
            </w:r>
          </w:p>
        </w:tc>
        <w:tc>
          <w:tcPr>
            <w:tcW w:w="0" w:type="auto"/>
            <w:hideMark/>
          </w:tcPr>
          <w:p w14:paraId="22D6CA2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Shared risk, local expertise, faster regulatory access.</w:t>
            </w:r>
          </w:p>
        </w:tc>
        <w:tc>
          <w:tcPr>
            <w:tcW w:w="0" w:type="auto"/>
            <w:hideMark/>
          </w:tcPr>
          <w:p w14:paraId="251661EF"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Profit sharing, coordination challenges.</w:t>
            </w:r>
          </w:p>
        </w:tc>
        <w:tc>
          <w:tcPr>
            <w:tcW w:w="0" w:type="auto"/>
            <w:hideMark/>
          </w:tcPr>
          <w:p w14:paraId="66B7DBE6"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Most suitable for Halfords.</w:t>
            </w:r>
          </w:p>
        </w:tc>
      </w:tr>
    </w:tbl>
    <w:p w14:paraId="3B0BEFAF" w14:textId="2D3A9EE2" w:rsidR="009F13D9" w:rsidRPr="00EC2810" w:rsidRDefault="009F13D9" w:rsidP="009F13D9">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Pr="00EC2810">
        <w:rPr>
          <w:rFonts w:ascii="Arial" w:hAnsi="Arial" w:cs="Arial"/>
          <w:noProof/>
          <w:sz w:val="22"/>
          <w:szCs w:val="22"/>
        </w:rPr>
        <w:t>7</w:t>
      </w:r>
      <w:r w:rsidR="00000000" w:rsidRPr="00EC2810">
        <w:rPr>
          <w:rFonts w:ascii="Arial" w:hAnsi="Arial" w:cs="Arial"/>
          <w:noProof/>
          <w:sz w:val="22"/>
          <w:szCs w:val="22"/>
        </w:rPr>
        <w:fldChar w:fldCharType="end"/>
      </w:r>
      <w:r w:rsidRPr="00EC2810">
        <w:rPr>
          <w:rFonts w:ascii="Arial" w:hAnsi="Arial" w:cs="Arial"/>
          <w:sz w:val="22"/>
          <w:szCs w:val="22"/>
        </w:rPr>
        <w:t>: Advantages and Disadvantages of Entry Modes (Created by Author)</w:t>
      </w:r>
    </w:p>
    <w:p w14:paraId="4AE90284" w14:textId="4243B88E" w:rsidR="00440643" w:rsidRPr="00EC2810" w:rsidRDefault="00440643" w:rsidP="00AA73C3">
      <w:pPr>
        <w:spacing w:line="360" w:lineRule="auto"/>
        <w:jc w:val="both"/>
        <w:rPr>
          <w:rFonts w:ascii="Arial" w:hAnsi="Arial" w:cs="Arial"/>
          <w:sz w:val="22"/>
          <w:szCs w:val="22"/>
        </w:rPr>
      </w:pPr>
      <w:r w:rsidRPr="00EC2810">
        <w:rPr>
          <w:rFonts w:ascii="Arial" w:hAnsi="Arial" w:cs="Arial"/>
          <w:b/>
          <w:bCs/>
          <w:sz w:val="22"/>
          <w:szCs w:val="22"/>
        </w:rPr>
        <w:lastRenderedPageBreak/>
        <w:t xml:space="preserve">Recommended Mode: </w:t>
      </w:r>
      <w:r w:rsidR="00AC4B10" w:rsidRPr="00EC2810">
        <w:rPr>
          <w:rFonts w:ascii="Arial" w:hAnsi="Arial" w:cs="Arial"/>
          <w:sz w:val="22"/>
          <w:szCs w:val="22"/>
        </w:rPr>
        <w:t xml:space="preserve">Joint venture (JV) with a Spanish mobile service provider like </w:t>
      </w:r>
      <w:proofErr w:type="spellStart"/>
      <w:r w:rsidR="00AC4B10" w:rsidRPr="00EC2810">
        <w:rPr>
          <w:rFonts w:ascii="Arial" w:hAnsi="Arial" w:cs="Arial"/>
          <w:sz w:val="22"/>
          <w:szCs w:val="22"/>
        </w:rPr>
        <w:t>Norauto</w:t>
      </w:r>
      <w:proofErr w:type="spellEnd"/>
      <w:r w:rsidR="00AC4B10" w:rsidRPr="00EC2810">
        <w:rPr>
          <w:rFonts w:ascii="Arial" w:hAnsi="Arial" w:cs="Arial"/>
          <w:sz w:val="22"/>
          <w:szCs w:val="22"/>
        </w:rPr>
        <w:t xml:space="preserve">. This will give market expertise, access to suppliers, and regulatory compliance, but enable Halfords to add brand strength, omnichannel systems and EV </w:t>
      </w:r>
      <w:proofErr w:type="gramStart"/>
      <w:r w:rsidR="00AC4B10" w:rsidRPr="00EC2810">
        <w:rPr>
          <w:rFonts w:ascii="Arial" w:hAnsi="Arial" w:cs="Arial"/>
          <w:sz w:val="22"/>
          <w:szCs w:val="22"/>
        </w:rPr>
        <w:t>experience.</w:t>
      </w:r>
      <w:r w:rsidRPr="00EC2810">
        <w:rPr>
          <w:rFonts w:ascii="Arial" w:hAnsi="Arial" w:cs="Arial"/>
          <w:sz w:val="22"/>
          <w:szCs w:val="22"/>
        </w:rPr>
        <w:t>.</w:t>
      </w:r>
      <w:proofErr w:type="gramEnd"/>
    </w:p>
    <w:p w14:paraId="68126216" w14:textId="77777777" w:rsidR="00440643" w:rsidRPr="00EC2810" w:rsidRDefault="00440643" w:rsidP="00AA73C3">
      <w:pPr>
        <w:spacing w:line="360" w:lineRule="auto"/>
        <w:jc w:val="both"/>
        <w:rPr>
          <w:rFonts w:ascii="Arial" w:hAnsi="Arial" w:cs="Arial"/>
          <w:sz w:val="22"/>
          <w:szCs w:val="22"/>
        </w:rPr>
      </w:pPr>
      <w:r w:rsidRPr="00EC2810">
        <w:rPr>
          <w:rFonts w:ascii="Arial" w:hAnsi="Arial" w:cs="Arial"/>
          <w:b/>
          <w:bCs/>
          <w:sz w:val="22"/>
          <w:szCs w:val="22"/>
        </w:rPr>
        <w:t>Implementation Phases:</w:t>
      </w:r>
    </w:p>
    <w:p w14:paraId="2449C18E" w14:textId="04246812" w:rsidR="00440643" w:rsidRPr="00EC2810" w:rsidRDefault="00440643" w:rsidP="00AA73C3">
      <w:pPr>
        <w:numPr>
          <w:ilvl w:val="0"/>
          <w:numId w:val="14"/>
        </w:numPr>
        <w:spacing w:line="360" w:lineRule="auto"/>
        <w:jc w:val="both"/>
        <w:rPr>
          <w:rFonts w:ascii="Arial" w:hAnsi="Arial" w:cs="Arial"/>
          <w:sz w:val="22"/>
          <w:szCs w:val="22"/>
        </w:rPr>
      </w:pPr>
      <w:r w:rsidRPr="00EC2810">
        <w:rPr>
          <w:rFonts w:ascii="Arial" w:hAnsi="Arial" w:cs="Arial"/>
          <w:b/>
          <w:bCs/>
          <w:sz w:val="22"/>
          <w:szCs w:val="22"/>
        </w:rPr>
        <w:t>Years 1–2:</w:t>
      </w:r>
      <w:r w:rsidRPr="00EC2810">
        <w:rPr>
          <w:rFonts w:ascii="Arial" w:hAnsi="Arial" w:cs="Arial"/>
          <w:sz w:val="22"/>
          <w:szCs w:val="22"/>
        </w:rPr>
        <w:t xml:space="preserve"> </w:t>
      </w:r>
      <w:r w:rsidR="005701A4" w:rsidRPr="00EC2810">
        <w:rPr>
          <w:rFonts w:ascii="Arial" w:hAnsi="Arial" w:cs="Arial"/>
          <w:sz w:val="22"/>
          <w:szCs w:val="22"/>
        </w:rPr>
        <w:t>Open co-branded Halford Mobility Centres in Madrid and Barcelona.</w:t>
      </w:r>
    </w:p>
    <w:p w14:paraId="3C933D14" w14:textId="378DF717" w:rsidR="00440643" w:rsidRPr="00EC2810" w:rsidRDefault="00440643" w:rsidP="00AA73C3">
      <w:pPr>
        <w:numPr>
          <w:ilvl w:val="0"/>
          <w:numId w:val="14"/>
        </w:numPr>
        <w:spacing w:line="360" w:lineRule="auto"/>
        <w:jc w:val="both"/>
        <w:rPr>
          <w:rFonts w:ascii="Arial" w:hAnsi="Arial" w:cs="Arial"/>
          <w:sz w:val="22"/>
          <w:szCs w:val="22"/>
        </w:rPr>
      </w:pPr>
      <w:r w:rsidRPr="00EC2810">
        <w:rPr>
          <w:rFonts w:ascii="Arial" w:hAnsi="Arial" w:cs="Arial"/>
          <w:b/>
          <w:bCs/>
          <w:sz w:val="22"/>
          <w:szCs w:val="22"/>
        </w:rPr>
        <w:t>Years 3–5:</w:t>
      </w:r>
      <w:r w:rsidRPr="00EC2810">
        <w:rPr>
          <w:rFonts w:ascii="Arial" w:hAnsi="Arial" w:cs="Arial"/>
          <w:sz w:val="22"/>
          <w:szCs w:val="22"/>
        </w:rPr>
        <w:t xml:space="preserve"> </w:t>
      </w:r>
      <w:r w:rsidR="00467B6B" w:rsidRPr="00EC2810">
        <w:rPr>
          <w:rFonts w:ascii="Arial" w:hAnsi="Arial" w:cs="Arial"/>
          <w:sz w:val="22"/>
          <w:szCs w:val="22"/>
        </w:rPr>
        <w:t>Go international to Valencia and Seville; grow e-commerce and logistics countrywide.</w:t>
      </w:r>
    </w:p>
    <w:p w14:paraId="779AEF98" w14:textId="07F568E0" w:rsidR="00440643" w:rsidRPr="00EC2810" w:rsidRDefault="003C2655" w:rsidP="00AA73C3">
      <w:pPr>
        <w:spacing w:line="360" w:lineRule="auto"/>
        <w:jc w:val="both"/>
        <w:rPr>
          <w:rFonts w:ascii="Arial" w:hAnsi="Arial" w:cs="Arial"/>
          <w:sz w:val="22"/>
          <w:szCs w:val="22"/>
        </w:rPr>
      </w:pPr>
      <w:r w:rsidRPr="00EC2810">
        <w:rPr>
          <w:rFonts w:ascii="Arial" w:hAnsi="Arial" w:cs="Arial"/>
          <w:sz w:val="22"/>
          <w:szCs w:val="22"/>
        </w:rPr>
        <w:t>(Agnihotri et al., 2023)</w:t>
      </w:r>
      <w:r w:rsidR="00633920" w:rsidRPr="00EC2810">
        <w:rPr>
          <w:rFonts w:ascii="Arial" w:hAnsi="Arial" w:cs="Arial"/>
          <w:sz w:val="22"/>
          <w:szCs w:val="22"/>
        </w:rPr>
        <w:t xml:space="preserve"> results indicate that cooperative strategies of servitisation provide better performance in diverse macro environments, and this partnership-based entry.</w:t>
      </w:r>
    </w:p>
    <w:p w14:paraId="624BF827" w14:textId="77777777" w:rsidR="00440643" w:rsidRPr="00EC2810" w:rsidRDefault="00440643" w:rsidP="00AA73C3">
      <w:pPr>
        <w:pStyle w:val="Heading2"/>
        <w:spacing w:line="360" w:lineRule="auto"/>
        <w:jc w:val="both"/>
        <w:rPr>
          <w:rFonts w:ascii="Arial" w:hAnsi="Arial" w:cs="Arial"/>
          <w:sz w:val="22"/>
          <w:szCs w:val="22"/>
        </w:rPr>
      </w:pPr>
      <w:bookmarkStart w:id="24" w:name="_Toc214728210"/>
      <w:r w:rsidRPr="00EC2810">
        <w:rPr>
          <w:rFonts w:ascii="Arial" w:hAnsi="Arial" w:cs="Arial"/>
          <w:sz w:val="22"/>
          <w:szCs w:val="22"/>
        </w:rPr>
        <w:t>4.4 Porter’s Generic Strategy: Competitive Advantage</w:t>
      </w:r>
      <w:bookmarkEnd w:id="24"/>
    </w:p>
    <w:p w14:paraId="177BDBEB" w14:textId="097983CA" w:rsidR="00440643" w:rsidRPr="00EC2810" w:rsidRDefault="004B23D8" w:rsidP="00AA73C3">
      <w:pPr>
        <w:spacing w:line="360" w:lineRule="auto"/>
        <w:jc w:val="both"/>
        <w:rPr>
          <w:rFonts w:ascii="Arial" w:hAnsi="Arial" w:cs="Arial"/>
          <w:sz w:val="22"/>
          <w:szCs w:val="22"/>
        </w:rPr>
      </w:pPr>
      <w:r w:rsidRPr="00EC2810">
        <w:rPr>
          <w:rFonts w:ascii="Arial" w:hAnsi="Arial" w:cs="Arial"/>
          <w:sz w:val="22"/>
          <w:szCs w:val="22"/>
        </w:rPr>
        <w:t>Differentiation provides the most viable and sustainable competitive advantage in Spain, where there is a fragmented mobility sector. It is not possible to compete with Decathlon or Amazon on price; Halfords needs to be the first in terms of service quality and integration.</w:t>
      </w:r>
    </w:p>
    <w:p w14:paraId="05B0817E" w14:textId="77777777" w:rsidR="00440643" w:rsidRPr="00EC2810" w:rsidRDefault="00440643" w:rsidP="00AA73C3">
      <w:pPr>
        <w:spacing w:line="360" w:lineRule="auto"/>
        <w:jc w:val="both"/>
        <w:rPr>
          <w:rFonts w:ascii="Arial" w:hAnsi="Arial" w:cs="Arial"/>
          <w:sz w:val="22"/>
          <w:szCs w:val="22"/>
        </w:rPr>
      </w:pPr>
      <w:r w:rsidRPr="00EC2810">
        <w:rPr>
          <w:rFonts w:ascii="Arial" w:hAnsi="Arial" w:cs="Arial"/>
          <w:b/>
          <w:bCs/>
          <w:sz w:val="22"/>
          <w:szCs w:val="22"/>
        </w:rPr>
        <w:t>Core Differentiation Levers</w:t>
      </w:r>
    </w:p>
    <w:p w14:paraId="5F647E50" w14:textId="102AB56C" w:rsidR="00440643" w:rsidRPr="00EC2810" w:rsidRDefault="00440643" w:rsidP="00AA73C3">
      <w:pPr>
        <w:numPr>
          <w:ilvl w:val="0"/>
          <w:numId w:val="15"/>
        </w:numPr>
        <w:spacing w:line="360" w:lineRule="auto"/>
        <w:jc w:val="both"/>
        <w:rPr>
          <w:rFonts w:ascii="Arial" w:hAnsi="Arial" w:cs="Arial"/>
          <w:sz w:val="22"/>
          <w:szCs w:val="22"/>
        </w:rPr>
      </w:pPr>
      <w:r w:rsidRPr="00EC2810">
        <w:rPr>
          <w:rFonts w:ascii="Arial" w:hAnsi="Arial" w:cs="Arial"/>
          <w:b/>
          <w:bCs/>
          <w:sz w:val="22"/>
          <w:szCs w:val="22"/>
        </w:rPr>
        <w:t>Omnichannel Integration:</w:t>
      </w:r>
      <w:r w:rsidRPr="00EC2810">
        <w:rPr>
          <w:rFonts w:ascii="Arial" w:hAnsi="Arial" w:cs="Arial"/>
          <w:sz w:val="22"/>
          <w:szCs w:val="22"/>
        </w:rPr>
        <w:t xml:space="preserve"> </w:t>
      </w:r>
      <w:r w:rsidR="00A86F75" w:rsidRPr="00EC2810">
        <w:rPr>
          <w:rFonts w:ascii="Arial" w:hAnsi="Arial" w:cs="Arial"/>
          <w:sz w:val="22"/>
          <w:szCs w:val="22"/>
        </w:rPr>
        <w:t xml:space="preserve">Integrate digital convenience and physical service credibility. According to </w:t>
      </w:r>
      <w:r w:rsidR="000E3881" w:rsidRPr="00EC2810">
        <w:rPr>
          <w:rFonts w:ascii="Arial" w:hAnsi="Arial" w:cs="Arial"/>
          <w:sz w:val="22"/>
          <w:szCs w:val="22"/>
        </w:rPr>
        <w:t>(Thomas et al., 2024)</w:t>
      </w:r>
      <w:r w:rsidR="00A86F75" w:rsidRPr="00EC2810">
        <w:rPr>
          <w:rFonts w:ascii="Arial" w:hAnsi="Arial" w:cs="Arial"/>
          <w:sz w:val="22"/>
          <w:szCs w:val="22"/>
        </w:rPr>
        <w:t>, omnichannel companies are 30 per cent more successful than online-only ones in retention.</w:t>
      </w:r>
    </w:p>
    <w:p w14:paraId="2D4E9E1A" w14:textId="095F9D38" w:rsidR="00440643" w:rsidRPr="00EC2810" w:rsidRDefault="00440643" w:rsidP="00AA73C3">
      <w:pPr>
        <w:numPr>
          <w:ilvl w:val="0"/>
          <w:numId w:val="15"/>
        </w:numPr>
        <w:spacing w:line="360" w:lineRule="auto"/>
        <w:jc w:val="both"/>
        <w:rPr>
          <w:rFonts w:ascii="Arial" w:hAnsi="Arial" w:cs="Arial"/>
          <w:sz w:val="22"/>
          <w:szCs w:val="22"/>
        </w:rPr>
      </w:pPr>
      <w:r w:rsidRPr="00EC2810">
        <w:rPr>
          <w:rFonts w:ascii="Arial" w:hAnsi="Arial" w:cs="Arial"/>
          <w:b/>
          <w:bCs/>
          <w:sz w:val="22"/>
          <w:szCs w:val="22"/>
        </w:rPr>
        <w:t>Service Leadership:</w:t>
      </w:r>
      <w:r w:rsidRPr="00EC2810">
        <w:rPr>
          <w:rFonts w:ascii="Arial" w:hAnsi="Arial" w:cs="Arial"/>
          <w:sz w:val="22"/>
          <w:szCs w:val="22"/>
        </w:rPr>
        <w:t xml:space="preserve"> </w:t>
      </w:r>
      <w:r w:rsidR="00FC71CB" w:rsidRPr="00EC2810">
        <w:rPr>
          <w:rFonts w:ascii="Arial" w:hAnsi="Arial" w:cs="Arial"/>
          <w:sz w:val="22"/>
          <w:szCs w:val="22"/>
        </w:rPr>
        <w:t>Provide EV diagnostics, tyre services, and high-quality cycling services to make Halfords a mobility partner and not a retail store</w:t>
      </w:r>
      <w:r w:rsidRPr="00EC2810">
        <w:rPr>
          <w:rFonts w:ascii="Arial" w:hAnsi="Arial" w:cs="Arial"/>
          <w:sz w:val="22"/>
          <w:szCs w:val="22"/>
        </w:rPr>
        <w:t>.</w:t>
      </w:r>
    </w:p>
    <w:p w14:paraId="3C141985" w14:textId="3072AF4C" w:rsidR="00440643" w:rsidRPr="00EC2810" w:rsidRDefault="00440643" w:rsidP="00AA73C3">
      <w:pPr>
        <w:numPr>
          <w:ilvl w:val="0"/>
          <w:numId w:val="15"/>
        </w:numPr>
        <w:spacing w:line="360" w:lineRule="auto"/>
        <w:jc w:val="both"/>
        <w:rPr>
          <w:rFonts w:ascii="Arial" w:hAnsi="Arial" w:cs="Arial"/>
          <w:sz w:val="22"/>
          <w:szCs w:val="22"/>
        </w:rPr>
      </w:pPr>
      <w:r w:rsidRPr="00EC2810">
        <w:rPr>
          <w:rFonts w:ascii="Arial" w:hAnsi="Arial" w:cs="Arial"/>
          <w:b/>
          <w:bCs/>
          <w:sz w:val="22"/>
          <w:szCs w:val="22"/>
        </w:rPr>
        <w:t>Sustainability Branding:</w:t>
      </w:r>
      <w:r w:rsidRPr="00EC2810">
        <w:rPr>
          <w:rFonts w:ascii="Arial" w:hAnsi="Arial" w:cs="Arial"/>
          <w:sz w:val="22"/>
          <w:szCs w:val="22"/>
        </w:rPr>
        <w:t xml:space="preserve"> </w:t>
      </w:r>
      <w:r w:rsidR="00E70268" w:rsidRPr="00EC2810">
        <w:rPr>
          <w:rFonts w:ascii="Arial" w:hAnsi="Arial" w:cs="Arial"/>
          <w:sz w:val="22"/>
          <w:szCs w:val="22"/>
        </w:rPr>
        <w:t xml:space="preserve">Energy-efficient stores, recycled materials to support </w:t>
      </w:r>
      <w:r w:rsidR="00164119" w:rsidRPr="00EC2810">
        <w:rPr>
          <w:rFonts w:ascii="Arial" w:hAnsi="Arial" w:cs="Arial"/>
          <w:sz w:val="22"/>
          <w:szCs w:val="22"/>
        </w:rPr>
        <w:t xml:space="preserve">the </w:t>
      </w:r>
      <w:r w:rsidR="00E70268" w:rsidRPr="00EC2810">
        <w:rPr>
          <w:rFonts w:ascii="Arial" w:hAnsi="Arial" w:cs="Arial"/>
          <w:sz w:val="22"/>
          <w:szCs w:val="22"/>
        </w:rPr>
        <w:t>perspectives of green transport leadership</w:t>
      </w:r>
      <w:r w:rsidR="00164119" w:rsidRPr="00EC2810">
        <w:rPr>
          <w:rFonts w:ascii="Arial" w:hAnsi="Arial" w:cs="Arial"/>
          <w:sz w:val="22"/>
          <w:szCs w:val="22"/>
        </w:rPr>
        <w:t xml:space="preserve"> (McKinsey, 2024</w:t>
      </w:r>
      <w:proofErr w:type="gramStart"/>
      <w:r w:rsidR="00164119" w:rsidRPr="00EC2810">
        <w:rPr>
          <w:rFonts w:ascii="Arial" w:hAnsi="Arial" w:cs="Arial"/>
          <w:sz w:val="22"/>
          <w:szCs w:val="22"/>
        </w:rPr>
        <w:t xml:space="preserve">) </w:t>
      </w:r>
      <w:r w:rsidR="00E70268" w:rsidRPr="00EC2810">
        <w:rPr>
          <w:rFonts w:ascii="Arial" w:hAnsi="Arial" w:cs="Arial"/>
          <w:sz w:val="22"/>
          <w:szCs w:val="22"/>
        </w:rPr>
        <w:t>.</w:t>
      </w:r>
      <w:proofErr w:type="gramEnd"/>
    </w:p>
    <w:p w14:paraId="6A23E77E" w14:textId="548353BF" w:rsidR="00440643" w:rsidRPr="00EC2810" w:rsidRDefault="00440643" w:rsidP="00AA73C3">
      <w:pPr>
        <w:numPr>
          <w:ilvl w:val="0"/>
          <w:numId w:val="15"/>
        </w:numPr>
        <w:spacing w:line="360" w:lineRule="auto"/>
        <w:jc w:val="both"/>
        <w:rPr>
          <w:rFonts w:ascii="Arial" w:hAnsi="Arial" w:cs="Arial"/>
          <w:sz w:val="22"/>
          <w:szCs w:val="22"/>
        </w:rPr>
      </w:pPr>
      <w:r w:rsidRPr="00EC2810">
        <w:rPr>
          <w:rFonts w:ascii="Arial" w:hAnsi="Arial" w:cs="Arial"/>
          <w:b/>
          <w:bCs/>
          <w:sz w:val="22"/>
          <w:szCs w:val="22"/>
        </w:rPr>
        <w:t>Data-Driven Personalisation:</w:t>
      </w:r>
      <w:r w:rsidRPr="00EC2810">
        <w:rPr>
          <w:rFonts w:ascii="Arial" w:hAnsi="Arial" w:cs="Arial"/>
          <w:sz w:val="22"/>
          <w:szCs w:val="22"/>
        </w:rPr>
        <w:t xml:space="preserve"> </w:t>
      </w:r>
      <w:r w:rsidR="0062118B" w:rsidRPr="00EC2810">
        <w:rPr>
          <w:rFonts w:ascii="Arial" w:hAnsi="Arial" w:cs="Arial"/>
          <w:sz w:val="22"/>
          <w:szCs w:val="22"/>
        </w:rPr>
        <w:t>Make use of loyalty data to offer customised offers and predictive service reminders.</w:t>
      </w:r>
    </w:p>
    <w:p w14:paraId="7E74C75A" w14:textId="4F7BD108" w:rsidR="00440643" w:rsidRPr="00EC2810" w:rsidRDefault="00440643" w:rsidP="00AA73C3">
      <w:pPr>
        <w:spacing w:line="360" w:lineRule="auto"/>
        <w:jc w:val="both"/>
        <w:rPr>
          <w:rFonts w:ascii="Arial" w:hAnsi="Arial" w:cs="Arial"/>
          <w:sz w:val="22"/>
          <w:szCs w:val="22"/>
        </w:rPr>
      </w:pPr>
      <w:r w:rsidRPr="00EC2810">
        <w:rPr>
          <w:rFonts w:ascii="Arial" w:hAnsi="Arial" w:cs="Arial"/>
          <w:sz w:val="22"/>
          <w:szCs w:val="22"/>
        </w:rPr>
        <w:t>This strategy replicates Halfords’ UK formula</w:t>
      </w:r>
      <w:r w:rsidR="006E0BEB" w:rsidRPr="00EC2810">
        <w:rPr>
          <w:rFonts w:ascii="Arial" w:hAnsi="Arial" w:cs="Arial"/>
          <w:sz w:val="22"/>
          <w:szCs w:val="22"/>
        </w:rPr>
        <w:t xml:space="preserve">, </w:t>
      </w:r>
      <w:r w:rsidRPr="00EC2810">
        <w:rPr>
          <w:rFonts w:ascii="Arial" w:hAnsi="Arial" w:cs="Arial"/>
          <w:sz w:val="22"/>
          <w:szCs w:val="22"/>
        </w:rPr>
        <w:t>affordable quality plus expert service</w:t>
      </w:r>
      <w:r w:rsidR="006E0BEB" w:rsidRPr="00EC2810">
        <w:rPr>
          <w:rFonts w:ascii="Arial" w:hAnsi="Arial" w:cs="Arial"/>
          <w:sz w:val="22"/>
          <w:szCs w:val="22"/>
        </w:rPr>
        <w:t xml:space="preserve">, </w:t>
      </w:r>
      <w:r w:rsidRPr="00EC2810">
        <w:rPr>
          <w:rFonts w:ascii="Arial" w:hAnsi="Arial" w:cs="Arial"/>
          <w:sz w:val="22"/>
          <w:szCs w:val="22"/>
        </w:rPr>
        <w:t>while adapting to Spain’s sustainability-driven consumer base.</w:t>
      </w:r>
    </w:p>
    <w:p w14:paraId="5CC30970" w14:textId="77777777" w:rsidR="00440643" w:rsidRPr="00EC2810" w:rsidRDefault="00440643" w:rsidP="00AA73C3">
      <w:pPr>
        <w:pStyle w:val="Heading2"/>
        <w:spacing w:line="360" w:lineRule="auto"/>
        <w:jc w:val="both"/>
        <w:rPr>
          <w:rFonts w:ascii="Arial" w:hAnsi="Arial" w:cs="Arial"/>
          <w:sz w:val="22"/>
          <w:szCs w:val="22"/>
        </w:rPr>
      </w:pPr>
      <w:bookmarkStart w:id="25" w:name="_Toc214728211"/>
      <w:r w:rsidRPr="00EC2810">
        <w:rPr>
          <w:rFonts w:ascii="Arial" w:hAnsi="Arial" w:cs="Arial"/>
          <w:sz w:val="22"/>
          <w:szCs w:val="22"/>
        </w:rPr>
        <w:t>4.5 TOWS Matrix: Strategic Synthesis</w:t>
      </w:r>
      <w:bookmarkEnd w:id="25"/>
    </w:p>
    <w:tbl>
      <w:tblPr>
        <w:tblStyle w:val="TableGrid"/>
        <w:tblW w:w="0" w:type="auto"/>
        <w:tblLook w:val="04A0" w:firstRow="1" w:lastRow="0" w:firstColumn="1" w:lastColumn="0" w:noHBand="0" w:noVBand="1"/>
      </w:tblPr>
      <w:tblGrid>
        <w:gridCol w:w="1931"/>
        <w:gridCol w:w="3779"/>
        <w:gridCol w:w="3640"/>
      </w:tblGrid>
      <w:tr w:rsidR="00440643" w:rsidRPr="00EC2810" w14:paraId="1934B872" w14:textId="77777777" w:rsidTr="00440643">
        <w:tc>
          <w:tcPr>
            <w:tcW w:w="0" w:type="auto"/>
            <w:hideMark/>
          </w:tcPr>
          <w:p w14:paraId="414DED25"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lastRenderedPageBreak/>
              <w:t>Internal / External Factors</w:t>
            </w:r>
          </w:p>
        </w:tc>
        <w:tc>
          <w:tcPr>
            <w:tcW w:w="0" w:type="auto"/>
            <w:hideMark/>
          </w:tcPr>
          <w:p w14:paraId="658F8E03"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Opportunities (O)</w:t>
            </w:r>
          </w:p>
        </w:tc>
        <w:tc>
          <w:tcPr>
            <w:tcW w:w="0" w:type="auto"/>
            <w:hideMark/>
          </w:tcPr>
          <w:p w14:paraId="4F4806AB"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Threats (T)</w:t>
            </w:r>
          </w:p>
        </w:tc>
      </w:tr>
      <w:tr w:rsidR="00440643" w:rsidRPr="00EC2810" w14:paraId="1FDE7DB7" w14:textId="77777777" w:rsidTr="00440643">
        <w:tc>
          <w:tcPr>
            <w:tcW w:w="0" w:type="auto"/>
            <w:hideMark/>
          </w:tcPr>
          <w:p w14:paraId="1694BD97"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Strengths (S)</w:t>
            </w:r>
          </w:p>
        </w:tc>
        <w:tc>
          <w:tcPr>
            <w:tcW w:w="0" w:type="auto"/>
            <w:hideMark/>
          </w:tcPr>
          <w:p w14:paraId="633A0AF7"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SO:</w:t>
            </w:r>
            <w:r w:rsidRPr="00EC2810">
              <w:rPr>
                <w:rFonts w:ascii="Arial" w:hAnsi="Arial" w:cs="Arial"/>
                <w:sz w:val="22"/>
                <w:szCs w:val="22"/>
              </w:rPr>
              <w:t xml:space="preserve"> Use omnichannel and EV expertise to capture Spain’s digital and sustainability growth.</w:t>
            </w:r>
          </w:p>
        </w:tc>
        <w:tc>
          <w:tcPr>
            <w:tcW w:w="0" w:type="auto"/>
            <w:hideMark/>
          </w:tcPr>
          <w:p w14:paraId="44C3A003"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ST:</w:t>
            </w:r>
            <w:r w:rsidRPr="00EC2810">
              <w:rPr>
                <w:rFonts w:ascii="Arial" w:hAnsi="Arial" w:cs="Arial"/>
                <w:sz w:val="22"/>
                <w:szCs w:val="22"/>
              </w:rPr>
              <w:t xml:space="preserve"> Use brand trust and quality to counter Decathlon and Amazon’s price rivalry.</w:t>
            </w:r>
          </w:p>
        </w:tc>
      </w:tr>
      <w:tr w:rsidR="00440643" w:rsidRPr="00EC2810" w14:paraId="543B71A8" w14:textId="77777777" w:rsidTr="00440643">
        <w:tc>
          <w:tcPr>
            <w:tcW w:w="0" w:type="auto"/>
            <w:hideMark/>
          </w:tcPr>
          <w:p w14:paraId="35899B2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Weaknesses (W)</w:t>
            </w:r>
          </w:p>
        </w:tc>
        <w:tc>
          <w:tcPr>
            <w:tcW w:w="0" w:type="auto"/>
            <w:hideMark/>
          </w:tcPr>
          <w:p w14:paraId="7B12713F"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WO:</w:t>
            </w:r>
            <w:r w:rsidRPr="00EC2810">
              <w:rPr>
                <w:rFonts w:ascii="Arial" w:hAnsi="Arial" w:cs="Arial"/>
                <w:sz w:val="22"/>
                <w:szCs w:val="22"/>
              </w:rPr>
              <w:t xml:space="preserve"> Overcome low awareness through JV co-branding and local campaigns.</w:t>
            </w:r>
          </w:p>
        </w:tc>
        <w:tc>
          <w:tcPr>
            <w:tcW w:w="0" w:type="auto"/>
            <w:hideMark/>
          </w:tcPr>
          <w:p w14:paraId="0D8F79AC"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WT:</w:t>
            </w:r>
            <w:r w:rsidRPr="00EC2810">
              <w:rPr>
                <w:rFonts w:ascii="Arial" w:hAnsi="Arial" w:cs="Arial"/>
                <w:sz w:val="22"/>
                <w:szCs w:val="22"/>
              </w:rPr>
              <w:t xml:space="preserve"> Enter gradually and integrate Spanish compliance to reduce operational and financial risk.</w:t>
            </w:r>
          </w:p>
        </w:tc>
      </w:tr>
    </w:tbl>
    <w:p w14:paraId="50854BD8" w14:textId="29CCE492" w:rsidR="009F13D9" w:rsidRPr="00EC2810" w:rsidRDefault="009F13D9" w:rsidP="009F13D9">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Pr="00EC2810">
        <w:rPr>
          <w:rFonts w:ascii="Arial" w:hAnsi="Arial" w:cs="Arial"/>
          <w:noProof/>
          <w:sz w:val="22"/>
          <w:szCs w:val="22"/>
        </w:rPr>
        <w:t>8</w:t>
      </w:r>
      <w:r w:rsidR="00000000" w:rsidRPr="00EC2810">
        <w:rPr>
          <w:rFonts w:ascii="Arial" w:hAnsi="Arial" w:cs="Arial"/>
          <w:noProof/>
          <w:sz w:val="22"/>
          <w:szCs w:val="22"/>
        </w:rPr>
        <w:fldChar w:fldCharType="end"/>
      </w:r>
      <w:r w:rsidRPr="00EC2810">
        <w:rPr>
          <w:rFonts w:ascii="Arial" w:hAnsi="Arial" w:cs="Arial"/>
          <w:sz w:val="22"/>
          <w:szCs w:val="22"/>
        </w:rPr>
        <w:t>: TOWS Framework (Created by Author)</w:t>
      </w:r>
    </w:p>
    <w:p w14:paraId="07842063" w14:textId="149C701A" w:rsidR="00440643" w:rsidRPr="00EC2810" w:rsidRDefault="00440643" w:rsidP="00AA73C3">
      <w:pPr>
        <w:spacing w:line="360" w:lineRule="auto"/>
        <w:jc w:val="both"/>
        <w:rPr>
          <w:rFonts w:ascii="Arial" w:hAnsi="Arial" w:cs="Arial"/>
          <w:sz w:val="22"/>
          <w:szCs w:val="22"/>
        </w:rPr>
      </w:pPr>
      <w:r w:rsidRPr="00EC2810">
        <w:rPr>
          <w:rFonts w:ascii="Arial" w:hAnsi="Arial" w:cs="Arial"/>
          <w:sz w:val="22"/>
          <w:szCs w:val="22"/>
        </w:rPr>
        <w:t>The TOWS synthesis reinforces a phased, partnership-driven strategy emphasising local adaptation and risk management.</w:t>
      </w:r>
    </w:p>
    <w:p w14:paraId="5D83DDB4" w14:textId="77777777" w:rsidR="00440643" w:rsidRPr="00EC2810" w:rsidRDefault="00440643" w:rsidP="00AA73C3">
      <w:pPr>
        <w:pStyle w:val="Heading2"/>
        <w:spacing w:line="360" w:lineRule="auto"/>
        <w:jc w:val="both"/>
        <w:rPr>
          <w:rFonts w:ascii="Arial" w:hAnsi="Arial" w:cs="Arial"/>
          <w:sz w:val="22"/>
          <w:szCs w:val="22"/>
        </w:rPr>
      </w:pPr>
      <w:bookmarkStart w:id="26" w:name="_Toc214728212"/>
      <w:r w:rsidRPr="00EC2810">
        <w:rPr>
          <w:rFonts w:ascii="Arial" w:hAnsi="Arial" w:cs="Arial"/>
          <w:sz w:val="22"/>
          <w:szCs w:val="22"/>
        </w:rPr>
        <w:t>4.6 Risk Assessment and Mitigation</w:t>
      </w:r>
      <w:bookmarkEnd w:id="26"/>
    </w:p>
    <w:tbl>
      <w:tblPr>
        <w:tblStyle w:val="TableGrid"/>
        <w:tblW w:w="0" w:type="auto"/>
        <w:tblLook w:val="04A0" w:firstRow="1" w:lastRow="0" w:firstColumn="1" w:lastColumn="0" w:noHBand="0" w:noVBand="1"/>
      </w:tblPr>
      <w:tblGrid>
        <w:gridCol w:w="1476"/>
        <w:gridCol w:w="3333"/>
        <w:gridCol w:w="4541"/>
      </w:tblGrid>
      <w:tr w:rsidR="00440643" w:rsidRPr="00EC2810" w14:paraId="094282D2" w14:textId="77777777" w:rsidTr="00440643">
        <w:tc>
          <w:tcPr>
            <w:tcW w:w="0" w:type="auto"/>
            <w:hideMark/>
          </w:tcPr>
          <w:p w14:paraId="26DD28D2"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Risk</w:t>
            </w:r>
          </w:p>
        </w:tc>
        <w:tc>
          <w:tcPr>
            <w:tcW w:w="0" w:type="auto"/>
            <w:hideMark/>
          </w:tcPr>
          <w:p w14:paraId="0D73BF62"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Description</w:t>
            </w:r>
          </w:p>
        </w:tc>
        <w:tc>
          <w:tcPr>
            <w:tcW w:w="0" w:type="auto"/>
            <w:hideMark/>
          </w:tcPr>
          <w:p w14:paraId="2C81C3D5"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Mitigation</w:t>
            </w:r>
          </w:p>
        </w:tc>
      </w:tr>
      <w:tr w:rsidR="00440643" w:rsidRPr="00EC2810" w14:paraId="18932E54" w14:textId="77777777" w:rsidTr="00440643">
        <w:tc>
          <w:tcPr>
            <w:tcW w:w="0" w:type="auto"/>
            <w:hideMark/>
          </w:tcPr>
          <w:p w14:paraId="57A16DDB"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Operational</w:t>
            </w:r>
          </w:p>
        </w:tc>
        <w:tc>
          <w:tcPr>
            <w:tcW w:w="0" w:type="auto"/>
            <w:hideMark/>
          </w:tcPr>
          <w:p w14:paraId="670053E8"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Logistics inefficiency, supply delays.</w:t>
            </w:r>
          </w:p>
        </w:tc>
        <w:tc>
          <w:tcPr>
            <w:tcW w:w="0" w:type="auto"/>
            <w:hideMark/>
          </w:tcPr>
          <w:p w14:paraId="129FD3F6"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Use EU distribution hubs; partner with Spanish 3PL providers.</w:t>
            </w:r>
          </w:p>
        </w:tc>
      </w:tr>
      <w:tr w:rsidR="00440643" w:rsidRPr="00EC2810" w14:paraId="4931F641" w14:textId="77777777" w:rsidTr="00440643">
        <w:tc>
          <w:tcPr>
            <w:tcW w:w="0" w:type="auto"/>
            <w:hideMark/>
          </w:tcPr>
          <w:p w14:paraId="61651B90"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Cultural</w:t>
            </w:r>
          </w:p>
        </w:tc>
        <w:tc>
          <w:tcPr>
            <w:tcW w:w="0" w:type="auto"/>
            <w:hideMark/>
          </w:tcPr>
          <w:p w14:paraId="7EDF555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Service expectations differ by region.</w:t>
            </w:r>
          </w:p>
        </w:tc>
        <w:tc>
          <w:tcPr>
            <w:tcW w:w="0" w:type="auto"/>
            <w:hideMark/>
          </w:tcPr>
          <w:p w14:paraId="58DA4911"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Employ local staff, adapt communication tone.</w:t>
            </w:r>
          </w:p>
        </w:tc>
      </w:tr>
      <w:tr w:rsidR="00440643" w:rsidRPr="00EC2810" w14:paraId="1C61FA51" w14:textId="77777777" w:rsidTr="00440643">
        <w:tc>
          <w:tcPr>
            <w:tcW w:w="0" w:type="auto"/>
            <w:hideMark/>
          </w:tcPr>
          <w:p w14:paraId="1CC0F6BB"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Regulatory</w:t>
            </w:r>
          </w:p>
        </w:tc>
        <w:tc>
          <w:tcPr>
            <w:tcW w:w="0" w:type="auto"/>
            <w:hideMark/>
          </w:tcPr>
          <w:p w14:paraId="31C6129D"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Automotive servicing certifications required.</w:t>
            </w:r>
          </w:p>
        </w:tc>
        <w:tc>
          <w:tcPr>
            <w:tcW w:w="0" w:type="auto"/>
            <w:hideMark/>
          </w:tcPr>
          <w:p w14:paraId="16C4F119"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Partner with certified operators; follow EU compliance.</w:t>
            </w:r>
          </w:p>
        </w:tc>
      </w:tr>
      <w:tr w:rsidR="00440643" w:rsidRPr="00EC2810" w14:paraId="0B90777D" w14:textId="77777777" w:rsidTr="00440643">
        <w:tc>
          <w:tcPr>
            <w:tcW w:w="0" w:type="auto"/>
            <w:hideMark/>
          </w:tcPr>
          <w:p w14:paraId="75CCABAC"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Competitive</w:t>
            </w:r>
          </w:p>
        </w:tc>
        <w:tc>
          <w:tcPr>
            <w:tcW w:w="0" w:type="auto"/>
            <w:hideMark/>
          </w:tcPr>
          <w:p w14:paraId="47E2D2CE"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Price undercutting by incumbents.</w:t>
            </w:r>
          </w:p>
        </w:tc>
        <w:tc>
          <w:tcPr>
            <w:tcW w:w="0" w:type="auto"/>
            <w:hideMark/>
          </w:tcPr>
          <w:p w14:paraId="63BE0346"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Compete via convenience, expertise, and loyalty schemes.</w:t>
            </w:r>
          </w:p>
        </w:tc>
      </w:tr>
      <w:tr w:rsidR="00440643" w:rsidRPr="00EC2810" w14:paraId="4003926B" w14:textId="77777777" w:rsidTr="00440643">
        <w:tc>
          <w:tcPr>
            <w:tcW w:w="0" w:type="auto"/>
            <w:hideMark/>
          </w:tcPr>
          <w:p w14:paraId="4044AED5"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Financial</w:t>
            </w:r>
          </w:p>
        </w:tc>
        <w:tc>
          <w:tcPr>
            <w:tcW w:w="0" w:type="auto"/>
            <w:hideMark/>
          </w:tcPr>
          <w:p w14:paraId="25F3F29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Currency fluctuation and startup cost.</w:t>
            </w:r>
          </w:p>
        </w:tc>
        <w:tc>
          <w:tcPr>
            <w:tcW w:w="0" w:type="auto"/>
            <w:hideMark/>
          </w:tcPr>
          <w:p w14:paraId="1AAED3E4"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Hedge exchange rates; phase investments.</w:t>
            </w:r>
          </w:p>
        </w:tc>
      </w:tr>
    </w:tbl>
    <w:p w14:paraId="097A1EFF" w14:textId="03C05473" w:rsidR="009F13D9" w:rsidRPr="00EC2810" w:rsidRDefault="009F13D9" w:rsidP="009F13D9">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Pr="00EC2810">
        <w:rPr>
          <w:rFonts w:ascii="Arial" w:hAnsi="Arial" w:cs="Arial"/>
          <w:noProof/>
          <w:sz w:val="22"/>
          <w:szCs w:val="22"/>
        </w:rPr>
        <w:t>9</w:t>
      </w:r>
      <w:r w:rsidR="00000000" w:rsidRPr="00EC2810">
        <w:rPr>
          <w:rFonts w:ascii="Arial" w:hAnsi="Arial" w:cs="Arial"/>
          <w:noProof/>
          <w:sz w:val="22"/>
          <w:szCs w:val="22"/>
        </w:rPr>
        <w:fldChar w:fldCharType="end"/>
      </w:r>
      <w:r w:rsidRPr="00EC2810">
        <w:rPr>
          <w:rFonts w:ascii="Arial" w:hAnsi="Arial" w:cs="Arial"/>
          <w:sz w:val="22"/>
          <w:szCs w:val="22"/>
        </w:rPr>
        <w:t>: Risk Assessment (Created by Author)</w:t>
      </w:r>
    </w:p>
    <w:p w14:paraId="6414DC60" w14:textId="6AFCC901" w:rsidR="00440643" w:rsidRPr="00EC2810" w:rsidRDefault="00440643" w:rsidP="00AA73C3">
      <w:pPr>
        <w:spacing w:line="360" w:lineRule="auto"/>
        <w:jc w:val="both"/>
        <w:rPr>
          <w:rFonts w:ascii="Arial" w:hAnsi="Arial" w:cs="Arial"/>
          <w:sz w:val="22"/>
          <w:szCs w:val="22"/>
        </w:rPr>
      </w:pPr>
      <w:r w:rsidRPr="00EC2810">
        <w:rPr>
          <w:rFonts w:ascii="Arial" w:hAnsi="Arial" w:cs="Arial"/>
          <w:sz w:val="22"/>
          <w:szCs w:val="22"/>
        </w:rPr>
        <w:t xml:space="preserve">As </w:t>
      </w:r>
      <w:r w:rsidR="003C2655" w:rsidRPr="00EC2810">
        <w:rPr>
          <w:rFonts w:ascii="Arial" w:hAnsi="Arial" w:cs="Arial"/>
          <w:i/>
          <w:iCs/>
          <w:sz w:val="22"/>
          <w:szCs w:val="22"/>
        </w:rPr>
        <w:t>(Brouthers, 2022)</w:t>
      </w:r>
      <w:r w:rsidRPr="00EC2810">
        <w:rPr>
          <w:rFonts w:ascii="Arial" w:hAnsi="Arial" w:cs="Arial"/>
          <w:sz w:val="22"/>
          <w:szCs w:val="22"/>
        </w:rPr>
        <w:t xml:space="preserve"> highlights, phased investment and local cooperation reduce institutional risk and accelerate learning.</w:t>
      </w:r>
    </w:p>
    <w:p w14:paraId="1ED8999C" w14:textId="77777777" w:rsidR="00440643" w:rsidRPr="00EC2810" w:rsidRDefault="00440643" w:rsidP="00AA73C3">
      <w:pPr>
        <w:pStyle w:val="Heading2"/>
        <w:spacing w:line="360" w:lineRule="auto"/>
        <w:jc w:val="both"/>
        <w:rPr>
          <w:rFonts w:ascii="Arial" w:hAnsi="Arial" w:cs="Arial"/>
          <w:sz w:val="22"/>
          <w:szCs w:val="22"/>
        </w:rPr>
      </w:pPr>
      <w:bookmarkStart w:id="27" w:name="_Toc214728213"/>
      <w:r w:rsidRPr="00EC2810">
        <w:rPr>
          <w:rFonts w:ascii="Arial" w:hAnsi="Arial" w:cs="Arial"/>
          <w:sz w:val="22"/>
          <w:szCs w:val="22"/>
        </w:rPr>
        <w:lastRenderedPageBreak/>
        <w:t>4.7 Implementation Roadmap</w:t>
      </w:r>
      <w:bookmarkEnd w:id="27"/>
    </w:p>
    <w:tbl>
      <w:tblPr>
        <w:tblStyle w:val="TableGrid"/>
        <w:tblW w:w="0" w:type="auto"/>
        <w:tblLook w:val="04A0" w:firstRow="1" w:lastRow="0" w:firstColumn="1" w:lastColumn="0" w:noHBand="0" w:noVBand="1"/>
      </w:tblPr>
      <w:tblGrid>
        <w:gridCol w:w="694"/>
        <w:gridCol w:w="2131"/>
        <w:gridCol w:w="6525"/>
      </w:tblGrid>
      <w:tr w:rsidR="00440643" w:rsidRPr="00EC2810" w14:paraId="25174438" w14:textId="77777777" w:rsidTr="00440643">
        <w:tc>
          <w:tcPr>
            <w:tcW w:w="0" w:type="auto"/>
            <w:hideMark/>
          </w:tcPr>
          <w:p w14:paraId="7689BEF3"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Year</w:t>
            </w:r>
          </w:p>
        </w:tc>
        <w:tc>
          <w:tcPr>
            <w:tcW w:w="0" w:type="auto"/>
            <w:hideMark/>
          </w:tcPr>
          <w:p w14:paraId="1D6F62D8"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Milestone</w:t>
            </w:r>
          </w:p>
        </w:tc>
        <w:tc>
          <w:tcPr>
            <w:tcW w:w="0" w:type="auto"/>
            <w:hideMark/>
          </w:tcPr>
          <w:p w14:paraId="552FC7F7" w14:textId="77777777" w:rsidR="00440643" w:rsidRPr="00EC2810" w:rsidRDefault="00440643" w:rsidP="00AA73C3">
            <w:pPr>
              <w:spacing w:after="160" w:line="360" w:lineRule="auto"/>
              <w:jc w:val="both"/>
              <w:rPr>
                <w:rFonts w:ascii="Arial" w:hAnsi="Arial" w:cs="Arial"/>
                <w:b/>
                <w:bCs/>
                <w:sz w:val="22"/>
                <w:szCs w:val="22"/>
              </w:rPr>
            </w:pPr>
            <w:r w:rsidRPr="00EC2810">
              <w:rPr>
                <w:rFonts w:ascii="Arial" w:hAnsi="Arial" w:cs="Arial"/>
                <w:b/>
                <w:bCs/>
                <w:sz w:val="22"/>
                <w:szCs w:val="22"/>
              </w:rPr>
              <w:t>Key Actions</w:t>
            </w:r>
          </w:p>
        </w:tc>
      </w:tr>
      <w:tr w:rsidR="00440643" w:rsidRPr="00EC2810" w14:paraId="52A59B0D" w14:textId="77777777" w:rsidTr="00440643">
        <w:tc>
          <w:tcPr>
            <w:tcW w:w="0" w:type="auto"/>
            <w:hideMark/>
          </w:tcPr>
          <w:p w14:paraId="08A0EAFE"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1</w:t>
            </w:r>
          </w:p>
        </w:tc>
        <w:tc>
          <w:tcPr>
            <w:tcW w:w="0" w:type="auto"/>
            <w:hideMark/>
          </w:tcPr>
          <w:p w14:paraId="2063D32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Market Entry Planning</w:t>
            </w:r>
          </w:p>
        </w:tc>
        <w:tc>
          <w:tcPr>
            <w:tcW w:w="0" w:type="auto"/>
            <w:hideMark/>
          </w:tcPr>
          <w:p w14:paraId="30A8B146"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Finalise JV agreement, recruit Spanish leadership, and launch local website.</w:t>
            </w:r>
          </w:p>
        </w:tc>
      </w:tr>
      <w:tr w:rsidR="00440643" w:rsidRPr="00EC2810" w14:paraId="327FB3B8" w14:textId="77777777" w:rsidTr="00440643">
        <w:tc>
          <w:tcPr>
            <w:tcW w:w="0" w:type="auto"/>
            <w:hideMark/>
          </w:tcPr>
          <w:p w14:paraId="363A2CA5"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2</w:t>
            </w:r>
          </w:p>
        </w:tc>
        <w:tc>
          <w:tcPr>
            <w:tcW w:w="0" w:type="auto"/>
            <w:hideMark/>
          </w:tcPr>
          <w:p w14:paraId="70CF977F"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Pilot Launch</w:t>
            </w:r>
          </w:p>
        </w:tc>
        <w:tc>
          <w:tcPr>
            <w:tcW w:w="0" w:type="auto"/>
            <w:hideMark/>
          </w:tcPr>
          <w:p w14:paraId="66F3D001"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Open Mobility Centres in Madrid and Barcelona; start marketing and online sales.</w:t>
            </w:r>
          </w:p>
        </w:tc>
      </w:tr>
      <w:tr w:rsidR="00440643" w:rsidRPr="00EC2810" w14:paraId="73CCBA34" w14:textId="77777777" w:rsidTr="00440643">
        <w:tc>
          <w:tcPr>
            <w:tcW w:w="0" w:type="auto"/>
            <w:hideMark/>
          </w:tcPr>
          <w:p w14:paraId="681E6F43"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3–4</w:t>
            </w:r>
          </w:p>
        </w:tc>
        <w:tc>
          <w:tcPr>
            <w:tcW w:w="0" w:type="auto"/>
            <w:hideMark/>
          </w:tcPr>
          <w:p w14:paraId="729F39E0"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Expansion</w:t>
            </w:r>
          </w:p>
        </w:tc>
        <w:tc>
          <w:tcPr>
            <w:tcW w:w="0" w:type="auto"/>
            <w:hideMark/>
          </w:tcPr>
          <w:p w14:paraId="617C2CBA"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Add Valencia and Seville sites; expand service portfolio; partner with EV fleet operators.</w:t>
            </w:r>
          </w:p>
        </w:tc>
      </w:tr>
      <w:tr w:rsidR="00440643" w:rsidRPr="00EC2810" w14:paraId="45D453D1" w14:textId="77777777" w:rsidTr="00440643">
        <w:tc>
          <w:tcPr>
            <w:tcW w:w="0" w:type="auto"/>
            <w:hideMark/>
          </w:tcPr>
          <w:p w14:paraId="1010468B"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b/>
                <w:bCs/>
                <w:sz w:val="22"/>
                <w:szCs w:val="22"/>
              </w:rPr>
              <w:t>5</w:t>
            </w:r>
          </w:p>
        </w:tc>
        <w:tc>
          <w:tcPr>
            <w:tcW w:w="0" w:type="auto"/>
            <w:hideMark/>
          </w:tcPr>
          <w:p w14:paraId="5B6EFA77"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Consolidation</w:t>
            </w:r>
          </w:p>
        </w:tc>
        <w:tc>
          <w:tcPr>
            <w:tcW w:w="0" w:type="auto"/>
            <w:hideMark/>
          </w:tcPr>
          <w:p w14:paraId="4B8B9B5E" w14:textId="77777777" w:rsidR="00440643" w:rsidRPr="00EC2810" w:rsidRDefault="00440643" w:rsidP="00AA73C3">
            <w:pPr>
              <w:spacing w:after="160" w:line="360" w:lineRule="auto"/>
              <w:jc w:val="both"/>
              <w:rPr>
                <w:rFonts w:ascii="Arial" w:hAnsi="Arial" w:cs="Arial"/>
                <w:sz w:val="22"/>
                <w:szCs w:val="22"/>
              </w:rPr>
            </w:pPr>
            <w:r w:rsidRPr="00EC2810">
              <w:rPr>
                <w:rFonts w:ascii="Arial" w:hAnsi="Arial" w:cs="Arial"/>
                <w:sz w:val="22"/>
                <w:szCs w:val="22"/>
              </w:rPr>
              <w:t>Review KPIs using Balanced Scorecard; optimise operations and reinvest profits.</w:t>
            </w:r>
          </w:p>
        </w:tc>
      </w:tr>
    </w:tbl>
    <w:p w14:paraId="0C34C820" w14:textId="77777777" w:rsidR="00440643" w:rsidRPr="00EC2810" w:rsidRDefault="00440643" w:rsidP="00AA73C3">
      <w:pPr>
        <w:pStyle w:val="Heading2"/>
        <w:spacing w:line="360" w:lineRule="auto"/>
        <w:jc w:val="both"/>
        <w:rPr>
          <w:rFonts w:ascii="Arial" w:hAnsi="Arial" w:cs="Arial"/>
          <w:sz w:val="22"/>
          <w:szCs w:val="22"/>
        </w:rPr>
      </w:pPr>
      <w:bookmarkStart w:id="28" w:name="_Toc214728214"/>
      <w:r w:rsidRPr="00EC2810">
        <w:rPr>
          <w:rFonts w:ascii="Arial" w:hAnsi="Arial" w:cs="Arial"/>
          <w:sz w:val="22"/>
          <w:szCs w:val="22"/>
        </w:rPr>
        <w:t>4.8 Strategic Coherence and Positioning</w:t>
      </w:r>
      <w:bookmarkEnd w:id="28"/>
    </w:p>
    <w:p w14:paraId="7974497F" w14:textId="77777777" w:rsidR="00D00ACA" w:rsidRPr="00EC2810" w:rsidRDefault="00D00ACA" w:rsidP="00AA73C3">
      <w:pPr>
        <w:spacing w:line="360" w:lineRule="auto"/>
        <w:jc w:val="both"/>
        <w:rPr>
          <w:rFonts w:ascii="Arial" w:hAnsi="Arial" w:cs="Arial"/>
          <w:sz w:val="22"/>
          <w:szCs w:val="22"/>
        </w:rPr>
      </w:pPr>
      <w:r w:rsidRPr="00EC2810">
        <w:rPr>
          <w:rFonts w:ascii="Arial" w:hAnsi="Arial" w:cs="Arial"/>
          <w:sz w:val="22"/>
          <w:szCs w:val="22"/>
        </w:rPr>
        <w:t>Such a plan will be in line with the corporate transformation objectives of Halfords. Service, sustainability, and digital experience. The booming Spanish e-mobility and cycling markets can be used in the framework of the model, One Halfords.</w:t>
      </w:r>
    </w:p>
    <w:p w14:paraId="7D347775" w14:textId="77777777" w:rsidR="00D00ACA" w:rsidRPr="00EC2810" w:rsidRDefault="00D00ACA" w:rsidP="00AA73C3">
      <w:pPr>
        <w:spacing w:line="360" w:lineRule="auto"/>
        <w:jc w:val="both"/>
        <w:rPr>
          <w:rFonts w:ascii="Arial" w:hAnsi="Arial" w:cs="Arial"/>
          <w:sz w:val="22"/>
          <w:szCs w:val="22"/>
        </w:rPr>
      </w:pPr>
      <w:r w:rsidRPr="00EC2810">
        <w:rPr>
          <w:rFonts w:ascii="Arial" w:hAnsi="Arial" w:cs="Arial"/>
          <w:sz w:val="22"/>
          <w:szCs w:val="22"/>
        </w:rPr>
        <w:t>The joint venture entry mode will provide local adaptation and regulatory compliance, whereas differentiation through the achievements of the omnichannel of services will create a defensible market position. In five years, Halfords can develop to become a pan-European mobility brand, building on its technology, scale of logistics, and sustainability leadership.</w:t>
      </w:r>
    </w:p>
    <w:p w14:paraId="60D7BA1D" w14:textId="611A3B61" w:rsidR="00D00ACA" w:rsidRPr="00EC2810" w:rsidRDefault="00D00ACA" w:rsidP="00AA73C3">
      <w:pPr>
        <w:spacing w:line="360" w:lineRule="auto"/>
        <w:jc w:val="both"/>
        <w:rPr>
          <w:rFonts w:ascii="Arial" w:hAnsi="Arial" w:cs="Arial"/>
          <w:sz w:val="22"/>
          <w:szCs w:val="22"/>
        </w:rPr>
      </w:pPr>
      <w:r w:rsidRPr="00EC2810">
        <w:rPr>
          <w:rFonts w:ascii="Arial" w:hAnsi="Arial" w:cs="Arial"/>
          <w:sz w:val="22"/>
          <w:szCs w:val="22"/>
        </w:rPr>
        <w:t xml:space="preserve">This plan is based on the adaptive internationalisation strategy described by </w:t>
      </w:r>
      <w:r w:rsidR="003C2655" w:rsidRPr="00EC2810">
        <w:rPr>
          <w:rFonts w:ascii="Arial" w:hAnsi="Arial" w:cs="Arial"/>
          <w:sz w:val="22"/>
          <w:szCs w:val="22"/>
        </w:rPr>
        <w:t>(Amankwah-Amoah et al., 2022)</w:t>
      </w:r>
      <w:r w:rsidRPr="00EC2810">
        <w:rPr>
          <w:rFonts w:ascii="Arial" w:hAnsi="Arial" w:cs="Arial"/>
          <w:sz w:val="22"/>
          <w:szCs w:val="22"/>
        </w:rPr>
        <w:t xml:space="preserve"> and </w:t>
      </w:r>
      <w:r w:rsidR="003C2655" w:rsidRPr="00EC2810">
        <w:rPr>
          <w:rFonts w:ascii="Arial" w:hAnsi="Arial" w:cs="Arial"/>
          <w:sz w:val="22"/>
          <w:szCs w:val="22"/>
        </w:rPr>
        <w:t>(Agnihotri et al., 2023)</w:t>
      </w:r>
      <w:r w:rsidRPr="00EC2810">
        <w:rPr>
          <w:rFonts w:ascii="Arial" w:hAnsi="Arial" w:cs="Arial"/>
          <w:sz w:val="22"/>
          <w:szCs w:val="22"/>
        </w:rPr>
        <w:t xml:space="preserve"> and is associated with being equally global and local. It has been acknowledged that innovation in dynamic markets is driven by the iterative learning process, synergy between partnerships and co-creation of value with consumers and local stakeholders.</w:t>
      </w:r>
    </w:p>
    <w:p w14:paraId="58C501F5" w14:textId="4F0BD90E" w:rsidR="00F602ED" w:rsidRPr="00EC2810" w:rsidRDefault="00D00ACA" w:rsidP="00AA73C3">
      <w:pPr>
        <w:spacing w:line="360" w:lineRule="auto"/>
        <w:jc w:val="both"/>
        <w:rPr>
          <w:rFonts w:ascii="Arial" w:hAnsi="Arial" w:cs="Arial"/>
          <w:sz w:val="22"/>
          <w:szCs w:val="22"/>
        </w:rPr>
      </w:pPr>
      <w:r w:rsidRPr="00EC2810">
        <w:rPr>
          <w:rFonts w:ascii="Arial" w:hAnsi="Arial" w:cs="Arial"/>
          <w:sz w:val="22"/>
          <w:szCs w:val="22"/>
        </w:rPr>
        <w:t>To conclude, product differentiation and integration of the omnichannel are the foundations of the expansion strategy of Halfords in Spain, which is based on market growth through the joint venture. The strategy helps to reduce entry risk, position Halfords along the sustainability path in Spain, and make it grow and become a leader in the European mobility ecosystem in the long term.</w:t>
      </w:r>
    </w:p>
    <w:p w14:paraId="7864A226" w14:textId="77777777" w:rsidR="00937126" w:rsidRPr="00EC2810" w:rsidRDefault="00937126" w:rsidP="00AA73C3">
      <w:pPr>
        <w:pStyle w:val="Heading1"/>
        <w:spacing w:line="360" w:lineRule="auto"/>
        <w:jc w:val="both"/>
        <w:rPr>
          <w:rFonts w:ascii="Arial" w:hAnsi="Arial" w:cs="Arial"/>
        </w:rPr>
      </w:pPr>
      <w:bookmarkStart w:id="29" w:name="_Toc214728215"/>
      <w:r w:rsidRPr="00EC2810">
        <w:rPr>
          <w:rFonts w:ascii="Arial" w:hAnsi="Arial" w:cs="Arial"/>
        </w:rPr>
        <w:lastRenderedPageBreak/>
        <w:t>5. Performance Evaluation Framework</w:t>
      </w:r>
      <w:bookmarkEnd w:id="29"/>
    </w:p>
    <w:p w14:paraId="47AD92E6" w14:textId="15CAD4C9" w:rsidR="00937126" w:rsidRPr="00EC2810" w:rsidRDefault="00F02299" w:rsidP="00AA73C3">
      <w:pPr>
        <w:spacing w:line="360" w:lineRule="auto"/>
        <w:jc w:val="both"/>
        <w:rPr>
          <w:rFonts w:ascii="Arial" w:hAnsi="Arial" w:cs="Arial"/>
          <w:sz w:val="22"/>
          <w:szCs w:val="22"/>
        </w:rPr>
      </w:pPr>
      <w:r w:rsidRPr="00EC2810">
        <w:rPr>
          <w:rFonts w:ascii="Arial" w:hAnsi="Arial" w:cs="Arial"/>
          <w:sz w:val="22"/>
          <w:szCs w:val="22"/>
        </w:rPr>
        <w:t>An effective performance assessment framework is essential to monitor the developments of Halfords in Spain and ensure that its strategy is still working. The Balanced Scorecard (BSC) offers the most suitable structure due to the integration of retail, services and digital operations in the expansion. In order to incorporate sustainability objectives, it is added to the Triple Bottom Line (TBL), which is consistent with the purpose of Halfords and green mobility in Spain.</w:t>
      </w:r>
    </w:p>
    <w:p w14:paraId="68E96E93" w14:textId="77777777" w:rsidR="00937126" w:rsidRPr="00EC2810" w:rsidRDefault="00937126" w:rsidP="00AA73C3">
      <w:pPr>
        <w:pStyle w:val="Heading2"/>
        <w:spacing w:line="360" w:lineRule="auto"/>
        <w:jc w:val="both"/>
        <w:rPr>
          <w:rFonts w:ascii="Arial" w:hAnsi="Arial" w:cs="Arial"/>
          <w:sz w:val="22"/>
          <w:szCs w:val="22"/>
        </w:rPr>
      </w:pPr>
      <w:bookmarkStart w:id="30" w:name="_Toc214728216"/>
      <w:r w:rsidRPr="00EC2810">
        <w:rPr>
          <w:rFonts w:ascii="Arial" w:hAnsi="Arial" w:cs="Arial"/>
          <w:sz w:val="22"/>
          <w:szCs w:val="22"/>
        </w:rPr>
        <w:t>5.1 Rationale for Using the Balanced Scorecard (BSC)</w:t>
      </w:r>
      <w:bookmarkEnd w:id="30"/>
    </w:p>
    <w:p w14:paraId="5FAB3267" w14:textId="798B6D61" w:rsidR="00D561D7" w:rsidRPr="00EC2810" w:rsidRDefault="00D561D7" w:rsidP="00AA73C3">
      <w:pPr>
        <w:spacing w:line="360" w:lineRule="auto"/>
        <w:jc w:val="both"/>
        <w:rPr>
          <w:rFonts w:ascii="Arial" w:hAnsi="Arial" w:cs="Arial"/>
          <w:sz w:val="22"/>
          <w:szCs w:val="22"/>
        </w:rPr>
      </w:pPr>
      <w:r w:rsidRPr="00EC2810">
        <w:rPr>
          <w:rFonts w:ascii="Arial" w:hAnsi="Arial" w:cs="Arial"/>
          <w:sz w:val="22"/>
          <w:szCs w:val="22"/>
        </w:rPr>
        <w:t xml:space="preserve">BSC by Kaplan and Norton is a performance measurement tool that uses four dimensions, namely financial, customer, internal process, and learning and growth. It connects the strategic objectives to quantifiable results. According to </w:t>
      </w:r>
      <w:r w:rsidR="00164119" w:rsidRPr="00EC2810">
        <w:rPr>
          <w:rFonts w:ascii="Arial" w:hAnsi="Arial" w:cs="Arial"/>
          <w:sz w:val="22"/>
          <w:szCs w:val="22"/>
        </w:rPr>
        <w:t>(Kumar, 2024)</w:t>
      </w:r>
      <w:r w:rsidRPr="00EC2810">
        <w:rPr>
          <w:rFonts w:ascii="Arial" w:hAnsi="Arial" w:cs="Arial"/>
          <w:sz w:val="22"/>
          <w:szCs w:val="22"/>
        </w:rPr>
        <w:t xml:space="preserve">, the contemporary BSC assists companies in matching the operational data and the long-term goals. </w:t>
      </w:r>
      <w:r w:rsidR="00164119" w:rsidRPr="00EC2810">
        <w:rPr>
          <w:rFonts w:ascii="Arial" w:hAnsi="Arial" w:cs="Arial"/>
          <w:sz w:val="22"/>
          <w:szCs w:val="22"/>
        </w:rPr>
        <w:t>(Tawse, 2023)</w:t>
      </w:r>
      <w:r w:rsidRPr="00EC2810">
        <w:rPr>
          <w:rFonts w:ascii="Arial" w:hAnsi="Arial" w:cs="Arial"/>
          <w:sz w:val="22"/>
          <w:szCs w:val="22"/>
        </w:rPr>
        <w:t xml:space="preserve"> ascertains that it is among the most dependable frameworks of complex multi-channel organisations.</w:t>
      </w:r>
    </w:p>
    <w:p w14:paraId="6D4BC42F" w14:textId="05124A57" w:rsidR="00937126" w:rsidRPr="00EC2810" w:rsidRDefault="00164119" w:rsidP="00AA73C3">
      <w:pPr>
        <w:spacing w:line="360" w:lineRule="auto"/>
        <w:jc w:val="both"/>
        <w:rPr>
          <w:rFonts w:ascii="Arial" w:hAnsi="Arial" w:cs="Arial"/>
          <w:sz w:val="22"/>
          <w:szCs w:val="22"/>
        </w:rPr>
      </w:pPr>
      <w:r w:rsidRPr="00EC2810">
        <w:rPr>
          <w:rFonts w:ascii="Arial" w:hAnsi="Arial" w:cs="Arial"/>
          <w:sz w:val="22"/>
          <w:szCs w:val="22"/>
        </w:rPr>
        <w:t>(Suarez-Gargallo and Zaragoza-</w:t>
      </w:r>
      <w:proofErr w:type="spellStart"/>
      <w:r w:rsidRPr="00EC2810">
        <w:rPr>
          <w:rFonts w:ascii="Arial" w:hAnsi="Arial" w:cs="Arial"/>
          <w:sz w:val="22"/>
          <w:szCs w:val="22"/>
        </w:rPr>
        <w:t>Saez</w:t>
      </w:r>
      <w:proofErr w:type="spellEnd"/>
      <w:r w:rsidRPr="00EC2810">
        <w:rPr>
          <w:rFonts w:ascii="Arial" w:hAnsi="Arial" w:cs="Arial"/>
          <w:sz w:val="22"/>
          <w:szCs w:val="22"/>
        </w:rPr>
        <w:t>, 2021)</w:t>
      </w:r>
      <w:r w:rsidR="00D561D7" w:rsidRPr="00EC2810">
        <w:rPr>
          <w:rFonts w:ascii="Arial" w:hAnsi="Arial" w:cs="Arial"/>
          <w:sz w:val="22"/>
          <w:szCs w:val="22"/>
        </w:rPr>
        <w:t xml:space="preserve"> in Spain identified that retailers have been able to implement the BSC to make sustainability and innovation part of the performance management. The model is thus appropriate for Halfords to gauge financial results with environmental and social advancements.</w:t>
      </w:r>
    </w:p>
    <w:p w14:paraId="0EB2207C" w14:textId="77777777" w:rsidR="00937126" w:rsidRPr="00EC2810" w:rsidRDefault="00937126" w:rsidP="00AA73C3">
      <w:pPr>
        <w:pStyle w:val="Heading2"/>
        <w:spacing w:line="360" w:lineRule="auto"/>
        <w:jc w:val="both"/>
        <w:rPr>
          <w:rFonts w:ascii="Arial" w:hAnsi="Arial" w:cs="Arial"/>
          <w:sz w:val="22"/>
          <w:szCs w:val="22"/>
        </w:rPr>
      </w:pPr>
      <w:bookmarkStart w:id="31" w:name="_Toc214728217"/>
      <w:r w:rsidRPr="00EC2810">
        <w:rPr>
          <w:rFonts w:ascii="Arial" w:hAnsi="Arial" w:cs="Arial"/>
          <w:sz w:val="22"/>
          <w:szCs w:val="22"/>
        </w:rPr>
        <w:t>5.2 Balanced Scorecard for Halfords Spain</w:t>
      </w:r>
      <w:bookmarkEnd w:id="31"/>
    </w:p>
    <w:p w14:paraId="6294ED9E" w14:textId="77777777" w:rsidR="00937126" w:rsidRPr="00EC2810" w:rsidRDefault="00937126" w:rsidP="00AA73C3">
      <w:pPr>
        <w:spacing w:line="360" w:lineRule="auto"/>
        <w:jc w:val="both"/>
        <w:rPr>
          <w:rFonts w:ascii="Arial" w:hAnsi="Arial" w:cs="Arial"/>
          <w:sz w:val="22"/>
          <w:szCs w:val="22"/>
        </w:rPr>
      </w:pPr>
      <w:r w:rsidRPr="00EC2810">
        <w:rPr>
          <w:rFonts w:ascii="Arial" w:hAnsi="Arial" w:cs="Arial"/>
          <w:sz w:val="22"/>
          <w:szCs w:val="22"/>
        </w:rPr>
        <w:t>Halfords’ BSC links four perspectives to specific goals and key indicators.</w:t>
      </w:r>
    </w:p>
    <w:tbl>
      <w:tblPr>
        <w:tblStyle w:val="TableGrid"/>
        <w:tblW w:w="0" w:type="auto"/>
        <w:tblLook w:val="04A0" w:firstRow="1" w:lastRow="0" w:firstColumn="1" w:lastColumn="0" w:noHBand="0" w:noVBand="1"/>
      </w:tblPr>
      <w:tblGrid>
        <w:gridCol w:w="1673"/>
        <w:gridCol w:w="2260"/>
        <w:gridCol w:w="3034"/>
        <w:gridCol w:w="2383"/>
      </w:tblGrid>
      <w:tr w:rsidR="00937126" w:rsidRPr="00EC2810" w14:paraId="483766B2" w14:textId="77777777" w:rsidTr="00901B78">
        <w:tc>
          <w:tcPr>
            <w:tcW w:w="0" w:type="auto"/>
            <w:hideMark/>
          </w:tcPr>
          <w:p w14:paraId="066CA590"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Perspective</w:t>
            </w:r>
          </w:p>
        </w:tc>
        <w:tc>
          <w:tcPr>
            <w:tcW w:w="0" w:type="auto"/>
            <w:hideMark/>
          </w:tcPr>
          <w:p w14:paraId="11182CA7"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Objective</w:t>
            </w:r>
          </w:p>
        </w:tc>
        <w:tc>
          <w:tcPr>
            <w:tcW w:w="0" w:type="auto"/>
            <w:hideMark/>
          </w:tcPr>
          <w:p w14:paraId="6775C401"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Key Indicators</w:t>
            </w:r>
          </w:p>
        </w:tc>
        <w:tc>
          <w:tcPr>
            <w:tcW w:w="0" w:type="auto"/>
            <w:hideMark/>
          </w:tcPr>
          <w:p w14:paraId="2BED4331"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Data Source</w:t>
            </w:r>
          </w:p>
        </w:tc>
      </w:tr>
      <w:tr w:rsidR="00937126" w:rsidRPr="00EC2810" w14:paraId="67A18037" w14:textId="77777777" w:rsidTr="00901B78">
        <w:tc>
          <w:tcPr>
            <w:tcW w:w="0" w:type="auto"/>
            <w:hideMark/>
          </w:tcPr>
          <w:p w14:paraId="106BA7D6"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t>Financial</w:t>
            </w:r>
          </w:p>
        </w:tc>
        <w:tc>
          <w:tcPr>
            <w:tcW w:w="0" w:type="auto"/>
            <w:hideMark/>
          </w:tcPr>
          <w:p w14:paraId="0D12892C"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Achieve profitability and growth in five years.</w:t>
            </w:r>
          </w:p>
        </w:tc>
        <w:tc>
          <w:tcPr>
            <w:tcW w:w="0" w:type="auto"/>
            <w:hideMark/>
          </w:tcPr>
          <w:p w14:paraId="1B251AF4"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Revenue growth, ROI, profit margin, payback period.</w:t>
            </w:r>
          </w:p>
        </w:tc>
        <w:tc>
          <w:tcPr>
            <w:tcW w:w="0" w:type="auto"/>
            <w:hideMark/>
          </w:tcPr>
          <w:p w14:paraId="7987BE6E" w14:textId="7DF6B47D"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 xml:space="preserve">Financial statements, </w:t>
            </w:r>
            <w:r w:rsidR="00164119" w:rsidRPr="00EC2810">
              <w:rPr>
                <w:rFonts w:ascii="Arial" w:hAnsi="Arial" w:cs="Arial"/>
                <w:sz w:val="22"/>
                <w:szCs w:val="22"/>
              </w:rPr>
              <w:t>(</w:t>
            </w:r>
            <w:r w:rsidRPr="00EC2810">
              <w:rPr>
                <w:rFonts w:ascii="Arial" w:hAnsi="Arial" w:cs="Arial"/>
                <w:i/>
                <w:iCs/>
                <w:sz w:val="22"/>
                <w:szCs w:val="22"/>
              </w:rPr>
              <w:t>Halfords Reports</w:t>
            </w:r>
            <w:r w:rsidR="00164119" w:rsidRPr="00EC2810">
              <w:rPr>
                <w:rFonts w:ascii="Arial" w:hAnsi="Arial" w:cs="Arial"/>
                <w:i/>
                <w:iCs/>
                <w:sz w:val="22"/>
                <w:szCs w:val="22"/>
              </w:rPr>
              <w:t xml:space="preserve">, </w:t>
            </w:r>
            <w:r w:rsidRPr="00EC2810">
              <w:rPr>
                <w:rFonts w:ascii="Arial" w:hAnsi="Arial" w:cs="Arial"/>
                <w:sz w:val="22"/>
                <w:szCs w:val="22"/>
              </w:rPr>
              <w:t>2025).</w:t>
            </w:r>
          </w:p>
        </w:tc>
      </w:tr>
      <w:tr w:rsidR="00937126" w:rsidRPr="00EC2810" w14:paraId="384259B1" w14:textId="77777777" w:rsidTr="00901B78">
        <w:tc>
          <w:tcPr>
            <w:tcW w:w="0" w:type="auto"/>
            <w:hideMark/>
          </w:tcPr>
          <w:p w14:paraId="39C09A5E"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t>Customer</w:t>
            </w:r>
          </w:p>
        </w:tc>
        <w:tc>
          <w:tcPr>
            <w:tcW w:w="0" w:type="auto"/>
            <w:hideMark/>
          </w:tcPr>
          <w:p w14:paraId="2CEEE091"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Build brand awareness and loyalty.</w:t>
            </w:r>
          </w:p>
        </w:tc>
        <w:tc>
          <w:tcPr>
            <w:tcW w:w="0" w:type="auto"/>
            <w:hideMark/>
          </w:tcPr>
          <w:p w14:paraId="6329DB0A"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Net Promoter Score, satisfaction index, repeat purchase rate.</w:t>
            </w:r>
          </w:p>
        </w:tc>
        <w:tc>
          <w:tcPr>
            <w:tcW w:w="0" w:type="auto"/>
            <w:hideMark/>
          </w:tcPr>
          <w:p w14:paraId="57C4E998"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Surveys, CRM analytics.</w:t>
            </w:r>
          </w:p>
        </w:tc>
      </w:tr>
      <w:tr w:rsidR="00937126" w:rsidRPr="00EC2810" w14:paraId="24044E61" w14:textId="77777777" w:rsidTr="00901B78">
        <w:tc>
          <w:tcPr>
            <w:tcW w:w="0" w:type="auto"/>
            <w:hideMark/>
          </w:tcPr>
          <w:p w14:paraId="64779D3C"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lastRenderedPageBreak/>
              <w:t>Internal Process</w:t>
            </w:r>
          </w:p>
        </w:tc>
        <w:tc>
          <w:tcPr>
            <w:tcW w:w="0" w:type="auto"/>
            <w:hideMark/>
          </w:tcPr>
          <w:p w14:paraId="5BD80101"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Improve efficiency and service quality.</w:t>
            </w:r>
          </w:p>
        </w:tc>
        <w:tc>
          <w:tcPr>
            <w:tcW w:w="0" w:type="auto"/>
            <w:hideMark/>
          </w:tcPr>
          <w:p w14:paraId="08AB6706"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Order fulfilment rate, stock turnover, average service time.</w:t>
            </w:r>
          </w:p>
        </w:tc>
        <w:tc>
          <w:tcPr>
            <w:tcW w:w="0" w:type="auto"/>
            <w:hideMark/>
          </w:tcPr>
          <w:p w14:paraId="329BF49F"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Operations data, partner reports.</w:t>
            </w:r>
          </w:p>
        </w:tc>
      </w:tr>
      <w:tr w:rsidR="00937126" w:rsidRPr="00EC2810" w14:paraId="48C75B99" w14:textId="77777777" w:rsidTr="00901B78">
        <w:tc>
          <w:tcPr>
            <w:tcW w:w="0" w:type="auto"/>
            <w:hideMark/>
          </w:tcPr>
          <w:p w14:paraId="543FB82D"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t>Learning &amp; Growth</w:t>
            </w:r>
          </w:p>
        </w:tc>
        <w:tc>
          <w:tcPr>
            <w:tcW w:w="0" w:type="auto"/>
            <w:hideMark/>
          </w:tcPr>
          <w:p w14:paraId="2B89877E"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Strengthen workforce and innovation.</w:t>
            </w:r>
          </w:p>
        </w:tc>
        <w:tc>
          <w:tcPr>
            <w:tcW w:w="0" w:type="auto"/>
            <w:hideMark/>
          </w:tcPr>
          <w:p w14:paraId="561FAAE3"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Training hours, retention rate, innovation spend, engagement index.</w:t>
            </w:r>
          </w:p>
        </w:tc>
        <w:tc>
          <w:tcPr>
            <w:tcW w:w="0" w:type="auto"/>
            <w:hideMark/>
          </w:tcPr>
          <w:p w14:paraId="17EBB68F"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HR and R&amp;D data.</w:t>
            </w:r>
          </w:p>
        </w:tc>
      </w:tr>
    </w:tbl>
    <w:p w14:paraId="1D7CBFFD" w14:textId="4179388D" w:rsidR="009F13D9" w:rsidRPr="00EC2810" w:rsidRDefault="009F13D9" w:rsidP="009F13D9">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Pr="00EC2810">
        <w:rPr>
          <w:rFonts w:ascii="Arial" w:hAnsi="Arial" w:cs="Arial"/>
          <w:noProof/>
          <w:sz w:val="22"/>
          <w:szCs w:val="22"/>
        </w:rPr>
        <w:t>10</w:t>
      </w:r>
      <w:r w:rsidR="00000000" w:rsidRPr="00EC2810">
        <w:rPr>
          <w:rFonts w:ascii="Arial" w:hAnsi="Arial" w:cs="Arial"/>
          <w:noProof/>
          <w:sz w:val="22"/>
          <w:szCs w:val="22"/>
        </w:rPr>
        <w:fldChar w:fldCharType="end"/>
      </w:r>
      <w:r w:rsidRPr="00EC2810">
        <w:rPr>
          <w:rFonts w:ascii="Arial" w:hAnsi="Arial" w:cs="Arial"/>
          <w:sz w:val="22"/>
          <w:szCs w:val="22"/>
        </w:rPr>
        <w:t>: Balance Scorecard elements for Halford (Created by Author)</w:t>
      </w:r>
    </w:p>
    <w:p w14:paraId="2311D9A5" w14:textId="775BF2C1" w:rsidR="00937126" w:rsidRPr="00EC2810" w:rsidRDefault="001C3BB5" w:rsidP="00AA73C3">
      <w:pPr>
        <w:spacing w:line="360" w:lineRule="auto"/>
        <w:jc w:val="both"/>
        <w:rPr>
          <w:rFonts w:ascii="Arial" w:hAnsi="Arial" w:cs="Arial"/>
          <w:sz w:val="22"/>
          <w:szCs w:val="22"/>
        </w:rPr>
      </w:pPr>
      <w:r w:rsidRPr="00EC2810">
        <w:rPr>
          <w:rFonts w:ascii="Arial" w:hAnsi="Arial" w:cs="Arial"/>
          <w:sz w:val="22"/>
          <w:szCs w:val="22"/>
        </w:rPr>
        <w:t>Financial and customer views are the measurement of growth and reputation that is important in the competitive market of Spain (Thomas et al., 2024). The internal process indicators make sure that reliability is guaranteed in both in-store and online channels, whereas learning and growth mean that the workforce capability and innovation are monitored and help Halfords in the implementation of the One Halfords strategy (Halfords Group plc, 2025).</w:t>
      </w:r>
    </w:p>
    <w:p w14:paraId="7ED75957" w14:textId="77777777" w:rsidR="00937126" w:rsidRPr="00EC2810" w:rsidRDefault="00937126" w:rsidP="00AA73C3">
      <w:pPr>
        <w:pStyle w:val="Heading2"/>
        <w:spacing w:line="360" w:lineRule="auto"/>
        <w:jc w:val="both"/>
        <w:rPr>
          <w:rFonts w:ascii="Arial" w:hAnsi="Arial" w:cs="Arial"/>
          <w:sz w:val="22"/>
          <w:szCs w:val="22"/>
        </w:rPr>
      </w:pPr>
      <w:bookmarkStart w:id="32" w:name="_Toc214728218"/>
      <w:r w:rsidRPr="00EC2810">
        <w:rPr>
          <w:rFonts w:ascii="Arial" w:hAnsi="Arial" w:cs="Arial"/>
          <w:sz w:val="22"/>
          <w:szCs w:val="22"/>
        </w:rPr>
        <w:t>5.3 Integrating the Triple Bottom Line (TBL)</w:t>
      </w:r>
      <w:bookmarkEnd w:id="32"/>
    </w:p>
    <w:p w14:paraId="268B6CF9" w14:textId="34F2E683" w:rsidR="00937126" w:rsidRPr="00EC2810" w:rsidRDefault="001972B8" w:rsidP="00AA73C3">
      <w:pPr>
        <w:spacing w:line="360" w:lineRule="auto"/>
        <w:jc w:val="both"/>
        <w:rPr>
          <w:rFonts w:ascii="Arial" w:hAnsi="Arial" w:cs="Arial"/>
          <w:sz w:val="22"/>
          <w:szCs w:val="22"/>
        </w:rPr>
      </w:pPr>
      <w:r w:rsidRPr="00EC2810">
        <w:rPr>
          <w:rFonts w:ascii="Arial" w:hAnsi="Arial" w:cs="Arial"/>
          <w:sz w:val="22"/>
          <w:szCs w:val="22"/>
        </w:rPr>
        <w:t>TBL principles in the BSC of Halfords include People, Planet, and Profit to make the company more sustainable.</w:t>
      </w:r>
    </w:p>
    <w:tbl>
      <w:tblPr>
        <w:tblStyle w:val="TableGrid"/>
        <w:tblW w:w="0" w:type="auto"/>
        <w:tblLook w:val="04A0" w:firstRow="1" w:lastRow="0" w:firstColumn="1" w:lastColumn="0" w:noHBand="0" w:noVBand="1"/>
      </w:tblPr>
      <w:tblGrid>
        <w:gridCol w:w="1341"/>
        <w:gridCol w:w="3589"/>
        <w:gridCol w:w="4420"/>
      </w:tblGrid>
      <w:tr w:rsidR="00937126" w:rsidRPr="00EC2810" w14:paraId="3960FF6F" w14:textId="77777777" w:rsidTr="00901B78">
        <w:tc>
          <w:tcPr>
            <w:tcW w:w="0" w:type="auto"/>
            <w:hideMark/>
          </w:tcPr>
          <w:p w14:paraId="4DE0446E"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Dimension</w:t>
            </w:r>
          </w:p>
        </w:tc>
        <w:tc>
          <w:tcPr>
            <w:tcW w:w="0" w:type="auto"/>
            <w:hideMark/>
          </w:tcPr>
          <w:p w14:paraId="2FADFDBD"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Focus</w:t>
            </w:r>
          </w:p>
        </w:tc>
        <w:tc>
          <w:tcPr>
            <w:tcW w:w="0" w:type="auto"/>
            <w:hideMark/>
          </w:tcPr>
          <w:p w14:paraId="40EC03F7" w14:textId="77777777" w:rsidR="00937126" w:rsidRPr="00EC2810" w:rsidRDefault="00937126" w:rsidP="00AA73C3">
            <w:pPr>
              <w:spacing w:after="160" w:line="360" w:lineRule="auto"/>
              <w:jc w:val="both"/>
              <w:rPr>
                <w:rFonts w:ascii="Arial" w:hAnsi="Arial" w:cs="Arial"/>
                <w:b/>
                <w:bCs/>
                <w:sz w:val="22"/>
                <w:szCs w:val="22"/>
              </w:rPr>
            </w:pPr>
            <w:r w:rsidRPr="00EC2810">
              <w:rPr>
                <w:rFonts w:ascii="Arial" w:hAnsi="Arial" w:cs="Arial"/>
                <w:b/>
                <w:bCs/>
                <w:sz w:val="22"/>
                <w:szCs w:val="22"/>
              </w:rPr>
              <w:t>Indicators</w:t>
            </w:r>
          </w:p>
        </w:tc>
      </w:tr>
      <w:tr w:rsidR="00937126" w:rsidRPr="00EC2810" w14:paraId="473CB466" w14:textId="77777777" w:rsidTr="00901B78">
        <w:tc>
          <w:tcPr>
            <w:tcW w:w="0" w:type="auto"/>
            <w:hideMark/>
          </w:tcPr>
          <w:p w14:paraId="593423F5"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t>People</w:t>
            </w:r>
          </w:p>
        </w:tc>
        <w:tc>
          <w:tcPr>
            <w:tcW w:w="0" w:type="auto"/>
            <w:hideMark/>
          </w:tcPr>
          <w:p w14:paraId="405457A7"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Local job creation and community engagement.</w:t>
            </w:r>
          </w:p>
        </w:tc>
        <w:tc>
          <w:tcPr>
            <w:tcW w:w="0" w:type="auto"/>
            <w:hideMark/>
          </w:tcPr>
          <w:p w14:paraId="7EB37FD9"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 local hires, training hours per employee, community projects.</w:t>
            </w:r>
          </w:p>
        </w:tc>
      </w:tr>
      <w:tr w:rsidR="00937126" w:rsidRPr="00EC2810" w14:paraId="53C5ACAC" w14:textId="77777777" w:rsidTr="00901B78">
        <w:tc>
          <w:tcPr>
            <w:tcW w:w="0" w:type="auto"/>
            <w:hideMark/>
          </w:tcPr>
          <w:p w14:paraId="7EE17D99"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t>Planet</w:t>
            </w:r>
          </w:p>
        </w:tc>
        <w:tc>
          <w:tcPr>
            <w:tcW w:w="0" w:type="auto"/>
            <w:hideMark/>
          </w:tcPr>
          <w:p w14:paraId="2B9C60E7"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Sustainable mobility and environmental care.</w:t>
            </w:r>
          </w:p>
        </w:tc>
        <w:tc>
          <w:tcPr>
            <w:tcW w:w="0" w:type="auto"/>
            <w:hideMark/>
          </w:tcPr>
          <w:p w14:paraId="293E3D62"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CO</w:t>
            </w:r>
            <w:r w:rsidRPr="00EC2810">
              <w:rPr>
                <w:rFonts w:ascii="Cambria Math" w:hAnsi="Cambria Math" w:cs="Cambria Math"/>
                <w:sz w:val="22"/>
                <w:szCs w:val="22"/>
              </w:rPr>
              <w:t>₂</w:t>
            </w:r>
            <w:r w:rsidRPr="00EC2810">
              <w:rPr>
                <w:rFonts w:ascii="Arial" w:hAnsi="Arial" w:cs="Arial"/>
                <w:sz w:val="22"/>
                <w:szCs w:val="22"/>
              </w:rPr>
              <w:t xml:space="preserve"> reduction in logistics, % eco-products sold, recycling rate.</w:t>
            </w:r>
          </w:p>
        </w:tc>
      </w:tr>
      <w:tr w:rsidR="00937126" w:rsidRPr="00EC2810" w14:paraId="2FC5AC8A" w14:textId="77777777" w:rsidTr="00901B78">
        <w:tc>
          <w:tcPr>
            <w:tcW w:w="0" w:type="auto"/>
            <w:hideMark/>
          </w:tcPr>
          <w:p w14:paraId="617E14AE"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b/>
                <w:bCs/>
                <w:sz w:val="22"/>
                <w:szCs w:val="22"/>
              </w:rPr>
              <w:t>Profit</w:t>
            </w:r>
          </w:p>
        </w:tc>
        <w:tc>
          <w:tcPr>
            <w:tcW w:w="0" w:type="auto"/>
            <w:hideMark/>
          </w:tcPr>
          <w:p w14:paraId="3CEC3B04"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Economic contribution and efficiency.</w:t>
            </w:r>
          </w:p>
        </w:tc>
        <w:tc>
          <w:tcPr>
            <w:tcW w:w="0" w:type="auto"/>
            <w:hideMark/>
          </w:tcPr>
          <w:p w14:paraId="4DA0E032" w14:textId="77777777" w:rsidR="00937126" w:rsidRPr="00EC2810" w:rsidRDefault="00937126" w:rsidP="00AA73C3">
            <w:pPr>
              <w:spacing w:after="160" w:line="360" w:lineRule="auto"/>
              <w:jc w:val="both"/>
              <w:rPr>
                <w:rFonts w:ascii="Arial" w:hAnsi="Arial" w:cs="Arial"/>
                <w:sz w:val="22"/>
                <w:szCs w:val="22"/>
              </w:rPr>
            </w:pPr>
            <w:r w:rsidRPr="00EC2810">
              <w:rPr>
                <w:rFonts w:ascii="Arial" w:hAnsi="Arial" w:cs="Arial"/>
                <w:sz w:val="22"/>
                <w:szCs w:val="22"/>
              </w:rPr>
              <w:t>Operating margin, cost-to-revenue ratio, share of EU sales.</w:t>
            </w:r>
          </w:p>
        </w:tc>
      </w:tr>
    </w:tbl>
    <w:p w14:paraId="40464D22" w14:textId="00E2E02C" w:rsidR="009F13D9" w:rsidRPr="00EC2810" w:rsidRDefault="009F13D9" w:rsidP="009F13D9">
      <w:pPr>
        <w:pStyle w:val="Caption"/>
        <w:rPr>
          <w:rFonts w:ascii="Arial" w:hAnsi="Arial" w:cs="Arial"/>
          <w:sz w:val="22"/>
          <w:szCs w:val="22"/>
        </w:rPr>
      </w:pPr>
      <w:r w:rsidRPr="00EC2810">
        <w:rPr>
          <w:rFonts w:ascii="Arial" w:hAnsi="Arial" w:cs="Arial"/>
          <w:sz w:val="22"/>
          <w:szCs w:val="22"/>
        </w:rPr>
        <w:t xml:space="preserve">Table </w:t>
      </w:r>
      <w:r w:rsidR="00000000" w:rsidRPr="00EC2810">
        <w:rPr>
          <w:rFonts w:ascii="Arial" w:hAnsi="Arial" w:cs="Arial"/>
          <w:sz w:val="22"/>
          <w:szCs w:val="22"/>
        </w:rPr>
        <w:fldChar w:fldCharType="begin"/>
      </w:r>
      <w:r w:rsidR="00000000" w:rsidRPr="00EC2810">
        <w:rPr>
          <w:rFonts w:ascii="Arial" w:hAnsi="Arial" w:cs="Arial"/>
          <w:sz w:val="22"/>
          <w:szCs w:val="22"/>
        </w:rPr>
        <w:instrText xml:space="preserve"> SEQ Table \* ARABIC </w:instrText>
      </w:r>
      <w:r w:rsidR="00000000" w:rsidRPr="00EC2810">
        <w:rPr>
          <w:rFonts w:ascii="Arial" w:hAnsi="Arial" w:cs="Arial"/>
          <w:sz w:val="22"/>
          <w:szCs w:val="22"/>
        </w:rPr>
        <w:fldChar w:fldCharType="separate"/>
      </w:r>
      <w:r w:rsidRPr="00EC2810">
        <w:rPr>
          <w:rFonts w:ascii="Arial" w:hAnsi="Arial" w:cs="Arial"/>
          <w:noProof/>
          <w:sz w:val="22"/>
          <w:szCs w:val="22"/>
        </w:rPr>
        <w:t>11</w:t>
      </w:r>
      <w:r w:rsidR="00000000" w:rsidRPr="00EC2810">
        <w:rPr>
          <w:rFonts w:ascii="Arial" w:hAnsi="Arial" w:cs="Arial"/>
          <w:noProof/>
          <w:sz w:val="22"/>
          <w:szCs w:val="22"/>
        </w:rPr>
        <w:fldChar w:fldCharType="end"/>
      </w:r>
      <w:r w:rsidRPr="00EC2810">
        <w:rPr>
          <w:rFonts w:ascii="Arial" w:hAnsi="Arial" w:cs="Arial"/>
          <w:sz w:val="22"/>
          <w:szCs w:val="22"/>
        </w:rPr>
        <w:t>: TBL of Halford (Created by Author)</w:t>
      </w:r>
    </w:p>
    <w:p w14:paraId="4D7903D2" w14:textId="58ED981F" w:rsidR="00937126" w:rsidRPr="00EC2810" w:rsidRDefault="000168C8" w:rsidP="00AA73C3">
      <w:pPr>
        <w:spacing w:line="360" w:lineRule="auto"/>
        <w:jc w:val="both"/>
        <w:rPr>
          <w:rFonts w:ascii="Arial" w:hAnsi="Arial" w:cs="Arial"/>
          <w:sz w:val="22"/>
          <w:szCs w:val="22"/>
        </w:rPr>
      </w:pPr>
      <w:r w:rsidRPr="00EC2810">
        <w:rPr>
          <w:rFonts w:ascii="Arial" w:hAnsi="Arial" w:cs="Arial"/>
          <w:sz w:val="22"/>
          <w:szCs w:val="22"/>
        </w:rPr>
        <w:t xml:space="preserve">Such a hybrid model is the guarantee that Halfords not only quantifies financial performance but also social and environmental performance. The integration is supported by </w:t>
      </w:r>
      <w:r w:rsidR="00164119" w:rsidRPr="00EC2810">
        <w:rPr>
          <w:rFonts w:ascii="Arial" w:hAnsi="Arial" w:cs="Arial"/>
          <w:sz w:val="22"/>
          <w:szCs w:val="22"/>
        </w:rPr>
        <w:t>(McKinsey, 2024)</w:t>
      </w:r>
      <w:r w:rsidRPr="00EC2810">
        <w:rPr>
          <w:rFonts w:ascii="Arial" w:hAnsi="Arial" w:cs="Arial"/>
          <w:sz w:val="22"/>
          <w:szCs w:val="22"/>
        </w:rPr>
        <w:t xml:space="preserve"> as sustainability-driven retailers are more competitive in the long run.</w:t>
      </w:r>
    </w:p>
    <w:p w14:paraId="36947963" w14:textId="77777777" w:rsidR="00937126" w:rsidRPr="00EC2810" w:rsidRDefault="00937126" w:rsidP="00AA73C3">
      <w:pPr>
        <w:pStyle w:val="Heading2"/>
        <w:spacing w:line="360" w:lineRule="auto"/>
        <w:jc w:val="both"/>
        <w:rPr>
          <w:rFonts w:ascii="Arial" w:hAnsi="Arial" w:cs="Arial"/>
          <w:sz w:val="22"/>
          <w:szCs w:val="22"/>
        </w:rPr>
      </w:pPr>
      <w:bookmarkStart w:id="33" w:name="_Toc214728219"/>
      <w:r w:rsidRPr="00EC2810">
        <w:rPr>
          <w:rFonts w:ascii="Arial" w:hAnsi="Arial" w:cs="Arial"/>
          <w:sz w:val="22"/>
          <w:szCs w:val="22"/>
        </w:rPr>
        <w:lastRenderedPageBreak/>
        <w:t>5.4 Monitoring and Review</w:t>
      </w:r>
      <w:bookmarkEnd w:id="33"/>
    </w:p>
    <w:p w14:paraId="7901AC98" w14:textId="574D4FF7" w:rsidR="00937126" w:rsidRPr="00EC2810" w:rsidRDefault="00771A07" w:rsidP="00AA73C3">
      <w:pPr>
        <w:spacing w:line="360" w:lineRule="auto"/>
        <w:jc w:val="both"/>
        <w:rPr>
          <w:rFonts w:ascii="Arial" w:hAnsi="Arial" w:cs="Arial"/>
          <w:sz w:val="22"/>
          <w:szCs w:val="22"/>
        </w:rPr>
      </w:pPr>
      <w:r w:rsidRPr="00EC2810">
        <w:rPr>
          <w:rFonts w:ascii="Arial" w:hAnsi="Arial" w:cs="Arial"/>
          <w:sz w:val="22"/>
          <w:szCs w:val="22"/>
        </w:rPr>
        <w:t>Halfords ought to review the BSC and TBL data quarterly in order to retain agility:</w:t>
      </w:r>
    </w:p>
    <w:p w14:paraId="5047370F" w14:textId="77777777" w:rsidR="00937126" w:rsidRPr="00EC2810" w:rsidRDefault="00937126" w:rsidP="00AA73C3">
      <w:pPr>
        <w:numPr>
          <w:ilvl w:val="0"/>
          <w:numId w:val="16"/>
        </w:numPr>
        <w:spacing w:line="360" w:lineRule="auto"/>
        <w:jc w:val="both"/>
        <w:rPr>
          <w:rFonts w:ascii="Arial" w:hAnsi="Arial" w:cs="Arial"/>
          <w:sz w:val="22"/>
          <w:szCs w:val="22"/>
        </w:rPr>
      </w:pPr>
      <w:r w:rsidRPr="00EC2810">
        <w:rPr>
          <w:rFonts w:ascii="Arial" w:hAnsi="Arial" w:cs="Arial"/>
          <w:b/>
          <w:bCs/>
          <w:sz w:val="22"/>
          <w:szCs w:val="22"/>
        </w:rPr>
        <w:t>Quarterly Reviews:</w:t>
      </w:r>
      <w:r w:rsidRPr="00EC2810">
        <w:rPr>
          <w:rFonts w:ascii="Arial" w:hAnsi="Arial" w:cs="Arial"/>
          <w:sz w:val="22"/>
          <w:szCs w:val="22"/>
        </w:rPr>
        <w:t xml:space="preserve"> Evaluate KPIs with UK and Spanish management.</w:t>
      </w:r>
    </w:p>
    <w:p w14:paraId="57180D65" w14:textId="77777777" w:rsidR="00937126" w:rsidRPr="00EC2810" w:rsidRDefault="00937126" w:rsidP="00AA73C3">
      <w:pPr>
        <w:numPr>
          <w:ilvl w:val="0"/>
          <w:numId w:val="16"/>
        </w:numPr>
        <w:spacing w:line="360" w:lineRule="auto"/>
        <w:jc w:val="both"/>
        <w:rPr>
          <w:rFonts w:ascii="Arial" w:hAnsi="Arial" w:cs="Arial"/>
          <w:sz w:val="22"/>
          <w:szCs w:val="22"/>
        </w:rPr>
      </w:pPr>
      <w:r w:rsidRPr="00EC2810">
        <w:rPr>
          <w:rFonts w:ascii="Arial" w:hAnsi="Arial" w:cs="Arial"/>
          <w:b/>
          <w:bCs/>
          <w:sz w:val="22"/>
          <w:szCs w:val="22"/>
        </w:rPr>
        <w:t>Digital Dashboards:</w:t>
      </w:r>
      <w:r w:rsidRPr="00EC2810">
        <w:rPr>
          <w:rFonts w:ascii="Arial" w:hAnsi="Arial" w:cs="Arial"/>
          <w:sz w:val="22"/>
          <w:szCs w:val="22"/>
        </w:rPr>
        <w:t xml:space="preserve"> Track sales and service performance in real time.</w:t>
      </w:r>
    </w:p>
    <w:p w14:paraId="50C6B874" w14:textId="77777777" w:rsidR="00937126" w:rsidRPr="00EC2810" w:rsidRDefault="00937126" w:rsidP="00AA73C3">
      <w:pPr>
        <w:numPr>
          <w:ilvl w:val="0"/>
          <w:numId w:val="16"/>
        </w:numPr>
        <w:spacing w:line="360" w:lineRule="auto"/>
        <w:jc w:val="both"/>
        <w:rPr>
          <w:rFonts w:ascii="Arial" w:hAnsi="Arial" w:cs="Arial"/>
          <w:sz w:val="22"/>
          <w:szCs w:val="22"/>
        </w:rPr>
      </w:pPr>
      <w:r w:rsidRPr="00EC2810">
        <w:rPr>
          <w:rFonts w:ascii="Arial" w:hAnsi="Arial" w:cs="Arial"/>
          <w:b/>
          <w:bCs/>
          <w:sz w:val="22"/>
          <w:szCs w:val="22"/>
        </w:rPr>
        <w:t>Continuous Improvement:</w:t>
      </w:r>
      <w:r w:rsidRPr="00EC2810">
        <w:rPr>
          <w:rFonts w:ascii="Arial" w:hAnsi="Arial" w:cs="Arial"/>
          <w:sz w:val="22"/>
          <w:szCs w:val="22"/>
        </w:rPr>
        <w:t xml:space="preserve"> Use feedback from both countries to refine strategy.</w:t>
      </w:r>
    </w:p>
    <w:p w14:paraId="729F0F08" w14:textId="77777777" w:rsidR="00937126" w:rsidRPr="00EC2810" w:rsidRDefault="00937126" w:rsidP="00AA73C3">
      <w:pPr>
        <w:numPr>
          <w:ilvl w:val="0"/>
          <w:numId w:val="16"/>
        </w:numPr>
        <w:spacing w:line="360" w:lineRule="auto"/>
        <w:jc w:val="both"/>
        <w:rPr>
          <w:rFonts w:ascii="Arial" w:hAnsi="Arial" w:cs="Arial"/>
          <w:sz w:val="22"/>
          <w:szCs w:val="22"/>
        </w:rPr>
      </w:pPr>
      <w:r w:rsidRPr="00EC2810">
        <w:rPr>
          <w:rFonts w:ascii="Arial" w:hAnsi="Arial" w:cs="Arial"/>
          <w:b/>
          <w:bCs/>
          <w:sz w:val="22"/>
          <w:szCs w:val="22"/>
        </w:rPr>
        <w:t>ESG Reporting:</w:t>
      </w:r>
      <w:r w:rsidRPr="00EC2810">
        <w:rPr>
          <w:rFonts w:ascii="Arial" w:hAnsi="Arial" w:cs="Arial"/>
          <w:sz w:val="22"/>
          <w:szCs w:val="22"/>
        </w:rPr>
        <w:t xml:space="preserve"> Include Spain’s results in Halfords’ annual sustainability report (</w:t>
      </w:r>
      <w:r w:rsidRPr="00EC2810">
        <w:rPr>
          <w:rFonts w:ascii="Arial" w:hAnsi="Arial" w:cs="Arial"/>
          <w:i/>
          <w:iCs/>
          <w:sz w:val="22"/>
          <w:szCs w:val="22"/>
        </w:rPr>
        <w:t>Halfords Group plc, 2025</w:t>
      </w:r>
      <w:r w:rsidRPr="00EC2810">
        <w:rPr>
          <w:rFonts w:ascii="Arial" w:hAnsi="Arial" w:cs="Arial"/>
          <w:sz w:val="22"/>
          <w:szCs w:val="22"/>
        </w:rPr>
        <w:t>).</w:t>
      </w:r>
    </w:p>
    <w:p w14:paraId="5B109E64" w14:textId="00F2672B" w:rsidR="00937126" w:rsidRPr="00EC2810" w:rsidRDefault="00C96788" w:rsidP="00AA73C3">
      <w:pPr>
        <w:spacing w:line="360" w:lineRule="auto"/>
        <w:jc w:val="both"/>
        <w:rPr>
          <w:rFonts w:ascii="Arial" w:hAnsi="Arial" w:cs="Arial"/>
          <w:sz w:val="22"/>
          <w:szCs w:val="22"/>
        </w:rPr>
      </w:pPr>
      <w:r w:rsidRPr="00EC2810">
        <w:rPr>
          <w:rFonts w:ascii="Arial" w:hAnsi="Arial" w:cs="Arial"/>
          <w:sz w:val="22"/>
          <w:szCs w:val="22"/>
        </w:rPr>
        <w:t xml:space="preserve">This guarantees the use of data to make decisions. </w:t>
      </w:r>
      <w:r w:rsidR="00164119" w:rsidRPr="00EC2810">
        <w:rPr>
          <w:rFonts w:ascii="Arial" w:hAnsi="Arial" w:cs="Arial"/>
          <w:sz w:val="22"/>
          <w:szCs w:val="22"/>
        </w:rPr>
        <w:t>(Rosen et al., 2022)</w:t>
      </w:r>
      <w:r w:rsidRPr="00EC2810">
        <w:rPr>
          <w:rFonts w:ascii="Arial" w:hAnsi="Arial" w:cs="Arial"/>
          <w:sz w:val="22"/>
          <w:szCs w:val="22"/>
        </w:rPr>
        <w:t xml:space="preserve"> emphasise that real-time analytics are beneficial in enhancing the performance and retention of customers in omnichannel retailers.</w:t>
      </w:r>
    </w:p>
    <w:p w14:paraId="27993F2B" w14:textId="77777777" w:rsidR="00937126" w:rsidRPr="00EC2810" w:rsidRDefault="00937126" w:rsidP="00AA73C3">
      <w:pPr>
        <w:pStyle w:val="Heading2"/>
        <w:spacing w:line="360" w:lineRule="auto"/>
        <w:jc w:val="both"/>
        <w:rPr>
          <w:rFonts w:ascii="Arial" w:hAnsi="Arial" w:cs="Arial"/>
          <w:sz w:val="22"/>
          <w:szCs w:val="22"/>
        </w:rPr>
      </w:pPr>
      <w:bookmarkStart w:id="34" w:name="_Toc214728220"/>
      <w:r w:rsidRPr="00EC2810">
        <w:rPr>
          <w:rFonts w:ascii="Arial" w:hAnsi="Arial" w:cs="Arial"/>
          <w:sz w:val="22"/>
          <w:szCs w:val="22"/>
        </w:rPr>
        <w:t>5.5 Strategic Relevance</w:t>
      </w:r>
      <w:bookmarkEnd w:id="34"/>
    </w:p>
    <w:p w14:paraId="44557249" w14:textId="77777777" w:rsidR="00C22EA7" w:rsidRPr="00EC2810" w:rsidRDefault="00C22EA7" w:rsidP="00AA73C3">
      <w:pPr>
        <w:spacing w:line="360" w:lineRule="auto"/>
        <w:jc w:val="both"/>
        <w:rPr>
          <w:rFonts w:ascii="Arial" w:hAnsi="Arial" w:cs="Arial"/>
          <w:sz w:val="22"/>
          <w:szCs w:val="22"/>
        </w:rPr>
      </w:pPr>
      <w:r w:rsidRPr="00EC2810">
        <w:rPr>
          <w:rFonts w:ascii="Arial" w:hAnsi="Arial" w:cs="Arial"/>
          <w:sz w:val="22"/>
          <w:szCs w:val="22"/>
        </w:rPr>
        <w:t>The hybrid BSC-TBL model gives a moderate perspective on the operations of Halfords in Spain. Commercial success can be verified by financial and customer measures, efficiency and innovation by process measures and learning measures and responsibility to the environment and society by sustainability measures. This is in line with the mobility transition of Spain (CaixaBank Research, 2024).</w:t>
      </w:r>
    </w:p>
    <w:p w14:paraId="797AFE08" w14:textId="1D0E4140" w:rsidR="00F602ED" w:rsidRPr="00EC2810" w:rsidRDefault="00C22EA7" w:rsidP="00AA73C3">
      <w:pPr>
        <w:spacing w:line="360" w:lineRule="auto"/>
        <w:jc w:val="both"/>
        <w:rPr>
          <w:rFonts w:ascii="Arial" w:hAnsi="Arial" w:cs="Arial"/>
          <w:sz w:val="22"/>
          <w:szCs w:val="22"/>
        </w:rPr>
      </w:pPr>
      <w:r w:rsidRPr="00EC2810">
        <w:rPr>
          <w:rFonts w:ascii="Arial" w:hAnsi="Arial" w:cs="Arial"/>
          <w:sz w:val="22"/>
          <w:szCs w:val="22"/>
        </w:rPr>
        <w:t>The framework serves as a performance instrument and a strategic control mechanism connecting the daily operations with strategic objectives. Monitoring profitability and sustainability simultaneously, Halfords will be able not only to evaluate the extent to which it grows in Spain but also to examine it in terms of responsible growth.</w:t>
      </w:r>
    </w:p>
    <w:p w14:paraId="54FF3E3F" w14:textId="4905C025" w:rsidR="00F602ED" w:rsidRPr="00EC2810" w:rsidRDefault="00F602ED" w:rsidP="00AA73C3">
      <w:pPr>
        <w:pStyle w:val="Heading1"/>
        <w:spacing w:line="360" w:lineRule="auto"/>
        <w:jc w:val="both"/>
        <w:rPr>
          <w:rFonts w:ascii="Arial" w:hAnsi="Arial" w:cs="Arial"/>
        </w:rPr>
      </w:pPr>
      <w:bookmarkStart w:id="35" w:name="_Toc214728221"/>
      <w:r w:rsidRPr="00EC2810">
        <w:rPr>
          <w:rFonts w:ascii="Arial" w:hAnsi="Arial" w:cs="Arial"/>
        </w:rPr>
        <w:t>6. Conclusion</w:t>
      </w:r>
      <w:bookmarkEnd w:id="35"/>
    </w:p>
    <w:p w14:paraId="4EE86F9A" w14:textId="77777777" w:rsidR="00E510D7" w:rsidRPr="00EC2810" w:rsidRDefault="00E510D7" w:rsidP="00AA73C3">
      <w:pPr>
        <w:spacing w:line="360" w:lineRule="auto"/>
        <w:jc w:val="both"/>
        <w:rPr>
          <w:rFonts w:ascii="Arial" w:hAnsi="Arial" w:cs="Arial"/>
          <w:sz w:val="22"/>
          <w:szCs w:val="22"/>
        </w:rPr>
      </w:pPr>
      <w:r w:rsidRPr="00EC2810">
        <w:rPr>
          <w:rFonts w:ascii="Arial" w:hAnsi="Arial" w:cs="Arial"/>
          <w:sz w:val="22"/>
          <w:szCs w:val="22"/>
        </w:rPr>
        <w:t xml:space="preserve">The strategic decision by Halfords PLC to venture into Spain is opportune and quite appropriate to diversify its leadership in the mobility solutions to one of the rapidly developing markets in Europe. The entire analysis shows that there is a high level of synergy between the core competencies, omnichannel retailing, car-service, and bicycle expertise of Halfords and the macro-environmental trends of electrification, sustainability, and digitalisation in Spain. PESTEL and Porter analyses prove the existence of a favourable but competitive environment, and the </w:t>
      </w:r>
      <w:r w:rsidRPr="00EC2810">
        <w:rPr>
          <w:rFonts w:ascii="Arial" w:hAnsi="Arial" w:cs="Arial"/>
          <w:sz w:val="22"/>
          <w:szCs w:val="22"/>
        </w:rPr>
        <w:lastRenderedPageBreak/>
        <w:t>VRIO assessment demonstrates that Halfords has the resources and can use them to gain a permanent competitive advantage.</w:t>
      </w:r>
    </w:p>
    <w:p w14:paraId="460E3FE3" w14:textId="77777777" w:rsidR="00E510D7" w:rsidRPr="00EC2810" w:rsidRDefault="00E510D7" w:rsidP="00AA73C3">
      <w:pPr>
        <w:spacing w:line="360" w:lineRule="auto"/>
        <w:jc w:val="both"/>
        <w:rPr>
          <w:rFonts w:ascii="Arial" w:hAnsi="Arial" w:cs="Arial"/>
          <w:sz w:val="22"/>
          <w:szCs w:val="22"/>
        </w:rPr>
      </w:pPr>
      <w:r w:rsidRPr="00EC2810">
        <w:rPr>
          <w:rFonts w:ascii="Arial" w:hAnsi="Arial" w:cs="Arial"/>
          <w:sz w:val="22"/>
          <w:szCs w:val="22"/>
        </w:rPr>
        <w:t>The market development strategy proposed, which will be carried out by a joint venture entry mode, is a balance of risk and local market sensitivity. The service excellence, omnichannel integration, and sustainability in differentiation offer a defensible presence in the fragmented retail and mobility industry in Spain. The Balanced Scorecard and Triple Bottom Line framework also offers strategic control, which allows Halfords to quantify the financial performance and the social performance.</w:t>
      </w:r>
    </w:p>
    <w:p w14:paraId="56CC6879" w14:textId="2BB5B23F" w:rsidR="00F602ED" w:rsidRPr="00EC2810" w:rsidRDefault="00E510D7" w:rsidP="00AA73C3">
      <w:pPr>
        <w:spacing w:line="360" w:lineRule="auto"/>
        <w:jc w:val="both"/>
        <w:rPr>
          <w:rFonts w:ascii="Arial" w:hAnsi="Arial" w:cs="Arial"/>
          <w:sz w:val="22"/>
          <w:szCs w:val="22"/>
        </w:rPr>
      </w:pPr>
      <w:r w:rsidRPr="00EC2810">
        <w:rPr>
          <w:rFonts w:ascii="Arial" w:hAnsi="Arial" w:cs="Arial"/>
          <w:sz w:val="22"/>
          <w:szCs w:val="22"/>
        </w:rPr>
        <w:t>Finally, such an expansion plan supports the long-term goal of Halfords to be the industry leader in terms of an integrated mobility retailer in Europe. Through its strategic entry into Spain, the firm can have a diversified revenue stream, build on its brand strength and help the continent shift toward sustainable and customer-focused mobility solutions. The strategic responsiveness in this plan places Halfords in a position to achieve market success as well as organisational sustainability and expansion in the long run.</w:t>
      </w:r>
    </w:p>
    <w:p w14:paraId="02E7EEAD" w14:textId="77777777" w:rsidR="000156DE" w:rsidRPr="00EC2810" w:rsidRDefault="000156DE" w:rsidP="00AA73C3">
      <w:pPr>
        <w:spacing w:line="360" w:lineRule="auto"/>
        <w:jc w:val="both"/>
        <w:rPr>
          <w:rFonts w:ascii="Arial" w:hAnsi="Arial" w:cs="Arial"/>
          <w:sz w:val="22"/>
          <w:szCs w:val="22"/>
        </w:rPr>
      </w:pPr>
    </w:p>
    <w:p w14:paraId="34C23812" w14:textId="77777777" w:rsidR="00184D05" w:rsidRPr="00EC2810" w:rsidRDefault="00184D05" w:rsidP="00AA73C3">
      <w:pPr>
        <w:spacing w:line="360" w:lineRule="auto"/>
        <w:jc w:val="both"/>
        <w:rPr>
          <w:rFonts w:ascii="Arial" w:hAnsi="Arial" w:cs="Arial"/>
          <w:sz w:val="22"/>
          <w:szCs w:val="22"/>
        </w:rPr>
      </w:pPr>
    </w:p>
    <w:p w14:paraId="67D979FA" w14:textId="1D294FED" w:rsidR="00184D05" w:rsidRPr="00EC2810" w:rsidRDefault="00184D05" w:rsidP="00AA73C3">
      <w:pPr>
        <w:spacing w:line="360" w:lineRule="auto"/>
        <w:jc w:val="both"/>
        <w:rPr>
          <w:rFonts w:ascii="Arial" w:hAnsi="Arial" w:cs="Arial"/>
          <w:sz w:val="22"/>
          <w:szCs w:val="22"/>
        </w:rPr>
      </w:pPr>
      <w:r w:rsidRPr="00EC2810">
        <w:rPr>
          <w:rFonts w:ascii="Arial" w:hAnsi="Arial" w:cs="Arial"/>
          <w:sz w:val="22"/>
          <w:szCs w:val="22"/>
        </w:rPr>
        <w:br w:type="page"/>
      </w:r>
    </w:p>
    <w:p w14:paraId="52BBD8D0" w14:textId="025C9378" w:rsidR="00184D05" w:rsidRPr="00AA73C3" w:rsidRDefault="00184D05" w:rsidP="00AA73C3">
      <w:pPr>
        <w:pStyle w:val="Heading1"/>
        <w:spacing w:line="360" w:lineRule="auto"/>
        <w:jc w:val="both"/>
        <w:rPr>
          <w:rFonts w:ascii="Times New Roman" w:hAnsi="Times New Roman" w:cs="Times New Roman"/>
          <w:sz w:val="24"/>
          <w:szCs w:val="24"/>
        </w:rPr>
      </w:pPr>
      <w:bookmarkStart w:id="36" w:name="_Toc214728222"/>
      <w:r w:rsidRPr="00AA73C3">
        <w:rPr>
          <w:rFonts w:ascii="Times New Roman" w:hAnsi="Times New Roman" w:cs="Times New Roman"/>
          <w:sz w:val="24"/>
          <w:szCs w:val="24"/>
        </w:rPr>
        <w:lastRenderedPageBreak/>
        <w:t>References</w:t>
      </w:r>
      <w:bookmarkEnd w:id="36"/>
    </w:p>
    <w:p w14:paraId="579E0CF2" w14:textId="5AEF2449"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Agnihotri,</w:t>
      </w:r>
      <w:r w:rsidR="006A33F6">
        <w:rPr>
          <w:rFonts w:ascii="Times New Roman" w:hAnsi="Times New Roman" w:cs="Times New Roman"/>
          <w:sz w:val="24"/>
          <w:szCs w:val="24"/>
        </w:rPr>
        <w:t xml:space="preserve"> </w:t>
      </w:r>
      <w:r w:rsidRPr="00AA73C3">
        <w:rPr>
          <w:rFonts w:ascii="Times New Roman" w:hAnsi="Times New Roman" w:cs="Times New Roman"/>
          <w:sz w:val="24"/>
          <w:szCs w:val="24"/>
        </w:rPr>
        <w:t>A.</w:t>
      </w:r>
      <w:r w:rsidR="006A33F6">
        <w:rPr>
          <w:rFonts w:ascii="Times New Roman" w:hAnsi="Times New Roman" w:cs="Times New Roman"/>
          <w:sz w:val="24"/>
          <w:szCs w:val="24"/>
        </w:rPr>
        <w:t xml:space="preserve"> et all.</w:t>
      </w:r>
      <w:r w:rsidRPr="00AA73C3">
        <w:rPr>
          <w:rFonts w:ascii="Times New Roman" w:hAnsi="Times New Roman" w:cs="Times New Roman"/>
          <w:sz w:val="24"/>
          <w:szCs w:val="24"/>
        </w:rPr>
        <w:t xml:space="preserve"> (2023). </w:t>
      </w:r>
      <w:r w:rsidRPr="00AA73C3">
        <w:rPr>
          <w:rFonts w:ascii="Times New Roman" w:hAnsi="Times New Roman" w:cs="Times New Roman"/>
          <w:i/>
          <w:iCs/>
          <w:sz w:val="24"/>
          <w:szCs w:val="24"/>
        </w:rPr>
        <w:t>Foreign market entry modes for servitization under diverse macroenvironments</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Industrial Marketing Management / PSU publication</w:t>
      </w:r>
      <w:r w:rsidRPr="00AA73C3">
        <w:rPr>
          <w:rFonts w:ascii="Times New Roman" w:hAnsi="Times New Roman" w:cs="Times New Roman"/>
          <w:sz w:val="24"/>
          <w:szCs w:val="24"/>
        </w:rPr>
        <w:t>. https://pure.psu.edu/en/publications/foreign-market-entry-modes-forservitization-under-diverse-macroen</w:t>
      </w:r>
    </w:p>
    <w:p w14:paraId="65639447" w14:textId="0F6B4243"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Amankwah-Amoah, J. et al. (2022). </w:t>
      </w:r>
      <w:r w:rsidRPr="00AA73C3">
        <w:rPr>
          <w:rFonts w:ascii="Times New Roman" w:hAnsi="Times New Roman" w:cs="Times New Roman"/>
          <w:i/>
          <w:iCs/>
          <w:sz w:val="24"/>
          <w:szCs w:val="24"/>
        </w:rPr>
        <w:t>Foreign market knowledge, entry mode choice and SMEs’ international performance in an emerging market</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Journal of International Management</w:t>
      </w:r>
      <w:r w:rsidRPr="00AA73C3">
        <w:rPr>
          <w:rFonts w:ascii="Times New Roman" w:hAnsi="Times New Roman" w:cs="Times New Roman"/>
          <w:sz w:val="24"/>
          <w:szCs w:val="24"/>
        </w:rPr>
        <w:t>. https://www.sciencedirect.com/science/article/abs/pii/S1075425322000308</w:t>
      </w:r>
    </w:p>
    <w:p w14:paraId="383C4501"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Brouthers, K. D. (2022). </w:t>
      </w:r>
      <w:r w:rsidRPr="00AA73C3">
        <w:rPr>
          <w:rFonts w:ascii="Times New Roman" w:hAnsi="Times New Roman" w:cs="Times New Roman"/>
          <w:i/>
          <w:iCs/>
          <w:sz w:val="24"/>
          <w:szCs w:val="24"/>
        </w:rPr>
        <w:t>Charting new courses to enter foreign markets</w:t>
      </w:r>
      <w:r w:rsidRPr="00AA73C3">
        <w:rPr>
          <w:rFonts w:ascii="Times New Roman" w:hAnsi="Times New Roman" w:cs="Times New Roman"/>
          <w:sz w:val="24"/>
          <w:szCs w:val="24"/>
        </w:rPr>
        <w:t xml:space="preserve"> (Review). </w:t>
      </w:r>
      <w:r w:rsidRPr="00AA73C3">
        <w:rPr>
          <w:rFonts w:ascii="Times New Roman" w:hAnsi="Times New Roman" w:cs="Times New Roman"/>
          <w:i/>
          <w:iCs/>
          <w:sz w:val="24"/>
          <w:szCs w:val="24"/>
        </w:rPr>
        <w:t>Journal of World Business</w:t>
      </w:r>
      <w:r w:rsidRPr="00AA73C3">
        <w:rPr>
          <w:rFonts w:ascii="Times New Roman" w:hAnsi="Times New Roman" w:cs="Times New Roman"/>
          <w:sz w:val="24"/>
          <w:szCs w:val="24"/>
        </w:rPr>
        <w:t xml:space="preserve"> (Open-access summary). https://pmc.ncbi.nlm.nih.gov/articles/PMC9030681/</w:t>
      </w:r>
    </w:p>
    <w:p w14:paraId="7B300FB3" w14:textId="65845D9A"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CaixaBank Research. (2024,</w:t>
      </w:r>
      <w:r w:rsidR="006A33F6">
        <w:rPr>
          <w:rFonts w:ascii="Times New Roman" w:hAnsi="Times New Roman" w:cs="Times New Roman"/>
          <w:sz w:val="24"/>
          <w:szCs w:val="24"/>
        </w:rPr>
        <w:t xml:space="preserve">18 </w:t>
      </w:r>
      <w:r w:rsidRPr="00AA73C3">
        <w:rPr>
          <w:rFonts w:ascii="Times New Roman" w:hAnsi="Times New Roman" w:cs="Times New Roman"/>
          <w:sz w:val="24"/>
          <w:szCs w:val="24"/>
        </w:rPr>
        <w:t>Dec</w:t>
      </w:r>
      <w:r w:rsidR="006A33F6">
        <w:rPr>
          <w:rFonts w:ascii="Times New Roman" w:hAnsi="Times New Roman" w:cs="Times New Roman"/>
          <w:sz w:val="24"/>
          <w:szCs w:val="24"/>
        </w:rPr>
        <w:t>ember</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The automotive sector in Spain: The challenge of remaining competitive</w:t>
      </w:r>
      <w:r w:rsidRPr="00AA73C3">
        <w:rPr>
          <w:rFonts w:ascii="Times New Roman" w:hAnsi="Times New Roman" w:cs="Times New Roman"/>
          <w:sz w:val="24"/>
          <w:szCs w:val="24"/>
        </w:rPr>
        <w:t>. CaixaBank Research (sectoral analysis). https://www.caixabankresearch.com/en/sectoral-analysis/sectoral-observatory/automotive-sector-spain-challenge-remaining-competitive-new</w:t>
      </w:r>
    </w:p>
    <w:p w14:paraId="7DD74C25" w14:textId="25BD5EF5"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CyclingIndustry.news. (2025, </w:t>
      </w:r>
      <w:r w:rsidR="006A33F6">
        <w:rPr>
          <w:rFonts w:ascii="Times New Roman" w:hAnsi="Times New Roman" w:cs="Times New Roman"/>
          <w:sz w:val="24"/>
          <w:szCs w:val="24"/>
        </w:rPr>
        <w:t xml:space="preserve">4 </w:t>
      </w:r>
      <w:r w:rsidRPr="00AA73C3">
        <w:rPr>
          <w:rFonts w:ascii="Times New Roman" w:hAnsi="Times New Roman" w:cs="Times New Roman"/>
          <w:sz w:val="24"/>
          <w:szCs w:val="24"/>
        </w:rPr>
        <w:t>Feb</w:t>
      </w:r>
      <w:r w:rsidR="006A33F6">
        <w:rPr>
          <w:rFonts w:ascii="Times New Roman" w:hAnsi="Times New Roman" w:cs="Times New Roman"/>
          <w:sz w:val="24"/>
          <w:szCs w:val="24"/>
        </w:rPr>
        <w:t>ruary</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Spain: Bike production rises but lower bike prices impact turnover</w:t>
      </w:r>
      <w:r w:rsidRPr="00AA73C3">
        <w:rPr>
          <w:rFonts w:ascii="Times New Roman" w:hAnsi="Times New Roman" w:cs="Times New Roman"/>
          <w:sz w:val="24"/>
          <w:szCs w:val="24"/>
        </w:rPr>
        <w:t>. https://cyclingindustry.news/spain-bike-production-rises-but-lower-bike-prices-impact-turnover/</w:t>
      </w:r>
    </w:p>
    <w:p w14:paraId="47912D0A"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Deep Market Insights. (2024). </w:t>
      </w:r>
      <w:r w:rsidRPr="00AA73C3">
        <w:rPr>
          <w:rFonts w:ascii="Times New Roman" w:hAnsi="Times New Roman" w:cs="Times New Roman"/>
          <w:i/>
          <w:iCs/>
          <w:sz w:val="24"/>
          <w:szCs w:val="24"/>
        </w:rPr>
        <w:t>Spain cycling apparel market size &amp; outlook, 2025–2033</w:t>
      </w:r>
      <w:r w:rsidRPr="00AA73C3">
        <w:rPr>
          <w:rFonts w:ascii="Times New Roman" w:hAnsi="Times New Roman" w:cs="Times New Roman"/>
          <w:sz w:val="24"/>
          <w:szCs w:val="24"/>
        </w:rPr>
        <w:t>. https://deepmarketinsights.com/vista/insights/cycling-apparel-market/spain</w:t>
      </w:r>
    </w:p>
    <w:p w14:paraId="2779AD61"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Deloitte. (2024). </w:t>
      </w:r>
      <w:r w:rsidRPr="00AA73C3">
        <w:rPr>
          <w:rFonts w:ascii="Times New Roman" w:hAnsi="Times New Roman" w:cs="Times New Roman"/>
          <w:i/>
          <w:iCs/>
          <w:sz w:val="24"/>
          <w:szCs w:val="24"/>
        </w:rPr>
        <w:t>2024 Global Automotive Consumer Study: EMEA focus</w:t>
      </w:r>
      <w:r w:rsidRPr="00AA73C3">
        <w:rPr>
          <w:rFonts w:ascii="Times New Roman" w:hAnsi="Times New Roman" w:cs="Times New Roman"/>
          <w:sz w:val="24"/>
          <w:szCs w:val="24"/>
        </w:rPr>
        <w:t xml:space="preserve"> (Deloitte Insights). https://www.deloitte.com/global/en/Industries/automotive/analysis/global-automotive-consumer-study-emea-focus-countries.html</w:t>
      </w:r>
    </w:p>
    <w:p w14:paraId="01FD266D"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Ecommerce Europe. (2024). </w:t>
      </w:r>
      <w:r w:rsidRPr="00AA73C3">
        <w:rPr>
          <w:rFonts w:ascii="Times New Roman" w:hAnsi="Times New Roman" w:cs="Times New Roman"/>
          <w:i/>
          <w:iCs/>
          <w:sz w:val="24"/>
          <w:szCs w:val="24"/>
        </w:rPr>
        <w:t>European E-commerce Report 2024</w:t>
      </w:r>
      <w:r w:rsidRPr="00AA73C3">
        <w:rPr>
          <w:rFonts w:ascii="Times New Roman" w:hAnsi="Times New Roman" w:cs="Times New Roman"/>
          <w:sz w:val="24"/>
          <w:szCs w:val="24"/>
        </w:rPr>
        <w:t xml:space="preserve"> (Centre for Market Insights). https://ecommerce-europe.eu/wp-content/uploads/2024/10/CMI2024_Complete_light_v1.pdf</w:t>
      </w:r>
    </w:p>
    <w:p w14:paraId="67B7E24F" w14:textId="69720C63"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lastRenderedPageBreak/>
        <w:t>El País / Cinco Días. (2025,</w:t>
      </w:r>
      <w:r w:rsidR="006A33F6">
        <w:rPr>
          <w:rFonts w:ascii="Times New Roman" w:hAnsi="Times New Roman" w:cs="Times New Roman"/>
          <w:sz w:val="24"/>
          <w:szCs w:val="24"/>
        </w:rPr>
        <w:t>24</w:t>
      </w:r>
      <w:r w:rsidRPr="00AA73C3">
        <w:rPr>
          <w:rFonts w:ascii="Times New Roman" w:hAnsi="Times New Roman" w:cs="Times New Roman"/>
          <w:sz w:val="24"/>
          <w:szCs w:val="24"/>
        </w:rPr>
        <w:t xml:space="preserve"> July). </w:t>
      </w:r>
      <w:r w:rsidRPr="00AA73C3">
        <w:rPr>
          <w:rFonts w:ascii="Times New Roman" w:hAnsi="Times New Roman" w:cs="Times New Roman"/>
          <w:i/>
          <w:iCs/>
          <w:sz w:val="24"/>
          <w:szCs w:val="24"/>
        </w:rPr>
        <w:t>Decathlon reduces profit in Spain; performance &amp; store renewals (Spanish)</w:t>
      </w:r>
      <w:r w:rsidRPr="00AA73C3">
        <w:rPr>
          <w:rFonts w:ascii="Times New Roman" w:hAnsi="Times New Roman" w:cs="Times New Roman"/>
          <w:sz w:val="24"/>
          <w:szCs w:val="24"/>
        </w:rPr>
        <w:t>. https://cincodias.elpais.com/companias/2025-07-24/decathlon-reduce-un-42-el-beneficio-en-espana-y-entrega-un-macrodividendo-a-su-matriz.html</w:t>
      </w:r>
    </w:p>
    <w:p w14:paraId="1471F22E"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Euromonitor International. (2023). </w:t>
      </w:r>
      <w:r w:rsidRPr="00AA73C3">
        <w:rPr>
          <w:rFonts w:ascii="Times New Roman" w:hAnsi="Times New Roman" w:cs="Times New Roman"/>
          <w:i/>
          <w:iCs/>
          <w:sz w:val="24"/>
          <w:szCs w:val="24"/>
        </w:rPr>
        <w:t>Sale, maintenance and repair of motor vehicles; Retail sale of automotive fuel in Spain</w:t>
      </w:r>
      <w:r w:rsidRPr="00AA73C3">
        <w:rPr>
          <w:rFonts w:ascii="Times New Roman" w:hAnsi="Times New Roman" w:cs="Times New Roman"/>
          <w:sz w:val="24"/>
          <w:szCs w:val="24"/>
        </w:rPr>
        <w:t xml:space="preserve"> (industry briefing). https://www.euromonitor.com/sale-maintenance-and-repair-of-motor-vehicles-retail-sale-of-automotive-fuel-in-spain-isic-50/report</w:t>
      </w:r>
    </w:p>
    <w:p w14:paraId="72649464"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Eurostat / European Commission. (2024). </w:t>
      </w:r>
      <w:r w:rsidRPr="00AA73C3">
        <w:rPr>
          <w:rFonts w:ascii="Times New Roman" w:hAnsi="Times New Roman" w:cs="Times New Roman"/>
          <w:i/>
          <w:iCs/>
          <w:sz w:val="24"/>
          <w:szCs w:val="24"/>
        </w:rPr>
        <w:t>E-commerce statistics for individuals</w:t>
      </w:r>
      <w:r w:rsidRPr="00AA73C3">
        <w:rPr>
          <w:rFonts w:ascii="Times New Roman" w:hAnsi="Times New Roman" w:cs="Times New Roman"/>
          <w:sz w:val="24"/>
          <w:szCs w:val="24"/>
        </w:rPr>
        <w:t xml:space="preserve"> (Statistics Explained). https://ec.europa.eu/eurostat/statistics-explained/index.php/E-commerce_statistics_for_individuals</w:t>
      </w:r>
    </w:p>
    <w:p w14:paraId="179DBDB0" w14:textId="249D8CEF"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Eurostat. (2023, </w:t>
      </w:r>
      <w:r w:rsidR="006A33F6">
        <w:rPr>
          <w:rFonts w:ascii="Times New Roman" w:hAnsi="Times New Roman" w:cs="Times New Roman"/>
          <w:sz w:val="24"/>
          <w:szCs w:val="24"/>
        </w:rPr>
        <w:t xml:space="preserve">14 </w:t>
      </w:r>
      <w:r w:rsidRPr="00AA73C3">
        <w:rPr>
          <w:rFonts w:ascii="Times New Roman" w:hAnsi="Times New Roman" w:cs="Times New Roman"/>
          <w:sz w:val="24"/>
          <w:szCs w:val="24"/>
        </w:rPr>
        <w:t xml:space="preserve">September). </w:t>
      </w:r>
      <w:r w:rsidRPr="00AA73C3">
        <w:rPr>
          <w:rFonts w:ascii="Times New Roman" w:hAnsi="Times New Roman" w:cs="Times New Roman"/>
          <w:i/>
          <w:iCs/>
          <w:sz w:val="24"/>
          <w:szCs w:val="24"/>
        </w:rPr>
        <w:t>EU produced 14.7 million bicycles in 2022</w:t>
      </w:r>
      <w:r w:rsidRPr="00AA73C3">
        <w:rPr>
          <w:rFonts w:ascii="Times New Roman" w:hAnsi="Times New Roman" w:cs="Times New Roman"/>
          <w:sz w:val="24"/>
          <w:szCs w:val="24"/>
        </w:rPr>
        <w:t xml:space="preserve"> (News release). https://ec.europa.eu/eurostat/web/products-eurostat-news/w/ddn-20230914-1</w:t>
      </w:r>
    </w:p>
    <w:p w14:paraId="1982B812"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Halfords Group plc. (2021). </w:t>
      </w:r>
      <w:r w:rsidRPr="00AA73C3">
        <w:rPr>
          <w:rFonts w:ascii="Times New Roman" w:hAnsi="Times New Roman" w:cs="Times New Roman"/>
          <w:i/>
          <w:iCs/>
          <w:sz w:val="24"/>
          <w:szCs w:val="24"/>
        </w:rPr>
        <w:t>Annual report and accounts 2021</w:t>
      </w:r>
      <w:r w:rsidRPr="00AA73C3">
        <w:rPr>
          <w:rFonts w:ascii="Times New Roman" w:hAnsi="Times New Roman" w:cs="Times New Roman"/>
          <w:sz w:val="24"/>
          <w:szCs w:val="24"/>
        </w:rPr>
        <w:t>. Halfords Group plc. https://halfords.annualreport2021.com/</w:t>
      </w:r>
    </w:p>
    <w:p w14:paraId="46DC47AE"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Halfords Group plc. (2022). </w:t>
      </w:r>
      <w:r w:rsidRPr="00AA73C3">
        <w:rPr>
          <w:rFonts w:ascii="Times New Roman" w:hAnsi="Times New Roman" w:cs="Times New Roman"/>
          <w:i/>
          <w:iCs/>
          <w:sz w:val="24"/>
          <w:szCs w:val="24"/>
        </w:rPr>
        <w:t>Annual report and accounts 2022</w:t>
      </w:r>
      <w:r w:rsidRPr="00AA73C3">
        <w:rPr>
          <w:rFonts w:ascii="Times New Roman" w:hAnsi="Times New Roman" w:cs="Times New Roman"/>
          <w:sz w:val="24"/>
          <w:szCs w:val="24"/>
        </w:rPr>
        <w:t>. Halfords Group plc. https://www.halfordscompany.com/investors/reports-and-accounts/</w:t>
      </w:r>
    </w:p>
    <w:p w14:paraId="0BB6C072"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Halfords Group plc. (2023). </w:t>
      </w:r>
      <w:r w:rsidRPr="00AA73C3">
        <w:rPr>
          <w:rFonts w:ascii="Times New Roman" w:hAnsi="Times New Roman" w:cs="Times New Roman"/>
          <w:i/>
          <w:iCs/>
          <w:sz w:val="24"/>
          <w:szCs w:val="24"/>
        </w:rPr>
        <w:t>Annual report and accounts 2023</w:t>
      </w:r>
      <w:r w:rsidRPr="00AA73C3">
        <w:rPr>
          <w:rFonts w:ascii="Times New Roman" w:hAnsi="Times New Roman" w:cs="Times New Roman"/>
          <w:sz w:val="24"/>
          <w:szCs w:val="24"/>
        </w:rPr>
        <w:t>. Halfords Group plc. https://www.halfordscompany.com/investors/reports-and-accounts/</w:t>
      </w:r>
    </w:p>
    <w:p w14:paraId="7D018DE8" w14:textId="2A08BC78"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Halfords Group plc. (2023, </w:t>
      </w:r>
      <w:r w:rsidR="006A33F6">
        <w:rPr>
          <w:rFonts w:ascii="Times New Roman" w:hAnsi="Times New Roman" w:cs="Times New Roman"/>
          <w:sz w:val="24"/>
          <w:szCs w:val="24"/>
        </w:rPr>
        <w:t xml:space="preserve">29 </w:t>
      </w:r>
      <w:r w:rsidRPr="00AA73C3">
        <w:rPr>
          <w:rFonts w:ascii="Times New Roman" w:hAnsi="Times New Roman" w:cs="Times New Roman"/>
          <w:sz w:val="24"/>
          <w:szCs w:val="24"/>
        </w:rPr>
        <w:t xml:space="preserve">November). </w:t>
      </w:r>
      <w:r w:rsidRPr="00AA73C3">
        <w:rPr>
          <w:rFonts w:ascii="Times New Roman" w:hAnsi="Times New Roman" w:cs="Times New Roman"/>
          <w:i/>
          <w:iCs/>
          <w:sz w:val="24"/>
          <w:szCs w:val="24"/>
        </w:rPr>
        <w:t>Financial year 2024, Interim results and strategic update (H1 FY24)</w:t>
      </w:r>
      <w:r w:rsidRPr="00AA73C3">
        <w:rPr>
          <w:rFonts w:ascii="Times New Roman" w:hAnsi="Times New Roman" w:cs="Times New Roman"/>
          <w:sz w:val="24"/>
          <w:szCs w:val="24"/>
        </w:rPr>
        <w:t>. Halfords Group plc. https://www.halfordscompany.com/media/uzajcamd/halfords-group-plc-fy24-interim-statement-final-clean.pdf</w:t>
      </w:r>
    </w:p>
    <w:p w14:paraId="3FADFBD6"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Halfords Group plc. (2024). </w:t>
      </w:r>
      <w:r w:rsidRPr="00AA73C3">
        <w:rPr>
          <w:rFonts w:ascii="Times New Roman" w:hAnsi="Times New Roman" w:cs="Times New Roman"/>
          <w:i/>
          <w:iCs/>
          <w:sz w:val="24"/>
          <w:szCs w:val="24"/>
        </w:rPr>
        <w:t>Preliminary results statement FY24</w:t>
      </w:r>
      <w:r w:rsidRPr="00AA73C3">
        <w:rPr>
          <w:rFonts w:ascii="Times New Roman" w:hAnsi="Times New Roman" w:cs="Times New Roman"/>
          <w:sz w:val="24"/>
          <w:szCs w:val="24"/>
        </w:rPr>
        <w:t xml:space="preserve"> (27 June 2024). Halfords Group plc. https://www.halfordscompany.com/investors/</w:t>
      </w:r>
    </w:p>
    <w:p w14:paraId="10A312A4"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Halfords Group plc. (2025). </w:t>
      </w:r>
      <w:r w:rsidRPr="00AA73C3">
        <w:rPr>
          <w:rFonts w:ascii="Times New Roman" w:hAnsi="Times New Roman" w:cs="Times New Roman"/>
          <w:i/>
          <w:iCs/>
          <w:sz w:val="24"/>
          <w:szCs w:val="24"/>
        </w:rPr>
        <w:t>Annual report and accounts 2025</w:t>
      </w:r>
      <w:r w:rsidRPr="00AA73C3">
        <w:rPr>
          <w:rFonts w:ascii="Times New Roman" w:hAnsi="Times New Roman" w:cs="Times New Roman"/>
          <w:sz w:val="24"/>
          <w:szCs w:val="24"/>
        </w:rPr>
        <w:t>. Halfords Group plc. https://www.halfordscompany.com/downloads/annual-report-2025/</w:t>
      </w:r>
    </w:p>
    <w:p w14:paraId="5B0EE582" w14:textId="33EF72D0"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lastRenderedPageBreak/>
        <w:t>Jackson, J. C. (2024,</w:t>
      </w:r>
      <w:r w:rsidR="006A33F6">
        <w:rPr>
          <w:rFonts w:ascii="Times New Roman" w:hAnsi="Times New Roman" w:cs="Times New Roman"/>
          <w:sz w:val="24"/>
          <w:szCs w:val="24"/>
        </w:rPr>
        <w:t xml:space="preserve">17 </w:t>
      </w:r>
      <w:r w:rsidRPr="00AA73C3">
        <w:rPr>
          <w:rFonts w:ascii="Times New Roman" w:hAnsi="Times New Roman" w:cs="Times New Roman"/>
          <w:sz w:val="24"/>
          <w:szCs w:val="24"/>
        </w:rPr>
        <w:t xml:space="preserve">May). </w:t>
      </w:r>
      <w:r w:rsidRPr="00AA73C3">
        <w:rPr>
          <w:rFonts w:ascii="Times New Roman" w:hAnsi="Times New Roman" w:cs="Times New Roman"/>
          <w:i/>
          <w:iCs/>
          <w:sz w:val="24"/>
          <w:szCs w:val="24"/>
        </w:rPr>
        <w:t>A model for expanding your business into foreign markets</w:t>
      </w:r>
      <w:r w:rsidRPr="00AA73C3">
        <w:rPr>
          <w:rFonts w:ascii="Times New Roman" w:hAnsi="Times New Roman" w:cs="Times New Roman"/>
          <w:sz w:val="24"/>
          <w:szCs w:val="24"/>
        </w:rPr>
        <w:t>. Harvard Business Review. https://hbr.org/2024/05/a-model-for-expanding-your-business-into-foreign-markets</w:t>
      </w:r>
    </w:p>
    <w:p w14:paraId="65879473"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Kohli, S., et al. (2023). </w:t>
      </w:r>
      <w:r w:rsidRPr="00AA73C3">
        <w:rPr>
          <w:rFonts w:ascii="Times New Roman" w:hAnsi="Times New Roman" w:cs="Times New Roman"/>
          <w:i/>
          <w:iCs/>
          <w:sz w:val="24"/>
          <w:szCs w:val="24"/>
        </w:rPr>
        <w:t>Sporting goods 2023: The need for resilience in a world in disarray</w:t>
      </w:r>
      <w:r w:rsidRPr="00AA73C3">
        <w:rPr>
          <w:rFonts w:ascii="Times New Roman" w:hAnsi="Times New Roman" w:cs="Times New Roman"/>
          <w:sz w:val="24"/>
          <w:szCs w:val="24"/>
        </w:rPr>
        <w:t xml:space="preserve"> (McKinsey &amp; Company report). McKinsey &amp; Company. https://www.mckinsey.com/~/media/mckinsey/industries/retail/our%20insights/sporting%20goods%202023%20the%20need%20for%20resilience%20in%20a%20world%20in%20disarray/sg-report-2023_final.pdf</w:t>
      </w:r>
    </w:p>
    <w:p w14:paraId="1D56F305"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Kumar, S. (2024). </w:t>
      </w:r>
      <w:r w:rsidRPr="00AA73C3">
        <w:rPr>
          <w:rFonts w:ascii="Times New Roman" w:hAnsi="Times New Roman" w:cs="Times New Roman"/>
          <w:i/>
          <w:iCs/>
          <w:sz w:val="24"/>
          <w:szCs w:val="24"/>
        </w:rPr>
        <w:t>Balanced scorecard: Trends, developments, and future directions</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Review Article</w:t>
      </w:r>
      <w:r w:rsidRPr="00AA73C3">
        <w:rPr>
          <w:rFonts w:ascii="Times New Roman" w:hAnsi="Times New Roman" w:cs="Times New Roman"/>
          <w:sz w:val="24"/>
          <w:szCs w:val="24"/>
        </w:rPr>
        <w:t xml:space="preserve"> (Springer). https://link.springer.com/article/10.1007/s11846-023-00700-6</w:t>
      </w:r>
    </w:p>
    <w:p w14:paraId="2BB5C83B"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McKinsey &amp; Company. (2024). </w:t>
      </w:r>
      <w:r w:rsidRPr="00AA73C3">
        <w:rPr>
          <w:rFonts w:ascii="Times New Roman" w:hAnsi="Times New Roman" w:cs="Times New Roman"/>
          <w:i/>
          <w:iCs/>
          <w:sz w:val="24"/>
          <w:szCs w:val="24"/>
        </w:rPr>
        <w:t>Europe’s economic potential in the shift to electric vehicles</w:t>
      </w:r>
      <w:r w:rsidRPr="00AA73C3">
        <w:rPr>
          <w:rFonts w:ascii="Times New Roman" w:hAnsi="Times New Roman" w:cs="Times New Roman"/>
          <w:sz w:val="24"/>
          <w:szCs w:val="24"/>
        </w:rPr>
        <w:t>. McKinsey &amp; Company. https://www.mckinsey.com/industries/automotive-and-assembly/our-insights/europes-economic-potential-in-the-shift-to-electric-vehicles</w:t>
      </w:r>
    </w:p>
    <w:p w14:paraId="77CF48DC"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Ministerio de Industria, Comercio y Turismo (Spain). (2024). </w:t>
      </w:r>
      <w:r w:rsidRPr="00AA73C3">
        <w:rPr>
          <w:rFonts w:ascii="Times New Roman" w:hAnsi="Times New Roman" w:cs="Times New Roman"/>
          <w:i/>
          <w:iCs/>
          <w:sz w:val="24"/>
          <w:szCs w:val="24"/>
        </w:rPr>
        <w:t>Statistics and reports, Motor vehicle manufacture and bicycle statistics</w:t>
      </w:r>
      <w:r w:rsidRPr="00AA73C3">
        <w:rPr>
          <w:rFonts w:ascii="Times New Roman" w:hAnsi="Times New Roman" w:cs="Times New Roman"/>
          <w:sz w:val="24"/>
          <w:szCs w:val="24"/>
        </w:rPr>
        <w:t>. https://industria.gob.es/en-us/estadisticas</w:t>
      </w:r>
    </w:p>
    <w:p w14:paraId="662B206C" w14:textId="378E3B2B"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Reuters. (2024,</w:t>
      </w:r>
      <w:r w:rsidR="006A33F6">
        <w:rPr>
          <w:rFonts w:ascii="Times New Roman" w:hAnsi="Times New Roman" w:cs="Times New Roman"/>
          <w:sz w:val="24"/>
          <w:szCs w:val="24"/>
        </w:rPr>
        <w:t>10</w:t>
      </w:r>
      <w:r w:rsidRPr="00AA73C3">
        <w:rPr>
          <w:rFonts w:ascii="Times New Roman" w:hAnsi="Times New Roman" w:cs="Times New Roman"/>
          <w:sz w:val="24"/>
          <w:szCs w:val="24"/>
        </w:rPr>
        <w:t xml:space="preserve"> De</w:t>
      </w:r>
      <w:r w:rsidR="006A33F6">
        <w:rPr>
          <w:rFonts w:ascii="Times New Roman" w:hAnsi="Times New Roman" w:cs="Times New Roman"/>
          <w:sz w:val="24"/>
          <w:szCs w:val="24"/>
        </w:rPr>
        <w:t>cember</w:t>
      </w:r>
      <w:r w:rsidRPr="00AA73C3">
        <w:rPr>
          <w:rFonts w:ascii="Times New Roman" w:hAnsi="Times New Roman" w:cs="Times New Roman"/>
          <w:sz w:val="24"/>
          <w:szCs w:val="24"/>
        </w:rPr>
        <w:t xml:space="preserve"> ). </w:t>
      </w:r>
      <w:r w:rsidRPr="00AA73C3">
        <w:rPr>
          <w:rFonts w:ascii="Times New Roman" w:hAnsi="Times New Roman" w:cs="Times New Roman"/>
          <w:i/>
          <w:iCs/>
          <w:sz w:val="24"/>
          <w:szCs w:val="24"/>
        </w:rPr>
        <w:t>Stellantis, China's CATL to invest €4.33bn in EV battery factory in Spain</w:t>
      </w:r>
      <w:r w:rsidRPr="00AA73C3">
        <w:rPr>
          <w:rFonts w:ascii="Times New Roman" w:hAnsi="Times New Roman" w:cs="Times New Roman"/>
          <w:sz w:val="24"/>
          <w:szCs w:val="24"/>
        </w:rPr>
        <w:t>. Reuters. https://www.reuters.com/business/autos-transportation/stellantis-chinas-catl-invest-433-bln-ev-battery-factory-spain-2024-12-10/</w:t>
      </w:r>
    </w:p>
    <w:p w14:paraId="1F87BCDB" w14:textId="4FD44A1A"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Rosen, D., &amp; colleagues. (2022,</w:t>
      </w:r>
      <w:r w:rsidR="006A33F6">
        <w:rPr>
          <w:rFonts w:ascii="Times New Roman" w:hAnsi="Times New Roman" w:cs="Times New Roman"/>
          <w:sz w:val="24"/>
          <w:szCs w:val="24"/>
        </w:rPr>
        <w:t>24</w:t>
      </w:r>
      <w:r w:rsidRPr="00AA73C3">
        <w:rPr>
          <w:rFonts w:ascii="Times New Roman" w:hAnsi="Times New Roman" w:cs="Times New Roman"/>
          <w:sz w:val="24"/>
          <w:szCs w:val="24"/>
        </w:rPr>
        <w:t xml:space="preserve"> Jan</w:t>
      </w:r>
      <w:r w:rsidR="006A33F6">
        <w:rPr>
          <w:rFonts w:ascii="Times New Roman" w:hAnsi="Times New Roman" w:cs="Times New Roman"/>
          <w:sz w:val="24"/>
          <w:szCs w:val="24"/>
        </w:rPr>
        <w:t>uary</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How B2B businesses can get omnichannel sales right</w:t>
      </w:r>
      <w:r w:rsidRPr="00AA73C3">
        <w:rPr>
          <w:rFonts w:ascii="Times New Roman" w:hAnsi="Times New Roman" w:cs="Times New Roman"/>
          <w:sz w:val="24"/>
          <w:szCs w:val="24"/>
        </w:rPr>
        <w:t>. Harvard Business Review. https://hbr.org/2022/01/how-b2b-businesses-can-get-omnichannel-sales-right</w:t>
      </w:r>
    </w:p>
    <w:p w14:paraId="3564ED6F"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Suárez-Gargallo, C., &amp; Zaragoza-Sáez, P. (2021). </w:t>
      </w:r>
      <w:r w:rsidRPr="00AA73C3">
        <w:rPr>
          <w:rFonts w:ascii="Times New Roman" w:hAnsi="Times New Roman" w:cs="Times New Roman"/>
          <w:i/>
          <w:iCs/>
          <w:sz w:val="24"/>
          <w:szCs w:val="24"/>
        </w:rPr>
        <w:t>How the balanced scorecard is implemented in the Spanish footwear industry</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Sustainability, 13</w:t>
      </w:r>
      <w:r w:rsidRPr="00AA73C3">
        <w:rPr>
          <w:rFonts w:ascii="Times New Roman" w:hAnsi="Times New Roman" w:cs="Times New Roman"/>
          <w:sz w:val="24"/>
          <w:szCs w:val="24"/>
        </w:rPr>
        <w:t>(10), 5641. https://www.mdpi.com/2071-1050/13/10/5641</w:t>
      </w:r>
    </w:p>
    <w:p w14:paraId="7BF586EC"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Tawse, A. (2023). </w:t>
      </w:r>
      <w:r w:rsidRPr="00AA73C3">
        <w:rPr>
          <w:rFonts w:ascii="Times New Roman" w:hAnsi="Times New Roman" w:cs="Times New Roman"/>
          <w:i/>
          <w:iCs/>
          <w:sz w:val="24"/>
          <w:szCs w:val="24"/>
        </w:rPr>
        <w:t>Thirty years with the Balanced Scorecard: What we have learned</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Management Science / review</w:t>
      </w:r>
      <w:r w:rsidRPr="00AA73C3">
        <w:rPr>
          <w:rFonts w:ascii="Times New Roman" w:hAnsi="Times New Roman" w:cs="Times New Roman"/>
          <w:sz w:val="24"/>
          <w:szCs w:val="24"/>
        </w:rPr>
        <w:t xml:space="preserve"> (2023). https://www.sciencedirect.com/science/article/pii/S0007681322000258</w:t>
      </w:r>
    </w:p>
    <w:p w14:paraId="15461681" w14:textId="0623C532"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lastRenderedPageBreak/>
        <w:t>Thomas, R., Tokar, T., &amp; Van Hoek, R. (2024,</w:t>
      </w:r>
      <w:r w:rsidR="006A33F6">
        <w:rPr>
          <w:rFonts w:ascii="Times New Roman" w:hAnsi="Times New Roman" w:cs="Times New Roman"/>
          <w:sz w:val="24"/>
          <w:szCs w:val="24"/>
        </w:rPr>
        <w:t>31</w:t>
      </w:r>
      <w:r w:rsidRPr="00AA73C3">
        <w:rPr>
          <w:rFonts w:ascii="Times New Roman" w:hAnsi="Times New Roman" w:cs="Times New Roman"/>
          <w:sz w:val="24"/>
          <w:szCs w:val="24"/>
        </w:rPr>
        <w:t xml:space="preserve"> May). </w:t>
      </w:r>
      <w:r w:rsidRPr="00AA73C3">
        <w:rPr>
          <w:rFonts w:ascii="Times New Roman" w:hAnsi="Times New Roman" w:cs="Times New Roman"/>
          <w:i/>
          <w:iCs/>
          <w:sz w:val="24"/>
          <w:szCs w:val="24"/>
        </w:rPr>
        <w:t>The strategic advantage omnichannel retailers have over Amazon</w:t>
      </w:r>
      <w:r w:rsidRPr="00AA73C3">
        <w:rPr>
          <w:rFonts w:ascii="Times New Roman" w:hAnsi="Times New Roman" w:cs="Times New Roman"/>
          <w:sz w:val="24"/>
          <w:szCs w:val="24"/>
        </w:rPr>
        <w:t>. Harvard Business Review. https://hbr.org/2024/05/the-strategic-advantage-omnichannel-retailers-have-over-amazon</w:t>
      </w:r>
    </w:p>
    <w:p w14:paraId="3CDA15A0" w14:textId="1AC0D063"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Velco. (2023,</w:t>
      </w:r>
      <w:r w:rsidR="006A33F6">
        <w:rPr>
          <w:rFonts w:ascii="Times New Roman" w:hAnsi="Times New Roman" w:cs="Times New Roman"/>
          <w:sz w:val="24"/>
          <w:szCs w:val="24"/>
        </w:rPr>
        <w:t>13</w:t>
      </w:r>
      <w:r w:rsidRPr="00AA73C3">
        <w:rPr>
          <w:rFonts w:ascii="Times New Roman" w:hAnsi="Times New Roman" w:cs="Times New Roman"/>
          <w:sz w:val="24"/>
          <w:szCs w:val="24"/>
        </w:rPr>
        <w:t xml:space="preserve"> July). </w:t>
      </w:r>
      <w:r w:rsidRPr="00AA73C3">
        <w:rPr>
          <w:rFonts w:ascii="Times New Roman" w:hAnsi="Times New Roman" w:cs="Times New Roman"/>
          <w:i/>
          <w:iCs/>
          <w:sz w:val="24"/>
          <w:szCs w:val="24"/>
        </w:rPr>
        <w:t>The Spanish bicycle market in 2023: Trends, challenges and perspectives</w:t>
      </w:r>
      <w:r w:rsidRPr="00AA73C3">
        <w:rPr>
          <w:rFonts w:ascii="Times New Roman" w:hAnsi="Times New Roman" w:cs="Times New Roman"/>
          <w:sz w:val="24"/>
          <w:szCs w:val="24"/>
        </w:rPr>
        <w:t>. Velco. https://velco.tech/en/the-spanish-bicycle-market-in-2023-trends-challenges-and-perspectives/</w:t>
      </w:r>
    </w:p>
    <w:p w14:paraId="157C6EE6" w14:textId="77777777" w:rsidR="00486958" w:rsidRPr="00AA73C3" w:rsidRDefault="00486958" w:rsidP="00486958">
      <w:pPr>
        <w:spacing w:line="360" w:lineRule="auto"/>
        <w:ind w:left="1440" w:hanging="1440"/>
        <w:jc w:val="both"/>
        <w:rPr>
          <w:rFonts w:ascii="Times New Roman" w:hAnsi="Times New Roman" w:cs="Times New Roman"/>
          <w:sz w:val="24"/>
          <w:szCs w:val="24"/>
        </w:rPr>
      </w:pPr>
      <w:r w:rsidRPr="00AA73C3">
        <w:rPr>
          <w:rFonts w:ascii="Times New Roman" w:hAnsi="Times New Roman" w:cs="Times New Roman"/>
          <w:sz w:val="24"/>
          <w:szCs w:val="24"/>
        </w:rPr>
        <w:t xml:space="preserve">Wan, C. (2023). </w:t>
      </w:r>
      <w:r w:rsidRPr="00AA73C3">
        <w:rPr>
          <w:rFonts w:ascii="Times New Roman" w:hAnsi="Times New Roman" w:cs="Times New Roman"/>
          <w:i/>
          <w:iCs/>
          <w:sz w:val="24"/>
          <w:szCs w:val="24"/>
        </w:rPr>
        <w:t>Entry mode choice: A meta-analysis of antecedents and outcomes</w:t>
      </w:r>
      <w:r w:rsidRPr="00AA73C3">
        <w:rPr>
          <w:rFonts w:ascii="Times New Roman" w:hAnsi="Times New Roman" w:cs="Times New Roman"/>
          <w:sz w:val="24"/>
          <w:szCs w:val="24"/>
        </w:rPr>
        <w:t xml:space="preserve">. </w:t>
      </w:r>
      <w:r w:rsidRPr="00AA73C3">
        <w:rPr>
          <w:rFonts w:ascii="Times New Roman" w:hAnsi="Times New Roman" w:cs="Times New Roman"/>
          <w:i/>
          <w:iCs/>
          <w:sz w:val="24"/>
          <w:szCs w:val="24"/>
        </w:rPr>
        <w:t>Journal: International Business Review / Springer</w:t>
      </w:r>
      <w:r w:rsidRPr="00AA73C3">
        <w:rPr>
          <w:rFonts w:ascii="Times New Roman" w:hAnsi="Times New Roman" w:cs="Times New Roman"/>
          <w:sz w:val="24"/>
          <w:szCs w:val="24"/>
        </w:rPr>
        <w:t xml:space="preserve"> (2023). https://link.springer.com/article/10.1007/s11575-022-00499-6</w:t>
      </w:r>
    </w:p>
    <w:p w14:paraId="53333BC3" w14:textId="77777777" w:rsidR="001F6428" w:rsidRPr="00AA73C3" w:rsidRDefault="001F6428" w:rsidP="00AA73C3">
      <w:pPr>
        <w:spacing w:line="360" w:lineRule="auto"/>
        <w:jc w:val="both"/>
        <w:rPr>
          <w:rFonts w:ascii="Times New Roman" w:hAnsi="Times New Roman" w:cs="Times New Roman"/>
          <w:sz w:val="24"/>
          <w:szCs w:val="24"/>
        </w:rPr>
      </w:pPr>
    </w:p>
    <w:sectPr w:rsidR="001F6428" w:rsidRPr="00AA73C3" w:rsidSect="00A940CD">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86250" w14:textId="77777777" w:rsidR="006051AA" w:rsidRDefault="006051AA" w:rsidP="00A940CD">
      <w:pPr>
        <w:spacing w:before="0" w:after="0" w:line="240" w:lineRule="auto"/>
      </w:pPr>
      <w:r>
        <w:separator/>
      </w:r>
    </w:p>
  </w:endnote>
  <w:endnote w:type="continuationSeparator" w:id="0">
    <w:p w14:paraId="17199AE1" w14:textId="77777777" w:rsidR="006051AA" w:rsidRDefault="006051AA" w:rsidP="00A940C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772333"/>
      <w:docPartObj>
        <w:docPartGallery w:val="Page Numbers (Bottom of Page)"/>
        <w:docPartUnique/>
      </w:docPartObj>
    </w:sdtPr>
    <w:sdtEndPr>
      <w:rPr>
        <w:noProof/>
      </w:rPr>
    </w:sdtEndPr>
    <w:sdtContent>
      <w:p w14:paraId="3E606DFF" w14:textId="362CBBF8" w:rsidR="006A33F6" w:rsidRDefault="006A33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B8EC0A" w14:textId="77777777" w:rsidR="006A33F6" w:rsidRDefault="006A3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8220B" w14:textId="77777777" w:rsidR="006051AA" w:rsidRDefault="006051AA" w:rsidP="00A940CD">
      <w:pPr>
        <w:spacing w:before="0" w:after="0" w:line="240" w:lineRule="auto"/>
      </w:pPr>
      <w:r>
        <w:separator/>
      </w:r>
    </w:p>
  </w:footnote>
  <w:footnote w:type="continuationSeparator" w:id="0">
    <w:p w14:paraId="7C423F23" w14:textId="77777777" w:rsidR="006051AA" w:rsidRDefault="006051AA" w:rsidP="00A940C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4778C"/>
    <w:multiLevelType w:val="multilevel"/>
    <w:tmpl w:val="16F28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DF6751"/>
    <w:multiLevelType w:val="multilevel"/>
    <w:tmpl w:val="CC580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8276E6"/>
    <w:multiLevelType w:val="multilevel"/>
    <w:tmpl w:val="4F54A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AF5065"/>
    <w:multiLevelType w:val="multilevel"/>
    <w:tmpl w:val="CCCA1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6D228C"/>
    <w:multiLevelType w:val="multilevel"/>
    <w:tmpl w:val="F7A2A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410F86"/>
    <w:multiLevelType w:val="multilevel"/>
    <w:tmpl w:val="6270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2F3F1D"/>
    <w:multiLevelType w:val="multilevel"/>
    <w:tmpl w:val="05D0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EB78B8"/>
    <w:multiLevelType w:val="multilevel"/>
    <w:tmpl w:val="079E8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C0F23"/>
    <w:multiLevelType w:val="multilevel"/>
    <w:tmpl w:val="CFCC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577059"/>
    <w:multiLevelType w:val="multilevel"/>
    <w:tmpl w:val="C4C0A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C32828"/>
    <w:multiLevelType w:val="multilevel"/>
    <w:tmpl w:val="8B4E9C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7E4C94"/>
    <w:multiLevelType w:val="multilevel"/>
    <w:tmpl w:val="375E7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CA07AE"/>
    <w:multiLevelType w:val="multilevel"/>
    <w:tmpl w:val="B2B2C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7057F8"/>
    <w:multiLevelType w:val="multilevel"/>
    <w:tmpl w:val="26CA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CB52CB"/>
    <w:multiLevelType w:val="multilevel"/>
    <w:tmpl w:val="01F80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655CBB"/>
    <w:multiLevelType w:val="multilevel"/>
    <w:tmpl w:val="71566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3572837">
    <w:abstractNumId w:val="5"/>
  </w:num>
  <w:num w:numId="2" w16cid:durableId="1707831861">
    <w:abstractNumId w:val="13"/>
  </w:num>
  <w:num w:numId="3" w16cid:durableId="686100744">
    <w:abstractNumId w:val="6"/>
  </w:num>
  <w:num w:numId="4" w16cid:durableId="1252399274">
    <w:abstractNumId w:val="4"/>
  </w:num>
  <w:num w:numId="5" w16cid:durableId="865169136">
    <w:abstractNumId w:val="10"/>
  </w:num>
  <w:num w:numId="6" w16cid:durableId="666246021">
    <w:abstractNumId w:val="9"/>
  </w:num>
  <w:num w:numId="7" w16cid:durableId="1260218855">
    <w:abstractNumId w:val="14"/>
  </w:num>
  <w:num w:numId="8" w16cid:durableId="502358178">
    <w:abstractNumId w:val="7"/>
  </w:num>
  <w:num w:numId="9" w16cid:durableId="1930189490">
    <w:abstractNumId w:val="15"/>
  </w:num>
  <w:num w:numId="10" w16cid:durableId="2087796109">
    <w:abstractNumId w:val="0"/>
  </w:num>
  <w:num w:numId="11" w16cid:durableId="694844202">
    <w:abstractNumId w:val="2"/>
  </w:num>
  <w:num w:numId="12" w16cid:durableId="108741871">
    <w:abstractNumId w:val="11"/>
  </w:num>
  <w:num w:numId="13" w16cid:durableId="1267543218">
    <w:abstractNumId w:val="1"/>
  </w:num>
  <w:num w:numId="14" w16cid:durableId="47263131">
    <w:abstractNumId w:val="8"/>
  </w:num>
  <w:num w:numId="15" w16cid:durableId="485055993">
    <w:abstractNumId w:val="12"/>
  </w:num>
  <w:num w:numId="16" w16cid:durableId="10988663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45"/>
    <w:rsid w:val="00000852"/>
    <w:rsid w:val="00013559"/>
    <w:rsid w:val="000156DE"/>
    <w:rsid w:val="000168C8"/>
    <w:rsid w:val="000203C9"/>
    <w:rsid w:val="00031B57"/>
    <w:rsid w:val="000546C6"/>
    <w:rsid w:val="000962D8"/>
    <w:rsid w:val="000B779B"/>
    <w:rsid w:val="000E3881"/>
    <w:rsid w:val="00160953"/>
    <w:rsid w:val="00160B22"/>
    <w:rsid w:val="00164119"/>
    <w:rsid w:val="00184D05"/>
    <w:rsid w:val="001972B8"/>
    <w:rsid w:val="001C3BB5"/>
    <w:rsid w:val="001F2335"/>
    <w:rsid w:val="001F2867"/>
    <w:rsid w:val="001F348C"/>
    <w:rsid w:val="001F6428"/>
    <w:rsid w:val="0023271A"/>
    <w:rsid w:val="00266AD2"/>
    <w:rsid w:val="0028419F"/>
    <w:rsid w:val="00285603"/>
    <w:rsid w:val="002F3D3A"/>
    <w:rsid w:val="003265AC"/>
    <w:rsid w:val="00345BA1"/>
    <w:rsid w:val="0036021C"/>
    <w:rsid w:val="003671F8"/>
    <w:rsid w:val="003819FF"/>
    <w:rsid w:val="003874C2"/>
    <w:rsid w:val="003B6538"/>
    <w:rsid w:val="003C2655"/>
    <w:rsid w:val="003F6338"/>
    <w:rsid w:val="003F736C"/>
    <w:rsid w:val="00405D9C"/>
    <w:rsid w:val="0043589B"/>
    <w:rsid w:val="00440643"/>
    <w:rsid w:val="00467B6B"/>
    <w:rsid w:val="00486958"/>
    <w:rsid w:val="004B23D8"/>
    <w:rsid w:val="004C3800"/>
    <w:rsid w:val="004C6E9A"/>
    <w:rsid w:val="00520B2A"/>
    <w:rsid w:val="005701A4"/>
    <w:rsid w:val="00583BD7"/>
    <w:rsid w:val="005B05B8"/>
    <w:rsid w:val="005C3F74"/>
    <w:rsid w:val="005E3466"/>
    <w:rsid w:val="006051AA"/>
    <w:rsid w:val="0062118B"/>
    <w:rsid w:val="00633920"/>
    <w:rsid w:val="00656B28"/>
    <w:rsid w:val="006A33F6"/>
    <w:rsid w:val="006E0BEB"/>
    <w:rsid w:val="00711DD1"/>
    <w:rsid w:val="00721CD6"/>
    <w:rsid w:val="00757279"/>
    <w:rsid w:val="00771A07"/>
    <w:rsid w:val="00786C45"/>
    <w:rsid w:val="00793BC6"/>
    <w:rsid w:val="007A2645"/>
    <w:rsid w:val="007C312A"/>
    <w:rsid w:val="0080759E"/>
    <w:rsid w:val="008447B6"/>
    <w:rsid w:val="00876E7A"/>
    <w:rsid w:val="008F15D2"/>
    <w:rsid w:val="009057F7"/>
    <w:rsid w:val="00912DE8"/>
    <w:rsid w:val="00937126"/>
    <w:rsid w:val="00960D76"/>
    <w:rsid w:val="0096162D"/>
    <w:rsid w:val="0099394A"/>
    <w:rsid w:val="009C2C9C"/>
    <w:rsid w:val="009E2526"/>
    <w:rsid w:val="009F13D9"/>
    <w:rsid w:val="00A22CC2"/>
    <w:rsid w:val="00A250A1"/>
    <w:rsid w:val="00A351EF"/>
    <w:rsid w:val="00A86F75"/>
    <w:rsid w:val="00A940CD"/>
    <w:rsid w:val="00AA73C3"/>
    <w:rsid w:val="00AC4B10"/>
    <w:rsid w:val="00AF314B"/>
    <w:rsid w:val="00B333FD"/>
    <w:rsid w:val="00B373BC"/>
    <w:rsid w:val="00B80C1B"/>
    <w:rsid w:val="00C22EA7"/>
    <w:rsid w:val="00C777B8"/>
    <w:rsid w:val="00C96788"/>
    <w:rsid w:val="00CA0AE6"/>
    <w:rsid w:val="00CA2FC6"/>
    <w:rsid w:val="00CA628D"/>
    <w:rsid w:val="00CE090E"/>
    <w:rsid w:val="00CE0DF0"/>
    <w:rsid w:val="00D00ACA"/>
    <w:rsid w:val="00D20A57"/>
    <w:rsid w:val="00D259A7"/>
    <w:rsid w:val="00D561D7"/>
    <w:rsid w:val="00DC27DF"/>
    <w:rsid w:val="00E244A8"/>
    <w:rsid w:val="00E510D7"/>
    <w:rsid w:val="00E70268"/>
    <w:rsid w:val="00EC2810"/>
    <w:rsid w:val="00EC617F"/>
    <w:rsid w:val="00F02299"/>
    <w:rsid w:val="00F10228"/>
    <w:rsid w:val="00F20319"/>
    <w:rsid w:val="00F26CCB"/>
    <w:rsid w:val="00F55A55"/>
    <w:rsid w:val="00F602ED"/>
    <w:rsid w:val="00F66693"/>
    <w:rsid w:val="00F77BC4"/>
    <w:rsid w:val="00FB0006"/>
    <w:rsid w:val="00FC71CB"/>
    <w:rsid w:val="00FF02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F8B8F"/>
  <w15:chartTrackingRefBased/>
  <w15:docId w15:val="{D876A487-5CB2-4767-8A0D-EDB262814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006"/>
  </w:style>
  <w:style w:type="paragraph" w:styleId="Heading1">
    <w:name w:val="heading 1"/>
    <w:basedOn w:val="Normal"/>
    <w:next w:val="Normal"/>
    <w:link w:val="Heading1Char"/>
    <w:uiPriority w:val="9"/>
    <w:qFormat/>
    <w:rsid w:val="00FB0006"/>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B0006"/>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FB0006"/>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FB0006"/>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FB0006"/>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FB0006"/>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FB0006"/>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FB000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B000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006"/>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FB0006"/>
    <w:rPr>
      <w:caps/>
      <w:spacing w:val="15"/>
      <w:shd w:val="clear" w:color="auto" w:fill="DEEAF6" w:themeFill="accent1" w:themeFillTint="33"/>
    </w:rPr>
  </w:style>
  <w:style w:type="character" w:customStyle="1" w:styleId="Heading3Char">
    <w:name w:val="Heading 3 Char"/>
    <w:basedOn w:val="DefaultParagraphFont"/>
    <w:link w:val="Heading3"/>
    <w:uiPriority w:val="9"/>
    <w:rsid w:val="00FB0006"/>
    <w:rPr>
      <w:caps/>
      <w:color w:val="1F4D78" w:themeColor="accent1" w:themeShade="7F"/>
      <w:spacing w:val="15"/>
    </w:rPr>
  </w:style>
  <w:style w:type="paragraph" w:styleId="NoSpacing">
    <w:name w:val="No Spacing"/>
    <w:uiPriority w:val="1"/>
    <w:qFormat/>
    <w:rsid w:val="00FB0006"/>
    <w:pPr>
      <w:spacing w:after="0" w:line="240" w:lineRule="auto"/>
    </w:pPr>
  </w:style>
  <w:style w:type="character" w:customStyle="1" w:styleId="Heading4Char">
    <w:name w:val="Heading 4 Char"/>
    <w:basedOn w:val="DefaultParagraphFont"/>
    <w:link w:val="Heading4"/>
    <w:uiPriority w:val="9"/>
    <w:semiHidden/>
    <w:rsid w:val="00FB0006"/>
    <w:rPr>
      <w:caps/>
      <w:color w:val="2E74B5" w:themeColor="accent1" w:themeShade="BF"/>
      <w:spacing w:val="10"/>
    </w:rPr>
  </w:style>
  <w:style w:type="character" w:customStyle="1" w:styleId="Heading5Char">
    <w:name w:val="Heading 5 Char"/>
    <w:basedOn w:val="DefaultParagraphFont"/>
    <w:link w:val="Heading5"/>
    <w:uiPriority w:val="9"/>
    <w:semiHidden/>
    <w:rsid w:val="00FB0006"/>
    <w:rPr>
      <w:caps/>
      <w:color w:val="2E74B5" w:themeColor="accent1" w:themeShade="BF"/>
      <w:spacing w:val="10"/>
    </w:rPr>
  </w:style>
  <w:style w:type="character" w:customStyle="1" w:styleId="Heading6Char">
    <w:name w:val="Heading 6 Char"/>
    <w:basedOn w:val="DefaultParagraphFont"/>
    <w:link w:val="Heading6"/>
    <w:uiPriority w:val="9"/>
    <w:semiHidden/>
    <w:rsid w:val="00FB0006"/>
    <w:rPr>
      <w:caps/>
      <w:color w:val="2E74B5" w:themeColor="accent1" w:themeShade="BF"/>
      <w:spacing w:val="10"/>
    </w:rPr>
  </w:style>
  <w:style w:type="character" w:customStyle="1" w:styleId="Heading7Char">
    <w:name w:val="Heading 7 Char"/>
    <w:basedOn w:val="DefaultParagraphFont"/>
    <w:link w:val="Heading7"/>
    <w:uiPriority w:val="9"/>
    <w:semiHidden/>
    <w:rsid w:val="00FB0006"/>
    <w:rPr>
      <w:caps/>
      <w:color w:val="2E74B5" w:themeColor="accent1" w:themeShade="BF"/>
      <w:spacing w:val="10"/>
    </w:rPr>
  </w:style>
  <w:style w:type="character" w:customStyle="1" w:styleId="Heading8Char">
    <w:name w:val="Heading 8 Char"/>
    <w:basedOn w:val="DefaultParagraphFont"/>
    <w:link w:val="Heading8"/>
    <w:uiPriority w:val="9"/>
    <w:semiHidden/>
    <w:rsid w:val="00FB0006"/>
    <w:rPr>
      <w:caps/>
      <w:spacing w:val="10"/>
      <w:sz w:val="18"/>
      <w:szCs w:val="18"/>
    </w:rPr>
  </w:style>
  <w:style w:type="character" w:customStyle="1" w:styleId="Heading9Char">
    <w:name w:val="Heading 9 Char"/>
    <w:basedOn w:val="DefaultParagraphFont"/>
    <w:link w:val="Heading9"/>
    <w:uiPriority w:val="9"/>
    <w:semiHidden/>
    <w:rsid w:val="00FB0006"/>
    <w:rPr>
      <w:i/>
      <w:iCs/>
      <w:caps/>
      <w:spacing w:val="10"/>
      <w:sz w:val="18"/>
      <w:szCs w:val="18"/>
    </w:rPr>
  </w:style>
  <w:style w:type="paragraph" w:styleId="Title">
    <w:name w:val="Title"/>
    <w:basedOn w:val="Normal"/>
    <w:next w:val="Normal"/>
    <w:link w:val="TitleChar"/>
    <w:uiPriority w:val="10"/>
    <w:qFormat/>
    <w:rsid w:val="00FB0006"/>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FB0006"/>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FB000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B0006"/>
    <w:rPr>
      <w:caps/>
      <w:color w:val="595959" w:themeColor="text1" w:themeTint="A6"/>
      <w:spacing w:val="10"/>
      <w:sz w:val="21"/>
      <w:szCs w:val="21"/>
    </w:rPr>
  </w:style>
  <w:style w:type="paragraph" w:styleId="Quote">
    <w:name w:val="Quote"/>
    <w:basedOn w:val="Normal"/>
    <w:next w:val="Normal"/>
    <w:link w:val="QuoteChar"/>
    <w:uiPriority w:val="29"/>
    <w:qFormat/>
    <w:rsid w:val="00FB0006"/>
    <w:rPr>
      <w:i/>
      <w:iCs/>
      <w:sz w:val="24"/>
      <w:szCs w:val="24"/>
    </w:rPr>
  </w:style>
  <w:style w:type="character" w:customStyle="1" w:styleId="QuoteChar">
    <w:name w:val="Quote Char"/>
    <w:basedOn w:val="DefaultParagraphFont"/>
    <w:link w:val="Quote"/>
    <w:uiPriority w:val="29"/>
    <w:rsid w:val="00FB0006"/>
    <w:rPr>
      <w:i/>
      <w:iCs/>
      <w:sz w:val="24"/>
      <w:szCs w:val="24"/>
    </w:rPr>
  </w:style>
  <w:style w:type="paragraph" w:styleId="ListParagraph">
    <w:name w:val="List Paragraph"/>
    <w:basedOn w:val="Normal"/>
    <w:uiPriority w:val="34"/>
    <w:qFormat/>
    <w:rsid w:val="00786C45"/>
    <w:pPr>
      <w:ind w:left="720"/>
      <w:contextualSpacing/>
    </w:pPr>
  </w:style>
  <w:style w:type="character" w:styleId="IntenseEmphasis">
    <w:name w:val="Intense Emphasis"/>
    <w:uiPriority w:val="21"/>
    <w:qFormat/>
    <w:rsid w:val="00FB0006"/>
    <w:rPr>
      <w:b/>
      <w:bCs/>
      <w:caps/>
      <w:color w:val="1F4D78" w:themeColor="accent1" w:themeShade="7F"/>
      <w:spacing w:val="10"/>
    </w:rPr>
  </w:style>
  <w:style w:type="paragraph" w:styleId="IntenseQuote">
    <w:name w:val="Intense Quote"/>
    <w:basedOn w:val="Normal"/>
    <w:next w:val="Normal"/>
    <w:link w:val="IntenseQuoteChar"/>
    <w:uiPriority w:val="30"/>
    <w:qFormat/>
    <w:rsid w:val="00FB0006"/>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FB0006"/>
    <w:rPr>
      <w:color w:val="5B9BD5" w:themeColor="accent1"/>
      <w:sz w:val="24"/>
      <w:szCs w:val="24"/>
    </w:rPr>
  </w:style>
  <w:style w:type="character" w:styleId="IntenseReference">
    <w:name w:val="Intense Reference"/>
    <w:uiPriority w:val="32"/>
    <w:qFormat/>
    <w:rsid w:val="00FB0006"/>
    <w:rPr>
      <w:b/>
      <w:bCs/>
      <w:i/>
      <w:iCs/>
      <w:caps/>
      <w:color w:val="5B9BD5" w:themeColor="accent1"/>
    </w:rPr>
  </w:style>
  <w:style w:type="table" w:styleId="TableGrid">
    <w:name w:val="Table Grid"/>
    <w:basedOn w:val="TableNormal"/>
    <w:uiPriority w:val="39"/>
    <w:rsid w:val="00721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B0006"/>
    <w:pPr>
      <w:outlineLvl w:val="9"/>
    </w:pPr>
  </w:style>
  <w:style w:type="paragraph" w:styleId="TOC1">
    <w:name w:val="toc 1"/>
    <w:basedOn w:val="Normal"/>
    <w:next w:val="Normal"/>
    <w:autoRedefine/>
    <w:uiPriority w:val="39"/>
    <w:unhideWhenUsed/>
    <w:rsid w:val="003F736C"/>
    <w:pPr>
      <w:spacing w:after="100"/>
    </w:pPr>
  </w:style>
  <w:style w:type="paragraph" w:styleId="TOC2">
    <w:name w:val="toc 2"/>
    <w:basedOn w:val="Normal"/>
    <w:next w:val="Normal"/>
    <w:autoRedefine/>
    <w:uiPriority w:val="39"/>
    <w:unhideWhenUsed/>
    <w:rsid w:val="003F736C"/>
    <w:pPr>
      <w:spacing w:after="100"/>
      <w:ind w:left="240"/>
    </w:pPr>
  </w:style>
  <w:style w:type="paragraph" w:styleId="TOC3">
    <w:name w:val="toc 3"/>
    <w:basedOn w:val="Normal"/>
    <w:next w:val="Normal"/>
    <w:autoRedefine/>
    <w:uiPriority w:val="39"/>
    <w:unhideWhenUsed/>
    <w:rsid w:val="003F736C"/>
    <w:pPr>
      <w:spacing w:after="100"/>
      <w:ind w:left="480"/>
    </w:pPr>
  </w:style>
  <w:style w:type="character" w:styleId="Hyperlink">
    <w:name w:val="Hyperlink"/>
    <w:basedOn w:val="DefaultParagraphFont"/>
    <w:uiPriority w:val="99"/>
    <w:unhideWhenUsed/>
    <w:rsid w:val="003F736C"/>
    <w:rPr>
      <w:color w:val="0563C1" w:themeColor="hyperlink"/>
      <w:u w:val="single"/>
    </w:rPr>
  </w:style>
  <w:style w:type="paragraph" w:styleId="Caption">
    <w:name w:val="caption"/>
    <w:basedOn w:val="Normal"/>
    <w:next w:val="Normal"/>
    <w:uiPriority w:val="35"/>
    <w:unhideWhenUsed/>
    <w:qFormat/>
    <w:rsid w:val="00FB0006"/>
    <w:rPr>
      <w:b/>
      <w:bCs/>
      <w:color w:val="2E74B5" w:themeColor="accent1" w:themeShade="BF"/>
      <w:sz w:val="16"/>
      <w:szCs w:val="16"/>
    </w:rPr>
  </w:style>
  <w:style w:type="character" w:styleId="Strong">
    <w:name w:val="Strong"/>
    <w:uiPriority w:val="22"/>
    <w:qFormat/>
    <w:rsid w:val="00FB0006"/>
    <w:rPr>
      <w:b/>
      <w:bCs/>
    </w:rPr>
  </w:style>
  <w:style w:type="character" w:styleId="Emphasis">
    <w:name w:val="Emphasis"/>
    <w:uiPriority w:val="20"/>
    <w:qFormat/>
    <w:rsid w:val="00FB0006"/>
    <w:rPr>
      <w:caps/>
      <w:color w:val="1F4D78" w:themeColor="accent1" w:themeShade="7F"/>
      <w:spacing w:val="5"/>
    </w:rPr>
  </w:style>
  <w:style w:type="character" w:styleId="SubtleEmphasis">
    <w:name w:val="Subtle Emphasis"/>
    <w:uiPriority w:val="19"/>
    <w:qFormat/>
    <w:rsid w:val="00FB0006"/>
    <w:rPr>
      <w:i/>
      <w:iCs/>
      <w:color w:val="1F4D78" w:themeColor="accent1" w:themeShade="7F"/>
    </w:rPr>
  </w:style>
  <w:style w:type="character" w:styleId="SubtleReference">
    <w:name w:val="Subtle Reference"/>
    <w:uiPriority w:val="31"/>
    <w:qFormat/>
    <w:rsid w:val="00FB0006"/>
    <w:rPr>
      <w:b/>
      <w:bCs/>
      <w:color w:val="5B9BD5" w:themeColor="accent1"/>
    </w:rPr>
  </w:style>
  <w:style w:type="character" w:styleId="BookTitle">
    <w:name w:val="Book Title"/>
    <w:uiPriority w:val="33"/>
    <w:qFormat/>
    <w:rsid w:val="00FB0006"/>
    <w:rPr>
      <w:b/>
      <w:bCs/>
      <w:i/>
      <w:iCs/>
      <w:spacing w:val="0"/>
    </w:rPr>
  </w:style>
  <w:style w:type="paragraph" w:styleId="Header">
    <w:name w:val="header"/>
    <w:basedOn w:val="Normal"/>
    <w:link w:val="HeaderChar"/>
    <w:uiPriority w:val="99"/>
    <w:unhideWhenUsed/>
    <w:rsid w:val="00A940C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40CD"/>
  </w:style>
  <w:style w:type="paragraph" w:styleId="Footer">
    <w:name w:val="footer"/>
    <w:basedOn w:val="Normal"/>
    <w:link w:val="FooterChar"/>
    <w:uiPriority w:val="99"/>
    <w:unhideWhenUsed/>
    <w:rsid w:val="00A940C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4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C164D-31A1-4A4A-A8EA-A87FF9C6C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6681</Words>
  <Characters>38083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Owner</cp:lastModifiedBy>
  <cp:revision>3</cp:revision>
  <dcterms:created xsi:type="dcterms:W3CDTF">2025-11-25T16:48:00Z</dcterms:created>
  <dcterms:modified xsi:type="dcterms:W3CDTF">2025-11-25T16:58:00Z</dcterms:modified>
</cp:coreProperties>
</file>