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8162495"/>
        <w:docPartObj>
          <w:docPartGallery w:val="Cover Pages"/>
          <w:docPartUnique/>
        </w:docPartObj>
      </w:sdtPr>
      <w:sdtEndPr>
        <w:rPr>
          <w:b/>
          <w:bCs/>
          <w:i/>
          <w:iCs/>
          <w:color w:val="0070C0"/>
          <w:sz w:val="36"/>
          <w:szCs w:val="36"/>
        </w:rPr>
      </w:sdtEndPr>
      <w:sdtContent>
        <w:p w14:paraId="45B8BD27" w14:textId="679C468C" w:rsidR="0069431E" w:rsidRDefault="00F845BF">
          <w:r>
            <w:rPr>
              <w:noProof/>
            </w:rPr>
            <mc:AlternateContent>
              <mc:Choice Requires="wps">
                <w:drawing>
                  <wp:anchor distT="0" distB="0" distL="114300" distR="114300" simplePos="0" relativeHeight="251665408" behindDoc="0" locked="0" layoutInCell="1" allowOverlap="1" wp14:anchorId="714B66F6" wp14:editId="358C2919">
                    <wp:simplePos x="0" y="0"/>
                    <wp:positionH relativeFrom="column">
                      <wp:posOffset>2695492</wp:posOffset>
                    </wp:positionH>
                    <wp:positionV relativeFrom="paragraph">
                      <wp:posOffset>-310101</wp:posOffset>
                    </wp:positionV>
                    <wp:extent cx="2576223" cy="3148717"/>
                    <wp:effectExtent l="0" t="0" r="14605" b="13970"/>
                    <wp:wrapNone/>
                    <wp:docPr id="2013177974" name="Rectangle: Rounded Corners 1"/>
                    <wp:cNvGraphicFramePr/>
                    <a:graphic xmlns:a="http://schemas.openxmlformats.org/drawingml/2006/main">
                      <a:graphicData uri="http://schemas.microsoft.com/office/word/2010/wordprocessingShape">
                        <wps:wsp>
                          <wps:cNvSpPr/>
                          <wps:spPr>
                            <a:xfrm>
                              <a:off x="0" y="0"/>
                              <a:ext cx="2576223" cy="314871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D116950" w14:textId="77777777" w:rsidR="00EE0BCF" w:rsidRPr="006C0F89" w:rsidRDefault="00EE0BCF" w:rsidP="00EE0BCF">
                                <w:pPr>
                                  <w:jc w:val="center"/>
                                  <w:rPr>
                                    <w:b/>
                                    <w:bCs/>
                                    <w:i/>
                                    <w:iCs/>
                                    <w:color w:val="0070C0"/>
                                    <w:sz w:val="32"/>
                                    <w:szCs w:val="32"/>
                                  </w:rPr>
                                </w:pPr>
                                <w:r w:rsidRPr="006C0F89">
                                  <w:rPr>
                                    <w:b/>
                                    <w:bCs/>
                                    <w:i/>
                                    <w:iCs/>
                                    <w:color w:val="0070C0"/>
                                    <w:sz w:val="32"/>
                                    <w:szCs w:val="32"/>
                                  </w:rPr>
                                  <w:t>The Leasehold Trap: Short Leases, Financial Insecurity, and the Implications for Elderly Homeowners in Wales</w:t>
                                </w:r>
                              </w:p>
                              <w:p w14:paraId="05129935" w14:textId="77777777" w:rsidR="00EE0BCF" w:rsidRDefault="00EE0BCF" w:rsidP="00EE0B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4B66F6" id="Rectangle: Rounded Corners 1" o:spid="_x0000_s1026" style="position:absolute;margin-left:212.25pt;margin-top:-24.4pt;width:202.85pt;height:247.9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" fillcolor="white [3201]" strokecolor="#4ea72e [3209]" strokeweight="1pt">
                    <v:stroke joinstyle="miter"/>
                    <v:textbox>
                      <w:txbxContent>
                        <w:p w14:paraId="5D116950" w14:textId="77777777" w:rsidR="00EE0BCF" w:rsidRPr="006C0F89" w:rsidRDefault="00EE0BCF" w:rsidP="00EE0BCF">
                          <w:pPr>
                            <w:jc w:val="center"/>
                            <w:rPr>
                              <w:b/>
                              <w:bCs/>
                              <w:i/>
                              <w:iCs/>
                              <w:color w:val="0070C0"/>
                              <w:sz w:val="32"/>
                              <w:szCs w:val="32"/>
                            </w:rPr>
                          </w:pPr>
                          <w:r w:rsidRPr="006C0F89">
                            <w:rPr>
                              <w:b/>
                              <w:bCs/>
                              <w:i/>
                              <w:iCs/>
                              <w:color w:val="0070C0"/>
                              <w:sz w:val="32"/>
                              <w:szCs w:val="32"/>
                            </w:rPr>
                            <w:t>The Leasehold Trap: Short Leases, Financial Insecurity, and the Implications for Elderly Homeowners in Wales</w:t>
                          </w:r>
                        </w:p>
                        <w:p w14:paraId="05129935" w14:textId="77777777" w:rsidR="00EE0BCF" w:rsidRDefault="00EE0BCF" w:rsidP="00EE0BCF">
                          <w:pPr>
                            <w:jc w:val="center"/>
                          </w:pPr>
                        </w:p>
                      </w:txbxContent>
                    </v:textbox>
                  </v:roundrect>
                </w:pict>
              </mc:Fallback>
            </mc:AlternateContent>
          </w:r>
          <w:r w:rsidR="0069431E">
            <w:rPr>
              <w:noProof/>
            </w:rPr>
            <mc:AlternateContent>
              <mc:Choice Requires="wps">
                <w:drawing>
                  <wp:anchor distT="0" distB="0" distL="114300" distR="114300" simplePos="0" relativeHeight="251664384" behindDoc="0" locked="0" layoutInCell="1" allowOverlap="1" wp14:anchorId="5B3D54DD" wp14:editId="5D8EEB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D9E817" w14:textId="3E02BF31" w:rsidR="0069431E" w:rsidRDefault="0069431E">
                                <w:pPr>
                                  <w:pStyle w:val="NoSpacing"/>
                                  <w:rPr>
                                    <w:noProof/>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B3D54DD" id="_x0000_t202" coordsize="21600,21600" o:spt="202" path="m,l,21600r21600,l21600,xe">
                    <v:stroke joinstyle="miter"/>
                    <v:path gradientshapeok="t" o:connecttype="rect"/>
                  </v:shapetype>
                  <v:shape id="Text Box 25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40D9E817" w14:textId="3E02BF31" w:rsidR="0069431E" w:rsidRDefault="0069431E">
                          <w:pPr>
                            <w:pStyle w:val="NoSpacing"/>
                            <w:rPr>
                              <w:noProof/>
                              <w:color w:val="0E2841" w:themeColor="text2"/>
                            </w:rPr>
                          </w:pPr>
                        </w:p>
                      </w:txbxContent>
                    </v:textbox>
                    <w10:wrap type="square" anchorx="page" anchory="page"/>
                  </v:shape>
                </w:pict>
              </mc:Fallback>
            </mc:AlternateContent>
          </w:r>
          <w:r w:rsidR="0069431E">
            <w:rPr>
              <w:noProof/>
            </w:rPr>
            <mc:AlternateContent>
              <mc:Choice Requires="wps">
                <w:drawing>
                  <wp:anchor distT="0" distB="0" distL="114300" distR="114300" simplePos="0" relativeHeight="251663360" behindDoc="1" locked="0" layoutInCell="1" allowOverlap="1" wp14:anchorId="63219068" wp14:editId="19D745A6">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2A98B5B" w14:textId="77777777" w:rsidR="0069431E" w:rsidRDefault="0069431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3219068" id="Rectangle 257"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c1e4f5 [660]" stroked="f" strokeweight="1pt">
                    <v:fill color2="#45b0e1 [1940]" rotate="t" focus="100%" type="gradient">
                      <o:fill v:ext="view" type="gradientUnscaled"/>
                    </v:fill>
                    <v:textbox inset="21.6pt,,21.6pt">
                      <w:txbxContent>
                        <w:p w14:paraId="02A98B5B" w14:textId="77777777" w:rsidR="0069431E" w:rsidRDefault="0069431E"/>
                      </w:txbxContent>
                    </v:textbox>
                    <w10:wrap anchorx="page" anchory="page"/>
                  </v:rect>
                </w:pict>
              </mc:Fallback>
            </mc:AlternateContent>
          </w:r>
          <w:r w:rsidR="0069431E">
            <w:rPr>
              <w:noProof/>
            </w:rPr>
            <mc:AlternateContent>
              <mc:Choice Requires="wps">
                <w:drawing>
                  <wp:anchor distT="0" distB="0" distL="114300" distR="114300" simplePos="0" relativeHeight="251659264" behindDoc="0" locked="0" layoutInCell="1" allowOverlap="1" wp14:anchorId="6226FEC6" wp14:editId="23E3B1E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807F9F0"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69431E">
            <w:rPr>
              <w:noProof/>
            </w:rPr>
            <mc:AlternateContent>
              <mc:Choice Requires="wps">
                <w:drawing>
                  <wp:anchor distT="0" distB="0" distL="114300" distR="114300" simplePos="0" relativeHeight="251662336" behindDoc="0" locked="0" layoutInCell="1" allowOverlap="1" wp14:anchorId="285B1543" wp14:editId="494B75A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7617D63"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78C760C9" w14:textId="1812DCCB" w:rsidR="0069431E" w:rsidRDefault="003241E3">
          <w:pPr>
            <w:rPr>
              <w:b/>
              <w:bCs/>
              <w:i/>
              <w:iCs/>
              <w:color w:val="0070C0"/>
              <w:sz w:val="36"/>
              <w:szCs w:val="36"/>
            </w:rPr>
          </w:pPr>
          <w:r>
            <w:rPr>
              <w:noProof/>
            </w:rPr>
            <mc:AlternateContent>
              <mc:Choice Requires="wps">
                <w:drawing>
                  <wp:anchor distT="0" distB="0" distL="114300" distR="114300" simplePos="0" relativeHeight="251661312" behindDoc="0" locked="0" layoutInCell="1" allowOverlap="1" wp14:anchorId="6EEE0227" wp14:editId="0E23EC3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664585"/>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3664634"/>
                            </a:xfrm>
                            <a:prstGeom prst="rect">
                              <a:avLst/>
                            </a:prstGeom>
                            <a:noFill/>
                            <a:ln w="6350">
                              <a:noFill/>
                            </a:ln>
                            <a:effectLst/>
                          </wps:spPr>
                          <wps:txbx>
                            <w:txbxContent>
                              <w:sdt>
                                <w:sdtPr>
                                  <w:rPr>
                                    <w:rFonts w:asciiTheme="majorHAnsi" w:eastAsiaTheme="majorEastAsia" w:hAnsiTheme="majorHAnsi" w:cstheme="majorBidi"/>
                                    <w:b/>
                                    <w:bCs/>
                                    <w:i/>
                                    <w:iCs/>
                                    <w:noProof/>
                                    <w:color w:val="0070C0"/>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4D4FA7" w14:textId="170DF700" w:rsidR="0069431E" w:rsidRDefault="00242F0E">
                                    <w:pPr>
                                      <w:spacing w:line="240" w:lineRule="auto"/>
                                      <w:rPr>
                                        <w:rFonts w:asciiTheme="majorHAnsi" w:eastAsiaTheme="majorEastAsia" w:hAnsiTheme="majorHAnsi" w:cstheme="majorBidi"/>
                                        <w:noProof/>
                                        <w:color w:val="156082" w:themeColor="accent1"/>
                                        <w:sz w:val="72"/>
                                        <w:szCs w:val="72"/>
                                      </w:rPr>
                                    </w:pPr>
                                    <w:r>
                                      <w:rPr>
                                        <w:rFonts w:asciiTheme="majorHAnsi" w:eastAsiaTheme="majorEastAsia" w:hAnsiTheme="majorHAnsi" w:cstheme="majorBidi"/>
                                        <w:b/>
                                        <w:bCs/>
                                        <w:i/>
                                        <w:iCs/>
                                        <w:noProof/>
                                        <w:color w:val="0070C0"/>
                                        <w:sz w:val="72"/>
                                        <w:szCs w:val="72"/>
                                      </w:rPr>
                                      <w:t>Dissertation</w:t>
                                    </w:r>
                                  </w:p>
                                </w:sdtContent>
                              </w:sdt>
                              <w:p w14:paraId="7FDB5944" w14:textId="77777777" w:rsidR="003241E3" w:rsidRDefault="003241E3">
                                <w:pPr>
                                  <w:spacing w:line="240" w:lineRule="auto"/>
                                  <w:rPr>
                                    <w:rFonts w:asciiTheme="majorHAnsi" w:eastAsiaTheme="majorEastAsia" w:hAnsiTheme="majorHAnsi" w:cstheme="majorBidi"/>
                                    <w:noProof/>
                                    <w:color w:val="156082" w:themeColor="accent1"/>
                                    <w:sz w:val="72"/>
                                    <w:szCs w:val="72"/>
                                  </w:rPr>
                                </w:pPr>
                              </w:p>
                              <w:p w14:paraId="55939D22" w14:textId="68134F68" w:rsidR="00A9567E" w:rsidRDefault="009104A3">
                                <w:pPr>
                                  <w:spacing w:line="240" w:lineRule="auto"/>
                                  <w:rPr>
                                    <w:rFonts w:asciiTheme="majorHAnsi" w:eastAsiaTheme="majorEastAsia" w:hAnsiTheme="majorHAnsi" w:cstheme="majorBidi"/>
                                    <w:b/>
                                    <w:bCs/>
                                    <w:noProof/>
                                    <w:color w:val="0070C0"/>
                                    <w:sz w:val="32"/>
                                    <w:szCs w:val="32"/>
                                  </w:rPr>
                                </w:pPr>
                                <w:r w:rsidRPr="00BC3A59">
                                  <w:rPr>
                                    <w:rFonts w:asciiTheme="majorHAnsi" w:eastAsiaTheme="majorEastAsia" w:hAnsiTheme="majorHAnsi" w:cstheme="majorBidi"/>
                                    <w:b/>
                                    <w:bCs/>
                                    <w:noProof/>
                                    <w:color w:val="0070C0"/>
                                    <w:sz w:val="32"/>
                                    <w:szCs w:val="32"/>
                                  </w:rPr>
                                  <w:t xml:space="preserve">Author: Violeta Alina Moros </w:t>
                                </w:r>
                                <w:r w:rsidR="00074275">
                                  <w:rPr>
                                    <w:rFonts w:asciiTheme="majorHAnsi" w:eastAsiaTheme="majorEastAsia" w:hAnsiTheme="majorHAnsi" w:cstheme="majorBidi"/>
                                    <w:b/>
                                    <w:bCs/>
                                    <w:noProof/>
                                    <w:color w:val="0070C0"/>
                                    <w:sz w:val="32"/>
                                    <w:szCs w:val="32"/>
                                  </w:rPr>
                                  <w:t>2219608</w:t>
                                </w:r>
                              </w:p>
                              <w:p w14:paraId="01E7339F" w14:textId="48193537" w:rsidR="00545F28" w:rsidRPr="00BC3A59" w:rsidRDefault="00E42547">
                                <w:pPr>
                                  <w:spacing w:line="240" w:lineRule="auto"/>
                                  <w:rPr>
                                    <w:rFonts w:asciiTheme="majorHAnsi" w:eastAsiaTheme="majorEastAsia" w:hAnsiTheme="majorHAnsi" w:cstheme="majorBidi"/>
                                    <w:b/>
                                    <w:bCs/>
                                    <w:noProof/>
                                    <w:color w:val="0070C0"/>
                                    <w:sz w:val="32"/>
                                    <w:szCs w:val="32"/>
                                  </w:rPr>
                                </w:pPr>
                                <w:r w:rsidRPr="00E42547">
                                  <w:rPr>
                                    <w:rFonts w:asciiTheme="majorHAnsi" w:eastAsiaTheme="majorEastAsia" w:hAnsiTheme="majorHAnsi" w:cstheme="majorBidi"/>
                                    <w:b/>
                                    <w:bCs/>
                                    <w:noProof/>
                                    <w:color w:val="0070C0"/>
                                    <w:sz w:val="32"/>
                                    <w:szCs w:val="32"/>
                                  </w:rPr>
                                  <w:t>Independent Project (BMSW6009_SWAN)</w:t>
                                </w:r>
                              </w:p>
                              <w:p w14:paraId="1E6456B2" w14:textId="7411E9D5" w:rsidR="009104A3" w:rsidRDefault="006E0B98">
                                <w:pPr>
                                  <w:spacing w:line="240" w:lineRule="auto"/>
                                  <w:rPr>
                                    <w:rFonts w:asciiTheme="majorHAnsi" w:eastAsiaTheme="majorEastAsia" w:hAnsiTheme="majorHAnsi" w:cstheme="majorBidi"/>
                                    <w:b/>
                                    <w:bCs/>
                                    <w:noProof/>
                                    <w:color w:val="0070C0"/>
                                    <w:sz w:val="32"/>
                                    <w:szCs w:val="32"/>
                                  </w:rPr>
                                </w:pPr>
                                <w:r w:rsidRPr="00BC3A59">
                                  <w:rPr>
                                    <w:rFonts w:asciiTheme="majorHAnsi" w:eastAsiaTheme="majorEastAsia" w:hAnsiTheme="majorHAnsi" w:cstheme="majorBidi"/>
                                    <w:b/>
                                    <w:bCs/>
                                    <w:noProof/>
                                    <w:color w:val="0070C0"/>
                                    <w:sz w:val="32"/>
                                    <w:szCs w:val="32"/>
                                  </w:rPr>
                                  <w:t xml:space="preserve">Tutor: </w:t>
                                </w:r>
                                <w:r w:rsidR="00BC3A59" w:rsidRPr="00BC3A59">
                                  <w:rPr>
                                    <w:rFonts w:asciiTheme="majorHAnsi" w:eastAsiaTheme="majorEastAsia" w:hAnsiTheme="majorHAnsi" w:cstheme="majorBidi"/>
                                    <w:b/>
                                    <w:bCs/>
                                    <w:noProof/>
                                    <w:color w:val="0070C0"/>
                                    <w:sz w:val="32"/>
                                    <w:szCs w:val="32"/>
                                  </w:rPr>
                                  <w:t>Jaliya de Silva </w:t>
                                </w:r>
                              </w:p>
                              <w:p w14:paraId="78F0EB3F" w14:textId="06FDF17F" w:rsidR="009F64A1" w:rsidRPr="00BC3A59" w:rsidRDefault="005C45E8">
                                <w:pPr>
                                  <w:spacing w:line="240" w:lineRule="auto"/>
                                  <w:rPr>
                                    <w:rFonts w:asciiTheme="majorHAnsi" w:eastAsiaTheme="majorEastAsia" w:hAnsiTheme="majorHAnsi" w:cstheme="majorBidi"/>
                                    <w:b/>
                                    <w:bCs/>
                                    <w:noProof/>
                                    <w:color w:val="0070C0"/>
                                    <w:sz w:val="32"/>
                                    <w:szCs w:val="32"/>
                                  </w:rPr>
                                </w:pPr>
                                <w:r w:rsidRPr="005C45E8">
                                  <w:rPr>
                                    <w:rFonts w:ascii="Times New Roman" w:hAnsi="Times New Roman" w:cs="Times New Roman"/>
                                    <w:noProof/>
                                    <w:sz w:val="24"/>
                                    <w:szCs w:val="24"/>
                                  </w:rPr>
                                  <w:drawing>
                                    <wp:inline distT="0" distB="0" distL="0" distR="0" wp14:anchorId="34962B49" wp14:editId="41252339">
                                      <wp:extent cx="2532380" cy="576776"/>
                                      <wp:effectExtent l="0" t="0" r="0" b="0"/>
                                      <wp:docPr id="4024691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3731" cy="58391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EEE0227" id="Text Box 265" o:spid="_x0000_s1029" type="#_x0000_t202" style="position:absolute;margin-left:0;margin-top:0;width:220.3pt;height:288.55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" filled="f" stroked="f" strokeweight=".5pt">
                    <v:textbox>
                      <w:txbxContent>
                        <w:sdt>
                          <w:sdtPr>
                            <w:rPr>
                              <w:rFonts w:asciiTheme="majorHAnsi" w:eastAsiaTheme="majorEastAsia" w:hAnsiTheme="majorHAnsi" w:cstheme="majorBidi"/>
                              <w:b/>
                              <w:bCs/>
                              <w:i/>
                              <w:iCs/>
                              <w:noProof/>
                              <w:color w:val="0070C0"/>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4D4FA7" w14:textId="170DF700" w:rsidR="0069431E" w:rsidRDefault="00242F0E">
                              <w:pPr>
                                <w:spacing w:line="240" w:lineRule="auto"/>
                                <w:rPr>
                                  <w:rFonts w:asciiTheme="majorHAnsi" w:eastAsiaTheme="majorEastAsia" w:hAnsiTheme="majorHAnsi" w:cstheme="majorBidi"/>
                                  <w:noProof/>
                                  <w:color w:val="156082" w:themeColor="accent1"/>
                                  <w:sz w:val="72"/>
                                  <w:szCs w:val="72"/>
                                </w:rPr>
                              </w:pPr>
                              <w:r>
                                <w:rPr>
                                  <w:rFonts w:asciiTheme="majorHAnsi" w:eastAsiaTheme="majorEastAsia" w:hAnsiTheme="majorHAnsi" w:cstheme="majorBidi"/>
                                  <w:b/>
                                  <w:bCs/>
                                  <w:i/>
                                  <w:iCs/>
                                  <w:noProof/>
                                  <w:color w:val="0070C0"/>
                                  <w:sz w:val="72"/>
                                  <w:szCs w:val="72"/>
                                </w:rPr>
                                <w:t>Dissertation</w:t>
                              </w:r>
                            </w:p>
                          </w:sdtContent>
                        </w:sdt>
                        <w:p w14:paraId="7FDB5944" w14:textId="77777777" w:rsidR="003241E3" w:rsidRDefault="003241E3">
                          <w:pPr>
                            <w:spacing w:line="240" w:lineRule="auto"/>
                            <w:rPr>
                              <w:rFonts w:asciiTheme="majorHAnsi" w:eastAsiaTheme="majorEastAsia" w:hAnsiTheme="majorHAnsi" w:cstheme="majorBidi"/>
                              <w:noProof/>
                              <w:color w:val="156082" w:themeColor="accent1"/>
                              <w:sz w:val="72"/>
                              <w:szCs w:val="72"/>
                            </w:rPr>
                          </w:pPr>
                        </w:p>
                        <w:p w14:paraId="55939D22" w14:textId="68134F68" w:rsidR="00A9567E" w:rsidRDefault="009104A3">
                          <w:pPr>
                            <w:spacing w:line="240" w:lineRule="auto"/>
                            <w:rPr>
                              <w:rFonts w:asciiTheme="majorHAnsi" w:eastAsiaTheme="majorEastAsia" w:hAnsiTheme="majorHAnsi" w:cstheme="majorBidi"/>
                              <w:b/>
                              <w:bCs/>
                              <w:noProof/>
                              <w:color w:val="0070C0"/>
                              <w:sz w:val="32"/>
                              <w:szCs w:val="32"/>
                            </w:rPr>
                          </w:pPr>
                          <w:r w:rsidRPr="00BC3A59">
                            <w:rPr>
                              <w:rFonts w:asciiTheme="majorHAnsi" w:eastAsiaTheme="majorEastAsia" w:hAnsiTheme="majorHAnsi" w:cstheme="majorBidi"/>
                              <w:b/>
                              <w:bCs/>
                              <w:noProof/>
                              <w:color w:val="0070C0"/>
                              <w:sz w:val="32"/>
                              <w:szCs w:val="32"/>
                            </w:rPr>
                            <w:t xml:space="preserve">Author: Violeta Alina Moros </w:t>
                          </w:r>
                          <w:r w:rsidR="00074275">
                            <w:rPr>
                              <w:rFonts w:asciiTheme="majorHAnsi" w:eastAsiaTheme="majorEastAsia" w:hAnsiTheme="majorHAnsi" w:cstheme="majorBidi"/>
                              <w:b/>
                              <w:bCs/>
                              <w:noProof/>
                              <w:color w:val="0070C0"/>
                              <w:sz w:val="32"/>
                              <w:szCs w:val="32"/>
                            </w:rPr>
                            <w:t>2219608</w:t>
                          </w:r>
                        </w:p>
                        <w:p w14:paraId="01E7339F" w14:textId="48193537" w:rsidR="00545F28" w:rsidRPr="00BC3A59" w:rsidRDefault="00E42547">
                          <w:pPr>
                            <w:spacing w:line="240" w:lineRule="auto"/>
                            <w:rPr>
                              <w:rFonts w:asciiTheme="majorHAnsi" w:eastAsiaTheme="majorEastAsia" w:hAnsiTheme="majorHAnsi" w:cstheme="majorBidi"/>
                              <w:b/>
                              <w:bCs/>
                              <w:noProof/>
                              <w:color w:val="0070C0"/>
                              <w:sz w:val="32"/>
                              <w:szCs w:val="32"/>
                            </w:rPr>
                          </w:pPr>
                          <w:r w:rsidRPr="00E42547">
                            <w:rPr>
                              <w:rFonts w:asciiTheme="majorHAnsi" w:eastAsiaTheme="majorEastAsia" w:hAnsiTheme="majorHAnsi" w:cstheme="majorBidi"/>
                              <w:b/>
                              <w:bCs/>
                              <w:noProof/>
                              <w:color w:val="0070C0"/>
                              <w:sz w:val="32"/>
                              <w:szCs w:val="32"/>
                            </w:rPr>
                            <w:t>Independent Project (BMSW6009_SWAN)</w:t>
                          </w:r>
                        </w:p>
                        <w:p w14:paraId="1E6456B2" w14:textId="7411E9D5" w:rsidR="009104A3" w:rsidRDefault="006E0B98">
                          <w:pPr>
                            <w:spacing w:line="240" w:lineRule="auto"/>
                            <w:rPr>
                              <w:rFonts w:asciiTheme="majorHAnsi" w:eastAsiaTheme="majorEastAsia" w:hAnsiTheme="majorHAnsi" w:cstheme="majorBidi"/>
                              <w:b/>
                              <w:bCs/>
                              <w:noProof/>
                              <w:color w:val="0070C0"/>
                              <w:sz w:val="32"/>
                              <w:szCs w:val="32"/>
                            </w:rPr>
                          </w:pPr>
                          <w:r w:rsidRPr="00BC3A59">
                            <w:rPr>
                              <w:rFonts w:asciiTheme="majorHAnsi" w:eastAsiaTheme="majorEastAsia" w:hAnsiTheme="majorHAnsi" w:cstheme="majorBidi"/>
                              <w:b/>
                              <w:bCs/>
                              <w:noProof/>
                              <w:color w:val="0070C0"/>
                              <w:sz w:val="32"/>
                              <w:szCs w:val="32"/>
                            </w:rPr>
                            <w:t xml:space="preserve">Tutor: </w:t>
                          </w:r>
                          <w:r w:rsidR="00BC3A59" w:rsidRPr="00BC3A59">
                            <w:rPr>
                              <w:rFonts w:asciiTheme="majorHAnsi" w:eastAsiaTheme="majorEastAsia" w:hAnsiTheme="majorHAnsi" w:cstheme="majorBidi"/>
                              <w:b/>
                              <w:bCs/>
                              <w:noProof/>
                              <w:color w:val="0070C0"/>
                              <w:sz w:val="32"/>
                              <w:szCs w:val="32"/>
                            </w:rPr>
                            <w:t>Jaliya de Silva </w:t>
                          </w:r>
                        </w:p>
                        <w:p w14:paraId="78F0EB3F" w14:textId="06FDF17F" w:rsidR="009F64A1" w:rsidRPr="00BC3A59" w:rsidRDefault="005C45E8">
                          <w:pPr>
                            <w:spacing w:line="240" w:lineRule="auto"/>
                            <w:rPr>
                              <w:rFonts w:asciiTheme="majorHAnsi" w:eastAsiaTheme="majorEastAsia" w:hAnsiTheme="majorHAnsi" w:cstheme="majorBidi"/>
                              <w:b/>
                              <w:bCs/>
                              <w:noProof/>
                              <w:color w:val="0070C0"/>
                              <w:sz w:val="32"/>
                              <w:szCs w:val="32"/>
                            </w:rPr>
                          </w:pPr>
                          <w:r w:rsidRPr="005C45E8">
                            <w:rPr>
                              <w:rFonts w:ascii="Times New Roman" w:hAnsi="Times New Roman" w:cs="Times New Roman"/>
                              <w:noProof/>
                              <w:sz w:val="24"/>
                              <w:szCs w:val="24"/>
                            </w:rPr>
                            <w:drawing>
                              <wp:inline distT="0" distB="0" distL="0" distR="0" wp14:anchorId="34962B49" wp14:editId="41252339">
                                <wp:extent cx="2532380" cy="576776"/>
                                <wp:effectExtent l="0" t="0" r="0" b="0"/>
                                <wp:docPr id="4024691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3731" cy="583916"/>
                                        </a:xfrm>
                                        <a:prstGeom prst="rect">
                                          <a:avLst/>
                                        </a:prstGeom>
                                        <a:noFill/>
                                        <a:ln>
                                          <a:noFill/>
                                        </a:ln>
                                      </pic:spPr>
                                    </pic:pic>
                                  </a:graphicData>
                                </a:graphic>
                              </wp:inline>
                            </w:drawing>
                          </w:r>
                        </w:p>
                      </w:txbxContent>
                    </v:textbox>
                    <w10:wrap type="square" anchorx="page" anchory="page"/>
                  </v:shape>
                </w:pict>
              </mc:Fallback>
            </mc:AlternateContent>
          </w:r>
          <w:r w:rsidR="0069431E">
            <w:rPr>
              <w:b/>
              <w:bCs/>
              <w:i/>
              <w:iCs/>
              <w:color w:val="0070C0"/>
              <w:sz w:val="36"/>
              <w:szCs w:val="36"/>
            </w:rPr>
            <w:br w:type="page"/>
          </w:r>
        </w:p>
      </w:sdtContent>
    </w:sdt>
    <w:p w14:paraId="37E1447E" w14:textId="77777777" w:rsidR="002B40D3" w:rsidRDefault="002B40D3" w:rsidP="002B40D3">
      <w:pPr>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 xml:space="preserve">Abstract </w:t>
      </w:r>
    </w:p>
    <w:p w14:paraId="580D760E" w14:textId="77777777" w:rsidR="002B40D3" w:rsidRDefault="002B40D3" w:rsidP="002B40D3">
      <w:pPr>
        <w:rPr>
          <w:rFonts w:ascii="Times New Roman" w:hAnsi="Times New Roman" w:cs="Times New Roman"/>
          <w:b/>
          <w:bCs/>
          <w:i/>
          <w:iCs/>
          <w:color w:val="0070C0"/>
          <w:sz w:val="40"/>
          <w:szCs w:val="40"/>
        </w:rPr>
      </w:pPr>
    </w:p>
    <w:p w14:paraId="1776E096" w14:textId="77777777" w:rsidR="002B40D3" w:rsidRDefault="002B40D3" w:rsidP="002B40D3">
      <w:pPr>
        <w:rPr>
          <w:rFonts w:ascii="Times New Roman" w:hAnsi="Times New Roman" w:cs="Times New Roman"/>
          <w:b/>
          <w:bCs/>
          <w:i/>
          <w:iCs/>
          <w:color w:val="0070C0"/>
          <w:sz w:val="40"/>
          <w:szCs w:val="40"/>
        </w:rPr>
      </w:pPr>
    </w:p>
    <w:p w14:paraId="4692AABE" w14:textId="77777777" w:rsidR="002B40D3"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empirical literature doesn't talk much about the financial and personal effects of leasehold tenure for elderly people living in retirement communities, even though it is the most common formal form of flat ownership in Wales. This dissertation </w:t>
      </w:r>
      <w:proofErr w:type="gramStart"/>
      <w:r>
        <w:rPr>
          <w:rFonts w:ascii="Times New Roman" w:eastAsia="Times New Roman" w:hAnsi="Times New Roman" w:cs="Times New Roman"/>
          <w:kern w:val="0"/>
          <w:sz w:val="24"/>
          <w:szCs w:val="24"/>
          <w:lang w:eastAsia="en-GB"/>
          <w14:ligatures w14:val="none"/>
        </w:rPr>
        <w:t>looks into</w:t>
      </w:r>
      <w:proofErr w:type="gramEnd"/>
      <w:r>
        <w:rPr>
          <w:rFonts w:ascii="Times New Roman" w:eastAsia="Times New Roman" w:hAnsi="Times New Roman" w:cs="Times New Roman"/>
          <w:kern w:val="0"/>
          <w:sz w:val="24"/>
          <w:szCs w:val="24"/>
          <w:lang w:eastAsia="en-GB"/>
          <w14:ligatures w14:val="none"/>
        </w:rPr>
        <w:t xml:space="preserve"> what it's like for older people in Swansea and </w:t>
      </w:r>
      <w:proofErr w:type="spellStart"/>
      <w:r>
        <w:rPr>
          <w:rFonts w:ascii="Times New Roman" w:eastAsia="Times New Roman" w:hAnsi="Times New Roman" w:cs="Times New Roman"/>
          <w:kern w:val="0"/>
          <w:sz w:val="24"/>
          <w:szCs w:val="24"/>
          <w:lang w:eastAsia="en-GB"/>
          <w14:ligatures w14:val="none"/>
        </w:rPr>
        <w:t>Gorseinon</w:t>
      </w:r>
      <w:proofErr w:type="spellEnd"/>
      <w:r>
        <w:rPr>
          <w:rFonts w:ascii="Times New Roman" w:eastAsia="Times New Roman" w:hAnsi="Times New Roman" w:cs="Times New Roman"/>
          <w:kern w:val="0"/>
          <w:sz w:val="24"/>
          <w:szCs w:val="24"/>
          <w:lang w:eastAsia="en-GB"/>
          <w14:ligatures w14:val="none"/>
        </w:rPr>
        <w:t>, Wales, to own a home with a short-term lease. When leases are shortened, there is less financial security because professionals aren't giving enough information at the time of purchase. It also looks at the effects on home security, paying for care, and mental health in later life.</w:t>
      </w:r>
    </w:p>
    <w:p w14:paraId="03AD031C" w14:textId="57C1EE99" w:rsidR="002B40D3"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Eight elderly leasehold property owners residing in purpose-built retirement communities were interviewed using a semi-structured interview approach within an interpretivist qualitative study design. The participants were between the ages of </w:t>
      </w:r>
      <w:r w:rsidR="005E4EAA">
        <w:rPr>
          <w:rFonts w:ascii="Times New Roman" w:eastAsia="Times New Roman" w:hAnsi="Times New Roman" w:cs="Times New Roman"/>
          <w:kern w:val="0"/>
          <w:sz w:val="24"/>
          <w:szCs w:val="24"/>
          <w:lang w:eastAsia="en-GB"/>
          <w14:ligatures w14:val="none"/>
        </w:rPr>
        <w:t>59</w:t>
      </w:r>
      <w:r>
        <w:rPr>
          <w:rFonts w:ascii="Times New Roman" w:eastAsia="Times New Roman" w:hAnsi="Times New Roman" w:cs="Times New Roman"/>
          <w:kern w:val="0"/>
          <w:sz w:val="24"/>
          <w:szCs w:val="24"/>
          <w:lang w:eastAsia="en-GB"/>
          <w14:ligatures w14:val="none"/>
        </w:rPr>
        <w:t xml:space="preserve"> and 85 and were living on fixed pension incomes. The data were analysed using the six-phase reflective thematic analysis methodology by Braun and Clarke (2006). The framework gained credibility by demonstrating long-term commitment, rigorous analysis, and a clear pathway from raw data to end themes.</w:t>
      </w:r>
    </w:p>
    <w:p w14:paraId="1F5CF29C" w14:textId="77777777" w:rsidR="002B40D3" w:rsidRPr="003A5244"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Five themes were identified: purchase information failure; late and unexpected discovery; financial instability and loss of asset value; psychological burden and feeling powerless; and reform scepticism and requests for systemic change. The results show that information failure is </w:t>
      </w:r>
      <w:proofErr w:type="gramStart"/>
      <w:r>
        <w:rPr>
          <w:rFonts w:ascii="Times New Roman" w:eastAsia="Times New Roman" w:hAnsi="Times New Roman" w:cs="Times New Roman"/>
          <w:kern w:val="0"/>
          <w:sz w:val="24"/>
          <w:szCs w:val="24"/>
          <w:lang w:eastAsia="en-GB"/>
          <w14:ligatures w14:val="none"/>
        </w:rPr>
        <w:t>systemic</w:t>
      </w:r>
      <w:proofErr w:type="gramEnd"/>
      <w:r>
        <w:rPr>
          <w:rFonts w:ascii="Times New Roman" w:eastAsia="Times New Roman" w:hAnsi="Times New Roman" w:cs="Times New Roman"/>
          <w:kern w:val="0"/>
          <w:sz w:val="24"/>
          <w:szCs w:val="24"/>
          <w:lang w:eastAsia="en-GB"/>
          <w14:ligatures w14:val="none"/>
        </w:rPr>
        <w:t xml:space="preserve"> and that managing agents maintain ignorance through institutional silence. For the two participants who had already fallen below the 80-year threshold, extension costs of £12,000–£20,000 on fixed incomes and triggered marriage value were severe and, in one case, effectively unresolvable within means and lifespan; the remaining participants faced the same prospect approaching, compounded by service charge burdens common to the whole sample. The study offers the ‘luck critique’ that the current leasehold system is based on chance conditions such as knowing family members, available savings and cognitive capacity, rather than legal rights or equitable arrangements.</w:t>
      </w:r>
    </w:p>
    <w:p w14:paraId="4BD40F4E" w14:textId="77777777" w:rsidR="002B40D3" w:rsidRPr="00A728E2"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p>
    <w:p w14:paraId="215C0BDD" w14:textId="61609487" w:rsidR="002B40D3"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is the first qualitative study of the leasehold trap experienced by elderly residents of retirement developments in south-west Wales</w:t>
      </w:r>
      <w:r w:rsidR="00ED16D4">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and</w:t>
      </w:r>
      <w:r w:rsidR="00ED16D4">
        <w:rPr>
          <w:rFonts w:ascii="Times New Roman" w:eastAsia="Times New Roman" w:hAnsi="Times New Roman" w:cs="Times New Roman"/>
          <w:kern w:val="0"/>
          <w:sz w:val="24"/>
          <w:szCs w:val="24"/>
          <w:lang w:eastAsia="en-GB"/>
          <w14:ligatures w14:val="none"/>
        </w:rPr>
        <w:t xml:space="preserve"> it</w:t>
      </w:r>
      <w:r>
        <w:rPr>
          <w:rFonts w:ascii="Times New Roman" w:eastAsia="Times New Roman" w:hAnsi="Times New Roman" w:cs="Times New Roman"/>
          <w:kern w:val="0"/>
          <w:sz w:val="24"/>
          <w:szCs w:val="24"/>
          <w:lang w:eastAsia="en-GB"/>
          <w14:ligatures w14:val="none"/>
        </w:rPr>
        <w:t xml:space="preserve"> makes policy recommendations to the Welsh Government and Senedd regarding mandatory disclosure, managing agent accountability and targeted financial support for those below the 80-year lease threshold.</w:t>
      </w:r>
    </w:p>
    <w:p w14:paraId="633FDFAB" w14:textId="737DCC02" w:rsidR="002B40D3"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p>
    <w:p w14:paraId="27D6D96B" w14:textId="77777777" w:rsidR="00E56488" w:rsidRPr="00795875" w:rsidRDefault="00E56488" w:rsidP="002B40D3">
      <w:pPr>
        <w:spacing w:after="0" w:line="240" w:lineRule="auto"/>
        <w:jc w:val="both"/>
        <w:rPr>
          <w:rFonts w:ascii="Times New Roman" w:eastAsia="Times New Roman" w:hAnsi="Times New Roman" w:cs="Times New Roman"/>
          <w:kern w:val="0"/>
          <w:sz w:val="24"/>
          <w:szCs w:val="24"/>
          <w:lang w:eastAsia="en-GB"/>
          <w14:ligatures w14:val="none"/>
        </w:rPr>
      </w:pPr>
    </w:p>
    <w:p w14:paraId="2474A0C7" w14:textId="77777777" w:rsidR="002B40D3" w:rsidRPr="005039DA" w:rsidRDefault="002B40D3" w:rsidP="002B40D3">
      <w:pPr>
        <w:spacing w:after="0" w:line="240" w:lineRule="auto"/>
        <w:jc w:val="both"/>
        <w:rPr>
          <w:rFonts w:ascii="Times New Roman" w:eastAsia="Times New Roman" w:hAnsi="Times New Roman" w:cs="Times New Roman"/>
          <w:kern w:val="0"/>
          <w:sz w:val="24"/>
          <w:szCs w:val="24"/>
          <w:lang w:eastAsia="en-GB"/>
          <w14:ligatures w14:val="none"/>
        </w:rPr>
      </w:pPr>
    </w:p>
    <w:p w14:paraId="2948BD39" w14:textId="77777777" w:rsidR="002B40D3" w:rsidRDefault="002B40D3" w:rsidP="002B40D3">
      <w:pPr>
        <w:jc w:val="both"/>
        <w:rPr>
          <w:rFonts w:ascii="Times New Roman" w:hAnsi="Times New Roman" w:cs="Times New Roman"/>
          <w:b/>
          <w:bCs/>
          <w:i/>
          <w:iCs/>
          <w:color w:val="0070C0"/>
          <w:sz w:val="40"/>
          <w:szCs w:val="40"/>
        </w:rPr>
      </w:pPr>
    </w:p>
    <w:p w14:paraId="668FFFC2" w14:textId="77777777" w:rsidR="002B40D3" w:rsidRDefault="002B40D3" w:rsidP="002B40D3">
      <w:pPr>
        <w:rPr>
          <w:rFonts w:ascii="Times New Roman" w:hAnsi="Times New Roman" w:cs="Times New Roman"/>
          <w:b/>
          <w:bCs/>
          <w:i/>
          <w:iCs/>
          <w:color w:val="0070C0"/>
          <w:sz w:val="40"/>
          <w:szCs w:val="40"/>
        </w:rPr>
      </w:pPr>
    </w:p>
    <w:p w14:paraId="3D539D54" w14:textId="77777777" w:rsidR="002B40D3" w:rsidRDefault="002B40D3" w:rsidP="002B40D3">
      <w:pPr>
        <w:rPr>
          <w:rFonts w:ascii="Times New Roman" w:hAnsi="Times New Roman" w:cs="Times New Roman"/>
          <w:b/>
          <w:bCs/>
          <w:i/>
          <w:iCs/>
          <w:color w:val="0070C0"/>
          <w:sz w:val="40"/>
          <w:szCs w:val="40"/>
        </w:rPr>
      </w:pPr>
    </w:p>
    <w:p w14:paraId="1F1D8A6F" w14:textId="77777777" w:rsidR="002B40D3" w:rsidRDefault="002B40D3" w:rsidP="002B40D3">
      <w:pPr>
        <w:rPr>
          <w:rFonts w:ascii="Times New Roman" w:hAnsi="Times New Roman" w:cs="Times New Roman"/>
          <w:b/>
          <w:bCs/>
          <w:i/>
          <w:iCs/>
          <w:color w:val="0070C0"/>
          <w:sz w:val="40"/>
          <w:szCs w:val="40"/>
        </w:rPr>
      </w:pPr>
    </w:p>
    <w:p w14:paraId="4B548B22" w14:textId="77777777" w:rsidR="002B40D3" w:rsidRDefault="002B40D3" w:rsidP="002B40D3">
      <w:pPr>
        <w:spacing w:after="200"/>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Table of Contents</w:t>
      </w:r>
    </w:p>
    <w:p w14:paraId="056A63C8" w14:textId="77777777" w:rsidR="002B40D3" w:rsidRPr="00565E7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Abstract</w:t>
      </w:r>
      <w:r w:rsidRPr="00565E73">
        <w:rPr>
          <w:rFonts w:ascii="Times New Roman" w:hAnsi="Times New Roman" w:cs="Times New Roman"/>
          <w:b/>
          <w:bCs/>
          <w:sz w:val="20"/>
          <w:szCs w:val="20"/>
        </w:rPr>
        <w:tab/>
        <w:t>1</w:t>
      </w:r>
    </w:p>
    <w:p w14:paraId="5D82AD9F" w14:textId="77777777" w:rsidR="002B40D3" w:rsidRPr="00565E7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Chapter 1: Introduction</w:t>
      </w:r>
      <w:r w:rsidRPr="00565E73">
        <w:rPr>
          <w:rFonts w:ascii="Times New Roman" w:hAnsi="Times New Roman" w:cs="Times New Roman"/>
          <w:b/>
          <w:bCs/>
          <w:sz w:val="20"/>
          <w:szCs w:val="20"/>
        </w:rPr>
        <w:tab/>
        <w:t>3</w:t>
      </w:r>
    </w:p>
    <w:p w14:paraId="794B8EEA" w14:textId="77777777"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1.1 The Background and the Context</w:t>
      </w:r>
      <w:r w:rsidRPr="00565E73">
        <w:rPr>
          <w:rFonts w:ascii="Times New Roman" w:hAnsi="Times New Roman" w:cs="Times New Roman"/>
          <w:sz w:val="20"/>
          <w:szCs w:val="20"/>
        </w:rPr>
        <w:tab/>
        <w:t>3</w:t>
      </w:r>
    </w:p>
    <w:p w14:paraId="62B6A543" w14:textId="2B95C5A1"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1.2 The Problem</w:t>
      </w:r>
      <w:r w:rsidRPr="00565E73">
        <w:rPr>
          <w:rFonts w:ascii="Times New Roman" w:hAnsi="Times New Roman" w:cs="Times New Roman"/>
          <w:sz w:val="20"/>
          <w:szCs w:val="20"/>
        </w:rPr>
        <w:tab/>
      </w:r>
      <w:r w:rsidR="00126059">
        <w:rPr>
          <w:rFonts w:ascii="Times New Roman" w:hAnsi="Times New Roman" w:cs="Times New Roman"/>
          <w:sz w:val="20"/>
          <w:szCs w:val="20"/>
        </w:rPr>
        <w:t>3</w:t>
      </w:r>
    </w:p>
    <w:p w14:paraId="13EED7BB" w14:textId="3A4B2B96"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1.3 Research Aims</w:t>
      </w:r>
      <w:r w:rsidRPr="00565E73">
        <w:rPr>
          <w:rFonts w:ascii="Times New Roman" w:hAnsi="Times New Roman" w:cs="Times New Roman"/>
          <w:sz w:val="20"/>
          <w:szCs w:val="20"/>
        </w:rPr>
        <w:tab/>
      </w:r>
      <w:r w:rsidR="00126059">
        <w:rPr>
          <w:rFonts w:ascii="Times New Roman" w:hAnsi="Times New Roman" w:cs="Times New Roman"/>
          <w:sz w:val="20"/>
          <w:szCs w:val="20"/>
        </w:rPr>
        <w:t>3</w:t>
      </w:r>
    </w:p>
    <w:p w14:paraId="4CD6D2FC" w14:textId="77777777"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1.4 Scope and Rationale</w:t>
      </w:r>
      <w:r w:rsidRPr="00565E73">
        <w:rPr>
          <w:rFonts w:ascii="Times New Roman" w:hAnsi="Times New Roman" w:cs="Times New Roman"/>
          <w:sz w:val="20"/>
          <w:szCs w:val="20"/>
        </w:rPr>
        <w:tab/>
        <w:t>4</w:t>
      </w:r>
    </w:p>
    <w:p w14:paraId="6868F445" w14:textId="0C19ED5A"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1.5 Structure of the Dissertation</w:t>
      </w:r>
      <w:r w:rsidRPr="00565E73">
        <w:rPr>
          <w:rFonts w:ascii="Times New Roman" w:hAnsi="Times New Roman" w:cs="Times New Roman"/>
          <w:sz w:val="20"/>
          <w:szCs w:val="20"/>
        </w:rPr>
        <w:tab/>
      </w:r>
      <w:r w:rsidR="00126059">
        <w:rPr>
          <w:rFonts w:ascii="Times New Roman" w:hAnsi="Times New Roman" w:cs="Times New Roman"/>
          <w:sz w:val="20"/>
          <w:szCs w:val="20"/>
        </w:rPr>
        <w:t>4</w:t>
      </w:r>
    </w:p>
    <w:p w14:paraId="1D6FFC65" w14:textId="737DC23E" w:rsidR="002B40D3" w:rsidRPr="00565E7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Chapter 2: Literature Review</w:t>
      </w:r>
      <w:r w:rsidRPr="00565E73">
        <w:rPr>
          <w:rFonts w:ascii="Times New Roman" w:hAnsi="Times New Roman" w:cs="Times New Roman"/>
          <w:b/>
          <w:bCs/>
          <w:sz w:val="20"/>
          <w:szCs w:val="20"/>
        </w:rPr>
        <w:tab/>
      </w:r>
      <w:r w:rsidR="000D38B7">
        <w:rPr>
          <w:rFonts w:ascii="Times New Roman" w:hAnsi="Times New Roman" w:cs="Times New Roman"/>
          <w:b/>
          <w:bCs/>
          <w:sz w:val="20"/>
          <w:szCs w:val="20"/>
        </w:rPr>
        <w:t>5</w:t>
      </w:r>
    </w:p>
    <w:p w14:paraId="6C3275CC" w14:textId="00BFB8BD"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2.1 Introduction to Literature Review</w:t>
      </w:r>
      <w:r w:rsidRPr="00565E73">
        <w:rPr>
          <w:rFonts w:ascii="Times New Roman" w:hAnsi="Times New Roman" w:cs="Times New Roman"/>
          <w:sz w:val="20"/>
          <w:szCs w:val="20"/>
        </w:rPr>
        <w:tab/>
      </w:r>
      <w:r w:rsidR="000D38B7">
        <w:rPr>
          <w:rFonts w:ascii="Times New Roman" w:hAnsi="Times New Roman" w:cs="Times New Roman"/>
          <w:sz w:val="20"/>
          <w:szCs w:val="20"/>
        </w:rPr>
        <w:t>5</w:t>
      </w:r>
    </w:p>
    <w:p w14:paraId="66DDFB68" w14:textId="7939D684"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2.2 Legal Foundations of Leasehold Tenure</w:t>
      </w:r>
      <w:r w:rsidRPr="00565E73">
        <w:rPr>
          <w:rFonts w:ascii="Times New Roman" w:hAnsi="Times New Roman" w:cs="Times New Roman"/>
          <w:sz w:val="20"/>
          <w:szCs w:val="20"/>
        </w:rPr>
        <w:tab/>
      </w:r>
      <w:r w:rsidR="000D38B7">
        <w:rPr>
          <w:rFonts w:ascii="Times New Roman" w:hAnsi="Times New Roman" w:cs="Times New Roman"/>
          <w:sz w:val="20"/>
          <w:szCs w:val="20"/>
        </w:rPr>
        <w:t>5</w:t>
      </w:r>
    </w:p>
    <w:p w14:paraId="6D02BEFD" w14:textId="5B97665E"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2.3 Short Leases: Financial Mechanics and the Shortening Spiral</w:t>
      </w:r>
      <w:r w:rsidRPr="00565E73">
        <w:rPr>
          <w:rFonts w:ascii="Times New Roman" w:hAnsi="Times New Roman" w:cs="Times New Roman"/>
          <w:sz w:val="20"/>
          <w:szCs w:val="20"/>
        </w:rPr>
        <w:tab/>
      </w:r>
      <w:r w:rsidR="000D38B7">
        <w:rPr>
          <w:rFonts w:ascii="Times New Roman" w:hAnsi="Times New Roman" w:cs="Times New Roman"/>
          <w:sz w:val="20"/>
          <w:szCs w:val="20"/>
        </w:rPr>
        <w:t>6</w:t>
      </w:r>
    </w:p>
    <w:p w14:paraId="1D65D391" w14:textId="77777777"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2.4 Elderly Leaseholders: Financial Vulnerability and the Retirement Housing Sector</w:t>
      </w:r>
      <w:r w:rsidRPr="00565E73">
        <w:rPr>
          <w:rFonts w:ascii="Times New Roman" w:hAnsi="Times New Roman" w:cs="Times New Roman"/>
          <w:sz w:val="20"/>
          <w:szCs w:val="20"/>
        </w:rPr>
        <w:tab/>
        <w:t>7</w:t>
      </w:r>
    </w:p>
    <w:p w14:paraId="66722BA1" w14:textId="4057656A"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2.5 Wales: A Distinct Policy and Research Context</w:t>
      </w:r>
      <w:r w:rsidRPr="00565E73">
        <w:rPr>
          <w:rFonts w:ascii="Times New Roman" w:hAnsi="Times New Roman" w:cs="Times New Roman"/>
          <w:sz w:val="20"/>
          <w:szCs w:val="20"/>
        </w:rPr>
        <w:tab/>
      </w:r>
      <w:r w:rsidR="000D38B7">
        <w:rPr>
          <w:rFonts w:ascii="Times New Roman" w:hAnsi="Times New Roman" w:cs="Times New Roman"/>
          <w:sz w:val="20"/>
          <w:szCs w:val="20"/>
        </w:rPr>
        <w:t>7</w:t>
      </w:r>
    </w:p>
    <w:p w14:paraId="4500A40B" w14:textId="1E345A69"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2.6 The Reform Landscape and Its Limitations for Elderly Short-Lease Holders</w:t>
      </w:r>
      <w:r w:rsidRPr="00565E73">
        <w:rPr>
          <w:rFonts w:ascii="Times New Roman" w:hAnsi="Times New Roman" w:cs="Times New Roman"/>
          <w:sz w:val="20"/>
          <w:szCs w:val="20"/>
        </w:rPr>
        <w:tab/>
      </w:r>
      <w:r w:rsidR="000D38B7">
        <w:rPr>
          <w:rFonts w:ascii="Times New Roman" w:hAnsi="Times New Roman" w:cs="Times New Roman"/>
          <w:sz w:val="20"/>
          <w:szCs w:val="20"/>
        </w:rPr>
        <w:t>8</w:t>
      </w:r>
    </w:p>
    <w:p w14:paraId="44A20AB2" w14:textId="77777777"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2.7 Gaps in the Literature and the Contribution of this Dissertation</w:t>
      </w:r>
      <w:r w:rsidRPr="00565E73">
        <w:rPr>
          <w:rFonts w:ascii="Times New Roman" w:hAnsi="Times New Roman" w:cs="Times New Roman"/>
          <w:sz w:val="20"/>
          <w:szCs w:val="20"/>
        </w:rPr>
        <w:tab/>
        <w:t>9</w:t>
      </w:r>
    </w:p>
    <w:p w14:paraId="17811A32" w14:textId="0797B512"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2.8 Conclusion</w:t>
      </w:r>
      <w:r w:rsidRPr="00565E73">
        <w:rPr>
          <w:rFonts w:ascii="Times New Roman" w:hAnsi="Times New Roman" w:cs="Times New Roman"/>
          <w:sz w:val="20"/>
          <w:szCs w:val="20"/>
        </w:rPr>
        <w:tab/>
      </w:r>
      <w:r w:rsidR="000D38B7">
        <w:rPr>
          <w:rFonts w:ascii="Times New Roman" w:hAnsi="Times New Roman" w:cs="Times New Roman"/>
          <w:sz w:val="20"/>
          <w:szCs w:val="20"/>
        </w:rPr>
        <w:t>9</w:t>
      </w:r>
    </w:p>
    <w:p w14:paraId="4ED6A73C" w14:textId="3C00252F" w:rsidR="002B40D3" w:rsidRPr="00565E7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Chapter 3: Methodology</w:t>
      </w:r>
      <w:r w:rsidRPr="00565E73">
        <w:rPr>
          <w:rFonts w:ascii="Times New Roman" w:hAnsi="Times New Roman" w:cs="Times New Roman"/>
          <w:b/>
          <w:bCs/>
          <w:sz w:val="20"/>
          <w:szCs w:val="20"/>
        </w:rPr>
        <w:tab/>
        <w:t>1</w:t>
      </w:r>
      <w:r w:rsidR="000D38B7">
        <w:rPr>
          <w:rFonts w:ascii="Times New Roman" w:hAnsi="Times New Roman" w:cs="Times New Roman"/>
          <w:b/>
          <w:bCs/>
          <w:sz w:val="20"/>
          <w:szCs w:val="20"/>
        </w:rPr>
        <w:t>0</w:t>
      </w:r>
    </w:p>
    <w:p w14:paraId="1BDA960B" w14:textId="3734293E"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3.1 Research Philosophy</w:t>
      </w:r>
      <w:r w:rsidRPr="00565E73">
        <w:rPr>
          <w:rFonts w:ascii="Times New Roman" w:hAnsi="Times New Roman" w:cs="Times New Roman"/>
          <w:sz w:val="20"/>
          <w:szCs w:val="20"/>
        </w:rPr>
        <w:tab/>
        <w:t>1</w:t>
      </w:r>
      <w:r w:rsidR="000D38B7">
        <w:rPr>
          <w:rFonts w:ascii="Times New Roman" w:hAnsi="Times New Roman" w:cs="Times New Roman"/>
          <w:sz w:val="20"/>
          <w:szCs w:val="20"/>
        </w:rPr>
        <w:t>0</w:t>
      </w:r>
    </w:p>
    <w:p w14:paraId="2BBAF765" w14:textId="2A782053"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3.2 Research Design and Sampling</w:t>
      </w:r>
      <w:r w:rsidRPr="00565E73">
        <w:rPr>
          <w:rFonts w:ascii="Times New Roman" w:hAnsi="Times New Roman" w:cs="Times New Roman"/>
          <w:sz w:val="20"/>
          <w:szCs w:val="20"/>
        </w:rPr>
        <w:tab/>
        <w:t>1</w:t>
      </w:r>
      <w:r w:rsidR="000D38B7">
        <w:rPr>
          <w:rFonts w:ascii="Times New Roman" w:hAnsi="Times New Roman" w:cs="Times New Roman"/>
          <w:sz w:val="20"/>
          <w:szCs w:val="20"/>
        </w:rPr>
        <w:t>0</w:t>
      </w:r>
    </w:p>
    <w:p w14:paraId="3EB19789" w14:textId="192169DE"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3.3 Data Collection and Analysis</w:t>
      </w:r>
      <w:r w:rsidRPr="00565E73">
        <w:rPr>
          <w:rFonts w:ascii="Times New Roman" w:hAnsi="Times New Roman" w:cs="Times New Roman"/>
          <w:sz w:val="20"/>
          <w:szCs w:val="20"/>
        </w:rPr>
        <w:tab/>
        <w:t>1</w:t>
      </w:r>
      <w:r w:rsidR="000D38B7">
        <w:rPr>
          <w:rFonts w:ascii="Times New Roman" w:hAnsi="Times New Roman" w:cs="Times New Roman"/>
          <w:sz w:val="20"/>
          <w:szCs w:val="20"/>
        </w:rPr>
        <w:t>1</w:t>
      </w:r>
    </w:p>
    <w:p w14:paraId="3E0F454D" w14:textId="0A49A6D1"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3.4 Ethical Considerations</w:t>
      </w:r>
      <w:r w:rsidRPr="00565E73">
        <w:rPr>
          <w:rFonts w:ascii="Times New Roman" w:hAnsi="Times New Roman" w:cs="Times New Roman"/>
          <w:sz w:val="20"/>
          <w:szCs w:val="20"/>
        </w:rPr>
        <w:tab/>
        <w:t>1</w:t>
      </w:r>
      <w:r w:rsidR="000D38B7">
        <w:rPr>
          <w:rFonts w:ascii="Times New Roman" w:hAnsi="Times New Roman" w:cs="Times New Roman"/>
          <w:sz w:val="20"/>
          <w:szCs w:val="20"/>
        </w:rPr>
        <w:t>2</w:t>
      </w:r>
    </w:p>
    <w:p w14:paraId="6AE26F57" w14:textId="01236545"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3.5 Limitations</w:t>
      </w:r>
      <w:r w:rsidRPr="00565E73">
        <w:rPr>
          <w:rFonts w:ascii="Times New Roman" w:hAnsi="Times New Roman" w:cs="Times New Roman"/>
          <w:sz w:val="20"/>
          <w:szCs w:val="20"/>
        </w:rPr>
        <w:tab/>
        <w:t>1</w:t>
      </w:r>
      <w:r w:rsidR="002963A0">
        <w:rPr>
          <w:rFonts w:ascii="Times New Roman" w:hAnsi="Times New Roman" w:cs="Times New Roman"/>
          <w:sz w:val="20"/>
          <w:szCs w:val="20"/>
        </w:rPr>
        <w:t>2</w:t>
      </w:r>
    </w:p>
    <w:p w14:paraId="0BD64AAE" w14:textId="3D12EF4B"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3.6 Conclusion</w:t>
      </w:r>
      <w:r w:rsidRPr="00565E73">
        <w:rPr>
          <w:rFonts w:ascii="Times New Roman" w:hAnsi="Times New Roman" w:cs="Times New Roman"/>
          <w:sz w:val="20"/>
          <w:szCs w:val="20"/>
        </w:rPr>
        <w:tab/>
        <w:t>1</w:t>
      </w:r>
      <w:r w:rsidR="002963A0">
        <w:rPr>
          <w:rFonts w:ascii="Times New Roman" w:hAnsi="Times New Roman" w:cs="Times New Roman"/>
          <w:sz w:val="20"/>
          <w:szCs w:val="20"/>
        </w:rPr>
        <w:t>3</w:t>
      </w:r>
    </w:p>
    <w:p w14:paraId="36FBA23E" w14:textId="45770092" w:rsidR="002B40D3" w:rsidRPr="00565E7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Chapter 4: Findings and Discussion</w:t>
      </w:r>
      <w:r w:rsidRPr="00565E73">
        <w:rPr>
          <w:rFonts w:ascii="Times New Roman" w:hAnsi="Times New Roman" w:cs="Times New Roman"/>
          <w:b/>
          <w:bCs/>
          <w:sz w:val="20"/>
          <w:szCs w:val="20"/>
        </w:rPr>
        <w:tab/>
        <w:t>1</w:t>
      </w:r>
      <w:r w:rsidR="002963A0">
        <w:rPr>
          <w:rFonts w:ascii="Times New Roman" w:hAnsi="Times New Roman" w:cs="Times New Roman"/>
          <w:b/>
          <w:bCs/>
          <w:sz w:val="20"/>
          <w:szCs w:val="20"/>
        </w:rPr>
        <w:t>4</w:t>
      </w:r>
    </w:p>
    <w:p w14:paraId="6E8C04BB" w14:textId="0258CC9D"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4.1 Introduction</w:t>
      </w:r>
      <w:r w:rsidRPr="00565E73">
        <w:rPr>
          <w:rFonts w:ascii="Times New Roman" w:hAnsi="Times New Roman" w:cs="Times New Roman"/>
          <w:sz w:val="20"/>
          <w:szCs w:val="20"/>
        </w:rPr>
        <w:tab/>
        <w:t>1</w:t>
      </w:r>
      <w:r w:rsidR="002963A0">
        <w:rPr>
          <w:rFonts w:ascii="Times New Roman" w:hAnsi="Times New Roman" w:cs="Times New Roman"/>
          <w:sz w:val="20"/>
          <w:szCs w:val="20"/>
        </w:rPr>
        <w:t>4</w:t>
      </w:r>
    </w:p>
    <w:p w14:paraId="0C9E5C78" w14:textId="73CF0A86"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4.2 Theme One: Information Failure at the Point of Purchase</w:t>
      </w:r>
      <w:r w:rsidRPr="00565E73">
        <w:rPr>
          <w:rFonts w:ascii="Times New Roman" w:hAnsi="Times New Roman" w:cs="Times New Roman"/>
          <w:sz w:val="20"/>
          <w:szCs w:val="20"/>
        </w:rPr>
        <w:tab/>
        <w:t>1</w:t>
      </w:r>
      <w:r w:rsidR="002963A0">
        <w:rPr>
          <w:rFonts w:ascii="Times New Roman" w:hAnsi="Times New Roman" w:cs="Times New Roman"/>
          <w:sz w:val="20"/>
          <w:szCs w:val="20"/>
        </w:rPr>
        <w:t>4</w:t>
      </w:r>
    </w:p>
    <w:p w14:paraId="324E15AD" w14:textId="1AF276C9"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4.3 Theme Two: Belated and Accidental Discovery</w:t>
      </w:r>
      <w:r w:rsidRPr="00565E73">
        <w:rPr>
          <w:rFonts w:ascii="Times New Roman" w:hAnsi="Times New Roman" w:cs="Times New Roman"/>
          <w:sz w:val="20"/>
          <w:szCs w:val="20"/>
        </w:rPr>
        <w:tab/>
        <w:t>1</w:t>
      </w:r>
      <w:r w:rsidR="002963A0">
        <w:rPr>
          <w:rFonts w:ascii="Times New Roman" w:hAnsi="Times New Roman" w:cs="Times New Roman"/>
          <w:sz w:val="20"/>
          <w:szCs w:val="20"/>
        </w:rPr>
        <w:t>5</w:t>
      </w:r>
    </w:p>
    <w:p w14:paraId="78A25C85" w14:textId="07FDADD2"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4.4 Theme Three: Financial Insecurity and Eroded Asset Value</w:t>
      </w:r>
      <w:r w:rsidRPr="00565E73">
        <w:rPr>
          <w:rFonts w:ascii="Times New Roman" w:hAnsi="Times New Roman" w:cs="Times New Roman"/>
          <w:sz w:val="20"/>
          <w:szCs w:val="20"/>
        </w:rPr>
        <w:tab/>
        <w:t>1</w:t>
      </w:r>
      <w:r w:rsidR="002963A0">
        <w:rPr>
          <w:rFonts w:ascii="Times New Roman" w:hAnsi="Times New Roman" w:cs="Times New Roman"/>
          <w:sz w:val="20"/>
          <w:szCs w:val="20"/>
        </w:rPr>
        <w:t>5</w:t>
      </w:r>
    </w:p>
    <w:p w14:paraId="07C44FE2" w14:textId="2C522FCC"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4.5 Theme Four: Psychological Burden and Powerlessness</w:t>
      </w:r>
      <w:r w:rsidRPr="00565E73">
        <w:rPr>
          <w:rFonts w:ascii="Times New Roman" w:hAnsi="Times New Roman" w:cs="Times New Roman"/>
          <w:sz w:val="20"/>
          <w:szCs w:val="20"/>
        </w:rPr>
        <w:tab/>
        <w:t>1</w:t>
      </w:r>
      <w:r w:rsidR="002963A0">
        <w:rPr>
          <w:rFonts w:ascii="Times New Roman" w:hAnsi="Times New Roman" w:cs="Times New Roman"/>
          <w:sz w:val="20"/>
          <w:szCs w:val="20"/>
        </w:rPr>
        <w:t>6</w:t>
      </w:r>
    </w:p>
    <w:p w14:paraId="1139446E" w14:textId="7313847A"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4.6 Theme Five: Reform Scepticism and Calls for Systemic Change</w:t>
      </w:r>
      <w:r w:rsidRPr="00565E73">
        <w:rPr>
          <w:rFonts w:ascii="Times New Roman" w:hAnsi="Times New Roman" w:cs="Times New Roman"/>
          <w:sz w:val="20"/>
          <w:szCs w:val="20"/>
        </w:rPr>
        <w:tab/>
        <w:t>1</w:t>
      </w:r>
      <w:r w:rsidR="002963A0">
        <w:rPr>
          <w:rFonts w:ascii="Times New Roman" w:hAnsi="Times New Roman" w:cs="Times New Roman"/>
          <w:sz w:val="20"/>
          <w:szCs w:val="20"/>
        </w:rPr>
        <w:t>7</w:t>
      </w:r>
    </w:p>
    <w:p w14:paraId="5D02F3B2" w14:textId="570EE85B"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4.7 Information Failure: A Systemic Rather Than Individual Problem</w:t>
      </w:r>
      <w:r w:rsidRPr="00565E73">
        <w:rPr>
          <w:rFonts w:ascii="Times New Roman" w:hAnsi="Times New Roman" w:cs="Times New Roman"/>
          <w:sz w:val="20"/>
          <w:szCs w:val="20"/>
        </w:rPr>
        <w:tab/>
        <w:t>1</w:t>
      </w:r>
      <w:r w:rsidR="002963A0">
        <w:rPr>
          <w:rFonts w:ascii="Times New Roman" w:hAnsi="Times New Roman" w:cs="Times New Roman"/>
          <w:sz w:val="20"/>
          <w:szCs w:val="20"/>
        </w:rPr>
        <w:t>8</w:t>
      </w:r>
    </w:p>
    <w:p w14:paraId="554BD54B" w14:textId="77777777"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4.8 The Silence of Managing Agents</w:t>
      </w:r>
      <w:r w:rsidRPr="00565E73">
        <w:rPr>
          <w:rFonts w:ascii="Times New Roman" w:hAnsi="Times New Roman" w:cs="Times New Roman"/>
          <w:sz w:val="20"/>
          <w:szCs w:val="20"/>
        </w:rPr>
        <w:tab/>
        <w:t>19</w:t>
      </w:r>
    </w:p>
    <w:p w14:paraId="59429216" w14:textId="3192C87B"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4.9 The Financial Mechanics in Practice</w:t>
      </w:r>
      <w:r w:rsidRPr="00565E73">
        <w:rPr>
          <w:rFonts w:ascii="Times New Roman" w:hAnsi="Times New Roman" w:cs="Times New Roman"/>
          <w:sz w:val="20"/>
          <w:szCs w:val="20"/>
        </w:rPr>
        <w:tab/>
      </w:r>
      <w:r w:rsidR="002963A0">
        <w:rPr>
          <w:rFonts w:ascii="Times New Roman" w:hAnsi="Times New Roman" w:cs="Times New Roman"/>
          <w:sz w:val="20"/>
          <w:szCs w:val="20"/>
        </w:rPr>
        <w:t>19</w:t>
      </w:r>
    </w:p>
    <w:p w14:paraId="69EB28C9" w14:textId="1AA526E8"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4.10 Psychological Burden and the Meaning of Ownership</w:t>
      </w:r>
      <w:r w:rsidRPr="00565E73">
        <w:rPr>
          <w:rFonts w:ascii="Times New Roman" w:hAnsi="Times New Roman" w:cs="Times New Roman"/>
          <w:sz w:val="20"/>
          <w:szCs w:val="20"/>
        </w:rPr>
        <w:tab/>
        <w:t>2</w:t>
      </w:r>
      <w:r w:rsidR="002963A0">
        <w:rPr>
          <w:rFonts w:ascii="Times New Roman" w:hAnsi="Times New Roman" w:cs="Times New Roman"/>
          <w:sz w:val="20"/>
          <w:szCs w:val="20"/>
        </w:rPr>
        <w:t>0</w:t>
      </w:r>
    </w:p>
    <w:p w14:paraId="7D889C34" w14:textId="3E098443"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4.11 Reform Scepticism and the Wales-Specific Gap</w:t>
      </w:r>
      <w:r w:rsidRPr="00565E73">
        <w:rPr>
          <w:rFonts w:ascii="Times New Roman" w:hAnsi="Times New Roman" w:cs="Times New Roman"/>
          <w:sz w:val="20"/>
          <w:szCs w:val="20"/>
        </w:rPr>
        <w:tab/>
        <w:t>2</w:t>
      </w:r>
      <w:r w:rsidR="002963A0">
        <w:rPr>
          <w:rFonts w:ascii="Times New Roman" w:hAnsi="Times New Roman" w:cs="Times New Roman"/>
          <w:sz w:val="20"/>
          <w:szCs w:val="20"/>
        </w:rPr>
        <w:t>0</w:t>
      </w:r>
    </w:p>
    <w:p w14:paraId="7CDD7A63" w14:textId="125C950A"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4.12 Conclusion</w:t>
      </w:r>
      <w:r w:rsidRPr="00565E73">
        <w:rPr>
          <w:rFonts w:ascii="Times New Roman" w:hAnsi="Times New Roman" w:cs="Times New Roman"/>
          <w:sz w:val="20"/>
          <w:szCs w:val="20"/>
        </w:rPr>
        <w:tab/>
        <w:t>2</w:t>
      </w:r>
      <w:r w:rsidR="002963A0">
        <w:rPr>
          <w:rFonts w:ascii="Times New Roman" w:hAnsi="Times New Roman" w:cs="Times New Roman"/>
          <w:sz w:val="20"/>
          <w:szCs w:val="20"/>
        </w:rPr>
        <w:t>1</w:t>
      </w:r>
    </w:p>
    <w:p w14:paraId="57AD1FC6" w14:textId="76E6433C" w:rsidR="002B40D3" w:rsidRPr="00565E7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Chapter 5: Conclusion</w:t>
      </w:r>
      <w:r w:rsidRPr="00565E73">
        <w:rPr>
          <w:rFonts w:ascii="Times New Roman" w:hAnsi="Times New Roman" w:cs="Times New Roman"/>
          <w:b/>
          <w:bCs/>
          <w:sz w:val="20"/>
          <w:szCs w:val="20"/>
        </w:rPr>
        <w:tab/>
        <w:t>2</w:t>
      </w:r>
      <w:r w:rsidR="00F05719">
        <w:rPr>
          <w:rFonts w:ascii="Times New Roman" w:hAnsi="Times New Roman" w:cs="Times New Roman"/>
          <w:b/>
          <w:bCs/>
          <w:sz w:val="20"/>
          <w:szCs w:val="20"/>
        </w:rPr>
        <w:t>2</w:t>
      </w:r>
    </w:p>
    <w:p w14:paraId="27A8D9DB" w14:textId="09ACD908"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5.1 Summary of Findings</w:t>
      </w:r>
      <w:r w:rsidRPr="00565E73">
        <w:rPr>
          <w:rFonts w:ascii="Times New Roman" w:hAnsi="Times New Roman" w:cs="Times New Roman"/>
          <w:sz w:val="20"/>
          <w:szCs w:val="20"/>
        </w:rPr>
        <w:tab/>
        <w:t>2</w:t>
      </w:r>
      <w:r w:rsidR="00F05719">
        <w:rPr>
          <w:rFonts w:ascii="Times New Roman" w:hAnsi="Times New Roman" w:cs="Times New Roman"/>
          <w:sz w:val="20"/>
          <w:szCs w:val="20"/>
        </w:rPr>
        <w:t>2</w:t>
      </w:r>
    </w:p>
    <w:p w14:paraId="13BA61C1" w14:textId="1B097258"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5.2 Original Contributions</w:t>
      </w:r>
      <w:r w:rsidRPr="00565E73">
        <w:rPr>
          <w:rFonts w:ascii="Times New Roman" w:hAnsi="Times New Roman" w:cs="Times New Roman"/>
          <w:sz w:val="20"/>
          <w:szCs w:val="20"/>
        </w:rPr>
        <w:tab/>
        <w:t>2</w:t>
      </w:r>
      <w:r w:rsidR="00F05719">
        <w:rPr>
          <w:rFonts w:ascii="Times New Roman" w:hAnsi="Times New Roman" w:cs="Times New Roman"/>
          <w:sz w:val="20"/>
          <w:szCs w:val="20"/>
        </w:rPr>
        <w:t>2</w:t>
      </w:r>
    </w:p>
    <w:p w14:paraId="7044EF9E" w14:textId="77777777"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5.3 Policy Recommendations</w:t>
      </w:r>
      <w:r w:rsidRPr="00565E73">
        <w:rPr>
          <w:rFonts w:ascii="Times New Roman" w:hAnsi="Times New Roman" w:cs="Times New Roman"/>
          <w:sz w:val="20"/>
          <w:szCs w:val="20"/>
        </w:rPr>
        <w:tab/>
        <w:t>23</w:t>
      </w:r>
    </w:p>
    <w:p w14:paraId="1FA97DAE" w14:textId="10DC7146"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5.4 Limitations and Future Research</w:t>
      </w:r>
      <w:r w:rsidRPr="00565E73">
        <w:rPr>
          <w:rFonts w:ascii="Times New Roman" w:hAnsi="Times New Roman" w:cs="Times New Roman"/>
          <w:sz w:val="20"/>
          <w:szCs w:val="20"/>
        </w:rPr>
        <w:tab/>
        <w:t>2</w:t>
      </w:r>
      <w:r w:rsidR="00F05719">
        <w:rPr>
          <w:rFonts w:ascii="Times New Roman" w:hAnsi="Times New Roman" w:cs="Times New Roman"/>
          <w:sz w:val="20"/>
          <w:szCs w:val="20"/>
        </w:rPr>
        <w:t>3</w:t>
      </w:r>
    </w:p>
    <w:p w14:paraId="44474AA9" w14:textId="2FD3383B" w:rsidR="002B40D3" w:rsidRPr="00565E73" w:rsidRDefault="002B40D3" w:rsidP="002B40D3">
      <w:pPr>
        <w:tabs>
          <w:tab w:val="right" w:leader="dot" w:pos="9350"/>
        </w:tabs>
        <w:spacing w:after="60" w:line="240" w:lineRule="auto"/>
        <w:ind w:left="360"/>
        <w:rPr>
          <w:rFonts w:ascii="Times New Roman" w:hAnsi="Times New Roman" w:cs="Times New Roman"/>
          <w:sz w:val="20"/>
          <w:szCs w:val="20"/>
        </w:rPr>
      </w:pPr>
      <w:r w:rsidRPr="00565E73">
        <w:rPr>
          <w:rFonts w:ascii="Times New Roman" w:hAnsi="Times New Roman" w:cs="Times New Roman"/>
          <w:sz w:val="20"/>
          <w:szCs w:val="20"/>
        </w:rPr>
        <w:t>5.5 Final Reflections</w:t>
      </w:r>
      <w:r w:rsidRPr="00565E73">
        <w:rPr>
          <w:rFonts w:ascii="Times New Roman" w:hAnsi="Times New Roman" w:cs="Times New Roman"/>
          <w:sz w:val="20"/>
          <w:szCs w:val="20"/>
        </w:rPr>
        <w:tab/>
        <w:t>2</w:t>
      </w:r>
      <w:r w:rsidR="00F05719">
        <w:rPr>
          <w:rFonts w:ascii="Times New Roman" w:hAnsi="Times New Roman" w:cs="Times New Roman"/>
          <w:sz w:val="20"/>
          <w:szCs w:val="20"/>
        </w:rPr>
        <w:t>3</w:t>
      </w:r>
    </w:p>
    <w:p w14:paraId="7E08160C" w14:textId="6639C412" w:rsidR="002B40D3" w:rsidRDefault="002B40D3" w:rsidP="002B40D3">
      <w:pPr>
        <w:tabs>
          <w:tab w:val="right" w:leader="dot" w:pos="9350"/>
        </w:tabs>
        <w:spacing w:after="60" w:line="240" w:lineRule="auto"/>
        <w:rPr>
          <w:rFonts w:ascii="Times New Roman" w:hAnsi="Times New Roman" w:cs="Times New Roman"/>
          <w:b/>
          <w:bCs/>
          <w:sz w:val="20"/>
          <w:szCs w:val="20"/>
        </w:rPr>
      </w:pPr>
      <w:r w:rsidRPr="00565E73">
        <w:rPr>
          <w:rFonts w:ascii="Times New Roman" w:hAnsi="Times New Roman" w:cs="Times New Roman"/>
          <w:b/>
          <w:bCs/>
          <w:sz w:val="20"/>
          <w:szCs w:val="20"/>
        </w:rPr>
        <w:t>References</w:t>
      </w:r>
      <w:r w:rsidRPr="00565E73">
        <w:rPr>
          <w:rFonts w:ascii="Times New Roman" w:hAnsi="Times New Roman" w:cs="Times New Roman"/>
          <w:b/>
          <w:bCs/>
          <w:sz w:val="20"/>
          <w:szCs w:val="20"/>
        </w:rPr>
        <w:tab/>
        <w:t>25</w:t>
      </w:r>
      <w:r w:rsidR="00F05719">
        <w:rPr>
          <w:rFonts w:ascii="Times New Roman" w:hAnsi="Times New Roman" w:cs="Times New Roman"/>
          <w:b/>
          <w:bCs/>
          <w:sz w:val="20"/>
          <w:szCs w:val="20"/>
        </w:rPr>
        <w:t>-28</w:t>
      </w:r>
    </w:p>
    <w:p w14:paraId="412877FD" w14:textId="30B35664" w:rsidR="00565E73" w:rsidRDefault="0046210B" w:rsidP="002B40D3">
      <w:pPr>
        <w:tabs>
          <w:tab w:val="right" w:leader="dot" w:pos="9350"/>
        </w:tabs>
        <w:spacing w:after="60" w:line="240" w:lineRule="auto"/>
        <w:rPr>
          <w:rFonts w:ascii="Times New Roman" w:hAnsi="Times New Roman" w:cs="Times New Roman"/>
          <w:b/>
          <w:bCs/>
          <w:sz w:val="20"/>
          <w:szCs w:val="20"/>
        </w:rPr>
      </w:pPr>
      <w:r>
        <w:rPr>
          <w:rFonts w:ascii="Times New Roman" w:hAnsi="Times New Roman" w:cs="Times New Roman"/>
          <w:b/>
          <w:bCs/>
          <w:sz w:val="20"/>
          <w:szCs w:val="20"/>
        </w:rPr>
        <w:t>Appendix</w:t>
      </w:r>
      <w:r w:rsidR="00565E73">
        <w:rPr>
          <w:rFonts w:ascii="Times New Roman" w:hAnsi="Times New Roman" w:cs="Times New Roman"/>
          <w:b/>
          <w:bCs/>
          <w:sz w:val="20"/>
          <w:szCs w:val="20"/>
        </w:rPr>
        <w:t>…………………………………………………………………………</w:t>
      </w:r>
      <w:r>
        <w:rPr>
          <w:rFonts w:ascii="Times New Roman" w:hAnsi="Times New Roman" w:cs="Times New Roman"/>
          <w:b/>
          <w:bCs/>
          <w:sz w:val="20"/>
          <w:szCs w:val="20"/>
        </w:rPr>
        <w:t>...</w:t>
      </w:r>
      <w:r w:rsidR="00565E73">
        <w:rPr>
          <w:rFonts w:ascii="Times New Roman" w:hAnsi="Times New Roman" w:cs="Times New Roman"/>
          <w:b/>
          <w:bCs/>
          <w:sz w:val="20"/>
          <w:szCs w:val="20"/>
        </w:rPr>
        <w:t>……………………2</w:t>
      </w:r>
      <w:r w:rsidR="006365AF">
        <w:rPr>
          <w:rFonts w:ascii="Times New Roman" w:hAnsi="Times New Roman" w:cs="Times New Roman"/>
          <w:b/>
          <w:bCs/>
          <w:sz w:val="20"/>
          <w:szCs w:val="20"/>
        </w:rPr>
        <w:t>9-</w:t>
      </w:r>
      <w:r w:rsidR="0030445A">
        <w:rPr>
          <w:rFonts w:ascii="Times New Roman" w:hAnsi="Times New Roman" w:cs="Times New Roman"/>
          <w:b/>
          <w:bCs/>
          <w:sz w:val="20"/>
          <w:szCs w:val="20"/>
        </w:rPr>
        <w:t>4</w:t>
      </w:r>
      <w:r w:rsidR="0082411A">
        <w:rPr>
          <w:rFonts w:ascii="Times New Roman" w:hAnsi="Times New Roman" w:cs="Times New Roman"/>
          <w:b/>
          <w:bCs/>
          <w:sz w:val="20"/>
          <w:szCs w:val="20"/>
        </w:rPr>
        <w:t>5</w:t>
      </w:r>
    </w:p>
    <w:p w14:paraId="58686C0B" w14:textId="77777777" w:rsidR="008D532A" w:rsidRPr="00565E73" w:rsidRDefault="008D532A" w:rsidP="002B40D3">
      <w:pPr>
        <w:tabs>
          <w:tab w:val="right" w:leader="dot" w:pos="9350"/>
        </w:tabs>
        <w:spacing w:after="60" w:line="240" w:lineRule="auto"/>
        <w:rPr>
          <w:rFonts w:ascii="Times New Roman" w:hAnsi="Times New Roman" w:cs="Times New Roman"/>
          <w:b/>
          <w:bCs/>
          <w:sz w:val="20"/>
          <w:szCs w:val="20"/>
        </w:rPr>
      </w:pPr>
    </w:p>
    <w:p w14:paraId="1742D6B4" w14:textId="27C18C12" w:rsidR="002B40D3" w:rsidRDefault="002B40D3" w:rsidP="002B40D3">
      <w:pPr>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Chapter 1</w:t>
      </w:r>
      <w:r w:rsidR="00E87CDB">
        <w:rPr>
          <w:rFonts w:ascii="Times New Roman" w:hAnsi="Times New Roman" w:cs="Times New Roman"/>
          <w:b/>
          <w:bCs/>
          <w:i/>
          <w:iCs/>
          <w:color w:val="0070C0"/>
          <w:sz w:val="40"/>
          <w:szCs w:val="40"/>
        </w:rPr>
        <w:t>-</w:t>
      </w:r>
      <w:r>
        <w:rPr>
          <w:rFonts w:ascii="Times New Roman" w:hAnsi="Times New Roman" w:cs="Times New Roman"/>
          <w:b/>
          <w:bCs/>
          <w:i/>
          <w:iCs/>
          <w:color w:val="0070C0"/>
          <w:sz w:val="40"/>
          <w:szCs w:val="40"/>
        </w:rPr>
        <w:t xml:space="preserve"> Introduction</w:t>
      </w:r>
    </w:p>
    <w:p w14:paraId="3AF93F9B" w14:textId="77777777" w:rsidR="008D532A" w:rsidRPr="009D6442" w:rsidRDefault="008D532A" w:rsidP="002B40D3">
      <w:pPr>
        <w:rPr>
          <w:rFonts w:ascii="Times New Roman" w:hAnsi="Times New Roman" w:cs="Times New Roman"/>
          <w:b/>
          <w:bCs/>
          <w:i/>
          <w:iCs/>
          <w:color w:val="0070C0"/>
          <w:sz w:val="40"/>
          <w:szCs w:val="40"/>
        </w:rPr>
      </w:pPr>
    </w:p>
    <w:p w14:paraId="7A33731B" w14:textId="77777777" w:rsidR="002B40D3" w:rsidRPr="008D532A" w:rsidRDefault="002B40D3" w:rsidP="002B40D3">
      <w:pPr>
        <w:rPr>
          <w:rFonts w:ascii="Times New Roman" w:hAnsi="Times New Roman" w:cs="Times New Roman"/>
          <w:b/>
          <w:bCs/>
          <w:i/>
          <w:iCs/>
          <w:color w:val="0070C0"/>
          <w:sz w:val="32"/>
          <w:szCs w:val="32"/>
        </w:rPr>
      </w:pPr>
      <w:r w:rsidRPr="008D532A">
        <w:rPr>
          <w:rFonts w:ascii="Times New Roman" w:hAnsi="Times New Roman" w:cs="Times New Roman"/>
          <w:b/>
          <w:bCs/>
          <w:i/>
          <w:iCs/>
          <w:color w:val="0070C0"/>
          <w:sz w:val="32"/>
          <w:szCs w:val="32"/>
        </w:rPr>
        <w:t>1.1 The Background and the Context</w:t>
      </w:r>
    </w:p>
    <w:p w14:paraId="22D3CA19" w14:textId="77777777" w:rsidR="002B40D3" w:rsidRPr="001C22FF"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Leasehold is a legally distinctive form of property ownership in which the estate is time-limited, with ownership reverting to the freeholder upon expiry of the lease term (Richards, 2014). This makes the lease a wasting asset: as the remaining term diminishes, so too do the property's market value and the financial security of its holder. Whilst the legal and financial consequences of this erosion are reasonably well documented (Andrew and Culley, 2024), their human dimension — as experienced by older residents on fixed incomes who purchased retirement properties without adequate professional guidance — has received almost no empirical attention.</w:t>
      </w:r>
    </w:p>
    <w:p w14:paraId="31FCDB27"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 elderly leaseholders, the costs associated with lease shortening represent not merely an inconvenience but a potentially catastrophic unplanned expenditure at a stage of life when the property was expected to provide a reliable foundation for care funding and financial security. The structural vulnerabilities of leasehold tenure fall with </w:t>
      </w:r>
      <w:proofErr w:type="gramStart"/>
      <w:r>
        <w:rPr>
          <w:rFonts w:ascii="Times New Roman" w:hAnsi="Times New Roman" w:cs="Times New Roman"/>
          <w:color w:val="000000" w:themeColor="text1"/>
          <w:sz w:val="24"/>
          <w:szCs w:val="24"/>
        </w:rPr>
        <w:t>particular force</w:t>
      </w:r>
      <w:proofErr w:type="gramEnd"/>
      <w:r>
        <w:rPr>
          <w:rFonts w:ascii="Times New Roman" w:hAnsi="Times New Roman" w:cs="Times New Roman"/>
          <w:color w:val="000000" w:themeColor="text1"/>
          <w:sz w:val="24"/>
          <w:szCs w:val="24"/>
        </w:rPr>
        <w:t xml:space="preserve"> on this population, and it is that dimension which this study seeks to address. The legal and financial mechanisms governing lease extension are examined in detail in Chapter 2.</w:t>
      </w:r>
    </w:p>
    <w:p w14:paraId="518E2AAA" w14:textId="77777777" w:rsidR="008D532A" w:rsidRPr="001C22FF" w:rsidRDefault="008D532A" w:rsidP="002B40D3">
      <w:pPr>
        <w:jc w:val="both"/>
        <w:rPr>
          <w:rFonts w:ascii="Times New Roman" w:hAnsi="Times New Roman" w:cs="Times New Roman"/>
          <w:color w:val="000000" w:themeColor="text1"/>
          <w:sz w:val="24"/>
          <w:szCs w:val="24"/>
        </w:rPr>
      </w:pPr>
    </w:p>
    <w:p w14:paraId="4C70383D" w14:textId="77777777" w:rsidR="002B40D3" w:rsidRPr="008D532A" w:rsidRDefault="002B40D3" w:rsidP="002B40D3">
      <w:pPr>
        <w:rPr>
          <w:rFonts w:ascii="Times New Roman" w:hAnsi="Times New Roman" w:cs="Times New Roman"/>
          <w:b/>
          <w:bCs/>
          <w:i/>
          <w:iCs/>
          <w:color w:val="0070C0"/>
          <w:sz w:val="32"/>
          <w:szCs w:val="32"/>
        </w:rPr>
      </w:pPr>
      <w:r w:rsidRPr="008D532A">
        <w:rPr>
          <w:rFonts w:ascii="Times New Roman" w:hAnsi="Times New Roman" w:cs="Times New Roman"/>
          <w:b/>
          <w:bCs/>
          <w:i/>
          <w:iCs/>
          <w:color w:val="0070C0"/>
          <w:sz w:val="32"/>
          <w:szCs w:val="32"/>
        </w:rPr>
        <w:t>1.2 The Problem</w:t>
      </w:r>
    </w:p>
    <w:p w14:paraId="082A6A89"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Despite the scale of the problem, a significant gap persists in the literature. Whilst legal and financial analyses of leasehold in Wales address the mechanics of lease shortening and the policy framework for reform (Andrew and Culley, 2024; Carr et al., 2021; Welsh Government, 2019), they do not examine elderly leaseholders as a distinct analytical group. The Welsh Government's Task and Finish Group (Welsh Government, 2019) identified systemic failures in professional disclosure and called for primary legislative </w:t>
      </w:r>
      <w:proofErr w:type="gramStart"/>
      <w:r>
        <w:rPr>
          <w:rFonts w:ascii="Times New Roman" w:hAnsi="Times New Roman" w:cs="Times New Roman"/>
          <w:color w:val="000000" w:themeColor="text1"/>
          <w:sz w:val="24"/>
          <w:szCs w:val="24"/>
        </w:rPr>
        <w:t>intervention, yet</w:t>
      </w:r>
      <w:proofErr w:type="gramEnd"/>
      <w:r>
        <w:rPr>
          <w:rFonts w:ascii="Times New Roman" w:hAnsi="Times New Roman" w:cs="Times New Roman"/>
          <w:color w:val="000000" w:themeColor="text1"/>
          <w:sz w:val="24"/>
          <w:szCs w:val="24"/>
        </w:rPr>
        <w:t xml:space="preserve"> did not investigate the lived experiences of those already affected. This dissertation addresses that gap, arguing that the leasehold system as it operates for elderly residents of retirement developments in Wales constitutes a structural trap: one entered in good faith, sustained by institutional silence, and increasingly difficult to escape as age, fixed income, and diminishing lease length combine to foreclose options that other leaseholders might otherwise exercise.</w:t>
      </w:r>
    </w:p>
    <w:p w14:paraId="78924CD4" w14:textId="77777777" w:rsidR="008D532A" w:rsidRPr="009D066D" w:rsidRDefault="008D532A" w:rsidP="002B40D3">
      <w:pPr>
        <w:jc w:val="both"/>
        <w:rPr>
          <w:rFonts w:ascii="Times New Roman" w:hAnsi="Times New Roman" w:cs="Times New Roman"/>
          <w:color w:val="000000" w:themeColor="text1"/>
          <w:sz w:val="24"/>
          <w:szCs w:val="24"/>
        </w:rPr>
      </w:pPr>
    </w:p>
    <w:p w14:paraId="5E45AC3C" w14:textId="77777777" w:rsidR="002B40D3" w:rsidRPr="008D532A" w:rsidRDefault="002B40D3" w:rsidP="002B40D3">
      <w:pPr>
        <w:rPr>
          <w:rFonts w:ascii="Times New Roman" w:hAnsi="Times New Roman" w:cs="Times New Roman"/>
          <w:b/>
          <w:bCs/>
          <w:i/>
          <w:iCs/>
          <w:color w:val="0070C0"/>
          <w:sz w:val="32"/>
          <w:szCs w:val="32"/>
        </w:rPr>
      </w:pPr>
      <w:r w:rsidRPr="008D532A">
        <w:rPr>
          <w:rFonts w:ascii="Times New Roman" w:hAnsi="Times New Roman" w:cs="Times New Roman"/>
          <w:b/>
          <w:bCs/>
          <w:i/>
          <w:iCs/>
          <w:color w:val="0070C0"/>
          <w:sz w:val="32"/>
          <w:szCs w:val="32"/>
        </w:rPr>
        <w:t>1.3 Research Aims</w:t>
      </w:r>
    </w:p>
    <w:p w14:paraId="31ED68EB" w14:textId="177AE4BA"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study examines the financial and housing security implications of short leasehold tenure for elderly homeowners in retirement developments in Wales and identifies the structural conditions that generate and sustain those implications. It addresses four interconnected areas: understanding of leasehold tenure and the information provided at purchase; how awareness of lease shortening's financial implications developed, and </w:t>
      </w:r>
      <w:r>
        <w:rPr>
          <w:rFonts w:ascii="Times New Roman" w:hAnsi="Times New Roman" w:cs="Times New Roman"/>
          <w:color w:val="000000" w:themeColor="text1"/>
          <w:sz w:val="24"/>
          <w:szCs w:val="24"/>
        </w:rPr>
        <w:lastRenderedPageBreak/>
        <w:t>through what channels; the effects on financial security, retirement planning, and psychological wellbeing; and participants' views on the current reform landscape.</w:t>
      </w:r>
    </w:p>
    <w:p w14:paraId="38DEAFF0" w14:textId="77777777" w:rsidR="00030567" w:rsidRPr="009D066D" w:rsidRDefault="00030567" w:rsidP="002B40D3">
      <w:pPr>
        <w:jc w:val="both"/>
        <w:rPr>
          <w:rFonts w:ascii="Times New Roman" w:hAnsi="Times New Roman" w:cs="Times New Roman"/>
          <w:color w:val="000000" w:themeColor="text1"/>
          <w:sz w:val="24"/>
          <w:szCs w:val="24"/>
        </w:rPr>
      </w:pPr>
    </w:p>
    <w:p w14:paraId="7BDEC128" w14:textId="77777777" w:rsidR="002B40D3" w:rsidRPr="008D532A" w:rsidRDefault="002B40D3" w:rsidP="002B40D3">
      <w:pPr>
        <w:rPr>
          <w:rFonts w:ascii="Times New Roman" w:hAnsi="Times New Roman" w:cs="Times New Roman"/>
          <w:b/>
          <w:bCs/>
          <w:i/>
          <w:iCs/>
          <w:color w:val="0070C0"/>
          <w:sz w:val="32"/>
          <w:szCs w:val="32"/>
        </w:rPr>
      </w:pPr>
      <w:r w:rsidRPr="008D532A">
        <w:rPr>
          <w:rFonts w:ascii="Times New Roman" w:hAnsi="Times New Roman" w:cs="Times New Roman"/>
          <w:b/>
          <w:bCs/>
          <w:i/>
          <w:iCs/>
          <w:color w:val="0070C0"/>
          <w:sz w:val="32"/>
          <w:szCs w:val="32"/>
        </w:rPr>
        <w:t>1.4 Scope and Rationale</w:t>
      </w:r>
    </w:p>
    <w:p w14:paraId="2BA507CE"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study is geographically bounded to Swansea County — including </w:t>
      </w:r>
      <w:proofErr w:type="spellStart"/>
      <w:r>
        <w:rPr>
          <w:rFonts w:ascii="Times New Roman" w:hAnsi="Times New Roman" w:cs="Times New Roman"/>
          <w:color w:val="000000" w:themeColor="text1"/>
          <w:sz w:val="24"/>
          <w:szCs w:val="24"/>
        </w:rPr>
        <w:t>Sketty</w:t>
      </w:r>
      <w:proofErr w:type="spellEnd"/>
      <w:r>
        <w:rPr>
          <w:rFonts w:ascii="Times New Roman" w:hAnsi="Times New Roman" w:cs="Times New Roman"/>
          <w:color w:val="000000" w:themeColor="text1"/>
          <w:sz w:val="24"/>
          <w:szCs w:val="24"/>
        </w:rPr>
        <w:t xml:space="preserve">, Mumbles, Sandfields,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xml:space="preserve"> — and focused on residents of purpose-built retirement developments. South-west Wales has a disproportionately high concentration of such stock, reflecting both its older demographic profile and the active development of age-restricted leasehold schemes in the post-2000 period (Davison and Rowlands, 2009). The geographic focus also enables the research to remain attentive to the distinctive Welsh legislative context, where devolution creates both the opportunity and the obligation for Wales-specific intervention (Carr et al., 2023). Existing professional and social connections within the Swansea area further facilitated access to participants, supporting a purposive sampling strategy and reducing the gatekeeping barriers that commonly impede research with older and potentially vulnerable populations (Ritchie et al., 2014). The concentration on retirement developments, rather than general residential leasehold, reflects the </w:t>
      </w:r>
      <w:proofErr w:type="gramStart"/>
      <w:r>
        <w:rPr>
          <w:rFonts w:ascii="Times New Roman" w:hAnsi="Times New Roman" w:cs="Times New Roman"/>
          <w:color w:val="000000" w:themeColor="text1"/>
          <w:sz w:val="24"/>
          <w:szCs w:val="24"/>
        </w:rPr>
        <w:t>particular intensity</w:t>
      </w:r>
      <w:proofErr w:type="gramEnd"/>
      <w:r>
        <w:rPr>
          <w:rFonts w:ascii="Times New Roman" w:hAnsi="Times New Roman" w:cs="Times New Roman"/>
          <w:color w:val="000000" w:themeColor="text1"/>
          <w:sz w:val="24"/>
          <w:szCs w:val="24"/>
        </w:rPr>
        <w:t xml:space="preserve"> of the problem in this sector, where residents are older, more reliant on fixed incomes, and subject to a wider range of ancillary charges.</w:t>
      </w:r>
    </w:p>
    <w:p w14:paraId="75292F71" w14:textId="54C0F1D8"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qualitative, interpretivist methodology was adopted for this study, as it is uniquely suited to examining phenomena that are subjective, contextualised, and rooted in lived experience (Creswell, 2013). This approach enables the research to move beyond measurable outcomes and engage with the meanings that elderly leaseholders attach to their circumstances — capturing the financial anxieties, experiential nuances, and structural vulnerabilities that quantitative methods alone c</w:t>
      </w:r>
      <w:r w:rsidR="008C30D3">
        <w:rPr>
          <w:rFonts w:ascii="Times New Roman" w:hAnsi="Times New Roman" w:cs="Times New Roman"/>
          <w:color w:val="000000" w:themeColor="text1"/>
          <w:sz w:val="24"/>
          <w:szCs w:val="24"/>
        </w:rPr>
        <w:t>anno</w:t>
      </w:r>
      <w:r>
        <w:rPr>
          <w:rFonts w:ascii="Times New Roman" w:hAnsi="Times New Roman" w:cs="Times New Roman"/>
          <w:color w:val="000000" w:themeColor="text1"/>
          <w:sz w:val="24"/>
          <w:szCs w:val="24"/>
        </w:rPr>
        <w:t>t adequately render.</w:t>
      </w:r>
    </w:p>
    <w:p w14:paraId="34B86E7E" w14:textId="77777777" w:rsidR="008D532A" w:rsidRPr="009D066D" w:rsidRDefault="008D532A" w:rsidP="002B40D3">
      <w:pPr>
        <w:jc w:val="both"/>
        <w:rPr>
          <w:rFonts w:ascii="Times New Roman" w:hAnsi="Times New Roman" w:cs="Times New Roman"/>
          <w:color w:val="000000" w:themeColor="text1"/>
          <w:sz w:val="24"/>
          <w:szCs w:val="24"/>
        </w:rPr>
      </w:pPr>
    </w:p>
    <w:p w14:paraId="480DF870" w14:textId="77777777" w:rsidR="002B40D3" w:rsidRPr="008D532A" w:rsidRDefault="002B40D3" w:rsidP="002B40D3">
      <w:pPr>
        <w:rPr>
          <w:rFonts w:ascii="Times New Roman" w:hAnsi="Times New Roman" w:cs="Times New Roman"/>
          <w:b/>
          <w:bCs/>
          <w:i/>
          <w:iCs/>
          <w:color w:val="0070C0"/>
          <w:sz w:val="32"/>
          <w:szCs w:val="32"/>
        </w:rPr>
      </w:pPr>
      <w:r w:rsidRPr="008D532A">
        <w:rPr>
          <w:rFonts w:ascii="Times New Roman" w:hAnsi="Times New Roman" w:cs="Times New Roman"/>
          <w:b/>
          <w:bCs/>
          <w:i/>
          <w:iCs/>
          <w:color w:val="0070C0"/>
          <w:sz w:val="32"/>
          <w:szCs w:val="32"/>
        </w:rPr>
        <w:t>1.5 Structure of the Dissertation</w:t>
      </w:r>
    </w:p>
    <w:p w14:paraId="5B00BA3A" w14:textId="77777777" w:rsidR="002B40D3" w:rsidRPr="009D6442" w:rsidRDefault="002B40D3" w:rsidP="002B40D3">
      <w:pPr>
        <w:jc w:val="both"/>
        <w:rPr>
          <w:rFonts w:ascii="Times New Roman" w:hAnsi="Times New Roman" w:cs="Times New Roman"/>
          <w:b/>
          <w:bCs/>
          <w:i/>
          <w:iCs/>
          <w:color w:val="0070C0"/>
          <w:sz w:val="40"/>
          <w:szCs w:val="40"/>
        </w:rPr>
      </w:pPr>
      <w:r>
        <w:rPr>
          <w:rFonts w:ascii="Times New Roman" w:hAnsi="Times New Roman" w:cs="Times New Roman"/>
          <w:color w:val="000000" w:themeColor="text1"/>
          <w:sz w:val="24"/>
          <w:szCs w:val="24"/>
        </w:rPr>
        <w:t>Chapter 2 reviews the literature on leasehold tenure, lease shortening, senior vulnerability, and Welsh policy. Chapter 3 sets out the methodology: philosophy, sampling, data collection, analytical framework, and ethics. Chapter 4 presents five thematically grouped findings from the eight interviews and discusses them against the literature. Chapter 5 closes with a summary, original contributions, policy recommendations, limitations, and future research.</w:t>
      </w:r>
    </w:p>
    <w:p w14:paraId="45F51F3B" w14:textId="77777777" w:rsidR="002B40D3" w:rsidRPr="009D6442" w:rsidRDefault="002B40D3" w:rsidP="002B40D3">
      <w:pPr>
        <w:rPr>
          <w:rFonts w:ascii="Times New Roman" w:hAnsi="Times New Roman" w:cs="Times New Roman"/>
          <w:b/>
          <w:bCs/>
          <w:i/>
          <w:iCs/>
          <w:color w:val="0070C0"/>
          <w:sz w:val="40"/>
          <w:szCs w:val="40"/>
        </w:rPr>
        <w:sectPr w:rsidR="002B40D3" w:rsidRPr="009D6442" w:rsidSect="00565E73">
          <w:headerReference w:type="default" r:id="rId9"/>
          <w:footerReference w:type="default" r:id="rId10"/>
          <w:pgSz w:w="11906" w:h="16838"/>
          <w:pgMar w:top="1440" w:right="1440" w:bottom="1440" w:left="1800" w:header="708" w:footer="708" w:gutter="0"/>
          <w:pgNumType w:start="0"/>
          <w:cols w:space="720"/>
          <w:docGrid w:linePitch="360"/>
        </w:sectPr>
      </w:pPr>
    </w:p>
    <w:p w14:paraId="67BC044E" w14:textId="77777777" w:rsidR="002B40D3" w:rsidRDefault="002B40D3" w:rsidP="002B40D3">
      <w:pPr>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Chapter 2: Literature Review</w:t>
      </w:r>
    </w:p>
    <w:p w14:paraId="72191F39" w14:textId="77777777" w:rsidR="005A15B1" w:rsidRPr="009D6442" w:rsidRDefault="005A15B1" w:rsidP="002B40D3">
      <w:pPr>
        <w:rPr>
          <w:rFonts w:ascii="Times New Roman" w:hAnsi="Times New Roman" w:cs="Times New Roman"/>
          <w:b/>
          <w:bCs/>
          <w:i/>
          <w:iCs/>
          <w:color w:val="0070C0"/>
          <w:sz w:val="40"/>
          <w:szCs w:val="40"/>
        </w:rPr>
      </w:pPr>
    </w:p>
    <w:p w14:paraId="32FE176D" w14:textId="77777777" w:rsidR="002B40D3" w:rsidRPr="005A15B1" w:rsidRDefault="002B40D3" w:rsidP="002B40D3">
      <w:pPr>
        <w:rPr>
          <w:rFonts w:ascii="Times New Roman" w:hAnsi="Times New Roman" w:cs="Times New Roman"/>
          <w:b/>
          <w:bCs/>
          <w:i/>
          <w:iCs/>
          <w:color w:val="0070C0"/>
          <w:sz w:val="32"/>
          <w:szCs w:val="32"/>
        </w:rPr>
      </w:pPr>
      <w:r w:rsidRPr="005A15B1">
        <w:rPr>
          <w:rFonts w:ascii="Times New Roman" w:hAnsi="Times New Roman" w:cs="Times New Roman"/>
          <w:b/>
          <w:bCs/>
          <w:i/>
          <w:iCs/>
          <w:color w:val="0070C0"/>
          <w:sz w:val="32"/>
          <w:szCs w:val="32"/>
        </w:rPr>
        <w:t>2.1 Introduction to Literature Review</w:t>
      </w:r>
    </w:p>
    <w:p w14:paraId="58D58A6F"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chapter critically evaluates the literature on the financial and housing security consequences of short leasehold tenure for senior people in Wales, arranged thematically around the Welsh policy framework, the financial mechanics of lease reduction, the legal underpinnings of leasehold tenure, senior leaseholder vulnerability, and the changing reform environment, before setting out the gaps this dissertation aims to fill. The government-commissioned empirical research (Carr et al., 2021; Welsh Government, 2019), think-tank analyses (Niemietz, 2021), financial modelling studies (Andrew and Culley, 2024), advocacy literature (</w:t>
      </w:r>
      <w:proofErr w:type="spellStart"/>
      <w:r>
        <w:rPr>
          <w:rFonts w:ascii="Times New Roman" w:hAnsi="Times New Roman" w:cs="Times New Roman"/>
          <w:color w:val="000000" w:themeColor="text1"/>
          <w:sz w:val="24"/>
          <w:szCs w:val="24"/>
        </w:rPr>
        <w:t>HomeOwners</w:t>
      </w:r>
      <w:proofErr w:type="spellEnd"/>
      <w:r>
        <w:rPr>
          <w:rFonts w:ascii="Times New Roman" w:hAnsi="Times New Roman" w:cs="Times New Roman"/>
          <w:color w:val="000000" w:themeColor="text1"/>
          <w:sz w:val="24"/>
          <w:szCs w:val="24"/>
        </w:rPr>
        <w:t xml:space="preserve"> Alliance, 2021; London Forum, 2020), and legal scholarship on land law (Richards, 2014) are among the sources analysed.</w:t>
      </w:r>
    </w:p>
    <w:p w14:paraId="57440263" w14:textId="77777777" w:rsidR="005E0CC5" w:rsidRPr="009D066D" w:rsidRDefault="005E0CC5" w:rsidP="002B40D3">
      <w:pPr>
        <w:jc w:val="both"/>
        <w:rPr>
          <w:rFonts w:ascii="Times New Roman" w:hAnsi="Times New Roman" w:cs="Times New Roman"/>
          <w:color w:val="000000" w:themeColor="text1"/>
          <w:sz w:val="24"/>
          <w:szCs w:val="24"/>
        </w:rPr>
      </w:pPr>
    </w:p>
    <w:p w14:paraId="132CBC5D" w14:textId="77777777" w:rsidR="002B40D3" w:rsidRPr="005E0CC5" w:rsidRDefault="002B40D3" w:rsidP="002B40D3">
      <w:pPr>
        <w:rPr>
          <w:rFonts w:ascii="Times New Roman" w:hAnsi="Times New Roman" w:cs="Times New Roman"/>
          <w:b/>
          <w:bCs/>
          <w:i/>
          <w:iCs/>
          <w:color w:val="0070C0"/>
          <w:sz w:val="32"/>
          <w:szCs w:val="32"/>
        </w:rPr>
      </w:pPr>
      <w:r w:rsidRPr="005E0CC5">
        <w:rPr>
          <w:rFonts w:ascii="Times New Roman" w:hAnsi="Times New Roman" w:cs="Times New Roman"/>
          <w:b/>
          <w:bCs/>
          <w:i/>
          <w:iCs/>
          <w:color w:val="0070C0"/>
          <w:sz w:val="32"/>
          <w:szCs w:val="32"/>
        </w:rPr>
        <w:t>2.2 Legal Foundations of Leasehold Tenure</w:t>
      </w:r>
    </w:p>
    <w:p w14:paraId="3642EED0"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financial risk of a shortened lease is rooted in the leasehold legal structure itself. A lease is one of two legally recognised estates in land under the Law of Property Act 1925, defined by a specified duration, exclusive occupancy, and rent (Richards, 2014); the leaseholder does not own the land or structure outright, as ownership reverts to the freeholder on expiry. This reversion makes a lease a wasting asset — as the remaining term diminishes, so does the value of the property interest, and that decline is the principal financial risk studied here. The </w:t>
      </w:r>
      <w:proofErr w:type="spellStart"/>
      <w:r>
        <w:rPr>
          <w:rFonts w:ascii="Times New Roman" w:hAnsi="Times New Roman" w:cs="Times New Roman"/>
          <w:color w:val="000000" w:themeColor="text1"/>
          <w:sz w:val="24"/>
          <w:szCs w:val="24"/>
        </w:rPr>
        <w:t>HomeOwners</w:t>
      </w:r>
      <w:proofErr w:type="spellEnd"/>
      <w:r>
        <w:rPr>
          <w:rFonts w:ascii="Times New Roman" w:hAnsi="Times New Roman" w:cs="Times New Roman"/>
          <w:color w:val="000000" w:themeColor="text1"/>
          <w:sz w:val="24"/>
          <w:szCs w:val="24"/>
        </w:rPr>
        <w:t xml:space="preserve"> Alliance (2021) asserts that, from a legal perspective, leaseholders resemble long-term tenants more than actual owners, despite having paid full market value for their residences. The Federation of Private Residents' Associations (FPRA, n.d.) further substantiates this perspective by emphasising the many financial responsibilities linked to leasehold ownership, such as ground rent, service charges, administrative fees, and reserve fund payments. These requirements may further diminish the financial advantages of leasehold ownership.</w:t>
      </w:r>
    </w:p>
    <w:p w14:paraId="40D06FCA"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Niemietz (2021), writing for the IEA, provides a partial explanation by arguing that leasehold serves a valuable property management function in multi-occupancy buildings, where the collective management of shared spaces is required. He further contends that many of the problems associated with leasehold arise from specific abuses rather than from inherent flaws within the system itself. This perspective offers a useful counterbalance to the more critical advocacy literature. However, it may understate the cumulative financial burden experienced by older leaseholders, for whom the purported benefits of leasehold management are often overshadowed by escalating costs that must be met from fixed retirement incomes.</w:t>
      </w:r>
    </w:p>
    <w:p w14:paraId="175D6423"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 estimated 235,000 leasehold properties exist in Wales — 65% flats, 35% houses (Wilson, 2023). Significant empirical analysis of the geographical distribution of leasehold properties in Wales, particularly in urban centres such as Cardiff, Swansea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xml:space="preserve">, is provided by Carr et al. (2021), who draw on Land Registry data from 2004/05 to 2018/19. </w:t>
      </w:r>
      <w:r>
        <w:rPr>
          <w:rFonts w:ascii="Times New Roman" w:hAnsi="Times New Roman" w:cs="Times New Roman"/>
          <w:color w:val="000000" w:themeColor="text1"/>
          <w:sz w:val="24"/>
          <w:szCs w:val="24"/>
        </w:rPr>
        <w:lastRenderedPageBreak/>
        <w:t>However, this dissertation focuses specifically on the subgroup of short leaseholders, and neither Wilson (2023) nor Carr et al. (2021) differentiate leasehold properties according to the length of the remaining lease term. This represents a significant gap in the literature, as the financial and housing security risks faced by leaseholders increase substantially as lease lengths diminish, particularly among older homeowners with limited opportunities to recover lost housing equity.</w:t>
      </w:r>
    </w:p>
    <w:p w14:paraId="4898DC03" w14:textId="77777777" w:rsidR="00A43D9F" w:rsidRPr="009D066D" w:rsidRDefault="00A43D9F" w:rsidP="002B40D3">
      <w:pPr>
        <w:jc w:val="both"/>
        <w:rPr>
          <w:rFonts w:ascii="Times New Roman" w:hAnsi="Times New Roman" w:cs="Times New Roman"/>
          <w:color w:val="000000" w:themeColor="text1"/>
          <w:sz w:val="24"/>
          <w:szCs w:val="24"/>
        </w:rPr>
      </w:pPr>
    </w:p>
    <w:p w14:paraId="74D75EB0" w14:textId="77777777" w:rsidR="002B40D3" w:rsidRPr="00A43D9F" w:rsidRDefault="002B40D3" w:rsidP="002B40D3">
      <w:pPr>
        <w:rPr>
          <w:rFonts w:ascii="Times New Roman" w:hAnsi="Times New Roman" w:cs="Times New Roman"/>
          <w:b/>
          <w:bCs/>
          <w:i/>
          <w:iCs/>
          <w:color w:val="0070C0"/>
          <w:sz w:val="32"/>
          <w:szCs w:val="32"/>
        </w:rPr>
      </w:pPr>
      <w:r w:rsidRPr="00A43D9F">
        <w:rPr>
          <w:rFonts w:ascii="Times New Roman" w:hAnsi="Times New Roman" w:cs="Times New Roman"/>
          <w:b/>
          <w:bCs/>
          <w:i/>
          <w:iCs/>
          <w:color w:val="0070C0"/>
          <w:sz w:val="32"/>
          <w:szCs w:val="32"/>
        </w:rPr>
        <w:t>2.3 Short Leases: Financial Mechanics and the Shortening Spiral</w:t>
      </w:r>
    </w:p>
    <w:p w14:paraId="05588D30"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technical literature is full of studies describing the negative financial effect of lease shortening, yet </w:t>
      </w:r>
      <w:proofErr w:type="gramStart"/>
      <w:r>
        <w:rPr>
          <w:rFonts w:ascii="Times New Roman" w:hAnsi="Times New Roman" w:cs="Times New Roman"/>
          <w:color w:val="000000" w:themeColor="text1"/>
          <w:sz w:val="24"/>
          <w:szCs w:val="24"/>
        </w:rPr>
        <w:t>in spite of</w:t>
      </w:r>
      <w:proofErr w:type="gramEnd"/>
      <w:r>
        <w:rPr>
          <w:rFonts w:ascii="Times New Roman" w:hAnsi="Times New Roman" w:cs="Times New Roman"/>
          <w:color w:val="000000" w:themeColor="text1"/>
          <w:sz w:val="24"/>
          <w:szCs w:val="24"/>
        </w:rPr>
        <w:t xml:space="preserve"> this information, there are almost no lived experience studies on leaseholders. The critical threshold is 80 years, according to the literature. If the lease falls below this threshold, the 'marriage value' payment must be included in the leaseholder's calculations of the lease extension price. This makes the cost of extension significantly more costly under the Leasehold Reform, Housing and Urban Development Act 1993. The most rigorous financial model of this process is that of Andrew and Culley (2024). They demonstrate that short leases sell at considerable non-linear discounts to freehold values and that the underlying option value of extending a short lease — and hence the premium paid — increases dramatically as the lease shortens. They have examined the expected repeal of the marriage value payment under the Leasehold and Freehold Reform Act 2024, which they argue would lead to considerable savings for leaseholders extending short leases. But the benefits will not be equally shared. Leaseholders in lower-value markets, including significant sections of Wales, would obtain proportionally less benefit than those in high-value urban centres such as London. This geographical variance has a direct bearing on the Welsh focus of this dissertation.</w:t>
      </w:r>
    </w:p>
    <w:p w14:paraId="312D18AB" w14:textId="5B0C8A7D"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FPRA (n.d.) and Wilson (2023) concur that many mortgage lenders are reluctant to finance properties with less than </w:t>
      </w:r>
      <w:r w:rsidR="00B67368">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t xml:space="preserve">0 to </w:t>
      </w:r>
      <w:r w:rsidR="00B67368">
        <w:rPr>
          <w:rFonts w:ascii="Times New Roman" w:hAnsi="Times New Roman" w:cs="Times New Roman"/>
          <w:color w:val="000000" w:themeColor="text1"/>
          <w:sz w:val="24"/>
          <w:szCs w:val="24"/>
        </w:rPr>
        <w:t>90</w:t>
      </w:r>
      <w:r>
        <w:rPr>
          <w:rFonts w:ascii="Times New Roman" w:hAnsi="Times New Roman" w:cs="Times New Roman"/>
          <w:color w:val="000000" w:themeColor="text1"/>
          <w:sz w:val="24"/>
          <w:szCs w:val="24"/>
        </w:rPr>
        <w:t xml:space="preserve"> years remaining, establishing a market where short-lease assets become harder to sell, expensive to mortgage, and prone to rapid depreciation.</w:t>
      </w:r>
    </w:p>
    <w:p w14:paraId="2A1834BC"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Seagraves (2023) situates the issue within a wider economic framework, arguing that the political necessity to protect leaseholders may clash with market realities, and that poorly formulated legislation risks pricing distortions that jeopardise the leasehold sector's long-term viability — a view that helps explain the incremental pace of reform (Duncan, 2023; Shapiro, 2023), but one that risks prioritising investor interests over the immediate financial stability of older owner-occupiers whose wealth is tied to decaying assets. The government's impact assessment of the Leasehold and Freehold Reform Bill (HM Government, 2023) recognises the difficulties in reconciling conflicting interests but fails to address the </w:t>
      </w:r>
      <w:proofErr w:type="gramStart"/>
      <w:r>
        <w:rPr>
          <w:rFonts w:ascii="Times New Roman" w:hAnsi="Times New Roman" w:cs="Times New Roman"/>
          <w:color w:val="000000" w:themeColor="text1"/>
          <w:sz w:val="24"/>
          <w:szCs w:val="24"/>
        </w:rPr>
        <w:t>particular ramifications</w:t>
      </w:r>
      <w:proofErr w:type="gramEnd"/>
      <w:r>
        <w:rPr>
          <w:rFonts w:ascii="Times New Roman" w:hAnsi="Times New Roman" w:cs="Times New Roman"/>
          <w:color w:val="000000" w:themeColor="text1"/>
          <w:sz w:val="24"/>
          <w:szCs w:val="24"/>
        </w:rPr>
        <w:t xml:space="preserve"> for Wales — an especially important omission given the intricacies of the devolved legislative structure.</w:t>
      </w:r>
    </w:p>
    <w:p w14:paraId="6C719420" w14:textId="77777777" w:rsidR="00634C8C" w:rsidRPr="009D066D" w:rsidRDefault="00634C8C" w:rsidP="002B40D3">
      <w:pPr>
        <w:jc w:val="both"/>
        <w:rPr>
          <w:rFonts w:ascii="Times New Roman" w:hAnsi="Times New Roman" w:cs="Times New Roman"/>
          <w:color w:val="000000" w:themeColor="text1"/>
          <w:sz w:val="24"/>
          <w:szCs w:val="24"/>
        </w:rPr>
      </w:pPr>
    </w:p>
    <w:p w14:paraId="7DABD740" w14:textId="77777777" w:rsidR="002B40D3" w:rsidRPr="00634C8C" w:rsidRDefault="002B40D3" w:rsidP="002B40D3">
      <w:pPr>
        <w:rPr>
          <w:rFonts w:ascii="Times New Roman" w:hAnsi="Times New Roman" w:cs="Times New Roman"/>
          <w:b/>
          <w:bCs/>
          <w:i/>
          <w:iCs/>
          <w:color w:val="0070C0"/>
          <w:sz w:val="32"/>
          <w:szCs w:val="32"/>
        </w:rPr>
      </w:pPr>
      <w:r w:rsidRPr="00634C8C">
        <w:rPr>
          <w:rFonts w:ascii="Times New Roman" w:hAnsi="Times New Roman" w:cs="Times New Roman"/>
          <w:b/>
          <w:bCs/>
          <w:i/>
          <w:iCs/>
          <w:color w:val="0070C0"/>
          <w:sz w:val="32"/>
          <w:szCs w:val="32"/>
        </w:rPr>
        <w:lastRenderedPageBreak/>
        <w:t>2.4 Elderly Leaseholders: Financial Vulnerability and the Retirement Housing Sector</w:t>
      </w:r>
    </w:p>
    <w:p w14:paraId="446DB2FA"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Paradoxically, the interface between leasehold tenure and old age is among the most neglected aspects of the literature despite its practical importance. Ageing Better (2020) is one of the few publications to address the link directly, noting that housing wealth is frequently the primary asset of older people and that tenure volatility — via shorter leases, service charges, or event fees — directly affects financial resilience and wellbeing in retirement; this relationship is assumed across policy sources but seldom scrutinised rigorously, despite wider evidence that housing functions as a social determinant of health in later life (Rolfe et al., 2020). The Older People's Housing Task Force (2024) recognises the shortage of suitable, secure housing options for older people, but stops short of examining tenure-specific risks for existing leaseholders.</w:t>
      </w:r>
    </w:p>
    <w:p w14:paraId="3F77FD0F"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London Forum (2020) points out the vulnerability of elderly leaseholders in purpose-built retirement complexes to event fees in the retirement housing sector. These fees vary from 1% to 30% of the value of a retirement home upon sale. The Law Commission's progress report on event fees (Law Commission, 2025) confirms that event fees are limited to specialist retirement housing, disproportionately affect asset-rich but fixed-income elderly residents, and are poorly regulated under the Consumer Rights Act 2015 because of uncertainty as to whether leaseholders are subject to unfair terms. Short-lease difficulties are seldom covered in the literature; however, they are crucial to retirement housing outcomes. An older person who bought a retirement home 30 years ago on a 99-year lease now holds a 69-year lease, which is below the 80-year threshold. They are faced with a devalued asset, a hefty extension premium, and a limited buyer market when they need to sell to pay for residential care. This research tackles the most glaring omission in the corpus: the absence of a source that adequately describes the compounded financial condition of elderly Welsh leaseholders.</w:t>
      </w:r>
    </w:p>
    <w:p w14:paraId="7933F2ED"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critical empirical perspective comes from Carr et al.'s (2021) Welsh Government-commissioned survey: 89% of those interviewed said their solicitor had not explained the leasehold/freehold distinction at purchase, and 91.6% would not buy leasehold again. Such failures are particularly damaging to elderly purchasers of retirement homes who committed themselves financially on inadequate </w:t>
      </w:r>
      <w:proofErr w:type="gramStart"/>
      <w:r>
        <w:rPr>
          <w:rFonts w:ascii="Times New Roman" w:hAnsi="Times New Roman" w:cs="Times New Roman"/>
          <w:color w:val="000000" w:themeColor="text1"/>
          <w:sz w:val="24"/>
          <w:szCs w:val="24"/>
        </w:rPr>
        <w:t>advice, and</w:t>
      </w:r>
      <w:proofErr w:type="gramEnd"/>
      <w:r>
        <w:rPr>
          <w:rFonts w:ascii="Times New Roman" w:hAnsi="Times New Roman" w:cs="Times New Roman"/>
          <w:color w:val="000000" w:themeColor="text1"/>
          <w:sz w:val="24"/>
          <w:szCs w:val="24"/>
        </w:rPr>
        <w:t xml:space="preserve"> confirm that Welsh leaseholders are frequently confused about their obligations, rights, and the financial ramifications of their tenure. However, the experiences of elderly adults are not analysed as a distinct group in that study.</w:t>
      </w:r>
    </w:p>
    <w:p w14:paraId="42C6C899" w14:textId="77777777" w:rsidR="00F06925" w:rsidRPr="009D066D" w:rsidRDefault="00F06925" w:rsidP="002B40D3">
      <w:pPr>
        <w:jc w:val="both"/>
        <w:rPr>
          <w:rFonts w:ascii="Times New Roman" w:hAnsi="Times New Roman" w:cs="Times New Roman"/>
          <w:color w:val="000000" w:themeColor="text1"/>
          <w:sz w:val="24"/>
          <w:szCs w:val="24"/>
        </w:rPr>
      </w:pPr>
    </w:p>
    <w:p w14:paraId="58FB5D11" w14:textId="77777777" w:rsidR="002B40D3" w:rsidRPr="00F06925" w:rsidRDefault="002B40D3" w:rsidP="002B40D3">
      <w:pPr>
        <w:rPr>
          <w:rFonts w:ascii="Times New Roman" w:hAnsi="Times New Roman" w:cs="Times New Roman"/>
          <w:b/>
          <w:bCs/>
          <w:i/>
          <w:iCs/>
          <w:color w:val="0070C0"/>
          <w:sz w:val="32"/>
          <w:szCs w:val="32"/>
        </w:rPr>
      </w:pPr>
      <w:r w:rsidRPr="00F06925">
        <w:rPr>
          <w:rFonts w:ascii="Times New Roman" w:hAnsi="Times New Roman" w:cs="Times New Roman"/>
          <w:b/>
          <w:bCs/>
          <w:i/>
          <w:iCs/>
          <w:color w:val="0070C0"/>
          <w:sz w:val="32"/>
          <w:szCs w:val="32"/>
        </w:rPr>
        <w:t>2.5 Wales: A Distinct Policy and Research Context</w:t>
      </w:r>
    </w:p>
    <w:p w14:paraId="3E2E2F77"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Wales has a unique position in the literature on leasehold. There is little theoretical study on the distinctive policy frameworks of Wales and England. The clearest articulation of policy challenges specific to Wales is found in the report of the Welsh Government's Task and Finish Group (Welsh Government, 2019), which addresses abuses such as the sale of leasehold property (historically unusual in Wales), failures of professional supervision at the point of sale, severe doubling clauses, and high initial ground rents. The report suggests </w:t>
      </w:r>
      <w:r>
        <w:rPr>
          <w:rFonts w:ascii="Times New Roman" w:hAnsi="Times New Roman" w:cs="Times New Roman"/>
          <w:color w:val="000000" w:themeColor="text1"/>
          <w:sz w:val="24"/>
          <w:szCs w:val="24"/>
        </w:rPr>
        <w:lastRenderedPageBreak/>
        <w:t>that primary legislation is required and that devolution offers Wales the opportunity to address leasehold issues in a way appropriate to its distinctive context. Carr et al. (2023), however, make a compelling argument that the current approach to change — described as 'consumerist' in its emphasis on expanding knowledge and reducing professional regulation — is insufficient and reactive. Instead, they propose a sustainable, lifecycle-based approach to the management of multi-occupancy buildings. This aim is more theoretically ambitious than any English reform proposal but has not been incorporated into Welsh Government policy or empirically tested in a survey of senior leaseholders.</w:t>
      </w:r>
    </w:p>
    <w:p w14:paraId="0CDFBD5A"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Wales has approached reform distinctively, limiting the quantity of leasehold houses via Help to Buy Wales (Wilson, 2023), while England has legislated more radically. The Welsh Government summary (Welsh Government, 2021) gives an accessible account of the empirical results but compresses methodological detail needed to assess the strengths and limitations of the underlying data. It is also worth noting that no source in the corpus addresses the Welsh language dimension of leasehold tenure in Welsh-speaking populations — a sign of a wider tendency to treat Wales as a single homogeneous entity, when housing market dynamics and community patterns may differ significantly.</w:t>
      </w:r>
    </w:p>
    <w:p w14:paraId="3D760DDB" w14:textId="77777777" w:rsidR="00C83589" w:rsidRPr="009D066D" w:rsidRDefault="00C83589" w:rsidP="002B40D3">
      <w:pPr>
        <w:jc w:val="both"/>
        <w:rPr>
          <w:rFonts w:ascii="Times New Roman" w:hAnsi="Times New Roman" w:cs="Times New Roman"/>
          <w:color w:val="000000" w:themeColor="text1"/>
          <w:sz w:val="24"/>
          <w:szCs w:val="24"/>
        </w:rPr>
      </w:pPr>
    </w:p>
    <w:p w14:paraId="7E6FE65B" w14:textId="77777777" w:rsidR="002B40D3" w:rsidRPr="00C83589" w:rsidRDefault="002B40D3" w:rsidP="002B40D3">
      <w:pPr>
        <w:rPr>
          <w:rFonts w:ascii="Times New Roman" w:hAnsi="Times New Roman" w:cs="Times New Roman"/>
          <w:b/>
          <w:bCs/>
          <w:i/>
          <w:iCs/>
          <w:color w:val="0070C0"/>
          <w:sz w:val="32"/>
          <w:szCs w:val="32"/>
        </w:rPr>
      </w:pPr>
      <w:r w:rsidRPr="00C83589">
        <w:rPr>
          <w:rFonts w:ascii="Times New Roman" w:hAnsi="Times New Roman" w:cs="Times New Roman"/>
          <w:b/>
          <w:bCs/>
          <w:i/>
          <w:iCs/>
          <w:color w:val="0070C0"/>
          <w:sz w:val="32"/>
          <w:szCs w:val="32"/>
        </w:rPr>
        <w:t>2.6 The Reform Landscape and Its Limitations for Elderly Short-Lease Holders</w:t>
      </w:r>
    </w:p>
    <w:p w14:paraId="14D2643F" w14:textId="7015B553" w:rsidR="00A41257"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literature on legislative reform reveals a persistent gap between proposed change and its execution (Duncan, 2023; Shapiro, 2023). The Leasehold Reform (Ground Rent) Act 2022 removed ground rents for new leases (Ali-Khan, 2023) but offers nothing to existing leaseholders, and any further adjustment must, per Ali-Khan (2025), be balanced to avoid unsettling investment arrangements. The Law Commission's Right to Manage report (Law Commission, 2020b) advocates enhanced collective self-management but acknowledges that RTM may not suit developments with a large population of elderly residents lacking capacity to manage collectively — a frequent constraint in retirement leasehold communities. MHCLG's (2025) ongoing consultation on strengthening leaseholder protections over fees and charges addresses service charge transparency, but, like the reforms it precedes, looks forward rather than to those already holding short leases. None of this helps senior leaseholders already on short leases: the planned removal of marriage value and extension to 990-year terms will only help those with the resources and judgement to act before the threshold is reached, and commonhold — proposed as a structural alternative by Niemietz (2021) and Wilson (2023) — has seen fewer than 20 registrations since 2002, making it no practical option for those already trapped.</w:t>
      </w:r>
    </w:p>
    <w:p w14:paraId="4A7C5AA3" w14:textId="77777777" w:rsidR="00A41257" w:rsidRDefault="00A41257" w:rsidP="002B40D3">
      <w:pPr>
        <w:jc w:val="both"/>
        <w:rPr>
          <w:rFonts w:ascii="Times New Roman" w:hAnsi="Times New Roman" w:cs="Times New Roman"/>
          <w:color w:val="000000" w:themeColor="text1"/>
          <w:sz w:val="24"/>
          <w:szCs w:val="24"/>
        </w:rPr>
      </w:pPr>
    </w:p>
    <w:p w14:paraId="6F0A8D56" w14:textId="77777777" w:rsidR="00A41257" w:rsidRDefault="00A41257" w:rsidP="002B40D3">
      <w:pPr>
        <w:jc w:val="both"/>
        <w:rPr>
          <w:rFonts w:ascii="Times New Roman" w:hAnsi="Times New Roman" w:cs="Times New Roman"/>
          <w:color w:val="000000" w:themeColor="text1"/>
          <w:sz w:val="24"/>
          <w:szCs w:val="24"/>
        </w:rPr>
      </w:pPr>
    </w:p>
    <w:p w14:paraId="73632395" w14:textId="77777777" w:rsidR="00A41257" w:rsidRDefault="00A41257" w:rsidP="002B40D3">
      <w:pPr>
        <w:jc w:val="both"/>
        <w:rPr>
          <w:rFonts w:ascii="Times New Roman" w:hAnsi="Times New Roman" w:cs="Times New Roman"/>
          <w:color w:val="000000" w:themeColor="text1"/>
          <w:sz w:val="24"/>
          <w:szCs w:val="24"/>
        </w:rPr>
      </w:pPr>
    </w:p>
    <w:p w14:paraId="17E474DF" w14:textId="77777777" w:rsidR="00A41257" w:rsidRPr="009D066D" w:rsidRDefault="00A41257" w:rsidP="002B40D3">
      <w:pPr>
        <w:jc w:val="both"/>
        <w:rPr>
          <w:rFonts w:ascii="Times New Roman" w:hAnsi="Times New Roman" w:cs="Times New Roman"/>
          <w:color w:val="000000" w:themeColor="text1"/>
          <w:sz w:val="24"/>
          <w:szCs w:val="24"/>
        </w:rPr>
      </w:pPr>
    </w:p>
    <w:p w14:paraId="63385953" w14:textId="77777777" w:rsidR="002B40D3" w:rsidRPr="00E849BC" w:rsidRDefault="002B40D3" w:rsidP="002B40D3">
      <w:pPr>
        <w:rPr>
          <w:rFonts w:ascii="Times New Roman" w:hAnsi="Times New Roman" w:cs="Times New Roman"/>
          <w:b/>
          <w:bCs/>
          <w:i/>
          <w:iCs/>
          <w:color w:val="0070C0"/>
          <w:sz w:val="32"/>
          <w:szCs w:val="32"/>
        </w:rPr>
      </w:pPr>
      <w:r w:rsidRPr="00E849BC">
        <w:rPr>
          <w:rFonts w:ascii="Times New Roman" w:hAnsi="Times New Roman" w:cs="Times New Roman"/>
          <w:b/>
          <w:bCs/>
          <w:i/>
          <w:iCs/>
          <w:color w:val="0070C0"/>
          <w:sz w:val="32"/>
          <w:szCs w:val="32"/>
        </w:rPr>
        <w:lastRenderedPageBreak/>
        <w:t>2.7 Gaps in the Literature and the Contribution of this Dissertation</w:t>
      </w:r>
    </w:p>
    <w:p w14:paraId="03C7BCE4"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Despite the extensive research on leasehold tenure, four critical gaps persist. First, the population of </w:t>
      </w:r>
      <w:proofErr w:type="gramStart"/>
      <w:r>
        <w:rPr>
          <w:rFonts w:ascii="Times New Roman" w:hAnsi="Times New Roman" w:cs="Times New Roman"/>
          <w:color w:val="000000" w:themeColor="text1"/>
          <w:sz w:val="24"/>
          <w:szCs w:val="24"/>
        </w:rPr>
        <w:t>short-leaseholders</w:t>
      </w:r>
      <w:proofErr w:type="gramEnd"/>
      <w:r>
        <w:rPr>
          <w:rFonts w:ascii="Times New Roman" w:hAnsi="Times New Roman" w:cs="Times New Roman"/>
          <w:color w:val="000000" w:themeColor="text1"/>
          <w:sz w:val="24"/>
          <w:szCs w:val="24"/>
        </w:rPr>
        <w:t xml:space="preserve"> is statistically invisible: no source offers disaggregated data for Wales on the quantity of leasehold properties with fewer than 80 years remaining, complicating the assessment of the problem's scope and distribution.</w:t>
      </w:r>
    </w:p>
    <w:p w14:paraId="20A63459"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Secondly, the predominant literature fails to recognise elderly leaseholders as a distinct analytical group. Although retirement housing has garnered some focus (London Forum, 2020; Law Commission, 2025), older individuals residing in conventional residential properties with short leases have predominantly been neglected.</w:t>
      </w:r>
    </w:p>
    <w:p w14:paraId="2332F2AE" w14:textId="77777777" w:rsidR="002B40D3" w:rsidRPr="009D066D"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Thirdly, while the Welsh evidence base has been shaped by research such as Carr et al. (2021) and the Task and Finish Group (Welsh Government, 2019), these analyses fail to address the </w:t>
      </w:r>
      <w:proofErr w:type="gramStart"/>
      <w:r>
        <w:rPr>
          <w:rFonts w:ascii="Times New Roman" w:hAnsi="Times New Roman" w:cs="Times New Roman"/>
          <w:color w:val="000000" w:themeColor="text1"/>
          <w:sz w:val="24"/>
          <w:szCs w:val="24"/>
        </w:rPr>
        <w:t>particular challenges</w:t>
      </w:r>
      <w:proofErr w:type="gramEnd"/>
      <w:r>
        <w:rPr>
          <w:rFonts w:ascii="Times New Roman" w:hAnsi="Times New Roman" w:cs="Times New Roman"/>
          <w:color w:val="000000" w:themeColor="text1"/>
          <w:sz w:val="24"/>
          <w:szCs w:val="24"/>
        </w:rPr>
        <w:t xml:space="preserve"> related to short leases or senior homeowners, and consequently neglect the collective financial risks faced by this demographic.</w:t>
      </w:r>
    </w:p>
    <w:p w14:paraId="7494C776"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Fourthly, the existing research fails to integrate the three essential features of this study — short leasehold arrangements, the financial fragility of elderly homeowners, and the Welsh devolved policy context — into a unified analytical framework. This dissertation aims to address these four deficiencies by conducting qualitative primary research with elderly leaseholders in Swansea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offering a novel empirical contribution to understanding the financial and housing security ramifications of short leasehold tenure for this population in Wales.</w:t>
      </w:r>
    </w:p>
    <w:p w14:paraId="5C709B05" w14:textId="77777777" w:rsidR="00C968C0" w:rsidRPr="009D066D" w:rsidRDefault="00C968C0" w:rsidP="002B40D3">
      <w:pPr>
        <w:jc w:val="both"/>
        <w:rPr>
          <w:rFonts w:ascii="Times New Roman" w:hAnsi="Times New Roman" w:cs="Times New Roman"/>
          <w:color w:val="000000" w:themeColor="text1"/>
          <w:sz w:val="24"/>
          <w:szCs w:val="24"/>
        </w:rPr>
      </w:pPr>
    </w:p>
    <w:p w14:paraId="0AB4FA4C" w14:textId="77777777" w:rsidR="002B40D3" w:rsidRPr="00C968C0" w:rsidRDefault="002B40D3" w:rsidP="002B40D3">
      <w:pPr>
        <w:rPr>
          <w:rFonts w:ascii="Times New Roman" w:hAnsi="Times New Roman" w:cs="Times New Roman"/>
          <w:b/>
          <w:bCs/>
          <w:i/>
          <w:iCs/>
          <w:color w:val="0070C0"/>
          <w:sz w:val="32"/>
          <w:szCs w:val="32"/>
        </w:rPr>
      </w:pPr>
      <w:r w:rsidRPr="00C968C0">
        <w:rPr>
          <w:rFonts w:ascii="Times New Roman" w:hAnsi="Times New Roman" w:cs="Times New Roman"/>
          <w:b/>
          <w:bCs/>
          <w:i/>
          <w:iCs/>
          <w:color w:val="0070C0"/>
          <w:sz w:val="32"/>
          <w:szCs w:val="32"/>
        </w:rPr>
        <w:t>2.8 Conclusion</w:t>
      </w:r>
    </w:p>
    <w:p w14:paraId="5BF2F5F9" w14:textId="379D9F2C"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chapter has shown that the leasehold literature is rich in its treatment of broad reform proposals and consumer experiences, but significantly lacking on the compounded financial and housing security vulnerabilities of older short-leaseholders in Wales — despite the problem being framed from multiple directions: legal foundations (Richards, 2014), financial modelling (Andrew and Culley, 2024; FPRA, n.d.), elderly vulnerability in retirement housing (London Forum, 2020; Ageing Better, 2020; Law Commission, 2025), and Wales-specific policy analysis (Carr et al., 2021; Welsh Government, 2019; Carr et al., 2023). The human aspect and the disjuncture between policy rhetoric and lived experience </w:t>
      </w:r>
      <w:r w:rsidR="001205BD">
        <w:rPr>
          <w:rFonts w:ascii="Times New Roman" w:hAnsi="Times New Roman" w:cs="Times New Roman"/>
          <w:color w:val="000000" w:themeColor="text1"/>
          <w:sz w:val="24"/>
          <w:szCs w:val="24"/>
        </w:rPr>
        <w:t>remain</w:t>
      </w:r>
      <w:r>
        <w:rPr>
          <w:rFonts w:ascii="Times New Roman" w:hAnsi="Times New Roman" w:cs="Times New Roman"/>
          <w:color w:val="000000" w:themeColor="text1"/>
          <w:sz w:val="24"/>
          <w:szCs w:val="24"/>
        </w:rPr>
        <w:t xml:space="preserve"> empirically unexamined; that is the gap this dissertation addresses.</w:t>
      </w:r>
    </w:p>
    <w:p w14:paraId="12D32C6C" w14:textId="77777777" w:rsidR="002B40D3" w:rsidRPr="009D6442" w:rsidRDefault="002B40D3" w:rsidP="002B40D3">
      <w:pPr>
        <w:rPr>
          <w:rFonts w:ascii="Times New Roman" w:hAnsi="Times New Roman" w:cs="Times New Roman"/>
          <w:b/>
          <w:bCs/>
          <w:i/>
          <w:iCs/>
          <w:color w:val="0070C0"/>
          <w:sz w:val="40"/>
          <w:szCs w:val="40"/>
        </w:rPr>
        <w:sectPr w:rsidR="002B40D3" w:rsidRPr="009D6442" w:rsidSect="002B40D3">
          <w:pgSz w:w="11906" w:h="16838"/>
          <w:pgMar w:top="1440" w:right="1440" w:bottom="1440" w:left="1800" w:header="708" w:footer="708" w:gutter="0"/>
          <w:cols w:space="720"/>
          <w:docGrid w:linePitch="360"/>
        </w:sectPr>
      </w:pPr>
    </w:p>
    <w:p w14:paraId="4A5BF257" w14:textId="77777777" w:rsidR="002B40D3" w:rsidRDefault="002B40D3" w:rsidP="002B40D3">
      <w:pPr>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Chapter 3: Methodology</w:t>
      </w:r>
    </w:p>
    <w:p w14:paraId="0911352A" w14:textId="77777777" w:rsidR="001205BD" w:rsidRPr="009D6442" w:rsidRDefault="001205BD" w:rsidP="002B40D3">
      <w:pPr>
        <w:rPr>
          <w:rFonts w:ascii="Times New Roman" w:hAnsi="Times New Roman" w:cs="Times New Roman"/>
          <w:b/>
          <w:bCs/>
          <w:i/>
          <w:iCs/>
          <w:color w:val="0070C0"/>
          <w:sz w:val="40"/>
          <w:szCs w:val="40"/>
        </w:rPr>
      </w:pPr>
    </w:p>
    <w:p w14:paraId="446CDBE8" w14:textId="77777777" w:rsidR="002B40D3" w:rsidRPr="001205BD" w:rsidRDefault="002B40D3" w:rsidP="002B40D3">
      <w:pPr>
        <w:rPr>
          <w:rFonts w:ascii="Times New Roman" w:hAnsi="Times New Roman" w:cs="Times New Roman"/>
          <w:b/>
          <w:bCs/>
          <w:i/>
          <w:iCs/>
          <w:color w:val="0070C0"/>
          <w:sz w:val="32"/>
          <w:szCs w:val="32"/>
        </w:rPr>
      </w:pPr>
      <w:r w:rsidRPr="001205BD">
        <w:rPr>
          <w:rFonts w:ascii="Times New Roman" w:hAnsi="Times New Roman" w:cs="Times New Roman"/>
          <w:b/>
          <w:bCs/>
          <w:i/>
          <w:iCs/>
          <w:color w:val="0070C0"/>
          <w:sz w:val="32"/>
          <w:szCs w:val="32"/>
        </w:rPr>
        <w:t>3.1 Research Philosophy</w:t>
      </w:r>
    </w:p>
    <w:p w14:paraId="1F3D2721"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philosophical foundation of this study is interpretivism: the position that social reality is constructed through the meanings and subjective experiences of individuals, rather than existing as an objective world awaiting measurement (Creswell, 2013; Denzin and Lincoln, 2011). This is not merely theoretical: the phenomenon under investigation — the experience of financial and housing insecurity arising from short leasehold tenure in later life — is embedded in participants' personal histories, finances, and emotional lives, and to treat it as reducible to measurable variables would misrepresent its nature. Positivism (Bryman, 2016) is unsuited to these aims for a specific reason: the financial mechanics of lease shortening are already modelled in the literature (Andrew and Culley, 2024); what remains unknown, and what this dissertation investigates, is their human meaning for a specific, vulnerable population. Interpretivism also aligns with the recognition that the researcher is not a neutral instrument but an active participant in the co-production of meaning (Denzin and Lincoln, 2011), a reality managed through sustained reflexivity throughout the research process (Creswell and Creswell, 2024). The interviews conducted in this study are not extractions of pre-existing data but co-productions of meaning between researcher and participant; this is not a methodological weakness to be minimised but a philosophical commitment to be acknowledged.</w:t>
      </w:r>
    </w:p>
    <w:p w14:paraId="39A9560C" w14:textId="77777777" w:rsidR="00336CE7" w:rsidRPr="00FF7B09" w:rsidRDefault="00336CE7" w:rsidP="002B40D3">
      <w:pPr>
        <w:jc w:val="both"/>
        <w:rPr>
          <w:rFonts w:ascii="Times New Roman" w:hAnsi="Times New Roman" w:cs="Times New Roman"/>
          <w:color w:val="000000" w:themeColor="text1"/>
          <w:sz w:val="24"/>
          <w:szCs w:val="24"/>
        </w:rPr>
      </w:pPr>
    </w:p>
    <w:p w14:paraId="0812DA49" w14:textId="77777777" w:rsidR="002B40D3" w:rsidRPr="00336CE7" w:rsidRDefault="002B40D3" w:rsidP="002B40D3">
      <w:pPr>
        <w:rPr>
          <w:rFonts w:ascii="Times New Roman" w:hAnsi="Times New Roman" w:cs="Times New Roman"/>
          <w:b/>
          <w:bCs/>
          <w:i/>
          <w:iCs/>
          <w:color w:val="0070C0"/>
          <w:sz w:val="32"/>
          <w:szCs w:val="32"/>
        </w:rPr>
      </w:pPr>
      <w:r w:rsidRPr="00336CE7">
        <w:rPr>
          <w:rFonts w:ascii="Times New Roman" w:hAnsi="Times New Roman" w:cs="Times New Roman"/>
          <w:b/>
          <w:bCs/>
          <w:i/>
          <w:iCs/>
          <w:color w:val="0070C0"/>
          <w:sz w:val="32"/>
          <w:szCs w:val="32"/>
        </w:rPr>
        <w:t>3.2 Research Design and Sampling</w:t>
      </w:r>
    </w:p>
    <w:p w14:paraId="564CC5F6" w14:textId="651DC8AF"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Eight semi-structured interviews were conducted with elderly leasehold property owners in retirement developments in Swansea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xml:space="preserve">. Semi-structured interviews occupy a productive middle ground between the rigidity of structured questionnaires and the open-endedness of unstructured conversations (Bryman, 2016). They allowed participants to share experiences, concerns, and interpretations in their own words — essential for an interpretivist study — while enabling the researcher to ensure that key topics relevant to the research questions were consistently explored across all interviews (Braun and Clarke, 2006). Purposive sampling was employed — the deliberate selection of participants with specific characteristics relevant to the research questions (Patton, 2002). Sampling criteria specified that participants must be aged </w:t>
      </w:r>
      <w:r w:rsidR="006207C6">
        <w:rPr>
          <w:rFonts w:ascii="Times New Roman" w:hAnsi="Times New Roman" w:cs="Times New Roman"/>
          <w:color w:val="000000" w:themeColor="text1"/>
          <w:sz w:val="24"/>
          <w:szCs w:val="24"/>
        </w:rPr>
        <w:t>58</w:t>
      </w:r>
      <w:r>
        <w:rPr>
          <w:rFonts w:ascii="Times New Roman" w:hAnsi="Times New Roman" w:cs="Times New Roman"/>
          <w:color w:val="000000" w:themeColor="text1"/>
          <w:sz w:val="24"/>
          <w:szCs w:val="24"/>
        </w:rPr>
        <w:t xml:space="preserve"> or over, owner-occupiers of leasehold properties with </w:t>
      </w:r>
      <w:r w:rsidR="00E04066">
        <w:rPr>
          <w:rFonts w:ascii="Times New Roman" w:hAnsi="Times New Roman" w:cs="Times New Roman"/>
          <w:color w:val="000000" w:themeColor="text1"/>
          <w:sz w:val="24"/>
          <w:szCs w:val="24"/>
        </w:rPr>
        <w:t>80 to 90</w:t>
      </w:r>
      <w:r>
        <w:rPr>
          <w:rFonts w:ascii="Times New Roman" w:hAnsi="Times New Roman" w:cs="Times New Roman"/>
          <w:color w:val="000000" w:themeColor="text1"/>
          <w:sz w:val="24"/>
          <w:szCs w:val="24"/>
        </w:rPr>
        <w:t xml:space="preserve"> years remaining, and </w:t>
      </w:r>
      <w:r w:rsidR="00445165">
        <w:rPr>
          <w:rFonts w:ascii="Times New Roman" w:hAnsi="Times New Roman" w:cs="Times New Roman"/>
          <w:color w:val="000000" w:themeColor="text1"/>
          <w:sz w:val="24"/>
          <w:szCs w:val="24"/>
        </w:rPr>
        <w:t>residents</w:t>
      </w:r>
      <w:r>
        <w:rPr>
          <w:rFonts w:ascii="Times New Roman" w:hAnsi="Times New Roman" w:cs="Times New Roman"/>
          <w:color w:val="000000" w:themeColor="text1"/>
          <w:sz w:val="24"/>
          <w:szCs w:val="24"/>
        </w:rPr>
        <w:t xml:space="preserve"> in Swansea County. The 80-year threshold is theoretically significant as the point at which marriage value is triggered, substantially increasing the cost of extension and rendering many short-lease properties </w:t>
      </w:r>
      <w:proofErr w:type="spellStart"/>
      <w:r>
        <w:rPr>
          <w:rFonts w:ascii="Times New Roman" w:hAnsi="Times New Roman" w:cs="Times New Roman"/>
          <w:color w:val="000000" w:themeColor="text1"/>
          <w:sz w:val="24"/>
          <w:szCs w:val="24"/>
        </w:rPr>
        <w:t>unmortgageable</w:t>
      </w:r>
      <w:proofErr w:type="spellEnd"/>
      <w:r>
        <w:rPr>
          <w:rFonts w:ascii="Times New Roman" w:hAnsi="Times New Roman" w:cs="Times New Roman"/>
          <w:color w:val="000000" w:themeColor="text1"/>
          <w:sz w:val="24"/>
          <w:szCs w:val="24"/>
        </w:rPr>
        <w:t xml:space="preserve">. Eight interviews reflect the principle that qualitative depth is prioritised over breadth; this sample size is widely considered sufficient for thematic saturation in focused qualitative studies (Guest, Bunce and Johnson, 2006). Participants were recruited through a partnership with a named property management organisation managing later-living residential sites in the target area. This route provided access to a population otherwise difficult to identify through public records and ensured that participants were genuinely in </w:t>
      </w:r>
      <w:r>
        <w:rPr>
          <w:rFonts w:ascii="Times New Roman" w:hAnsi="Times New Roman" w:cs="Times New Roman"/>
          <w:color w:val="000000" w:themeColor="text1"/>
          <w:sz w:val="24"/>
          <w:szCs w:val="24"/>
        </w:rPr>
        <w:lastRenderedPageBreak/>
        <w:t>the relevant tenure category. This route is not neutral: the organisation sits within the same institutional category — managing agents — that the findings later implicate in sustained information withholding, and participants willing to be put forward by their own managing agent may differ systematically from those who are not. This is addressed as a limitation in Section 3.5.</w:t>
      </w:r>
    </w:p>
    <w:p w14:paraId="5322775D" w14:textId="77777777" w:rsidR="00AA7293" w:rsidRPr="00FF7B09" w:rsidRDefault="00AA7293" w:rsidP="002B40D3">
      <w:pPr>
        <w:jc w:val="both"/>
        <w:rPr>
          <w:rFonts w:ascii="Times New Roman" w:hAnsi="Times New Roman" w:cs="Times New Roman"/>
          <w:color w:val="000000" w:themeColor="text1"/>
          <w:sz w:val="24"/>
          <w:szCs w:val="24"/>
        </w:rPr>
      </w:pPr>
    </w:p>
    <w:p w14:paraId="5A5344FC" w14:textId="77777777" w:rsidR="002B40D3" w:rsidRPr="00AA7293" w:rsidRDefault="002B40D3" w:rsidP="002B40D3">
      <w:pPr>
        <w:rPr>
          <w:rFonts w:ascii="Times New Roman" w:hAnsi="Times New Roman" w:cs="Times New Roman"/>
          <w:b/>
          <w:bCs/>
          <w:i/>
          <w:iCs/>
          <w:color w:val="0070C0"/>
          <w:sz w:val="32"/>
          <w:szCs w:val="32"/>
        </w:rPr>
      </w:pPr>
      <w:r w:rsidRPr="00AA7293">
        <w:rPr>
          <w:rFonts w:ascii="Times New Roman" w:hAnsi="Times New Roman" w:cs="Times New Roman"/>
          <w:b/>
          <w:bCs/>
          <w:i/>
          <w:iCs/>
          <w:color w:val="0070C0"/>
          <w:sz w:val="32"/>
          <w:szCs w:val="32"/>
        </w:rPr>
        <w:t>3.3 Data Collection and Analysis</w:t>
      </w:r>
    </w:p>
    <w:p w14:paraId="478A507D" w14:textId="77777777"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Interviews took place at participants' homes or in communal areas of their retirement developments between March and April 2026, lasting between 20 and 30 minutes each. This is a genuine constraint rather than a neutral design choice: 20–30 minutes is short for five topic areas spanning financial detail and emotionally sensitive material, and it necessarily limited the depth achievable within any single theme. The duration was set deliberately, informed by piloting that indicated longer sessions risked fatigue and reduced concentration among older participants. The interview guide was accordingly narrowed to the questions most closely tied to the research aims, prioritising breadth across the topic guide over depth within any one area — a trade-off revisited critically in Section 3.5. All interviews were audio-recorded with explicit prior consent and transcribed verbatim, preserving the precise language, hesitations, and emphases that carry interpretive significance in qualitative data (Braun and Clarke, 2006). The topic guide covered five areas: understanding and advice at the point of purchase; how and when awareness of lease length developed; financial impact (extension costs, service charges, ground rent, saleability); psychological and relational impact, including effects on family members; and awareness of and views on legislative reform.</w:t>
      </w:r>
    </w:p>
    <w:p w14:paraId="203E9631" w14:textId="4626A3D5" w:rsidR="002B40D3" w:rsidRDefault="002B40D3" w:rsidP="002B40D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Data analysis followed the six-phase reflexive thematic analysis framework of Braun and Clarke (2006): familiarisation; initial coding; searching for themes; reviewing themes; defining and naming themes; and producing the report. The analysis was also informed by the realist thematic approach of Wiltshire and Ronkainen (2021) and Fryer (2022), allowing the study to move beyond describing participants' experiences towards understanding the wider structural factors shaping them. Initially, NVivo was intended to support the coding process (Bazeley and Jackson, 2013; </w:t>
      </w:r>
      <w:proofErr w:type="spellStart"/>
      <w:r>
        <w:rPr>
          <w:rFonts w:ascii="Times New Roman" w:hAnsi="Times New Roman" w:cs="Times New Roman"/>
          <w:color w:val="000000" w:themeColor="text1"/>
          <w:sz w:val="24"/>
          <w:szCs w:val="24"/>
        </w:rPr>
        <w:t>Mortelmans</w:t>
      </w:r>
      <w:proofErr w:type="spellEnd"/>
      <w:r>
        <w:rPr>
          <w:rFonts w:ascii="Times New Roman" w:hAnsi="Times New Roman" w:cs="Times New Roman"/>
          <w:color w:val="000000" w:themeColor="text1"/>
          <w:sz w:val="24"/>
          <w:szCs w:val="24"/>
        </w:rPr>
        <w:t xml:space="preserve">, 2025). However, once all eight interviews had been transcribed, it became clear that the dataset was manageable without specialist software. The analysis was therefore completed using a structured Excel spreadsheet, which allowed codes, emerging themes, quotations and analytical notes to be organised clearly in one place. The change was made for practical reasons rather than methodological ones and did not affect the analytical process. The same coding framework, iterative review of themes and audit trail were maintained throughout, ensuring the analysis remained systematic, transparent and consistent with Braun and Clarke's (2006) approach, clarified by Clarke and Braun (2017) and Castleberry and Nolen (2018) on distinguishing codes from themes. Quotes were selected per Lingard (2019) and Ayre and McCaffery (2022) to support interpretation, not merely evidence </w:t>
      </w:r>
      <w:r w:rsidR="00915F99">
        <w:rPr>
          <w:rFonts w:ascii="Times New Roman" w:hAnsi="Times New Roman" w:cs="Times New Roman"/>
          <w:color w:val="000000" w:themeColor="text1"/>
          <w:sz w:val="24"/>
          <w:szCs w:val="24"/>
        </w:rPr>
        <w:t xml:space="preserve">that </w:t>
      </w:r>
      <w:r>
        <w:rPr>
          <w:rFonts w:ascii="Times New Roman" w:hAnsi="Times New Roman" w:cs="Times New Roman"/>
          <w:color w:val="000000" w:themeColor="text1"/>
          <w:sz w:val="24"/>
          <w:szCs w:val="24"/>
        </w:rPr>
        <w:t xml:space="preserve">interviews had occurred. Initial codes were reviewed repeatedly to avoid developing themes too quickly (Polat, 2025; Ahmed et al., 2025). Trustworthiness was strengthened through sustained analytic engagement with the data, thick description and a transparent audit trail following Nowell et al. (2017) and </w:t>
      </w:r>
      <w:proofErr w:type="spellStart"/>
      <w:r>
        <w:rPr>
          <w:rFonts w:ascii="Times New Roman" w:hAnsi="Times New Roman" w:cs="Times New Roman"/>
          <w:color w:val="000000" w:themeColor="text1"/>
          <w:sz w:val="24"/>
          <w:szCs w:val="24"/>
        </w:rPr>
        <w:t>Sandelowski</w:t>
      </w:r>
      <w:proofErr w:type="spellEnd"/>
      <w:r>
        <w:rPr>
          <w:rFonts w:ascii="Times New Roman" w:hAnsi="Times New Roman" w:cs="Times New Roman"/>
          <w:color w:val="000000" w:themeColor="text1"/>
          <w:sz w:val="24"/>
          <w:szCs w:val="24"/>
        </w:rPr>
        <w:t xml:space="preserve"> (1986); given the </w:t>
      </w:r>
      <w:r>
        <w:rPr>
          <w:rFonts w:ascii="Times New Roman" w:hAnsi="Times New Roman" w:cs="Times New Roman"/>
          <w:color w:val="000000" w:themeColor="text1"/>
          <w:sz w:val="24"/>
          <w:szCs w:val="24"/>
        </w:rPr>
        <w:lastRenderedPageBreak/>
        <w:t>short individual interviews, this engagement was concentrated in the analysis phase rather than in prolonged fieldwork.</w:t>
      </w:r>
    </w:p>
    <w:p w14:paraId="1C1493EB" w14:textId="77777777" w:rsidR="002B40D3" w:rsidRPr="00FE682C" w:rsidRDefault="002B40D3" w:rsidP="002B40D3">
      <w:pPr>
        <w:rPr>
          <w:rFonts w:ascii="Times New Roman" w:hAnsi="Times New Roman" w:cs="Times New Roman"/>
          <w:color w:val="000000" w:themeColor="text1"/>
          <w:sz w:val="32"/>
          <w:szCs w:val="32"/>
        </w:rPr>
      </w:pPr>
    </w:p>
    <w:p w14:paraId="5C7B6819" w14:textId="77777777" w:rsidR="002B40D3" w:rsidRPr="00FE682C" w:rsidRDefault="002B40D3" w:rsidP="002B40D3">
      <w:pPr>
        <w:rPr>
          <w:rFonts w:ascii="Times New Roman" w:hAnsi="Times New Roman" w:cs="Times New Roman"/>
          <w:b/>
          <w:bCs/>
          <w:i/>
          <w:iCs/>
          <w:color w:val="0070C0"/>
          <w:sz w:val="32"/>
          <w:szCs w:val="32"/>
        </w:rPr>
      </w:pPr>
      <w:r w:rsidRPr="00FE682C">
        <w:rPr>
          <w:rFonts w:ascii="Times New Roman" w:hAnsi="Times New Roman" w:cs="Times New Roman"/>
          <w:b/>
          <w:bCs/>
          <w:i/>
          <w:iCs/>
          <w:color w:val="0070C0"/>
          <w:sz w:val="32"/>
          <w:szCs w:val="32"/>
        </w:rPr>
        <w:t>3.4 Ethical Considerations</w:t>
      </w:r>
    </w:p>
    <w:p w14:paraId="05557D19"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Institutional review board (IRB) approval was obtained before data collection commenced, in accordance with the British Psychological Society Code of Human Research Ethics (BPS, 2021), which stipulates adherence to the principles of respect for persons, beneficence, non-maleficence, and justice. Informed consent was obtained from every participant, with explicit written assurance that participation was entirely voluntary, that non-participation carried no consequences, and that participants could withdraw at any point without giving a reason. Given the recruitment route through a property management organisation, particular care was taken to ensure participants did not feel socially obligated to participate. Participants were assigned pseudonymous codes (P1 to P8) and all identifying details — specific property addresses, names of family members, or other information that could enable identification — were removed from transcripts and findings. Data are stored securely under UK GDPR, accessible only to the researcher. Audio recordings were deleted following transcription verification. Given that discussion of financial vulnerability in later life could be distressing, the interview guide proceeded from less to more sensitive topics, and the researcher remained attentive to signs of distress throughout. Signposting to the Leasehold Advisory Service (LEASE) was provided after each interview.</w:t>
      </w:r>
    </w:p>
    <w:p w14:paraId="6F24333D" w14:textId="77777777" w:rsidR="00C14173" w:rsidRPr="00FF7B09" w:rsidRDefault="00C14173" w:rsidP="002B40D3">
      <w:pPr>
        <w:jc w:val="both"/>
        <w:rPr>
          <w:rFonts w:ascii="Times New Roman" w:hAnsi="Times New Roman" w:cs="Times New Roman"/>
          <w:color w:val="000000" w:themeColor="text1"/>
          <w:sz w:val="24"/>
          <w:szCs w:val="24"/>
        </w:rPr>
      </w:pPr>
    </w:p>
    <w:p w14:paraId="3BACDEC8" w14:textId="77777777" w:rsidR="002B40D3" w:rsidRPr="00C14173" w:rsidRDefault="002B40D3" w:rsidP="002B40D3">
      <w:pPr>
        <w:rPr>
          <w:rFonts w:ascii="Times New Roman" w:hAnsi="Times New Roman" w:cs="Times New Roman"/>
          <w:b/>
          <w:bCs/>
          <w:i/>
          <w:iCs/>
          <w:color w:val="0070C0"/>
          <w:sz w:val="32"/>
          <w:szCs w:val="32"/>
        </w:rPr>
      </w:pPr>
      <w:r w:rsidRPr="00C14173">
        <w:rPr>
          <w:rFonts w:ascii="Times New Roman" w:hAnsi="Times New Roman" w:cs="Times New Roman"/>
          <w:b/>
          <w:bCs/>
          <w:i/>
          <w:iCs/>
          <w:color w:val="0070C0"/>
          <w:sz w:val="32"/>
          <w:szCs w:val="32"/>
        </w:rPr>
        <w:t>3.5 Limitations</w:t>
      </w:r>
    </w:p>
    <w:p w14:paraId="71EB690F"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purposive sample of eight participants from a defined geographical area cannot be statistically generalised to the full population of elderly leaseholders in Wales (Patton, 2002). Qualitative research does not seek such generalisation, but the reader should be aware that the experiences documented may not be representative of elderly leaseholders in other parts of Wales — particularly rural areas or Welsh-speaking communities with different demographic and housing market characteristics. Recruitment via a single property management company may over-represent residents of purpose-built retirement developments relative to elderly leaseholders in general residential blocks, and — as noted in Section 3.2 — the fact that this organisation is itself a managing agent means the sample may be skewed towards participants it was willing to put forward, rather than a full cross-section of residents' experience; this cannot be verified from the data available. A related limitation is that all eight participants converged on every theme, with no disconfirming case. This may reflect a genuinely uniform structural condition, but it may equally reflect the narrowing effects of recruitment route, short interview duration, and the researcher's own thematic expectations shaping which material was pursued in each conversation; the data available do not allow these possibilities to be disentangled. Self-reported data is subject to memory limitations and social desirability effects (Marczyk, DeMatteo and Festinger, 2005); the complexity of leasehold documentation may also affect the accuracy and completeness of participants' accounts of their financial circumstances. These </w:t>
      </w:r>
      <w:r>
        <w:rPr>
          <w:rFonts w:ascii="Times New Roman" w:hAnsi="Times New Roman" w:cs="Times New Roman"/>
          <w:color w:val="000000" w:themeColor="text1"/>
          <w:sz w:val="24"/>
          <w:szCs w:val="24"/>
        </w:rPr>
        <w:lastRenderedPageBreak/>
        <w:t>limitations do not invalidate the findings but appropriately bound their scope and inform the directions for future research set out in Chapter 5.</w:t>
      </w:r>
    </w:p>
    <w:p w14:paraId="6F2A4C72" w14:textId="77777777" w:rsidR="002B40D3" w:rsidRPr="009D6442" w:rsidRDefault="002B40D3" w:rsidP="002B40D3">
      <w:pPr>
        <w:jc w:val="both"/>
        <w:rPr>
          <w:rFonts w:ascii="Times New Roman" w:hAnsi="Times New Roman" w:cs="Times New Roman"/>
          <w:b/>
          <w:bCs/>
          <w:i/>
          <w:iCs/>
          <w:color w:val="0070C0"/>
          <w:sz w:val="40"/>
          <w:szCs w:val="40"/>
        </w:rPr>
      </w:pPr>
    </w:p>
    <w:p w14:paraId="44C3B61D" w14:textId="77777777" w:rsidR="002B40D3" w:rsidRPr="00B00B02" w:rsidRDefault="002B40D3" w:rsidP="002B40D3">
      <w:pPr>
        <w:rPr>
          <w:rFonts w:ascii="Times New Roman" w:hAnsi="Times New Roman" w:cs="Times New Roman"/>
          <w:b/>
          <w:bCs/>
          <w:i/>
          <w:iCs/>
          <w:color w:val="0070C0"/>
          <w:sz w:val="32"/>
          <w:szCs w:val="32"/>
        </w:rPr>
      </w:pPr>
      <w:r w:rsidRPr="00B00B02">
        <w:rPr>
          <w:rFonts w:ascii="Times New Roman" w:hAnsi="Times New Roman" w:cs="Times New Roman"/>
          <w:b/>
          <w:bCs/>
          <w:i/>
          <w:iCs/>
          <w:color w:val="0070C0"/>
          <w:sz w:val="32"/>
          <w:szCs w:val="32"/>
        </w:rPr>
        <w:t>3.6 Conclusion</w:t>
      </w:r>
    </w:p>
    <w:p w14:paraId="232E4463" w14:textId="77777777" w:rsidR="002B40D3" w:rsidRPr="009D6442" w:rsidRDefault="002B40D3" w:rsidP="002B40D3">
      <w:pPr>
        <w:rPr>
          <w:rFonts w:ascii="Times New Roman" w:hAnsi="Times New Roman" w:cs="Times New Roman"/>
          <w:b/>
          <w:bCs/>
          <w:i/>
          <w:iCs/>
          <w:color w:val="0070C0"/>
          <w:sz w:val="40"/>
          <w:szCs w:val="40"/>
        </w:rPr>
        <w:sectPr w:rsidR="002B40D3" w:rsidRPr="009D6442" w:rsidSect="002B40D3">
          <w:pgSz w:w="11906" w:h="16838"/>
          <w:pgMar w:top="1440" w:right="1440" w:bottom="1440" w:left="1800" w:header="708" w:footer="708" w:gutter="0"/>
          <w:cols w:space="720"/>
          <w:docGrid w:linePitch="360"/>
        </w:sectPr>
      </w:pPr>
      <w:r>
        <w:rPr>
          <w:rFonts w:ascii="Times New Roman" w:hAnsi="Times New Roman" w:cs="Times New Roman"/>
          <w:color w:val="000000" w:themeColor="text1"/>
          <w:sz w:val="24"/>
          <w:szCs w:val="24"/>
        </w:rPr>
        <w:t xml:space="preserve">This chapter has explained and justified the methodological approach used to explore the financial and housing security implications of short leasehold tenure for older homeowners in Swansea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xml:space="preserve">. An interpretivist approach, combined with purposive sampling, semi-structured interviews and reflexive thematic analysis, provided a suitable framework for understanding </w:t>
      </w:r>
      <w:proofErr w:type="gramStart"/>
      <w:r>
        <w:rPr>
          <w:rFonts w:ascii="Times New Roman" w:hAnsi="Times New Roman" w:cs="Times New Roman"/>
          <w:color w:val="000000" w:themeColor="text1"/>
          <w:sz w:val="24"/>
          <w:szCs w:val="24"/>
        </w:rPr>
        <w:t>participants'</w:t>
      </w:r>
      <w:proofErr w:type="gramEnd"/>
      <w:r>
        <w:rPr>
          <w:rFonts w:ascii="Times New Roman" w:hAnsi="Times New Roman" w:cs="Times New Roman"/>
          <w:color w:val="000000" w:themeColor="text1"/>
          <w:sz w:val="24"/>
          <w:szCs w:val="24"/>
        </w:rPr>
        <w:t xml:space="preserve"> lived experiences. Ethical considerations and the study's limitations have also been discussed to provide transparency about the research process and the scope of the findings. The next chapter presents the themes that emerged from the analysis and considers their significance in relation to the existing literature and the research questions.</w:t>
      </w:r>
    </w:p>
    <w:p w14:paraId="4102593D" w14:textId="0A2D18F6" w:rsidR="002B40D3" w:rsidRDefault="002B40D3" w:rsidP="002B40D3">
      <w:pPr>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Chapter 4</w:t>
      </w:r>
      <w:r w:rsidR="00643FE5">
        <w:rPr>
          <w:rFonts w:ascii="Times New Roman" w:hAnsi="Times New Roman" w:cs="Times New Roman"/>
          <w:b/>
          <w:bCs/>
          <w:i/>
          <w:iCs/>
          <w:color w:val="0070C0"/>
          <w:sz w:val="40"/>
          <w:szCs w:val="40"/>
        </w:rPr>
        <w:t xml:space="preserve"> -</w:t>
      </w:r>
      <w:r>
        <w:rPr>
          <w:rFonts w:ascii="Times New Roman" w:hAnsi="Times New Roman" w:cs="Times New Roman"/>
          <w:b/>
          <w:bCs/>
          <w:i/>
          <w:iCs/>
          <w:color w:val="0070C0"/>
          <w:sz w:val="40"/>
          <w:szCs w:val="40"/>
        </w:rPr>
        <w:t xml:space="preserve"> Findings and Discussion</w:t>
      </w:r>
    </w:p>
    <w:p w14:paraId="2E03F120" w14:textId="77777777" w:rsidR="00406DC4" w:rsidRPr="009D6442" w:rsidRDefault="00406DC4" w:rsidP="002B40D3">
      <w:pPr>
        <w:rPr>
          <w:rFonts w:ascii="Times New Roman" w:hAnsi="Times New Roman" w:cs="Times New Roman"/>
          <w:b/>
          <w:bCs/>
          <w:i/>
          <w:iCs/>
          <w:color w:val="0070C0"/>
          <w:sz w:val="40"/>
          <w:szCs w:val="40"/>
        </w:rPr>
      </w:pPr>
    </w:p>
    <w:p w14:paraId="122659BF" w14:textId="77777777" w:rsidR="002B40D3" w:rsidRPr="00643FE5" w:rsidRDefault="002B40D3" w:rsidP="002B40D3">
      <w:pPr>
        <w:rPr>
          <w:rFonts w:ascii="Times New Roman" w:hAnsi="Times New Roman" w:cs="Times New Roman"/>
          <w:b/>
          <w:bCs/>
          <w:i/>
          <w:iCs/>
          <w:color w:val="0070C0"/>
          <w:sz w:val="32"/>
          <w:szCs w:val="32"/>
        </w:rPr>
      </w:pPr>
      <w:r w:rsidRPr="00643FE5">
        <w:rPr>
          <w:rFonts w:ascii="Times New Roman" w:hAnsi="Times New Roman" w:cs="Times New Roman"/>
          <w:b/>
          <w:bCs/>
          <w:i/>
          <w:iCs/>
          <w:color w:val="0070C0"/>
          <w:sz w:val="32"/>
          <w:szCs w:val="32"/>
        </w:rPr>
        <w:t>4.1 Introduction</w:t>
      </w:r>
    </w:p>
    <w:p w14:paraId="644DAD08"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chapter presents findings from eight semi-structured interviews analysed using the six-phase reflexive thematic analysis framework of Braun and Clarke (2006). Trustworthiness was established through sustained analytic engagement, thick description, and an audit trail in accordance with Nowell et al. (2017) and </w:t>
      </w:r>
      <w:proofErr w:type="spellStart"/>
      <w:r>
        <w:rPr>
          <w:rFonts w:ascii="Times New Roman" w:hAnsi="Times New Roman" w:cs="Times New Roman"/>
          <w:color w:val="000000" w:themeColor="text1"/>
          <w:sz w:val="24"/>
          <w:szCs w:val="24"/>
        </w:rPr>
        <w:t>Sandelowski</w:t>
      </w:r>
      <w:proofErr w:type="spellEnd"/>
      <w:r>
        <w:rPr>
          <w:rFonts w:ascii="Times New Roman" w:hAnsi="Times New Roman" w:cs="Times New Roman"/>
          <w:color w:val="000000" w:themeColor="text1"/>
          <w:sz w:val="24"/>
          <w:szCs w:val="24"/>
        </w:rPr>
        <w:t xml:space="preserve"> (1986), and care was taken — following Polat (2025) and Ahmed et al. (2025) — to avoid treating initial codes as fully formed themes. Quotes were selected in accordance with Lingard (2019) to illuminate analysis rather than merely confirm that interviews occurred. All participants are anonymised as P1 to P8.</w:t>
      </w:r>
    </w:p>
    <w:p w14:paraId="618C9CA2" w14:textId="77777777" w:rsidR="00546C8D" w:rsidRPr="00FF7B09" w:rsidRDefault="00546C8D" w:rsidP="002B40D3">
      <w:pPr>
        <w:jc w:val="both"/>
        <w:rPr>
          <w:rFonts w:ascii="Times New Roman" w:hAnsi="Times New Roman" w:cs="Times New Roman"/>
          <w:color w:val="000000" w:themeColor="text1"/>
          <w:sz w:val="24"/>
          <w:szCs w:val="24"/>
        </w:rPr>
      </w:pPr>
    </w:p>
    <w:p w14:paraId="12F3F209" w14:textId="77777777" w:rsidR="002B40D3" w:rsidRPr="00546C8D" w:rsidRDefault="002B40D3" w:rsidP="002B40D3">
      <w:pPr>
        <w:rPr>
          <w:rFonts w:ascii="Times New Roman" w:hAnsi="Times New Roman" w:cs="Times New Roman"/>
          <w:b/>
          <w:bCs/>
          <w:i/>
          <w:iCs/>
          <w:color w:val="0070C0"/>
          <w:sz w:val="32"/>
          <w:szCs w:val="32"/>
        </w:rPr>
      </w:pPr>
      <w:r w:rsidRPr="00546C8D">
        <w:rPr>
          <w:rFonts w:ascii="Times New Roman" w:hAnsi="Times New Roman" w:cs="Times New Roman"/>
          <w:b/>
          <w:bCs/>
          <w:i/>
          <w:iCs/>
          <w:color w:val="0070C0"/>
          <w:sz w:val="32"/>
          <w:szCs w:val="32"/>
        </w:rPr>
        <w:t>4.2 Theme One: Information Failure at the Point of Purchase</w:t>
      </w:r>
    </w:p>
    <w:p w14:paraId="33990CDA" w14:textId="77777777"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All eight participants reported that the implications of leasehold ownership — particularly the financial consequences of a diminishing lease — were inadequately communicated at the point of sale. This corroborates Carr et al. (2021), who found 89% of Welsh leaseholders reported no solicitor explanation of the leasehold/freehold distinction at purchase. None of the participants left conveyancing understanding the 80-year threshold, marriage value, or likely extension costs. Solicitors and estate agents were described as brisk, reliant on technical language, or entirely focused on lifestyle benefits rather than legal risk. Several participants felt too intimidated to seek clarification — an inhibition reflecting the structural power relations within the conveyancing encounter rather than individual timidity (Creswell, 2013; Saunders et al., 2023), and one that had to be actively countered during the interview.</w:t>
      </w:r>
    </w:p>
    <w:p w14:paraId="118EC8E9" w14:textId="77777777"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'Nobody sat me down and said, now listen, this is fundamentally different from owning a house. They just handed me a pile of paperwork, and I signed it.' (P1)</w:t>
      </w:r>
    </w:p>
    <w:p w14:paraId="2DBE5196" w14:textId="77777777"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remember signing things and feeling that I ought to understand them better than I </w:t>
      </w:r>
      <w:proofErr w:type="gramStart"/>
      <w:r>
        <w:rPr>
          <w:rFonts w:ascii="Times New Roman" w:hAnsi="Times New Roman" w:cs="Times New Roman"/>
          <w:color w:val="000000" w:themeColor="text1"/>
          <w:sz w:val="24"/>
          <w:szCs w:val="24"/>
        </w:rPr>
        <w:t>did, but</w:t>
      </w:r>
      <w:proofErr w:type="gramEnd"/>
      <w:r>
        <w:rPr>
          <w:rFonts w:ascii="Times New Roman" w:hAnsi="Times New Roman" w:cs="Times New Roman"/>
          <w:color w:val="000000" w:themeColor="text1"/>
          <w:sz w:val="24"/>
          <w:szCs w:val="24"/>
        </w:rPr>
        <w:t xml:space="preserve"> not wanting to hold things up or seem difficult.' (P8)</w:t>
      </w:r>
    </w:p>
    <w:p w14:paraId="794CB125"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Participant 5 had consciously accepted leasehold risk at purchase, judging property suitability to outweigh legal uncertainty. However, she was not informed of specific mechanisms — ground rent escalation clauses, permission fees, inheritance liability — that subsequently materialised. This demonstrates that risk acceptance in principle is not equivalent to disclosure in practice, a distinction with direct implications for how conveyancing obligations in Wales should be framed: the regulatory standard required is not merely awareness that leasehold carries risk, but disclosure of the specific financial mechanics in sufficient detail to enable genuinely informed decision-making. Participant 6, a retired NHS nurse accustomed to professional accountability, resisted framing her experience as professional failure, yet her substantive situation was structurally identical to that of participants who experienced the gap as active betrayal. As </w:t>
      </w:r>
      <w:proofErr w:type="spellStart"/>
      <w:r>
        <w:rPr>
          <w:rFonts w:ascii="Times New Roman" w:hAnsi="Times New Roman" w:cs="Times New Roman"/>
          <w:color w:val="000000" w:themeColor="text1"/>
          <w:sz w:val="24"/>
          <w:szCs w:val="24"/>
        </w:rPr>
        <w:t>Vaismoradi</w:t>
      </w:r>
      <w:proofErr w:type="spellEnd"/>
      <w:r>
        <w:rPr>
          <w:rFonts w:ascii="Times New Roman" w:hAnsi="Times New Roman" w:cs="Times New Roman"/>
          <w:color w:val="000000" w:themeColor="text1"/>
          <w:sz w:val="24"/>
          <w:szCs w:val="24"/>
        </w:rPr>
        <w:t xml:space="preserve"> and Snelgrove (2019) note, the same theme can be expressed through contrasting surface </w:t>
      </w:r>
      <w:r>
        <w:rPr>
          <w:rFonts w:ascii="Times New Roman" w:hAnsi="Times New Roman" w:cs="Times New Roman"/>
          <w:color w:val="000000" w:themeColor="text1"/>
          <w:sz w:val="24"/>
          <w:szCs w:val="24"/>
        </w:rPr>
        <w:lastRenderedPageBreak/>
        <w:t>narratives; the analytical task is to identify the underlying pattern, which here is consistent: critical information was withheld regardless of how that withholding was subsequently interpreted.</w:t>
      </w:r>
    </w:p>
    <w:p w14:paraId="6D391A5F" w14:textId="77777777" w:rsidR="009B6F07" w:rsidRPr="009B6F07" w:rsidRDefault="009B6F07" w:rsidP="002B40D3">
      <w:pPr>
        <w:jc w:val="both"/>
        <w:rPr>
          <w:rFonts w:ascii="Times New Roman" w:hAnsi="Times New Roman" w:cs="Times New Roman"/>
          <w:color w:val="000000" w:themeColor="text1"/>
          <w:sz w:val="32"/>
          <w:szCs w:val="32"/>
        </w:rPr>
      </w:pPr>
    </w:p>
    <w:p w14:paraId="0E34C77D" w14:textId="77777777" w:rsidR="002B40D3" w:rsidRPr="009B6F07" w:rsidRDefault="002B40D3" w:rsidP="002B40D3">
      <w:pPr>
        <w:rPr>
          <w:rFonts w:ascii="Times New Roman" w:hAnsi="Times New Roman" w:cs="Times New Roman"/>
          <w:b/>
          <w:bCs/>
          <w:i/>
          <w:iCs/>
          <w:color w:val="0070C0"/>
          <w:sz w:val="32"/>
          <w:szCs w:val="32"/>
        </w:rPr>
      </w:pPr>
      <w:r w:rsidRPr="009B6F07">
        <w:rPr>
          <w:rFonts w:ascii="Times New Roman" w:hAnsi="Times New Roman" w:cs="Times New Roman"/>
          <w:b/>
          <w:bCs/>
          <w:i/>
          <w:iCs/>
          <w:color w:val="0070C0"/>
          <w:sz w:val="32"/>
          <w:szCs w:val="32"/>
        </w:rPr>
        <w:t>4.3 Theme Two: Belated and Accidental Discovery</w:t>
      </w:r>
    </w:p>
    <w:p w14:paraId="19D5C162" w14:textId="24F4A418"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Not one participant was proactively informed of lease-related concerns by any professional, managing agent, or institutional channel. Awareness arrived in every case accidentally: through a neighbour's </w:t>
      </w:r>
      <w:r w:rsidR="00CD36EF">
        <w:rPr>
          <w:rFonts w:ascii="Times New Roman" w:hAnsi="Times New Roman" w:cs="Times New Roman"/>
          <w:color w:val="000000" w:themeColor="text1"/>
          <w:sz w:val="24"/>
          <w:szCs w:val="24"/>
        </w:rPr>
        <w:t xml:space="preserve">buyer's </w:t>
      </w:r>
      <w:r>
        <w:rPr>
          <w:rFonts w:ascii="Times New Roman" w:hAnsi="Times New Roman" w:cs="Times New Roman"/>
          <w:color w:val="000000" w:themeColor="text1"/>
          <w:sz w:val="24"/>
          <w:szCs w:val="24"/>
        </w:rPr>
        <w:t>failed mortgage application (P1, P4); an adult child's internet research (P3, P6, P8); self-directed reading following an unrelated enquiry (P2, P5); or a sudden ground rent increase (P5, P7). Managing agents had corresponded with participants for periods ranging from 18 months to 14 years without once raising the subject of lease length. Participant 7 did not know the length of his lease after 14 years of residence. This extended ignorance is not a peripheral finding; it is precisely the kind of embedded structural condition that qualitative methods are uniquely equipped to surface, as Ahmed et al. (2025) note in their discussion of thematic analysis in qualitative health research.</w:t>
      </w:r>
    </w:p>
    <w:p w14:paraId="38687E34" w14:textId="77777777" w:rsidR="002B40D3" w:rsidRPr="00FF7B09"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'Not once in eleven years. Not the warden, not the management company, not anyone from the freeholder. The silence has cost me.' (P8)</w:t>
      </w:r>
    </w:p>
    <w:p w14:paraId="1BBE742C"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Participant 8's situation was particularly acute: at 85 and recently widowed at the time of purchase, her understanding of the transaction was mediated entirely through her son, who later discovered via the internet that her lease had fallen below the 80-year threshold eleven years after purchase. This proxy model of discovery raises important questions about conveyancing obligations where purchasers are elderly, recently bereaved, or cognitively limited — a dimension entirely absent from the existing Welsh policy literature reviewed in Chapter 2. More broadly, this finding points to a significant and unaddressed regulatory gap: the absence of any ongoing professional obligation to notify leaseholders of deteriorating lease length, a gap that is particularly harmful for elderly residents who may have neither the knowledge nor the capacity to seek out this information independently.</w:t>
      </w:r>
    </w:p>
    <w:p w14:paraId="31AA1542" w14:textId="77777777" w:rsidR="007D2A2A" w:rsidRPr="00FF7B09" w:rsidRDefault="007D2A2A" w:rsidP="002B40D3">
      <w:pPr>
        <w:jc w:val="both"/>
        <w:rPr>
          <w:rFonts w:ascii="Times New Roman" w:hAnsi="Times New Roman" w:cs="Times New Roman"/>
          <w:color w:val="000000" w:themeColor="text1"/>
          <w:sz w:val="24"/>
          <w:szCs w:val="24"/>
        </w:rPr>
      </w:pPr>
    </w:p>
    <w:p w14:paraId="747B894F" w14:textId="77777777" w:rsidR="002B40D3" w:rsidRPr="007D2A2A" w:rsidRDefault="002B40D3" w:rsidP="002B40D3">
      <w:pPr>
        <w:rPr>
          <w:rFonts w:ascii="Times New Roman" w:hAnsi="Times New Roman" w:cs="Times New Roman"/>
          <w:b/>
          <w:bCs/>
          <w:i/>
          <w:iCs/>
          <w:color w:val="0070C0"/>
          <w:sz w:val="32"/>
          <w:szCs w:val="32"/>
        </w:rPr>
      </w:pPr>
      <w:r w:rsidRPr="007D2A2A">
        <w:rPr>
          <w:rFonts w:ascii="Times New Roman" w:hAnsi="Times New Roman" w:cs="Times New Roman"/>
          <w:b/>
          <w:bCs/>
          <w:i/>
          <w:iCs/>
          <w:color w:val="0070C0"/>
          <w:sz w:val="32"/>
          <w:szCs w:val="32"/>
        </w:rPr>
        <w:t>4.4 Theme Three: Financial Insecurity and Eroded Asset Value</w:t>
      </w:r>
    </w:p>
    <w:p w14:paraId="424F86EC"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All eight participants had purchased their properties as retirement assets intended to fund care costs or constitute a family legacy. This directly reflects Ageing Better (2020): housing wealth is frequently the primary asset of older people, and tenure volatility has a direct impact on financial resilience in retirement. For the participants at or below the 80-year threshold, lease extension costs were informally quoted in the range of £12,000 to £20,000, inclusive of freeholder legal costs payable by the leaseholder. The financial modelling of Andrew and Culley (2024) predicted precisely this non-linear cost escalation below the 80-year threshold; the present interviews give that modelling a human face for this subgroup, while the remaining participants — not yet at the threshold — described escalating service charges and event fees as their more immediate concern.</w:t>
      </w:r>
    </w:p>
    <w:p w14:paraId="7FF7E2DF"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feels like a trap. I did everything right — I bought a property, I paid my service charges, I looked after the place — and yet I'm still facing this.' (P1)</w:t>
      </w:r>
    </w:p>
    <w:p w14:paraId="63C78EBA"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'He mentioned figures in the region of fifteen to twenty thousand pounds, and I felt quite faint when I heard that. I don't have that kind of money sitting in a bank account.' (P8)</w:t>
      </w:r>
    </w:p>
    <w:p w14:paraId="79BB7060"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Participants 3 and 8 had both fallen below the 80-year threshold, triggering marriage value and substantially increasing extension costs. Both had purchased with cash, meaning mortgage lender requirements had not served as an early warning — a finding that points to the </w:t>
      </w:r>
      <w:proofErr w:type="gramStart"/>
      <w:r>
        <w:rPr>
          <w:rFonts w:ascii="Times New Roman" w:hAnsi="Times New Roman" w:cs="Times New Roman"/>
          <w:color w:val="000000" w:themeColor="text1"/>
          <w:sz w:val="24"/>
          <w:szCs w:val="24"/>
        </w:rPr>
        <w:t>particular vulnerability</w:t>
      </w:r>
      <w:proofErr w:type="gramEnd"/>
      <w:r>
        <w:rPr>
          <w:rFonts w:ascii="Times New Roman" w:hAnsi="Times New Roman" w:cs="Times New Roman"/>
          <w:color w:val="000000" w:themeColor="text1"/>
          <w:sz w:val="24"/>
          <w:szCs w:val="24"/>
        </w:rPr>
        <w:t xml:space="preserve"> of cash buyers, who lack the institutional safeguards that lender-imposed lease requirements would otherwise provide. Participant 5 had advised her children to sell the property as quickly as possible after her death — framing it not as an asset to be inherited but as a liability to be disposed of. This reframing from asset to liability represents the outer limit of eroded value: a retirement property purchased to provide security has become a source of anxiety to be offloaded as swiftly as possible. This has no equivalent in the existing literature. Participant 7, paying over £6,000 per year in service charges and identifying linked-company procurement structures and unjustified repeated charges as a primary grievance, pointed to managing agent regulation as a reform </w:t>
      </w:r>
      <w:proofErr w:type="gramStart"/>
      <w:r>
        <w:rPr>
          <w:rFonts w:ascii="Times New Roman" w:hAnsi="Times New Roman" w:cs="Times New Roman"/>
          <w:color w:val="000000" w:themeColor="text1"/>
          <w:sz w:val="24"/>
          <w:szCs w:val="24"/>
        </w:rPr>
        <w:t>priority in its own right, distinct</w:t>
      </w:r>
      <w:proofErr w:type="gramEnd"/>
      <w:r>
        <w:rPr>
          <w:rFonts w:ascii="Times New Roman" w:hAnsi="Times New Roman" w:cs="Times New Roman"/>
          <w:color w:val="000000" w:themeColor="text1"/>
          <w:sz w:val="24"/>
          <w:szCs w:val="24"/>
        </w:rPr>
        <w:t xml:space="preserve"> from and additional to the lease length problem. The compounding of these multiple financial burdens — extension costs, service charges, event fees, and ground rent escalation — represents a cumulative picture substantially more demanding than participants anticipated at purchase, and substantially more complex than any single strand of the existing literature captures.</w:t>
      </w:r>
    </w:p>
    <w:p w14:paraId="16DF0D29" w14:textId="77777777" w:rsidR="003C6394" w:rsidRPr="00C81F5E" w:rsidRDefault="003C6394" w:rsidP="002B40D3">
      <w:pPr>
        <w:jc w:val="both"/>
        <w:rPr>
          <w:rFonts w:ascii="Times New Roman" w:hAnsi="Times New Roman" w:cs="Times New Roman"/>
          <w:color w:val="000000" w:themeColor="text1"/>
          <w:sz w:val="24"/>
          <w:szCs w:val="24"/>
        </w:rPr>
      </w:pPr>
    </w:p>
    <w:p w14:paraId="26D307EA" w14:textId="77777777" w:rsidR="002B40D3" w:rsidRPr="003C6394" w:rsidRDefault="002B40D3" w:rsidP="002B40D3">
      <w:pPr>
        <w:rPr>
          <w:rFonts w:ascii="Times New Roman" w:hAnsi="Times New Roman" w:cs="Times New Roman"/>
          <w:b/>
          <w:bCs/>
          <w:i/>
          <w:iCs/>
          <w:color w:val="0070C0"/>
          <w:sz w:val="32"/>
          <w:szCs w:val="32"/>
        </w:rPr>
      </w:pPr>
      <w:r w:rsidRPr="003C6394">
        <w:rPr>
          <w:rFonts w:ascii="Times New Roman" w:hAnsi="Times New Roman" w:cs="Times New Roman"/>
          <w:b/>
          <w:bCs/>
          <w:i/>
          <w:iCs/>
          <w:color w:val="0070C0"/>
          <w:sz w:val="32"/>
          <w:szCs w:val="32"/>
        </w:rPr>
        <w:t>4.5 Theme Four: Psychological Burden and Powerlessness</w:t>
      </w:r>
    </w:p>
    <w:p w14:paraId="08E36B5C"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All eight participants described a persistent psychological toll alongside the financial dimension. A consistent finding — emerging independently across all eight interviews in strikingly similar language — was the reappraisal of leasehold as a conditional and diminishing form of ownership, qualitatively different from the freehold tenure most had previously held. This convergence across diverse participants lends the theme particular analytical weight. As Saunders et al. (2023) observe, a theme's significance depends on its centrality to the research question rather than frequency alone — a position consistent with Braun and Clarke (2006); here, the reappraisal of ownership satisfies both criteria.</w:t>
      </w:r>
    </w:p>
    <w:p w14:paraId="179A699D"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would describe it as conditional ownership. You own the space inside your flat for a fixed and diminishing </w:t>
      </w:r>
      <w:proofErr w:type="gramStart"/>
      <w:r>
        <w:rPr>
          <w:rFonts w:ascii="Times New Roman" w:hAnsi="Times New Roman" w:cs="Times New Roman"/>
          <w:color w:val="000000" w:themeColor="text1"/>
          <w:sz w:val="24"/>
          <w:szCs w:val="24"/>
        </w:rPr>
        <w:t>period of time</w:t>
      </w:r>
      <w:proofErr w:type="gramEnd"/>
      <w:r>
        <w:rPr>
          <w:rFonts w:ascii="Times New Roman" w:hAnsi="Times New Roman" w:cs="Times New Roman"/>
          <w:color w:val="000000" w:themeColor="text1"/>
          <w:sz w:val="24"/>
          <w:szCs w:val="24"/>
        </w:rPr>
        <w:t>, subject to conditions set by someone else, with costs determined by someone else.' (P3)</w:t>
      </w:r>
    </w:p>
    <w:p w14:paraId="19D26090"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'It's like owning something with an asterisk. You own it, but there are conditions, and those conditions are set by someone you've never met and have very little leverage over.' (P4)</w:t>
      </w:r>
    </w:p>
    <w:p w14:paraId="36CF3474"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Participant 8 was the most acutely distressed, using the word 'frightened' and describing feeling 'very small' and 'very helpless.' She also repeatedly expressed guilt about the time her son spent managing her lease affairs — a redistribution of burden onto family caregivers representing a hidden relational cost of leasehold insecurity rarely captured in financial analyses. Participant 7 described collective resignation among neighbours: 'just shut up and pay up.' Participant 6, a retired nurse accustomed to advocacy, objected not that she could not fight the system, but that she should not have to — a principled objection reflecting not powerlessness but the additional and unjust demand placed on people who should, by this </w:t>
      </w:r>
      <w:r>
        <w:rPr>
          <w:rFonts w:ascii="Times New Roman" w:hAnsi="Times New Roman" w:cs="Times New Roman"/>
          <w:color w:val="000000" w:themeColor="text1"/>
          <w:sz w:val="24"/>
          <w:szCs w:val="24"/>
        </w:rPr>
        <w:lastRenderedPageBreak/>
        <w:t>stage of life, have been protected by adequate professional and regulatory structures. These varied emotional registers — fear, guilt, resignation, principled frustration — are themselves analytically significant: they reflect the different resources and coping strategies available to participants who all face the same structural condition.</w:t>
      </w:r>
    </w:p>
    <w:p w14:paraId="1FDE6E2F" w14:textId="77777777" w:rsidR="0015339F" w:rsidRPr="00C81F5E" w:rsidRDefault="0015339F" w:rsidP="002B40D3">
      <w:pPr>
        <w:jc w:val="both"/>
        <w:rPr>
          <w:rFonts w:ascii="Times New Roman" w:hAnsi="Times New Roman" w:cs="Times New Roman"/>
          <w:color w:val="000000" w:themeColor="text1"/>
          <w:sz w:val="24"/>
          <w:szCs w:val="24"/>
        </w:rPr>
      </w:pPr>
    </w:p>
    <w:p w14:paraId="461C0C33" w14:textId="77777777" w:rsidR="002B40D3" w:rsidRPr="0015339F" w:rsidRDefault="002B40D3" w:rsidP="002B40D3">
      <w:pPr>
        <w:rPr>
          <w:rFonts w:ascii="Times New Roman" w:hAnsi="Times New Roman" w:cs="Times New Roman"/>
          <w:b/>
          <w:bCs/>
          <w:i/>
          <w:iCs/>
          <w:color w:val="0070C0"/>
          <w:sz w:val="32"/>
          <w:szCs w:val="32"/>
        </w:rPr>
      </w:pPr>
      <w:r w:rsidRPr="0015339F">
        <w:rPr>
          <w:rFonts w:ascii="Times New Roman" w:hAnsi="Times New Roman" w:cs="Times New Roman"/>
          <w:b/>
          <w:bCs/>
          <w:i/>
          <w:iCs/>
          <w:color w:val="0070C0"/>
          <w:sz w:val="32"/>
          <w:szCs w:val="32"/>
        </w:rPr>
        <w:t>4.6 Theme Five: Reform Scepticism and Calls for Systemic Change</w:t>
      </w:r>
    </w:p>
    <w:p w14:paraId="3D0CD3FF"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All eight participants were aware of ongoing leasehold reform. The dominant view was that change was long overdue, likely insufficient, and too slow to benefit those already in difficulty. Several drew attention to the risk that Wales-specific concerns were being subsumed within England-focused debates, echoing Carr et al. (2023) and the Welsh Government's Task and Finish Group (Welsh Government, 2019).</w:t>
      </w:r>
    </w:p>
    <w:p w14:paraId="302DC4D0"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'Transparency is not a favour — it should be a legal requirement. That is what I would want the Welsh Government to act on.' (P6)</w:t>
      </w:r>
    </w:p>
    <w:p w14:paraId="66E43DF8"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don't believe it. There's going to be too much argument against it by the freeholders themselves. So yes, it's just a lot of talk.' (P7)</w:t>
      </w:r>
    </w:p>
    <w:p w14:paraId="5D2A4E33" w14:textId="5AFB84B5" w:rsidR="002B40D3" w:rsidRPr="00C81F5E" w:rsidRDefault="002B40D3" w:rsidP="002B40D3">
      <w:pPr>
        <w:jc w:val="both"/>
        <w:rPr>
          <w:rFonts w:ascii="Times New Roman" w:hAnsi="Times New Roman" w:cs="Times New Roman"/>
          <w:b/>
          <w:bCs/>
          <w:i/>
          <w:iCs/>
          <w:color w:val="000000" w:themeColor="text1"/>
          <w:sz w:val="40"/>
          <w:szCs w:val="40"/>
        </w:rPr>
      </w:pPr>
      <w:r>
        <w:rPr>
          <w:rFonts w:ascii="Times New Roman" w:hAnsi="Times New Roman" w:cs="Times New Roman"/>
          <w:color w:val="000000" w:themeColor="text1"/>
          <w:sz w:val="24"/>
          <w:szCs w:val="24"/>
        </w:rPr>
        <w:t xml:space="preserve">Participant 3 articulated what is perhaps the most analytically significant observation of the study: that outcomes depend on luck — specifically on whether a leaseholder happens to have an informed family member, sufficient savings, and the cognitive capacity to navigate a complex legal process. Participants 1 and 8 confirmed this. This </w:t>
      </w:r>
      <w:r w:rsidR="00BF57DF">
        <w:rPr>
          <w:rFonts w:ascii="Times New Roman" w:hAnsi="Times New Roman" w:cs="Times New Roman"/>
          <w:color w:val="000000" w:themeColor="text1"/>
          <w:sz w:val="24"/>
          <w:szCs w:val="24"/>
        </w:rPr>
        <w:t>research</w:t>
      </w:r>
      <w:r>
        <w:rPr>
          <w:rFonts w:ascii="Times New Roman" w:hAnsi="Times New Roman" w:cs="Times New Roman"/>
          <w:color w:val="000000" w:themeColor="text1"/>
          <w:sz w:val="24"/>
          <w:szCs w:val="24"/>
        </w:rPr>
        <w:t xml:space="preserve"> has no equivalent in the existing Welsh or English leasehold literature and represents an original empirical contribution. As Naeem, Smith and Thomas (2025) observe, it remains the researcher's interpretive engagement — with the silences, emotional registers, and structural conditions beneath surface narratives — that transforms coded data into findings of genuine analytical and policy significance.</w:t>
      </w:r>
    </w:p>
    <w:p w14:paraId="3B06E513" w14:textId="77777777" w:rsidR="002B40D3" w:rsidRPr="009D6442" w:rsidRDefault="002B40D3" w:rsidP="002B40D3">
      <w:pPr>
        <w:rPr>
          <w:rFonts w:ascii="Times New Roman" w:hAnsi="Times New Roman" w:cs="Times New Roman"/>
          <w:b/>
          <w:bCs/>
          <w:i/>
          <w:iCs/>
          <w:color w:val="0070C0"/>
          <w:sz w:val="40"/>
          <w:szCs w:val="40"/>
        </w:rPr>
        <w:sectPr w:rsidR="002B40D3" w:rsidRPr="009D6442" w:rsidSect="002B40D3">
          <w:pgSz w:w="11906" w:h="16838"/>
          <w:pgMar w:top="1440" w:right="1440" w:bottom="1440" w:left="1800" w:header="708" w:footer="708" w:gutter="0"/>
          <w:cols w:space="720"/>
          <w:docGrid w:linePitch="360"/>
        </w:sectPr>
      </w:pPr>
    </w:p>
    <w:p w14:paraId="128EEEFC" w14:textId="77777777" w:rsidR="002B40D3" w:rsidRPr="00A56880" w:rsidRDefault="002B40D3" w:rsidP="002B40D3">
      <w:pPr>
        <w:rPr>
          <w:rFonts w:ascii="Times New Roman" w:hAnsi="Times New Roman" w:cs="Times New Roman"/>
          <w:b/>
          <w:bCs/>
          <w:i/>
          <w:iCs/>
          <w:color w:val="0070C0"/>
          <w:sz w:val="32"/>
          <w:szCs w:val="32"/>
        </w:rPr>
      </w:pPr>
      <w:r w:rsidRPr="00A56880">
        <w:rPr>
          <w:rFonts w:ascii="Times New Roman" w:hAnsi="Times New Roman" w:cs="Times New Roman"/>
          <w:b/>
          <w:bCs/>
          <w:i/>
          <w:iCs/>
          <w:color w:val="0070C0"/>
          <w:sz w:val="32"/>
          <w:szCs w:val="32"/>
        </w:rPr>
        <w:lastRenderedPageBreak/>
        <w:t>4.7 Information Failure: A Systemic Rather Than Individual Problem</w:t>
      </w:r>
    </w:p>
    <w:p w14:paraId="1072EE4D"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most consistent and analytically significant finding of this dissertation is that information failure at the point of purchase is not an isolated professional lapse but a systemic feature of the leasehold conveyancing process in Wales. All eight participants — regardless of age, professional background, or prior awareness — left conveyancing without functional knowledge of lease length trajectory or extension costs, despite using qualified solicitors. This corroborates Carr et al. (2021) on inadequate solicitor </w:t>
      </w:r>
      <w:proofErr w:type="gramStart"/>
      <w:r>
        <w:rPr>
          <w:rFonts w:ascii="Times New Roman" w:hAnsi="Times New Roman" w:cs="Times New Roman"/>
          <w:color w:val="000000" w:themeColor="text1"/>
          <w:sz w:val="24"/>
          <w:szCs w:val="24"/>
        </w:rPr>
        <w:t>explanation, and</w:t>
      </w:r>
      <w:proofErr w:type="gramEnd"/>
      <w:r>
        <w:rPr>
          <w:rFonts w:ascii="Times New Roman" w:hAnsi="Times New Roman" w:cs="Times New Roman"/>
          <w:color w:val="000000" w:themeColor="text1"/>
          <w:sz w:val="24"/>
          <w:szCs w:val="24"/>
        </w:rPr>
        <w:t xml:space="preserve"> is supported by the Welsh Government's Task and Finish Group (Welsh Government, 2019), which identified professional supervision failures as a recurring problem in the Welsh market. This weighs against Niemietz's (2021) individual-failure account, which attributes leasehold problems to specific abuses rather than systemic design: if the gap were one of individual diligence, professional background should predict variation in outcome. It did not — Participant 6, a retired NHS nurse, left conveyancing no better informed than participants without professional training, suggesting the failure sits in the disclosure process itself.</w:t>
      </w:r>
    </w:p>
    <w:p w14:paraId="242CAEA8"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What the primary research adds is the mechanism by which failure operates in the retirement property context: the lifestyle-focused sales culture — emphasising community, safety, and accessibility — actively displaces attention from legal risk, creating conditions in which purchasers are psychologically primed to trust rather than scrutinise. This dynamic has not been identified in the existing Welsh literature. It is, however, consistent with the broader finding of the </w:t>
      </w:r>
      <w:proofErr w:type="spellStart"/>
      <w:r>
        <w:rPr>
          <w:rFonts w:ascii="Times New Roman" w:hAnsi="Times New Roman" w:cs="Times New Roman"/>
          <w:color w:val="000000" w:themeColor="text1"/>
          <w:sz w:val="24"/>
          <w:szCs w:val="24"/>
        </w:rPr>
        <w:t>HomeOwners</w:t>
      </w:r>
      <w:proofErr w:type="spellEnd"/>
      <w:r>
        <w:rPr>
          <w:rFonts w:ascii="Times New Roman" w:hAnsi="Times New Roman" w:cs="Times New Roman"/>
          <w:color w:val="000000" w:themeColor="text1"/>
          <w:sz w:val="24"/>
          <w:szCs w:val="24"/>
        </w:rPr>
        <w:t xml:space="preserve"> Alliance (2021) that leaseholders are in law closer to long-term tenants than true owners — a structural reality the sales environment systematically conceals. Richards (2014) provides the doctrinal basis: because the lease is a wasting asset whose value erodes with time, failure to disclose that erosion at the point of sale is not merely a procedural oversight but a substantive misrepresentation of what is being purchased. The case of Participant 5 — who consciously accepted leasehold risk at purchase but was still not informed of the specific mechanisms that would subsequently materialise — demonstrates that the regulatory problem is not simply one of ensuring buyers are aware that leasehold carries risk, but of ensuring that the specific financial mechanics of that risk are disclosed in sufficient detail to enable genuinely informed decision-making.</w:t>
      </w:r>
    </w:p>
    <w:p w14:paraId="61351CB9" w14:textId="432913D9"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important to acknowledge that several policy recommendations in Chapter 5 — including mandatory disclosure — are themselves information-provision measures. This does not contradict the critique of the 'consumerist' reform paradigm advanced by Carr et al. (2023). Mandatory disclosure is advocated here as a regulatory floor, not a sufficient solution: the minimum structural condition for informed decision-making that remains meaningless without the financial and accountability measures that accompany it. Th</w:t>
      </w:r>
      <w:r w:rsidR="00236CF6">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w:t>
      </w:r>
      <w:r w:rsidR="00236CF6">
        <w:rPr>
          <w:rFonts w:ascii="Times New Roman" w:hAnsi="Times New Roman" w:cs="Times New Roman"/>
          <w:color w:val="000000" w:themeColor="text1"/>
          <w:sz w:val="24"/>
          <w:szCs w:val="24"/>
        </w:rPr>
        <w:t>study</w:t>
      </w:r>
      <w:r>
        <w:rPr>
          <w:rFonts w:ascii="Times New Roman" w:hAnsi="Times New Roman" w:cs="Times New Roman"/>
          <w:color w:val="000000" w:themeColor="text1"/>
          <w:sz w:val="24"/>
          <w:szCs w:val="24"/>
        </w:rPr>
        <w:t xml:space="preserve"> demonstrates that even clearly provided information cannot produce equitable outcomes for people who lack the resources, cognitive capacity, or family support to act on it.</w:t>
      </w:r>
    </w:p>
    <w:p w14:paraId="589BE95D" w14:textId="77777777" w:rsidR="00236CF6" w:rsidRDefault="00236CF6" w:rsidP="002B40D3">
      <w:pPr>
        <w:jc w:val="both"/>
        <w:rPr>
          <w:rFonts w:ascii="Times New Roman" w:hAnsi="Times New Roman" w:cs="Times New Roman"/>
          <w:color w:val="000000" w:themeColor="text1"/>
          <w:sz w:val="24"/>
          <w:szCs w:val="24"/>
        </w:rPr>
      </w:pPr>
    </w:p>
    <w:p w14:paraId="71BA2AB5" w14:textId="77777777" w:rsidR="00236CF6" w:rsidRPr="00C81F5E" w:rsidRDefault="00236CF6" w:rsidP="002B40D3">
      <w:pPr>
        <w:jc w:val="both"/>
        <w:rPr>
          <w:rFonts w:ascii="Times New Roman" w:hAnsi="Times New Roman" w:cs="Times New Roman"/>
          <w:color w:val="000000" w:themeColor="text1"/>
          <w:sz w:val="24"/>
          <w:szCs w:val="24"/>
        </w:rPr>
      </w:pPr>
    </w:p>
    <w:p w14:paraId="4D9BE02A" w14:textId="77777777" w:rsidR="002B40D3" w:rsidRPr="00236CF6" w:rsidRDefault="002B40D3" w:rsidP="002B40D3">
      <w:pPr>
        <w:rPr>
          <w:rFonts w:ascii="Times New Roman" w:hAnsi="Times New Roman" w:cs="Times New Roman"/>
          <w:b/>
          <w:bCs/>
          <w:i/>
          <w:iCs/>
          <w:color w:val="0070C0"/>
          <w:sz w:val="32"/>
          <w:szCs w:val="32"/>
        </w:rPr>
      </w:pPr>
      <w:r w:rsidRPr="00236CF6">
        <w:rPr>
          <w:rFonts w:ascii="Times New Roman" w:hAnsi="Times New Roman" w:cs="Times New Roman"/>
          <w:b/>
          <w:bCs/>
          <w:i/>
          <w:iCs/>
          <w:color w:val="0070C0"/>
          <w:sz w:val="32"/>
          <w:szCs w:val="32"/>
        </w:rPr>
        <w:lastRenderedPageBreak/>
        <w:t>4.8 The Silence of Managing Agents</w:t>
      </w:r>
    </w:p>
    <w:p w14:paraId="6FF387DE"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second theme raises a distinct regulatory question about the ongoing obligations of managing agents once a leasehold property has been purchased. Across all eight participants, managing agents had corresponded regularly for periods of up to 14 years without once raising the subject of lease length, its trajectory, or the options available to address it. This sustained institutional silence is not merely unhelpful; it is, as the Federation of Private Residents' Associations (FPRA, n.d.) has noted in its guidance on managing agent obligations, a failure that actively disadvantages leaseholders who rely on the managing agent as their primary source of information about the property they nominally own.</w:t>
      </w:r>
    </w:p>
    <w:p w14:paraId="6CB03CF7"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consequences are most acute for the oldest and most isolated participants. Participant 8, at 85 and entirely dependent on her son to investigate and manage the lease issue, represents the human endpoint of this failure: eleven years of institutional silence, followed by discovery that the lease had fallen below the 80-year threshold at a point in life where neither the financial resources nor the physical and cognitive capacity to respond adequately were available. Ageing Better (2020) documents the relationship between tenure volatility and financial resilience in later life; the present research demonstrates the specific pathway through which that volatility is generated — not only through the mechanics of lease shortening, but through the deliberate or negligent withholding of information that would allow leaseholders to act before crisis is reached. The London Forum (2020) and Law Commission (2025) highlight elderly vulnerability in retirement housing, but neither </w:t>
      </w:r>
      <w:proofErr w:type="gramStart"/>
      <w:r>
        <w:rPr>
          <w:rFonts w:ascii="Times New Roman" w:hAnsi="Times New Roman" w:cs="Times New Roman"/>
          <w:color w:val="000000" w:themeColor="text1"/>
          <w:sz w:val="24"/>
          <w:szCs w:val="24"/>
        </w:rPr>
        <w:t>addresses</w:t>
      </w:r>
      <w:proofErr w:type="gramEnd"/>
      <w:r>
        <w:rPr>
          <w:rFonts w:ascii="Times New Roman" w:hAnsi="Times New Roman" w:cs="Times New Roman"/>
          <w:color w:val="000000" w:themeColor="text1"/>
          <w:sz w:val="24"/>
          <w:szCs w:val="24"/>
        </w:rPr>
        <w:t xml:space="preserve"> managing agent silence as a distinct and remediable regulatory failure. The primary research therefore makes an original contribution by identifying proactive notification by managing agents — of lease length, trajectory, and options — as a discrete and urgent policy priority, separate from the broader question of conveyancing disclosure. Seagraves (2023) cautions that poorly designed legislative intervention risks market distortions; a mandatory notification requirement is, however, a low-cost, low-risk intervention that does not disturb market pricing and directly addresses the identified harm.</w:t>
      </w:r>
    </w:p>
    <w:p w14:paraId="7850EB32" w14:textId="77777777" w:rsidR="00C9639B" w:rsidRPr="00C81F5E" w:rsidRDefault="00C9639B" w:rsidP="002B40D3">
      <w:pPr>
        <w:jc w:val="both"/>
        <w:rPr>
          <w:rFonts w:ascii="Times New Roman" w:hAnsi="Times New Roman" w:cs="Times New Roman"/>
          <w:color w:val="000000" w:themeColor="text1"/>
          <w:sz w:val="24"/>
          <w:szCs w:val="24"/>
        </w:rPr>
      </w:pPr>
    </w:p>
    <w:p w14:paraId="401FD088" w14:textId="77777777" w:rsidR="002B40D3" w:rsidRPr="00C9639B" w:rsidRDefault="002B40D3" w:rsidP="002B40D3">
      <w:pPr>
        <w:rPr>
          <w:rFonts w:ascii="Times New Roman" w:hAnsi="Times New Roman" w:cs="Times New Roman"/>
          <w:b/>
          <w:bCs/>
          <w:i/>
          <w:iCs/>
          <w:color w:val="0070C0"/>
          <w:sz w:val="32"/>
          <w:szCs w:val="32"/>
        </w:rPr>
      </w:pPr>
      <w:r w:rsidRPr="00C9639B">
        <w:rPr>
          <w:rFonts w:ascii="Times New Roman" w:hAnsi="Times New Roman" w:cs="Times New Roman"/>
          <w:b/>
          <w:bCs/>
          <w:i/>
          <w:iCs/>
          <w:color w:val="0070C0"/>
          <w:sz w:val="32"/>
          <w:szCs w:val="32"/>
        </w:rPr>
        <w:t>4.9 The Financial Mechanics in Practice</w:t>
      </w:r>
    </w:p>
    <w:p w14:paraId="1F8FD48A" w14:textId="77777777" w:rsidR="002B40D3" w:rsidRPr="00C81F5E"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third theme gives human dimension to what Andrew and Culley (2024) have modelled theoretically: lease shortening produces non-linear, accelerating discounts to property value, with extension costs rising sharply below 80 years as marriage value is triggered. The present research confirms that this modelling reflects a real and acute financial experience for elderly leaseholders in south-west Wales. For Participants 3 and 8, the only two below the 80-year threshold, extension costs of £12,000–£20,000 represent on pension incomes not an inconvenience but a potentially catastrophic burden. Both had purchased with cash, meaning mortgage lender requirements had not served as an early warning of the approaching threshold — a significant failure in the information architecture surrounding leasehold purchase, and one from which the remaining participants have so far been spared only by timing.</w:t>
      </w:r>
    </w:p>
    <w:p w14:paraId="6BD97185"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Andrew and Culley (2024) note that the anticipated abolition of marriage value under the Leasehold and Freehold Reform Act 2024 would benefit leaseholders in lower-value markets — including much of Wales — proportionally less than those in high-value urban centres. This finding is directly relevant to the Swansea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xml:space="preserve"> participants, who sit precisely in the lower-value market segment where the reform dividend is smallest. Ali-Khan (2025) cautions that reform must be balanced to avoid unsettling investment arrangements, a concern that risks prioritising freeholder interests over elderly owner-occupiers on depreciating assets. The managing agent misconduct dimension — most acutely expressed by Participant 7, who pays over £6,000 per year in service charges and identifies linked-company procurement structures and unjustified repeated charges — extends the financial analysis beyond lease length into the ongoing cost burden of leasehold tenure itself. Wilson (2023) notes the breadth of financial obligations imposed on leaseholders; the present research demonstrates that in the retirement property context, these obligations accumulate alongside extension costs to produce a cumulative financial picture substantially more demanding than participants anticipated at purchase. This compounding dynamic has not been modelled in the existing literature and constitutes an original empirical contribution of this dissertation.</w:t>
      </w:r>
    </w:p>
    <w:p w14:paraId="098BE9BC" w14:textId="77777777" w:rsidR="003D2FE4" w:rsidRPr="00C81F5E" w:rsidRDefault="003D2FE4" w:rsidP="002B40D3">
      <w:pPr>
        <w:jc w:val="both"/>
        <w:rPr>
          <w:rFonts w:ascii="Times New Roman" w:hAnsi="Times New Roman" w:cs="Times New Roman"/>
          <w:color w:val="000000" w:themeColor="text1"/>
          <w:sz w:val="24"/>
          <w:szCs w:val="24"/>
        </w:rPr>
      </w:pPr>
    </w:p>
    <w:p w14:paraId="0FE4EEC9" w14:textId="77777777" w:rsidR="002B40D3" w:rsidRPr="003D2FE4" w:rsidRDefault="002B40D3" w:rsidP="002B40D3">
      <w:pPr>
        <w:rPr>
          <w:rFonts w:ascii="Times New Roman" w:hAnsi="Times New Roman" w:cs="Times New Roman"/>
          <w:b/>
          <w:bCs/>
          <w:i/>
          <w:iCs/>
          <w:color w:val="0070C0"/>
          <w:sz w:val="32"/>
          <w:szCs w:val="32"/>
        </w:rPr>
      </w:pPr>
      <w:r w:rsidRPr="003D2FE4">
        <w:rPr>
          <w:rFonts w:ascii="Times New Roman" w:hAnsi="Times New Roman" w:cs="Times New Roman"/>
          <w:b/>
          <w:bCs/>
          <w:i/>
          <w:iCs/>
          <w:color w:val="0070C0"/>
          <w:sz w:val="32"/>
          <w:szCs w:val="32"/>
        </w:rPr>
        <w:t>4.10 Psychological Burden and the Meaning of Ownership</w:t>
      </w:r>
    </w:p>
    <w:p w14:paraId="5CA9450C" w14:textId="0C4C940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All eight participants independently reappraised leasehold as a conditional and diminishing form of ownership — articulated in strikingly similar metaphors across participants who do not know each other. This convergence suggests the psychological impact of discovering </w:t>
      </w:r>
      <w:r w:rsidR="00767D97">
        <w:rPr>
          <w:rFonts w:ascii="Times New Roman" w:hAnsi="Times New Roman" w:cs="Times New Roman"/>
          <w:color w:val="000000" w:themeColor="text1"/>
          <w:sz w:val="24"/>
          <w:szCs w:val="24"/>
        </w:rPr>
        <w:t xml:space="preserve">a </w:t>
      </w:r>
      <w:r>
        <w:rPr>
          <w:rFonts w:ascii="Times New Roman" w:hAnsi="Times New Roman" w:cs="Times New Roman"/>
          <w:color w:val="000000" w:themeColor="text1"/>
          <w:sz w:val="24"/>
          <w:szCs w:val="24"/>
        </w:rPr>
        <w:t xml:space="preserve">leasehold's true nature is not merely </w:t>
      </w:r>
      <w:r w:rsidR="00767D97">
        <w:rPr>
          <w:rFonts w:ascii="Times New Roman" w:hAnsi="Times New Roman" w:cs="Times New Roman"/>
          <w:color w:val="000000" w:themeColor="text1"/>
          <w:sz w:val="24"/>
          <w:szCs w:val="24"/>
        </w:rPr>
        <w:t xml:space="preserve">an </w:t>
      </w:r>
      <w:r>
        <w:rPr>
          <w:rFonts w:ascii="Times New Roman" w:hAnsi="Times New Roman" w:cs="Times New Roman"/>
          <w:color w:val="000000" w:themeColor="text1"/>
          <w:sz w:val="24"/>
          <w:szCs w:val="24"/>
        </w:rPr>
        <w:t xml:space="preserve">emotional reaction but a substantive loss of what Giddens (1991) terms ontological security, identified by Dupuis and Thorns (1998) and Hiscock et al. (2001) as a principal psychological function of home ownership. Creswell (2013) emphasises that interpretivist research is uniquely positioned to surface these meanings; the present research demonstrates that the meaning attached to the situation — once understood — is one of structural entrapment and betrayal, rather than merely inconvenience. This is consistent with the finding of Carr et al. (2021) that Welsh leaseholders frequently feel confused and </w:t>
      </w:r>
      <w:proofErr w:type="gramStart"/>
      <w:r>
        <w:rPr>
          <w:rFonts w:ascii="Times New Roman" w:hAnsi="Times New Roman" w:cs="Times New Roman"/>
          <w:color w:val="000000" w:themeColor="text1"/>
          <w:sz w:val="24"/>
          <w:szCs w:val="24"/>
        </w:rPr>
        <w:t>powerless, but</w:t>
      </w:r>
      <w:proofErr w:type="gramEnd"/>
      <w:r>
        <w:rPr>
          <w:rFonts w:ascii="Times New Roman" w:hAnsi="Times New Roman" w:cs="Times New Roman"/>
          <w:color w:val="000000" w:themeColor="text1"/>
          <w:sz w:val="24"/>
          <w:szCs w:val="24"/>
        </w:rPr>
        <w:t xml:space="preserve"> moves beyond confusion to identify a deeper sense of having been structurally deceived. The guilt dimension identified in Participant 8 — repeatedly expressed regret about the time her son spent managing her lease affairs — demonstrates that the psychological burden of leasehold insecurity is redistributed to family caregivers, producing relational costs that compound the direct harms experienced by the leaseholder herself. This redistribution of burden to family members has no equivalent in the existing literature and represents an original empirical contribution of this dissertation.</w:t>
      </w:r>
    </w:p>
    <w:p w14:paraId="4E8FB0D3" w14:textId="77777777" w:rsidR="00D712A2" w:rsidRPr="00C54878" w:rsidRDefault="00D712A2" w:rsidP="002B40D3">
      <w:pPr>
        <w:jc w:val="both"/>
        <w:rPr>
          <w:rFonts w:ascii="Times New Roman" w:hAnsi="Times New Roman" w:cs="Times New Roman"/>
          <w:color w:val="000000" w:themeColor="text1"/>
          <w:sz w:val="24"/>
          <w:szCs w:val="24"/>
        </w:rPr>
      </w:pPr>
    </w:p>
    <w:p w14:paraId="64CAC7C1" w14:textId="77777777" w:rsidR="002B40D3" w:rsidRPr="00D712A2" w:rsidRDefault="002B40D3" w:rsidP="002B40D3">
      <w:pPr>
        <w:rPr>
          <w:rFonts w:ascii="Times New Roman" w:hAnsi="Times New Roman" w:cs="Times New Roman"/>
          <w:b/>
          <w:bCs/>
          <w:i/>
          <w:iCs/>
          <w:color w:val="0070C0"/>
          <w:sz w:val="32"/>
          <w:szCs w:val="32"/>
        </w:rPr>
      </w:pPr>
      <w:r w:rsidRPr="00D712A2">
        <w:rPr>
          <w:rFonts w:ascii="Times New Roman" w:hAnsi="Times New Roman" w:cs="Times New Roman"/>
          <w:b/>
          <w:bCs/>
          <w:i/>
          <w:iCs/>
          <w:color w:val="0070C0"/>
          <w:sz w:val="32"/>
          <w:szCs w:val="32"/>
        </w:rPr>
        <w:t>4.11 Reform Scepticism and the Wales-Specific Gap</w:t>
      </w:r>
    </w:p>
    <w:p w14:paraId="525E349E" w14:textId="77777777" w:rsidR="002B40D3" w:rsidRPr="00C54878"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fifth theme connects the primary research directly to the reform literature reviewed in Chapter 2. The dominant view among participants was that reform was overdue, likely insufficient, and too slow to benefit those already in difficulty. This scepticism is grounded in concrete observation: the Leasehold Reform (Ground Rent) Act 2022, whilst abolishing </w:t>
      </w:r>
      <w:r>
        <w:rPr>
          <w:rFonts w:ascii="Times New Roman" w:hAnsi="Times New Roman" w:cs="Times New Roman"/>
          <w:color w:val="000000" w:themeColor="text1"/>
          <w:sz w:val="24"/>
          <w:szCs w:val="24"/>
        </w:rPr>
        <w:lastRenderedPageBreak/>
        <w:t>ground rents for new leases (Ali-Khan, 2023), offers no relief to existing leaseholders; and the broader Leasehold and Freehold Reform Act 2024 remains partially implemented (Shapiro, 2023). Participants' frustration reflects a rational assessment of legislative pace rather than uninformed pessimism.</w:t>
      </w:r>
    </w:p>
    <w:p w14:paraId="031574C2" w14:textId="77777777"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'luck critique' — articulated most precisely by Participant 3 and confirmed by Participants 1 and 8 — is the most analytically original finding of the study. The argument that outcomes depend not on legal rights but on the accident of an informed family member, sufficient savings, and cognitive capacity to navigate a complex process has no equivalent in the Welsh or English leasehold literature. It directly challenges the 'consumerist' reform approach critiqued by Carr et al. (2023), which emphasises information provision and individual empowerment, by demonstrating that information provision is necessary but not sufficient when a significant proportion of the affected population lacks the resources to act on it. The Welsh Government's Task and Finish Group (Welsh Government, 2019) identified the need for Wales-specific legislative action; the present research gives that call empirical grounding by demonstrating the particular acuity of the problem for the elderly retirement property demographic in south-west Wales, a population that the Task and Finish Group did not specifically examine. Participant 8's situation encapsulated the ultimate policy challenge: at 85, legislative reform pace is not an inconvenience but a determinative factor in whether change arrives in time to be of any use.</w:t>
      </w:r>
    </w:p>
    <w:p w14:paraId="55ED73EB" w14:textId="77777777" w:rsidR="003E070B" w:rsidRPr="00C54878" w:rsidRDefault="003E070B" w:rsidP="002B40D3">
      <w:pPr>
        <w:jc w:val="both"/>
        <w:rPr>
          <w:rFonts w:ascii="Times New Roman" w:hAnsi="Times New Roman" w:cs="Times New Roman"/>
          <w:color w:val="000000" w:themeColor="text1"/>
          <w:sz w:val="24"/>
          <w:szCs w:val="24"/>
        </w:rPr>
      </w:pPr>
    </w:p>
    <w:p w14:paraId="692CE468" w14:textId="77777777" w:rsidR="002B40D3" w:rsidRPr="003E070B" w:rsidRDefault="002B40D3" w:rsidP="002B40D3">
      <w:pPr>
        <w:rPr>
          <w:rFonts w:ascii="Times New Roman" w:hAnsi="Times New Roman" w:cs="Times New Roman"/>
          <w:b/>
          <w:bCs/>
          <w:i/>
          <w:iCs/>
          <w:color w:val="0070C0"/>
          <w:sz w:val="32"/>
          <w:szCs w:val="32"/>
        </w:rPr>
      </w:pPr>
      <w:r w:rsidRPr="003E070B">
        <w:rPr>
          <w:rFonts w:ascii="Times New Roman" w:hAnsi="Times New Roman" w:cs="Times New Roman"/>
          <w:b/>
          <w:bCs/>
          <w:i/>
          <w:iCs/>
          <w:color w:val="0070C0"/>
          <w:sz w:val="32"/>
          <w:szCs w:val="32"/>
        </w:rPr>
        <w:t>4.12 Conclusion</w:t>
      </w:r>
    </w:p>
    <w:p w14:paraId="7A4350E2" w14:textId="77777777" w:rsidR="002B40D3" w:rsidRPr="00C54878"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five themes discussed above are not isolated findings but components of a coherent, systemic account of the leasehold trap. The research confirms the existing literature on financial mechanics (Andrew and Culley, 2024), professional failure (Carr et al., 2021), and elderly vulnerability (Ageing Better, 2020; London Forum, 2020), while contributing original findings: the lifestyle-displacement mechanism, managing agent silence as a distinct regulatory failure, the compounding of financial burdens beyond lease length, the redistribution of psychological burden to family caregivers, and the 'luck critique'. These are drawn together in the conclusion that follows.</w:t>
      </w:r>
    </w:p>
    <w:p w14:paraId="0382DC8D" w14:textId="77777777" w:rsidR="002B40D3" w:rsidRPr="009D6442" w:rsidRDefault="002B40D3" w:rsidP="002B40D3">
      <w:pPr>
        <w:rPr>
          <w:rFonts w:ascii="Times New Roman" w:hAnsi="Times New Roman" w:cs="Times New Roman"/>
          <w:b/>
          <w:bCs/>
          <w:i/>
          <w:iCs/>
          <w:color w:val="0070C0"/>
          <w:sz w:val="40"/>
          <w:szCs w:val="40"/>
        </w:rPr>
        <w:sectPr w:rsidR="002B40D3" w:rsidRPr="009D6442" w:rsidSect="002B40D3">
          <w:pgSz w:w="11906" w:h="16838"/>
          <w:pgMar w:top="1440" w:right="1440" w:bottom="1440" w:left="1800" w:header="708" w:footer="708" w:gutter="0"/>
          <w:cols w:space="720"/>
          <w:docGrid w:linePitch="360"/>
        </w:sectPr>
      </w:pPr>
    </w:p>
    <w:p w14:paraId="4E53B6CF" w14:textId="40DB9836" w:rsidR="002B40D3" w:rsidRDefault="002B40D3" w:rsidP="002B40D3">
      <w:pPr>
        <w:rPr>
          <w:rFonts w:ascii="Times New Roman" w:hAnsi="Times New Roman" w:cs="Times New Roman"/>
          <w:b/>
          <w:bCs/>
          <w:i/>
          <w:iCs/>
          <w:color w:val="0070C0"/>
          <w:sz w:val="40"/>
          <w:szCs w:val="40"/>
        </w:rPr>
      </w:pPr>
      <w:r>
        <w:rPr>
          <w:rFonts w:ascii="Times New Roman" w:hAnsi="Times New Roman" w:cs="Times New Roman"/>
          <w:b/>
          <w:bCs/>
          <w:i/>
          <w:iCs/>
          <w:color w:val="0070C0"/>
          <w:sz w:val="40"/>
          <w:szCs w:val="40"/>
        </w:rPr>
        <w:lastRenderedPageBreak/>
        <w:t>Chapter 5</w:t>
      </w:r>
      <w:r w:rsidR="00E87CDB">
        <w:rPr>
          <w:rFonts w:ascii="Times New Roman" w:hAnsi="Times New Roman" w:cs="Times New Roman"/>
          <w:b/>
          <w:bCs/>
          <w:i/>
          <w:iCs/>
          <w:color w:val="0070C0"/>
          <w:sz w:val="40"/>
          <w:szCs w:val="40"/>
        </w:rPr>
        <w:t xml:space="preserve"> - </w:t>
      </w:r>
      <w:r>
        <w:rPr>
          <w:rFonts w:ascii="Times New Roman" w:hAnsi="Times New Roman" w:cs="Times New Roman"/>
          <w:b/>
          <w:bCs/>
          <w:i/>
          <w:iCs/>
          <w:color w:val="0070C0"/>
          <w:sz w:val="40"/>
          <w:szCs w:val="40"/>
        </w:rPr>
        <w:t>Conclusion</w:t>
      </w:r>
    </w:p>
    <w:p w14:paraId="70A195A6" w14:textId="77777777" w:rsidR="002F3141" w:rsidRPr="009D6442" w:rsidRDefault="002F3141" w:rsidP="002B40D3">
      <w:pPr>
        <w:rPr>
          <w:rFonts w:ascii="Times New Roman" w:hAnsi="Times New Roman" w:cs="Times New Roman"/>
          <w:b/>
          <w:bCs/>
          <w:i/>
          <w:iCs/>
          <w:color w:val="0070C0"/>
          <w:sz w:val="40"/>
          <w:szCs w:val="40"/>
        </w:rPr>
      </w:pPr>
    </w:p>
    <w:p w14:paraId="7C98F5C4" w14:textId="77777777" w:rsidR="002B40D3" w:rsidRPr="002F3141" w:rsidRDefault="002B40D3" w:rsidP="002B40D3">
      <w:pPr>
        <w:rPr>
          <w:rFonts w:ascii="Times New Roman" w:hAnsi="Times New Roman" w:cs="Times New Roman"/>
          <w:b/>
          <w:bCs/>
          <w:i/>
          <w:iCs/>
          <w:color w:val="0070C0"/>
          <w:sz w:val="32"/>
          <w:szCs w:val="32"/>
        </w:rPr>
      </w:pPr>
      <w:r w:rsidRPr="002F3141">
        <w:rPr>
          <w:rFonts w:ascii="Times New Roman" w:hAnsi="Times New Roman" w:cs="Times New Roman"/>
          <w:b/>
          <w:bCs/>
          <w:i/>
          <w:iCs/>
          <w:color w:val="0070C0"/>
          <w:sz w:val="32"/>
          <w:szCs w:val="32"/>
        </w:rPr>
        <w:t>5.1 Summary of Findings</w:t>
      </w:r>
    </w:p>
    <w:p w14:paraId="131966DA" w14:textId="77777777" w:rsidR="002B40D3" w:rsidRPr="00C54878"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dissertation examined the financial and housing security implications of short leasehold tenure for elderly homeowners in retirement developments in Swansea and </w:t>
      </w:r>
      <w:proofErr w:type="spellStart"/>
      <w:r>
        <w:rPr>
          <w:rFonts w:ascii="Times New Roman" w:hAnsi="Times New Roman" w:cs="Times New Roman"/>
          <w:color w:val="000000" w:themeColor="text1"/>
          <w:sz w:val="24"/>
          <w:szCs w:val="24"/>
        </w:rPr>
        <w:t>Gorseinon</w:t>
      </w:r>
      <w:proofErr w:type="spellEnd"/>
      <w:r>
        <w:rPr>
          <w:rFonts w:ascii="Times New Roman" w:hAnsi="Times New Roman" w:cs="Times New Roman"/>
          <w:color w:val="000000" w:themeColor="text1"/>
          <w:sz w:val="24"/>
          <w:szCs w:val="24"/>
        </w:rPr>
        <w:t>, Wales. Eight semi-structured interviews, analysed using the reflexive thematic analysis of Braun and Clarke (2006) supplemented by the realist frameworks of Wiltshire and Ronkainen (2021) and Fryer (2022), yielded five themes constituting a coherent empirical account of the leasehold trap.</w:t>
      </w:r>
    </w:p>
    <w:p w14:paraId="508B7C68" w14:textId="5861933A"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Information failure at the point of purchase is systemic: all eight participants left conveyancing without functional knowledge of the 80-year threshold, marriage value, or likely extension costs. This confirms Carr et al. (2021) and extends it by identifying the lifestyle-focused sales culture of retirement developments as an active mechanism displacing legal risk from the purchase conversation. Managing agents have sustained this ignorance through years of institutional silence. The financial consequences — extension costs of £12,000–£20,000 and triggered marriage value for those already below the 80-year threshold, service charge escalation and event fees across the wider sample — accumulate into a compounded burden the existing literature models only in part (Andrew and Culley, 2024). The psychological impact — persistent anxiety, betrayal, and</w:t>
      </w:r>
      <w:r w:rsidR="009D6BB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the most acute case</w:t>
      </w:r>
      <w:r w:rsidR="009D6BB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acute fear — is real and inadequately captured in the financial and legal literature. And reform scepticism is rational: the 'luck critique' — that outcomes depend on accidental factors rather than legal rights — represents a fundamental challenge to the consumerist reform approach dominating Welsh and English policy thinking (Carr et al., 2023; Welsh Government, 2019).</w:t>
      </w:r>
    </w:p>
    <w:p w14:paraId="73F64594" w14:textId="77777777" w:rsidR="0084496D" w:rsidRPr="00C54878" w:rsidRDefault="0084496D" w:rsidP="002B40D3">
      <w:pPr>
        <w:jc w:val="both"/>
        <w:rPr>
          <w:rFonts w:ascii="Times New Roman" w:hAnsi="Times New Roman" w:cs="Times New Roman"/>
          <w:color w:val="000000" w:themeColor="text1"/>
          <w:sz w:val="24"/>
          <w:szCs w:val="24"/>
        </w:rPr>
      </w:pPr>
    </w:p>
    <w:p w14:paraId="12307900" w14:textId="77777777" w:rsidR="002B40D3" w:rsidRPr="0084496D" w:rsidRDefault="002B40D3" w:rsidP="002B40D3">
      <w:pPr>
        <w:rPr>
          <w:rFonts w:ascii="Times New Roman" w:hAnsi="Times New Roman" w:cs="Times New Roman"/>
          <w:b/>
          <w:bCs/>
          <w:i/>
          <w:iCs/>
          <w:color w:val="0070C0"/>
          <w:sz w:val="32"/>
          <w:szCs w:val="32"/>
        </w:rPr>
      </w:pPr>
      <w:r w:rsidRPr="0084496D">
        <w:rPr>
          <w:rFonts w:ascii="Times New Roman" w:hAnsi="Times New Roman" w:cs="Times New Roman"/>
          <w:b/>
          <w:bCs/>
          <w:i/>
          <w:iCs/>
          <w:color w:val="0070C0"/>
          <w:sz w:val="32"/>
          <w:szCs w:val="32"/>
        </w:rPr>
        <w:t>5.2 Original Contributions</w:t>
      </w:r>
    </w:p>
    <w:p w14:paraId="689EB8F5" w14:textId="67298FA0"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dissertation provides the first qualitative study of the leasehold trap as experienced by elderly residents of retirement developments in south-west Wales — a population </w:t>
      </w:r>
      <w:r w:rsidR="007E4C1E">
        <w:rPr>
          <w:rFonts w:ascii="Times New Roman" w:hAnsi="Times New Roman" w:cs="Times New Roman"/>
          <w:color w:val="000000" w:themeColor="text1"/>
          <w:sz w:val="24"/>
          <w:szCs w:val="24"/>
        </w:rPr>
        <w:t xml:space="preserve">that </w:t>
      </w:r>
      <w:r>
        <w:rPr>
          <w:rFonts w:ascii="Times New Roman" w:hAnsi="Times New Roman" w:cs="Times New Roman"/>
          <w:color w:val="000000" w:themeColor="text1"/>
          <w:sz w:val="24"/>
          <w:szCs w:val="24"/>
        </w:rPr>
        <w:t>existing Welsh research (Carr et al., 2021) has not examined as a distinct category. Original contributions include: the lifestyle-displacement mechanism in retirement property sales, whereby a safety- and community-focused sales culture suppresses the legal scrutiny a major financial transaction should attract; managing agent silence framed as a discrete, remediable regulatory failure rather than background condition; evidence that the financial burden extends well beyond lease length into service charges, event fees, ground rent escalation, and permission costs; the redistribution of psychological burden to family caregivers as a hidden cost; and the 'luck critique' as an empirically grounded challenge to consumerist reform. Together</w:t>
      </w:r>
      <w:r w:rsidR="00E064F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these offer an integrated account of a problem the existing literature has approached only in fragments.</w:t>
      </w:r>
    </w:p>
    <w:p w14:paraId="2E174BD4" w14:textId="77777777" w:rsidR="00E064F2" w:rsidRDefault="00E064F2" w:rsidP="002B40D3">
      <w:pPr>
        <w:jc w:val="both"/>
        <w:rPr>
          <w:rFonts w:ascii="Times New Roman" w:hAnsi="Times New Roman" w:cs="Times New Roman"/>
          <w:color w:val="000000" w:themeColor="text1"/>
          <w:sz w:val="24"/>
          <w:szCs w:val="24"/>
        </w:rPr>
      </w:pPr>
    </w:p>
    <w:p w14:paraId="6F4C9114" w14:textId="77777777" w:rsidR="00E064F2" w:rsidRPr="00C54878" w:rsidRDefault="00E064F2" w:rsidP="002B40D3">
      <w:pPr>
        <w:jc w:val="both"/>
        <w:rPr>
          <w:rFonts w:ascii="Times New Roman" w:hAnsi="Times New Roman" w:cs="Times New Roman"/>
          <w:color w:val="000000" w:themeColor="text1"/>
          <w:sz w:val="24"/>
          <w:szCs w:val="24"/>
        </w:rPr>
      </w:pPr>
    </w:p>
    <w:p w14:paraId="2C2A858B" w14:textId="77777777" w:rsidR="002B40D3" w:rsidRPr="00E064F2" w:rsidRDefault="002B40D3" w:rsidP="002B40D3">
      <w:pPr>
        <w:rPr>
          <w:rFonts w:ascii="Times New Roman" w:hAnsi="Times New Roman" w:cs="Times New Roman"/>
          <w:b/>
          <w:bCs/>
          <w:i/>
          <w:iCs/>
          <w:color w:val="0070C0"/>
          <w:sz w:val="32"/>
          <w:szCs w:val="32"/>
        </w:rPr>
      </w:pPr>
      <w:r w:rsidRPr="00E064F2">
        <w:rPr>
          <w:rFonts w:ascii="Times New Roman" w:hAnsi="Times New Roman" w:cs="Times New Roman"/>
          <w:b/>
          <w:bCs/>
          <w:i/>
          <w:iCs/>
          <w:color w:val="0070C0"/>
          <w:sz w:val="32"/>
          <w:szCs w:val="32"/>
        </w:rPr>
        <w:lastRenderedPageBreak/>
        <w:t>5.3 Policy Recommendations</w:t>
      </w:r>
    </w:p>
    <w:p w14:paraId="7651E69B" w14:textId="76DE9595" w:rsidR="002B40D3" w:rsidRDefault="002B40D3" w:rsidP="002B40D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Five recommendations follow from the research. The first — mandatory disclosure — is advanced as a regulatory floor, not a sufficient solution; it only makes sense alongside the structural measures that follow. First, mandatory plain-language disclosure of lease length, trajectory, the 80-year threshold, and estimated extension costs should be a legal requirement at the point of conveyancing, with compliance documented and enforceable. Second, managing agents of leasehold retirement properties should be legally required to notify leaseholders annually of their remaining lease length and the options available. Third, the Welsh Government should commission disaggregated data on leasehold properties in Wales with fewer than 80 years remaining to establish the scale of the problem that the present research can only illuminate qualitatively. Fourth, targeted financial support — in the form of a bridging loan or grant scheme — should be considered for pension-income leaseholders below the 80-year threshold who cannot fund extension independently, recognising that the 'luck critique' makes market-based solutions inadequate for this population. Fifth, the Senedd should conduct a specific audit of how current and proposed reform legislation applies to retirement leasehold properties in Wales, given participants' concerns that Wales-specific issues are subsumed within England-focused debates (Welsh Government, 2019).</w:t>
      </w:r>
    </w:p>
    <w:p w14:paraId="090081E4" w14:textId="77777777" w:rsidR="007E7D77" w:rsidRPr="00C54878" w:rsidRDefault="007E7D77" w:rsidP="002B40D3">
      <w:pPr>
        <w:jc w:val="both"/>
        <w:rPr>
          <w:rFonts w:ascii="Times New Roman" w:hAnsi="Times New Roman" w:cs="Times New Roman"/>
          <w:color w:val="000000" w:themeColor="text1"/>
          <w:sz w:val="24"/>
          <w:szCs w:val="24"/>
        </w:rPr>
      </w:pPr>
    </w:p>
    <w:p w14:paraId="3F08C298" w14:textId="77777777" w:rsidR="002B40D3" w:rsidRPr="007E7D77" w:rsidRDefault="002B40D3" w:rsidP="002B40D3">
      <w:pPr>
        <w:rPr>
          <w:rFonts w:ascii="Times New Roman" w:hAnsi="Times New Roman" w:cs="Times New Roman"/>
          <w:b/>
          <w:bCs/>
          <w:i/>
          <w:iCs/>
          <w:color w:val="0070C0"/>
          <w:sz w:val="32"/>
          <w:szCs w:val="32"/>
        </w:rPr>
      </w:pPr>
      <w:r w:rsidRPr="007E7D77">
        <w:rPr>
          <w:rFonts w:ascii="Times New Roman" w:hAnsi="Times New Roman" w:cs="Times New Roman"/>
          <w:b/>
          <w:bCs/>
          <w:i/>
          <w:iCs/>
          <w:color w:val="0070C0"/>
          <w:sz w:val="32"/>
          <w:szCs w:val="32"/>
        </w:rPr>
        <w:t>5.4 Limitations and Future Research</w:t>
      </w:r>
    </w:p>
    <w:p w14:paraId="4E1E057A" w14:textId="77777777" w:rsidR="002B40D3" w:rsidRDefault="002B40D3" w:rsidP="002B40D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Eight purposively selected participants from a defined geographical area cannot represent the full population of elderly leaseholders in Wales (Patton, 2002). Recruitment via a single property management company introduces selection bias toward purpose-built retirement developments. Self-reported data is subject to memory limitations and social desirability effects (Marczyk, DeMatteo and Festinger, 2005). These limitations do not invalidate the findings but constrain their scope. Future research should conduct a large-scale quantitative survey of elderly leaseholders in Wales to establish the prevalence and distribution of the problems identified here; extend qualitative work to include leaseholders in general residential blocks and Welsh-speaking communities, whose experiences may differ significantly; examine the experiences of family caregivers who carry the practical burden of proxy decision-making; and develop the 'luck critique' as an analytical framework for evaluating reform proposals, assessing the extent to which any given reform makes outcomes depend on legal rights rather than individual resources and circumstances.</w:t>
      </w:r>
    </w:p>
    <w:p w14:paraId="383BFE5F" w14:textId="77777777" w:rsidR="007756C0" w:rsidRPr="00C54878" w:rsidRDefault="007756C0" w:rsidP="002B40D3">
      <w:pPr>
        <w:rPr>
          <w:rFonts w:ascii="Times New Roman" w:hAnsi="Times New Roman" w:cs="Times New Roman"/>
          <w:color w:val="000000" w:themeColor="text1"/>
          <w:sz w:val="24"/>
          <w:szCs w:val="24"/>
        </w:rPr>
      </w:pPr>
    </w:p>
    <w:p w14:paraId="70C5055D" w14:textId="77777777" w:rsidR="002B40D3" w:rsidRPr="007756C0" w:rsidRDefault="002B40D3" w:rsidP="002B40D3">
      <w:pPr>
        <w:rPr>
          <w:rFonts w:ascii="Times New Roman" w:hAnsi="Times New Roman" w:cs="Times New Roman"/>
          <w:b/>
          <w:bCs/>
          <w:i/>
          <w:iCs/>
          <w:color w:val="0070C0"/>
          <w:sz w:val="32"/>
          <w:szCs w:val="32"/>
        </w:rPr>
      </w:pPr>
      <w:r w:rsidRPr="007756C0">
        <w:rPr>
          <w:rFonts w:ascii="Times New Roman" w:hAnsi="Times New Roman" w:cs="Times New Roman"/>
          <w:b/>
          <w:bCs/>
          <w:i/>
          <w:iCs/>
          <w:color w:val="0070C0"/>
          <w:sz w:val="32"/>
          <w:szCs w:val="32"/>
        </w:rPr>
        <w:t>5.5 Final Reflections</w:t>
      </w:r>
    </w:p>
    <w:p w14:paraId="7BA766E9" w14:textId="77777777" w:rsidR="002B40D3" w:rsidRDefault="002B40D3" w:rsidP="00935341">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leasehold system, as it operates for elderly residents of retirement developments in Wales, is not merely complex or inconvenient. For the most vulnerable participants in this study</w:t>
      </w:r>
      <w:r w:rsidR="001549A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it is a source of acute financial insecurity, persistent psychological distress, and an erosion of the safety and dignity that home ownership in later life is supposed to provide. The gap between the promise of retirement property — safety, community, peace of mind — and the reality uncovered here is not one of individual misunderstanding, but one created </w:t>
      </w:r>
      <w:r>
        <w:rPr>
          <w:rFonts w:ascii="Times New Roman" w:hAnsi="Times New Roman" w:cs="Times New Roman"/>
          <w:color w:val="000000" w:themeColor="text1"/>
          <w:sz w:val="24"/>
          <w:szCs w:val="24"/>
        </w:rPr>
        <w:lastRenderedPageBreak/>
        <w:t>and sustained by systemic information failure, institutional silence, and a reform trajectory too slow to help those already caught within it. At 85, Participant 8 is not waiting for reform as an abstract policy improvement; she is waiting to find out whether change will arrive in time to make any practical difference. It is the responsibility of the Welsh Government, the Senedd, and the legal and property profession</w:t>
      </w:r>
      <w:r w:rsidR="007728CD">
        <w:rPr>
          <w:rFonts w:ascii="Times New Roman" w:hAnsi="Times New Roman" w:cs="Times New Roman"/>
          <w:color w:val="000000" w:themeColor="text1"/>
          <w:sz w:val="24"/>
          <w:szCs w:val="24"/>
        </w:rPr>
        <w:t xml:space="preserve">als </w:t>
      </w:r>
      <w:r>
        <w:rPr>
          <w:rFonts w:ascii="Times New Roman" w:hAnsi="Times New Roman" w:cs="Times New Roman"/>
          <w:color w:val="000000" w:themeColor="text1"/>
          <w:sz w:val="24"/>
          <w:szCs w:val="24"/>
        </w:rPr>
        <w:t xml:space="preserve">in Wales to ensure that </w:t>
      </w:r>
      <w:r w:rsidR="007728CD">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voice is heard and acted upon without further delay.</w:t>
      </w:r>
    </w:p>
    <w:p w14:paraId="5B6B187B" w14:textId="77777777" w:rsidR="00CB12F5" w:rsidRDefault="00CB12F5" w:rsidP="00935341">
      <w:pPr>
        <w:jc w:val="both"/>
        <w:rPr>
          <w:rFonts w:ascii="Times New Roman" w:hAnsi="Times New Roman" w:cs="Times New Roman"/>
          <w:color w:val="000000" w:themeColor="text1"/>
          <w:sz w:val="24"/>
          <w:szCs w:val="24"/>
        </w:rPr>
      </w:pPr>
    </w:p>
    <w:p w14:paraId="59D68808" w14:textId="77777777" w:rsidR="00CB12F5" w:rsidRDefault="00CB12F5" w:rsidP="00935341">
      <w:pPr>
        <w:jc w:val="both"/>
        <w:rPr>
          <w:rFonts w:ascii="Times New Roman" w:hAnsi="Times New Roman" w:cs="Times New Roman"/>
          <w:color w:val="000000" w:themeColor="text1"/>
          <w:sz w:val="24"/>
          <w:szCs w:val="24"/>
        </w:rPr>
      </w:pPr>
    </w:p>
    <w:p w14:paraId="6B1ADB94" w14:textId="77777777" w:rsidR="00CB12F5" w:rsidRDefault="00CB12F5" w:rsidP="00935341">
      <w:pPr>
        <w:jc w:val="both"/>
        <w:rPr>
          <w:rFonts w:ascii="Times New Roman" w:hAnsi="Times New Roman" w:cs="Times New Roman"/>
          <w:color w:val="000000" w:themeColor="text1"/>
          <w:sz w:val="24"/>
          <w:szCs w:val="24"/>
        </w:rPr>
      </w:pPr>
    </w:p>
    <w:p w14:paraId="7F6C736C" w14:textId="77777777" w:rsidR="00CB12F5" w:rsidRDefault="00CB12F5" w:rsidP="00935341">
      <w:pPr>
        <w:jc w:val="both"/>
        <w:rPr>
          <w:rFonts w:ascii="Times New Roman" w:hAnsi="Times New Roman" w:cs="Times New Roman"/>
          <w:color w:val="000000" w:themeColor="text1"/>
          <w:sz w:val="24"/>
          <w:szCs w:val="24"/>
        </w:rPr>
      </w:pPr>
    </w:p>
    <w:p w14:paraId="333DAC91" w14:textId="77777777" w:rsidR="00CB12F5" w:rsidRDefault="00CB12F5" w:rsidP="00935341">
      <w:pPr>
        <w:jc w:val="both"/>
        <w:rPr>
          <w:rFonts w:ascii="Times New Roman" w:hAnsi="Times New Roman" w:cs="Times New Roman"/>
          <w:color w:val="000000" w:themeColor="text1"/>
          <w:sz w:val="24"/>
          <w:szCs w:val="24"/>
        </w:rPr>
      </w:pPr>
    </w:p>
    <w:p w14:paraId="2E55BD8B" w14:textId="77777777" w:rsidR="00CB12F5" w:rsidRDefault="00CB12F5" w:rsidP="00935341">
      <w:pPr>
        <w:jc w:val="both"/>
        <w:rPr>
          <w:rFonts w:ascii="Times New Roman" w:hAnsi="Times New Roman" w:cs="Times New Roman"/>
          <w:color w:val="000000" w:themeColor="text1"/>
          <w:sz w:val="24"/>
          <w:szCs w:val="24"/>
        </w:rPr>
      </w:pPr>
    </w:p>
    <w:p w14:paraId="24526EF4" w14:textId="77777777" w:rsidR="00CB12F5" w:rsidRDefault="00CB12F5" w:rsidP="00935341">
      <w:pPr>
        <w:jc w:val="both"/>
        <w:rPr>
          <w:rFonts w:ascii="Times New Roman" w:hAnsi="Times New Roman" w:cs="Times New Roman"/>
          <w:color w:val="000000" w:themeColor="text1"/>
          <w:sz w:val="24"/>
          <w:szCs w:val="24"/>
        </w:rPr>
      </w:pPr>
    </w:p>
    <w:p w14:paraId="4269EF9E" w14:textId="77777777" w:rsidR="00CB12F5" w:rsidRDefault="00CB12F5" w:rsidP="00935341">
      <w:pPr>
        <w:jc w:val="both"/>
        <w:rPr>
          <w:rFonts w:ascii="Times New Roman" w:hAnsi="Times New Roman" w:cs="Times New Roman"/>
          <w:color w:val="000000" w:themeColor="text1"/>
          <w:sz w:val="24"/>
          <w:szCs w:val="24"/>
        </w:rPr>
      </w:pPr>
    </w:p>
    <w:p w14:paraId="0D163E14" w14:textId="77777777" w:rsidR="00CB12F5" w:rsidRDefault="00CB12F5" w:rsidP="00935341">
      <w:pPr>
        <w:jc w:val="both"/>
        <w:rPr>
          <w:rFonts w:ascii="Times New Roman" w:hAnsi="Times New Roman" w:cs="Times New Roman"/>
          <w:color w:val="000000" w:themeColor="text1"/>
          <w:sz w:val="24"/>
          <w:szCs w:val="24"/>
        </w:rPr>
      </w:pPr>
    </w:p>
    <w:p w14:paraId="3B3783A8" w14:textId="77777777" w:rsidR="00CB12F5" w:rsidRDefault="00CB12F5" w:rsidP="00935341">
      <w:pPr>
        <w:jc w:val="both"/>
        <w:rPr>
          <w:rFonts w:ascii="Times New Roman" w:hAnsi="Times New Roman" w:cs="Times New Roman"/>
          <w:color w:val="000000" w:themeColor="text1"/>
          <w:sz w:val="24"/>
          <w:szCs w:val="24"/>
        </w:rPr>
      </w:pPr>
    </w:p>
    <w:p w14:paraId="555FF7F9" w14:textId="77777777" w:rsidR="00CB12F5" w:rsidRDefault="00CB12F5" w:rsidP="00935341">
      <w:pPr>
        <w:jc w:val="both"/>
        <w:rPr>
          <w:rFonts w:ascii="Times New Roman" w:hAnsi="Times New Roman" w:cs="Times New Roman"/>
          <w:color w:val="000000" w:themeColor="text1"/>
          <w:sz w:val="24"/>
          <w:szCs w:val="24"/>
        </w:rPr>
      </w:pPr>
    </w:p>
    <w:p w14:paraId="1CB6BE74" w14:textId="77777777" w:rsidR="00CB12F5" w:rsidRDefault="00CB12F5" w:rsidP="00935341">
      <w:pPr>
        <w:jc w:val="both"/>
        <w:rPr>
          <w:rFonts w:ascii="Times New Roman" w:hAnsi="Times New Roman" w:cs="Times New Roman"/>
          <w:color w:val="000000" w:themeColor="text1"/>
          <w:sz w:val="24"/>
          <w:szCs w:val="24"/>
        </w:rPr>
      </w:pPr>
    </w:p>
    <w:p w14:paraId="2361948A" w14:textId="77777777" w:rsidR="00CB12F5" w:rsidRDefault="00CB12F5" w:rsidP="00935341">
      <w:pPr>
        <w:jc w:val="both"/>
        <w:rPr>
          <w:rFonts w:ascii="Times New Roman" w:hAnsi="Times New Roman" w:cs="Times New Roman"/>
          <w:color w:val="000000" w:themeColor="text1"/>
          <w:sz w:val="24"/>
          <w:szCs w:val="24"/>
        </w:rPr>
      </w:pPr>
    </w:p>
    <w:p w14:paraId="2A9C8B8D" w14:textId="77777777" w:rsidR="00CB12F5" w:rsidRDefault="00CB12F5" w:rsidP="00935341">
      <w:pPr>
        <w:jc w:val="both"/>
        <w:rPr>
          <w:rFonts w:ascii="Times New Roman" w:hAnsi="Times New Roman" w:cs="Times New Roman"/>
          <w:color w:val="000000" w:themeColor="text1"/>
          <w:sz w:val="24"/>
          <w:szCs w:val="24"/>
        </w:rPr>
      </w:pPr>
    </w:p>
    <w:p w14:paraId="39BF3CB3" w14:textId="77777777" w:rsidR="00CB12F5" w:rsidRDefault="00CB12F5" w:rsidP="00935341">
      <w:pPr>
        <w:jc w:val="both"/>
        <w:rPr>
          <w:rFonts w:ascii="Times New Roman" w:hAnsi="Times New Roman" w:cs="Times New Roman"/>
          <w:color w:val="000000" w:themeColor="text1"/>
          <w:sz w:val="24"/>
          <w:szCs w:val="24"/>
        </w:rPr>
      </w:pPr>
    </w:p>
    <w:p w14:paraId="23DA0D9F" w14:textId="77777777" w:rsidR="00CB12F5" w:rsidRDefault="00CB12F5" w:rsidP="00935341">
      <w:pPr>
        <w:jc w:val="both"/>
        <w:rPr>
          <w:rFonts w:ascii="Times New Roman" w:hAnsi="Times New Roman" w:cs="Times New Roman"/>
          <w:color w:val="000000" w:themeColor="text1"/>
          <w:sz w:val="24"/>
          <w:szCs w:val="24"/>
        </w:rPr>
      </w:pPr>
    </w:p>
    <w:p w14:paraId="381B36DE" w14:textId="77777777" w:rsidR="00CB12F5" w:rsidRDefault="00CB12F5" w:rsidP="00935341">
      <w:pPr>
        <w:jc w:val="both"/>
        <w:rPr>
          <w:rFonts w:ascii="Times New Roman" w:hAnsi="Times New Roman" w:cs="Times New Roman"/>
          <w:color w:val="000000" w:themeColor="text1"/>
          <w:sz w:val="24"/>
          <w:szCs w:val="24"/>
        </w:rPr>
      </w:pPr>
    </w:p>
    <w:p w14:paraId="40B562E9" w14:textId="77777777" w:rsidR="00CB12F5" w:rsidRDefault="00CB12F5" w:rsidP="00935341">
      <w:pPr>
        <w:jc w:val="both"/>
        <w:rPr>
          <w:rFonts w:ascii="Times New Roman" w:hAnsi="Times New Roman" w:cs="Times New Roman"/>
          <w:color w:val="000000" w:themeColor="text1"/>
          <w:sz w:val="24"/>
          <w:szCs w:val="24"/>
        </w:rPr>
      </w:pPr>
    </w:p>
    <w:p w14:paraId="6935C2A1" w14:textId="77777777" w:rsidR="00CB12F5" w:rsidRDefault="00CB12F5" w:rsidP="00935341">
      <w:pPr>
        <w:jc w:val="both"/>
        <w:rPr>
          <w:rFonts w:ascii="Times New Roman" w:hAnsi="Times New Roman" w:cs="Times New Roman"/>
          <w:color w:val="000000" w:themeColor="text1"/>
          <w:sz w:val="24"/>
          <w:szCs w:val="24"/>
        </w:rPr>
      </w:pPr>
    </w:p>
    <w:p w14:paraId="019463D8" w14:textId="77777777" w:rsidR="00CB12F5" w:rsidRDefault="00CB12F5" w:rsidP="00935341">
      <w:pPr>
        <w:jc w:val="both"/>
        <w:rPr>
          <w:rFonts w:ascii="Times New Roman" w:hAnsi="Times New Roman" w:cs="Times New Roman"/>
          <w:color w:val="000000" w:themeColor="text1"/>
          <w:sz w:val="24"/>
          <w:szCs w:val="24"/>
        </w:rPr>
      </w:pPr>
    </w:p>
    <w:p w14:paraId="4FA6E081" w14:textId="77777777" w:rsidR="00CB12F5" w:rsidRDefault="00CB12F5" w:rsidP="00935341">
      <w:pPr>
        <w:jc w:val="both"/>
        <w:rPr>
          <w:rFonts w:ascii="Times New Roman" w:hAnsi="Times New Roman" w:cs="Times New Roman"/>
          <w:color w:val="000000" w:themeColor="text1"/>
          <w:sz w:val="24"/>
          <w:szCs w:val="24"/>
        </w:rPr>
      </w:pPr>
    </w:p>
    <w:p w14:paraId="1BC01DC5" w14:textId="77777777" w:rsidR="00CB12F5" w:rsidRDefault="00CB12F5" w:rsidP="00935341">
      <w:pPr>
        <w:jc w:val="both"/>
        <w:rPr>
          <w:rFonts w:ascii="Times New Roman" w:hAnsi="Times New Roman" w:cs="Times New Roman"/>
          <w:color w:val="000000" w:themeColor="text1"/>
          <w:sz w:val="24"/>
          <w:szCs w:val="24"/>
        </w:rPr>
      </w:pPr>
    </w:p>
    <w:p w14:paraId="0037B061" w14:textId="77777777" w:rsidR="00CB12F5" w:rsidRDefault="00CB12F5" w:rsidP="00935341">
      <w:pPr>
        <w:jc w:val="both"/>
        <w:rPr>
          <w:rFonts w:ascii="Times New Roman" w:hAnsi="Times New Roman" w:cs="Times New Roman"/>
          <w:color w:val="000000" w:themeColor="text1"/>
          <w:sz w:val="24"/>
          <w:szCs w:val="24"/>
        </w:rPr>
      </w:pPr>
    </w:p>
    <w:p w14:paraId="171FBFD9" w14:textId="77777777" w:rsidR="00CB12F5" w:rsidRDefault="00CB12F5" w:rsidP="00935341">
      <w:pPr>
        <w:jc w:val="both"/>
        <w:rPr>
          <w:rFonts w:ascii="Times New Roman" w:hAnsi="Times New Roman" w:cs="Times New Roman"/>
          <w:color w:val="000000" w:themeColor="text1"/>
          <w:sz w:val="24"/>
          <w:szCs w:val="24"/>
        </w:rPr>
      </w:pPr>
    </w:p>
    <w:p w14:paraId="4A4A316C" w14:textId="77777777" w:rsidR="00CB12F5" w:rsidRDefault="00CB12F5" w:rsidP="00935341">
      <w:pPr>
        <w:jc w:val="both"/>
        <w:rPr>
          <w:rFonts w:ascii="Times New Roman" w:hAnsi="Times New Roman" w:cs="Times New Roman"/>
          <w:color w:val="000000" w:themeColor="text1"/>
          <w:sz w:val="24"/>
          <w:szCs w:val="24"/>
        </w:rPr>
      </w:pPr>
    </w:p>
    <w:p w14:paraId="5AEEC6E9" w14:textId="77777777" w:rsidR="00CB12F5" w:rsidRDefault="00CB12F5" w:rsidP="00935341">
      <w:pPr>
        <w:jc w:val="both"/>
        <w:rPr>
          <w:rFonts w:ascii="Times New Roman" w:hAnsi="Times New Roman" w:cs="Times New Roman"/>
          <w:color w:val="000000" w:themeColor="text1"/>
          <w:sz w:val="24"/>
          <w:szCs w:val="24"/>
        </w:rPr>
      </w:pPr>
    </w:p>
    <w:p w14:paraId="40FC3274" w14:textId="77777777" w:rsidR="00CB12F5" w:rsidRPr="00CE5A79" w:rsidRDefault="00CB12F5" w:rsidP="00CB12F5">
      <w:pPr>
        <w:rPr>
          <w:rFonts w:ascii="Times New Roman" w:hAnsi="Times New Roman" w:cs="Times New Roman"/>
          <w:b/>
          <w:bCs/>
          <w:i/>
          <w:iCs/>
          <w:color w:val="0070C0"/>
          <w:sz w:val="40"/>
          <w:szCs w:val="40"/>
        </w:rPr>
      </w:pPr>
      <w:r w:rsidRPr="00BC5594">
        <w:rPr>
          <w:rFonts w:ascii="Times New Roman" w:hAnsi="Times New Roman" w:cs="Times New Roman"/>
          <w:b/>
          <w:bCs/>
          <w:i/>
          <w:iCs/>
          <w:color w:val="0070C0"/>
          <w:sz w:val="40"/>
          <w:szCs w:val="40"/>
        </w:rPr>
        <w:lastRenderedPageBreak/>
        <w:t>References</w:t>
      </w:r>
    </w:p>
    <w:p w14:paraId="2628715F"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Ageing Better (2020) </w:t>
      </w:r>
      <w:r w:rsidRPr="00CE5A79">
        <w:rPr>
          <w:rFonts w:ascii="Times New Roman" w:eastAsia="Times New Roman" w:hAnsi="Times New Roman" w:cs="Times New Roman"/>
          <w:i/>
          <w:iCs/>
          <w:kern w:val="0"/>
          <w:sz w:val="24"/>
          <w:szCs w:val="24"/>
          <w:lang w:eastAsia="en-GB"/>
          <w14:ligatures w14:val="none"/>
        </w:rPr>
        <w:t>Housing and ageing: the financial security implications for older homeowners</w:t>
      </w:r>
      <w:r w:rsidRPr="00CE5A79">
        <w:rPr>
          <w:rFonts w:ascii="Times New Roman" w:eastAsia="Times New Roman" w:hAnsi="Times New Roman" w:cs="Times New Roman"/>
          <w:kern w:val="0"/>
          <w:sz w:val="24"/>
          <w:szCs w:val="24"/>
          <w:lang w:eastAsia="en-GB"/>
          <w14:ligatures w14:val="none"/>
        </w:rPr>
        <w:t xml:space="preserve">. London: Centre for Ageing Better. Available at: </w:t>
      </w:r>
      <w:hyperlink r:id="rId11" w:history="1">
        <w:r w:rsidRPr="00574329">
          <w:rPr>
            <w:rStyle w:val="Hyperlink"/>
            <w:rFonts w:ascii="Times New Roman" w:eastAsia="Times New Roman" w:hAnsi="Times New Roman" w:cs="Times New Roman"/>
            <w:kern w:val="0"/>
            <w:sz w:val="24"/>
            <w:szCs w:val="24"/>
            <w:lang w:eastAsia="en-GB"/>
            <w14:ligatures w14:val="none"/>
          </w:rPr>
          <w:t>https://ageing-better.org.uk/blogs/effects-financial-security-and-housing-tenure-enjoying-later-life</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(Accessed: 1 March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78920C32"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Ahmed, S.K. </w:t>
      </w:r>
      <w:r w:rsidRPr="00CE5A79">
        <w:rPr>
          <w:rFonts w:ascii="Times New Roman" w:eastAsia="Times New Roman" w:hAnsi="Times New Roman" w:cs="Times New Roman"/>
          <w:i/>
          <w:iCs/>
          <w:kern w:val="0"/>
          <w:sz w:val="24"/>
          <w:szCs w:val="24"/>
          <w:lang w:eastAsia="en-GB"/>
          <w14:ligatures w14:val="none"/>
        </w:rPr>
        <w:t>et al.</w:t>
      </w:r>
      <w:r w:rsidRPr="00CE5A79">
        <w:rPr>
          <w:rFonts w:ascii="Times New Roman" w:eastAsia="Times New Roman" w:hAnsi="Times New Roman" w:cs="Times New Roman"/>
          <w:kern w:val="0"/>
          <w:sz w:val="24"/>
          <w:szCs w:val="24"/>
          <w:lang w:eastAsia="en-GB"/>
          <w14:ligatures w14:val="none"/>
        </w:rPr>
        <w:t xml:space="preserve"> (2025) 'Using thematic analysis in qualitative research', </w:t>
      </w:r>
      <w:r w:rsidRPr="00CE5A79">
        <w:rPr>
          <w:rFonts w:ascii="Times New Roman" w:eastAsia="Times New Roman" w:hAnsi="Times New Roman" w:cs="Times New Roman"/>
          <w:i/>
          <w:iCs/>
          <w:kern w:val="0"/>
          <w:sz w:val="24"/>
          <w:szCs w:val="24"/>
          <w:lang w:eastAsia="en-GB"/>
          <w14:ligatures w14:val="none"/>
        </w:rPr>
        <w:t>Journal of Medicine, Surgery, and Public Health</w:t>
      </w:r>
      <w:r w:rsidRPr="00CE5A79">
        <w:rPr>
          <w:rFonts w:ascii="Times New Roman" w:eastAsia="Times New Roman" w:hAnsi="Times New Roman" w:cs="Times New Roman"/>
          <w:kern w:val="0"/>
          <w:sz w:val="24"/>
          <w:szCs w:val="24"/>
          <w:lang w:eastAsia="en-GB"/>
          <w14:ligatures w14:val="none"/>
        </w:rPr>
        <w:t xml:space="preserve">, 6, p. 100198. </w:t>
      </w:r>
      <w:hyperlink r:id="rId12" w:history="1">
        <w:r w:rsidRPr="00574329">
          <w:rPr>
            <w:rStyle w:val="Hyperlink"/>
            <w:rFonts w:ascii="Times New Roman" w:eastAsia="Times New Roman" w:hAnsi="Times New Roman" w:cs="Times New Roman"/>
            <w:kern w:val="0"/>
            <w:sz w:val="24"/>
            <w:szCs w:val="24"/>
            <w:lang w:eastAsia="en-GB"/>
            <w14:ligatures w14:val="none"/>
          </w:rPr>
          <w:t>https://doi.org/10.1016/j.glmedi.2025.100198</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15EACD55"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Ali-Khan, S. (2023) 'Leasehold reform: ringing the changes', </w:t>
      </w:r>
      <w:r w:rsidRPr="00CE5A79">
        <w:rPr>
          <w:rFonts w:ascii="Times New Roman" w:eastAsia="Times New Roman" w:hAnsi="Times New Roman" w:cs="Times New Roman"/>
          <w:i/>
          <w:iCs/>
          <w:kern w:val="0"/>
          <w:sz w:val="24"/>
          <w:szCs w:val="24"/>
          <w:lang w:eastAsia="en-GB"/>
          <w14:ligatures w14:val="none"/>
        </w:rPr>
        <w:t>The Estates Gazette</w:t>
      </w:r>
      <w:r w:rsidRPr="00CE5A79">
        <w:rPr>
          <w:rFonts w:ascii="Times New Roman" w:eastAsia="Times New Roman" w:hAnsi="Times New Roman" w:cs="Times New Roman"/>
          <w:kern w:val="0"/>
          <w:sz w:val="24"/>
          <w:szCs w:val="24"/>
          <w:lang w:eastAsia="en-GB"/>
          <w14:ligatures w14:val="none"/>
        </w:rPr>
        <w:t>, p. 30.</w:t>
      </w:r>
    </w:p>
    <w:p w14:paraId="6BD3F065"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Ali-Khan, S. (2025) 'Careful leasehold reform is vital', </w:t>
      </w:r>
      <w:r w:rsidRPr="00CE5A79">
        <w:rPr>
          <w:rFonts w:ascii="Times New Roman" w:eastAsia="Times New Roman" w:hAnsi="Times New Roman" w:cs="Times New Roman"/>
          <w:i/>
          <w:iCs/>
          <w:kern w:val="0"/>
          <w:sz w:val="24"/>
          <w:szCs w:val="24"/>
          <w:lang w:eastAsia="en-GB"/>
          <w14:ligatures w14:val="none"/>
        </w:rPr>
        <w:t>Property Week</w:t>
      </w:r>
      <w:r w:rsidRPr="00CE5A79">
        <w:rPr>
          <w:rFonts w:ascii="Times New Roman" w:eastAsia="Times New Roman" w:hAnsi="Times New Roman" w:cs="Times New Roman"/>
          <w:kern w:val="0"/>
          <w:sz w:val="24"/>
          <w:szCs w:val="24"/>
          <w:lang w:eastAsia="en-GB"/>
          <w14:ligatures w14:val="none"/>
        </w:rPr>
        <w:t>, p. 18.</w:t>
      </w:r>
    </w:p>
    <w:p w14:paraId="3CBA4D93" w14:textId="6A8CE8B3" w:rsidR="00CB12F5" w:rsidRPr="00CE5A79" w:rsidRDefault="00CB12F5" w:rsidP="007F51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Andrew, M. and Culley, J. (2024) </w:t>
      </w:r>
      <w:r w:rsidRPr="00CE5A79">
        <w:rPr>
          <w:rFonts w:ascii="Times New Roman" w:eastAsia="Times New Roman" w:hAnsi="Times New Roman" w:cs="Times New Roman"/>
          <w:i/>
          <w:iCs/>
          <w:kern w:val="0"/>
          <w:sz w:val="24"/>
          <w:szCs w:val="24"/>
          <w:lang w:eastAsia="en-GB"/>
          <w14:ligatures w14:val="none"/>
        </w:rPr>
        <w:t>Leasehold Reform Proposals in England and Wales: An Economic Impact Assessment</w:t>
      </w:r>
      <w:r w:rsidRPr="00CE5A79">
        <w:rPr>
          <w:rFonts w:ascii="Times New Roman" w:eastAsia="Times New Roman" w:hAnsi="Times New Roman" w:cs="Times New Roman"/>
          <w:kern w:val="0"/>
          <w:sz w:val="24"/>
          <w:szCs w:val="24"/>
          <w:lang w:eastAsia="en-GB"/>
          <w14:ligatures w14:val="none"/>
        </w:rPr>
        <w:t>. Glasgow: UK Collaborative Centre for Housing Evidence (</w:t>
      </w:r>
      <w:proofErr w:type="spellStart"/>
      <w:r w:rsidRPr="00CE5A79">
        <w:rPr>
          <w:rFonts w:ascii="Times New Roman" w:eastAsia="Times New Roman" w:hAnsi="Times New Roman" w:cs="Times New Roman"/>
          <w:kern w:val="0"/>
          <w:sz w:val="24"/>
          <w:szCs w:val="24"/>
          <w:lang w:eastAsia="en-GB"/>
          <w14:ligatures w14:val="none"/>
        </w:rPr>
        <w:t>CaCHE</w:t>
      </w:r>
      <w:proofErr w:type="spellEnd"/>
      <w:r w:rsidRPr="00CE5A79">
        <w:rPr>
          <w:rFonts w:ascii="Times New Roman" w:eastAsia="Times New Roman" w:hAnsi="Times New Roman" w:cs="Times New Roman"/>
          <w:kern w:val="0"/>
          <w:sz w:val="24"/>
          <w:szCs w:val="24"/>
          <w:lang w:eastAsia="en-GB"/>
          <w14:ligatures w14:val="none"/>
        </w:rPr>
        <w:t xml:space="preserve">). Available at: </w:t>
      </w:r>
      <w:hyperlink r:id="rId13" w:history="1">
        <w:r w:rsidRPr="00574329">
          <w:rPr>
            <w:rStyle w:val="Hyperlink"/>
            <w:rFonts w:ascii="Times New Roman" w:eastAsia="Times New Roman" w:hAnsi="Times New Roman" w:cs="Times New Roman"/>
            <w:kern w:val="0"/>
            <w:sz w:val="24"/>
            <w:szCs w:val="24"/>
            <w:lang w:eastAsia="en-GB"/>
            <w14:ligatures w14:val="none"/>
          </w:rPr>
          <w:t>https://housingevidence.ac.uk/wp-content/uploads/2024/01/13091_CaCHE_Leasehold_Reform_Report-updated.pdf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sidR="00890FBD">
        <w:rPr>
          <w:rFonts w:ascii="Times New Roman" w:eastAsia="Times New Roman" w:hAnsi="Times New Roman" w:cs="Times New Roman"/>
          <w:kern w:val="0"/>
          <w:sz w:val="24"/>
          <w:szCs w:val="24"/>
          <w:lang w:eastAsia="en-GB"/>
          <w14:ligatures w14:val="none"/>
        </w:rPr>
        <w:t>2</w:t>
      </w:r>
      <w:r w:rsidRPr="00CE5A79">
        <w:rPr>
          <w:rFonts w:ascii="Times New Roman" w:eastAsia="Times New Roman" w:hAnsi="Times New Roman" w:cs="Times New Roman"/>
          <w:kern w:val="0"/>
          <w:sz w:val="24"/>
          <w:szCs w:val="24"/>
          <w:lang w:eastAsia="en-GB"/>
          <w14:ligatures w14:val="none"/>
        </w:rPr>
        <w:t xml:space="preserve"> </w:t>
      </w:r>
      <w:r w:rsidR="00FB2862">
        <w:rPr>
          <w:rFonts w:ascii="Times New Roman" w:eastAsia="Times New Roman" w:hAnsi="Times New Roman" w:cs="Times New Roman"/>
          <w:kern w:val="0"/>
          <w:sz w:val="24"/>
          <w:szCs w:val="24"/>
          <w:lang w:eastAsia="en-GB"/>
          <w14:ligatures w14:val="none"/>
        </w:rPr>
        <w:t>April</w:t>
      </w:r>
      <w:r w:rsidRPr="00CE5A79">
        <w:rPr>
          <w:rFonts w:ascii="Times New Roman" w:eastAsia="Times New Roman" w:hAnsi="Times New Roman" w:cs="Times New Roman"/>
          <w:kern w:val="0"/>
          <w:sz w:val="24"/>
          <w:szCs w:val="24"/>
          <w:lang w:eastAsia="en-GB"/>
          <w14:ligatures w14:val="none"/>
        </w:rPr>
        <w:t xml:space="preserve">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523ED60B"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Ayre, J. and McCaffery, K.J. (2022) 'Research note: thematic analysis in qualitative research', </w:t>
      </w:r>
      <w:r w:rsidRPr="00CE5A79">
        <w:rPr>
          <w:rFonts w:ascii="Times New Roman" w:eastAsia="Times New Roman" w:hAnsi="Times New Roman" w:cs="Times New Roman"/>
          <w:i/>
          <w:iCs/>
          <w:kern w:val="0"/>
          <w:sz w:val="24"/>
          <w:szCs w:val="24"/>
          <w:lang w:eastAsia="en-GB"/>
          <w14:ligatures w14:val="none"/>
        </w:rPr>
        <w:t>Journal of Physiotherapy</w:t>
      </w:r>
      <w:r w:rsidRPr="00CE5A79">
        <w:rPr>
          <w:rFonts w:ascii="Times New Roman" w:eastAsia="Times New Roman" w:hAnsi="Times New Roman" w:cs="Times New Roman"/>
          <w:kern w:val="0"/>
          <w:sz w:val="24"/>
          <w:szCs w:val="24"/>
          <w:lang w:eastAsia="en-GB"/>
          <w14:ligatures w14:val="none"/>
        </w:rPr>
        <w:t xml:space="preserve">, 68(1), pp. 76–79. </w:t>
      </w:r>
      <w:hyperlink r:id="rId14" w:history="1">
        <w:r w:rsidRPr="00574329">
          <w:rPr>
            <w:rStyle w:val="Hyperlink"/>
            <w:rFonts w:ascii="Times New Roman" w:eastAsia="Times New Roman" w:hAnsi="Times New Roman" w:cs="Times New Roman"/>
            <w:kern w:val="0"/>
            <w:sz w:val="24"/>
            <w:szCs w:val="24"/>
            <w:lang w:eastAsia="en-GB"/>
            <w14:ligatures w14:val="none"/>
          </w:rPr>
          <w:t>https://doi.org/10.1016/j.jphys.2021.11.002</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FA65570"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Bazeley, P. and Jackson, K. (2013) </w:t>
      </w:r>
      <w:r w:rsidRPr="00CE5A79">
        <w:rPr>
          <w:rFonts w:ascii="Times New Roman" w:eastAsia="Times New Roman" w:hAnsi="Times New Roman" w:cs="Times New Roman"/>
          <w:i/>
          <w:iCs/>
          <w:kern w:val="0"/>
          <w:sz w:val="24"/>
          <w:szCs w:val="24"/>
          <w:lang w:eastAsia="en-GB"/>
          <w14:ligatures w14:val="none"/>
        </w:rPr>
        <w:t>Qualitative Data Analysis with NVivo</w:t>
      </w:r>
      <w:r w:rsidRPr="00CE5A79">
        <w:rPr>
          <w:rFonts w:ascii="Times New Roman" w:eastAsia="Times New Roman" w:hAnsi="Times New Roman" w:cs="Times New Roman"/>
          <w:kern w:val="0"/>
          <w:sz w:val="24"/>
          <w:szCs w:val="24"/>
          <w:lang w:eastAsia="en-GB"/>
          <w14:ligatures w14:val="none"/>
        </w:rPr>
        <w:t xml:space="preserve">. 2nd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London: SAGE Publications.</w:t>
      </w:r>
    </w:p>
    <w:p w14:paraId="3B2883A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Braun, V. and Clarke, V. (2006) 'Using thematic analysis in psychology', </w:t>
      </w:r>
      <w:r w:rsidRPr="00CE5A79">
        <w:rPr>
          <w:rFonts w:ascii="Times New Roman" w:eastAsia="Times New Roman" w:hAnsi="Times New Roman" w:cs="Times New Roman"/>
          <w:i/>
          <w:iCs/>
          <w:kern w:val="0"/>
          <w:sz w:val="24"/>
          <w:szCs w:val="24"/>
          <w:lang w:eastAsia="en-GB"/>
          <w14:ligatures w14:val="none"/>
        </w:rPr>
        <w:t>Qualitative Research in Psychology</w:t>
      </w:r>
      <w:r w:rsidRPr="00CE5A79">
        <w:rPr>
          <w:rFonts w:ascii="Times New Roman" w:eastAsia="Times New Roman" w:hAnsi="Times New Roman" w:cs="Times New Roman"/>
          <w:kern w:val="0"/>
          <w:sz w:val="24"/>
          <w:szCs w:val="24"/>
          <w:lang w:eastAsia="en-GB"/>
          <w14:ligatures w14:val="none"/>
        </w:rPr>
        <w:t>, 3(2), pp. 77–101.</w:t>
      </w:r>
    </w:p>
    <w:p w14:paraId="1C506375"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British Psychological Society (BPS) (2021) </w:t>
      </w:r>
      <w:r w:rsidRPr="00CE5A79">
        <w:rPr>
          <w:rFonts w:ascii="Times New Roman" w:eastAsia="Times New Roman" w:hAnsi="Times New Roman" w:cs="Times New Roman"/>
          <w:i/>
          <w:iCs/>
          <w:kern w:val="0"/>
          <w:sz w:val="24"/>
          <w:szCs w:val="24"/>
          <w:lang w:eastAsia="en-GB"/>
          <w14:ligatures w14:val="none"/>
        </w:rPr>
        <w:t>Code of Human Research Ethics</w:t>
      </w:r>
      <w:r w:rsidRPr="00CE5A79">
        <w:rPr>
          <w:rFonts w:ascii="Times New Roman" w:eastAsia="Times New Roman" w:hAnsi="Times New Roman" w:cs="Times New Roman"/>
          <w:kern w:val="0"/>
          <w:sz w:val="24"/>
          <w:szCs w:val="24"/>
          <w:lang w:eastAsia="en-GB"/>
          <w14:ligatures w14:val="none"/>
        </w:rPr>
        <w:t xml:space="preserve">. Leicester: BPS. Available at: </w:t>
      </w:r>
      <w:hyperlink r:id="rId15" w:history="1">
        <w:r w:rsidRPr="00574329">
          <w:rPr>
            <w:rStyle w:val="Hyperlink"/>
            <w:rFonts w:ascii="Times New Roman" w:eastAsia="Times New Roman" w:hAnsi="Times New Roman" w:cs="Times New Roman"/>
            <w:kern w:val="0"/>
            <w:sz w:val="24"/>
            <w:szCs w:val="24"/>
            <w:lang w:eastAsia="en-GB"/>
            <w14:ligatures w14:val="none"/>
          </w:rPr>
          <w:t>https://www.bps.org.uk/guideline/code-human-research-ethics</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 xml:space="preserve">4 </w:t>
      </w:r>
      <w:r w:rsidRPr="00CE5A79">
        <w:rPr>
          <w:rFonts w:ascii="Times New Roman" w:eastAsia="Times New Roman" w:hAnsi="Times New Roman" w:cs="Times New Roman"/>
          <w:kern w:val="0"/>
          <w:sz w:val="24"/>
          <w:szCs w:val="24"/>
          <w:lang w:eastAsia="en-GB"/>
          <w14:ligatures w14:val="none"/>
        </w:rPr>
        <w:t>March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530450A7"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Bryman, A. (2016) </w:t>
      </w:r>
      <w:r w:rsidRPr="00CE5A79">
        <w:rPr>
          <w:rFonts w:ascii="Times New Roman" w:eastAsia="Times New Roman" w:hAnsi="Times New Roman" w:cs="Times New Roman"/>
          <w:i/>
          <w:iCs/>
          <w:kern w:val="0"/>
          <w:sz w:val="24"/>
          <w:szCs w:val="24"/>
          <w:lang w:eastAsia="en-GB"/>
          <w14:ligatures w14:val="none"/>
        </w:rPr>
        <w:t>Social Research Methods</w:t>
      </w:r>
      <w:r w:rsidRPr="00CE5A79">
        <w:rPr>
          <w:rFonts w:ascii="Times New Roman" w:eastAsia="Times New Roman" w:hAnsi="Times New Roman" w:cs="Times New Roman"/>
          <w:kern w:val="0"/>
          <w:sz w:val="24"/>
          <w:szCs w:val="24"/>
          <w:lang w:eastAsia="en-GB"/>
          <w14:ligatures w14:val="none"/>
        </w:rPr>
        <w:t xml:space="preserve">. 5th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Oxford: Oxford University Press.</w:t>
      </w:r>
    </w:p>
    <w:p w14:paraId="6796E5A4"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Carr, H., Hunter, C., Owen, G. and Makin, C. (2023) 'Can a consumerist model of law reform solve the problems of leasehold tenure?', in </w:t>
      </w:r>
      <w:proofErr w:type="spellStart"/>
      <w:r w:rsidRPr="00CE5A79">
        <w:rPr>
          <w:rFonts w:ascii="Times New Roman" w:eastAsia="Times New Roman" w:hAnsi="Times New Roman" w:cs="Times New Roman"/>
          <w:kern w:val="0"/>
          <w:sz w:val="24"/>
          <w:szCs w:val="24"/>
          <w:lang w:eastAsia="en-GB"/>
          <w14:ligatures w14:val="none"/>
        </w:rPr>
        <w:t>Mrockova</w:t>
      </w:r>
      <w:proofErr w:type="spellEnd"/>
      <w:r w:rsidRPr="00CE5A79">
        <w:rPr>
          <w:rFonts w:ascii="Times New Roman" w:eastAsia="Times New Roman" w:hAnsi="Times New Roman" w:cs="Times New Roman"/>
          <w:kern w:val="0"/>
          <w:sz w:val="24"/>
          <w:szCs w:val="24"/>
          <w:lang w:eastAsia="en-GB"/>
          <w14:ligatures w14:val="none"/>
        </w:rPr>
        <w:t xml:space="preserve">, N., Nair, A. and </w:t>
      </w:r>
      <w:proofErr w:type="spellStart"/>
      <w:r w:rsidRPr="00CE5A79">
        <w:rPr>
          <w:rFonts w:ascii="Times New Roman" w:eastAsia="Times New Roman" w:hAnsi="Times New Roman" w:cs="Times New Roman"/>
          <w:kern w:val="0"/>
          <w:sz w:val="24"/>
          <w:szCs w:val="24"/>
          <w:lang w:eastAsia="en-GB"/>
          <w14:ligatures w14:val="none"/>
        </w:rPr>
        <w:t>Rostill</w:t>
      </w:r>
      <w:proofErr w:type="spellEnd"/>
      <w:r w:rsidRPr="00CE5A79">
        <w:rPr>
          <w:rFonts w:ascii="Times New Roman" w:eastAsia="Times New Roman" w:hAnsi="Times New Roman" w:cs="Times New Roman"/>
          <w:kern w:val="0"/>
          <w:sz w:val="24"/>
          <w:szCs w:val="24"/>
          <w:lang w:eastAsia="en-GB"/>
          <w14:ligatures w14:val="none"/>
        </w:rPr>
        <w:t xml:space="preserve">, L. (eds.) </w:t>
      </w:r>
      <w:r w:rsidRPr="00CE5A79">
        <w:rPr>
          <w:rFonts w:ascii="Times New Roman" w:eastAsia="Times New Roman" w:hAnsi="Times New Roman" w:cs="Times New Roman"/>
          <w:i/>
          <w:iCs/>
          <w:kern w:val="0"/>
          <w:sz w:val="24"/>
          <w:szCs w:val="24"/>
          <w:lang w:eastAsia="en-GB"/>
          <w14:ligatures w14:val="none"/>
        </w:rPr>
        <w:t>Modern Studies in Property Law, Volume 12</w:t>
      </w:r>
      <w:r w:rsidRPr="00CE5A79">
        <w:rPr>
          <w:rFonts w:ascii="Times New Roman" w:eastAsia="Times New Roman" w:hAnsi="Times New Roman" w:cs="Times New Roman"/>
          <w:kern w:val="0"/>
          <w:sz w:val="24"/>
          <w:szCs w:val="24"/>
          <w:lang w:eastAsia="en-GB"/>
          <w14:ligatures w14:val="none"/>
        </w:rPr>
        <w:t xml:space="preserve">. Oxford: Hart Publishing, pp. 179–202. </w:t>
      </w:r>
      <w:hyperlink r:id="rId16" w:history="1">
        <w:r w:rsidRPr="00574329">
          <w:rPr>
            <w:rStyle w:val="Hyperlink"/>
            <w:rFonts w:ascii="Times New Roman" w:eastAsia="Times New Roman" w:hAnsi="Times New Roman" w:cs="Times New Roman"/>
            <w:kern w:val="0"/>
            <w:sz w:val="24"/>
            <w:szCs w:val="24"/>
            <w:lang w:eastAsia="en-GB"/>
            <w14:ligatures w14:val="none"/>
          </w:rPr>
          <w:t>https://doi.org/10.5040/9781509963690.ch-009</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2F4AFA7"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Carr, H., Hunter, C., Owen, G., Makin, C. and Wallace, A. (2021) </w:t>
      </w:r>
      <w:r w:rsidRPr="00CE5A79">
        <w:rPr>
          <w:rFonts w:ascii="Times New Roman" w:eastAsia="Times New Roman" w:hAnsi="Times New Roman" w:cs="Times New Roman"/>
          <w:i/>
          <w:iCs/>
          <w:kern w:val="0"/>
          <w:sz w:val="24"/>
          <w:szCs w:val="24"/>
          <w:lang w:eastAsia="en-GB"/>
          <w14:ligatures w14:val="none"/>
        </w:rPr>
        <w:t>Research into the Sale and Use of Leaseholds in Wales</w:t>
      </w:r>
      <w:r w:rsidRPr="00CE5A79">
        <w:rPr>
          <w:rFonts w:ascii="Times New Roman" w:eastAsia="Times New Roman" w:hAnsi="Times New Roman" w:cs="Times New Roman"/>
          <w:kern w:val="0"/>
          <w:sz w:val="24"/>
          <w:szCs w:val="24"/>
          <w:lang w:eastAsia="en-GB"/>
          <w14:ligatures w14:val="none"/>
        </w:rPr>
        <w:t xml:space="preserve">. Cardiff: Welsh Government (Government Social Research report no. 16/2021). Available at: </w:t>
      </w:r>
      <w:hyperlink r:id="rId17" w:history="1">
        <w:r w:rsidRPr="00574329">
          <w:rPr>
            <w:rStyle w:val="Hyperlink"/>
            <w:rFonts w:ascii="Times New Roman" w:eastAsia="Times New Roman" w:hAnsi="Times New Roman" w:cs="Times New Roman"/>
            <w:kern w:val="0"/>
            <w:sz w:val="24"/>
            <w:szCs w:val="24"/>
            <w:lang w:eastAsia="en-GB"/>
            <w14:ligatures w14:val="none"/>
          </w:rPr>
          <w:t>https://www.gov.wales/sites/default/files/statistics-and-research/2021-03/research-into-the-sale-and-use-of-leaseholds-in-wales.pdf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24</w:t>
      </w:r>
      <w:r w:rsidRPr="00CE5A79">
        <w:rPr>
          <w:rFonts w:ascii="Times New Roman" w:eastAsia="Times New Roman" w:hAnsi="Times New Roman" w:cs="Times New Roman"/>
          <w:kern w:val="0"/>
          <w:sz w:val="24"/>
          <w:szCs w:val="24"/>
          <w:lang w:eastAsia="en-GB"/>
          <w14:ligatures w14:val="none"/>
        </w:rPr>
        <w:t xml:space="preserve"> March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200362C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lastRenderedPageBreak/>
        <w:t xml:space="preserve">Castleberry, A. and Nolen, A. (2018) 'Thematic analysis of qualitative research data: is it as easy as it sounds?', </w:t>
      </w:r>
      <w:r w:rsidRPr="00CE5A79">
        <w:rPr>
          <w:rFonts w:ascii="Times New Roman" w:eastAsia="Times New Roman" w:hAnsi="Times New Roman" w:cs="Times New Roman"/>
          <w:i/>
          <w:iCs/>
          <w:kern w:val="0"/>
          <w:sz w:val="24"/>
          <w:szCs w:val="24"/>
          <w:lang w:eastAsia="en-GB"/>
          <w14:ligatures w14:val="none"/>
        </w:rPr>
        <w:t>Currents in Pharmacy Teaching and Learning</w:t>
      </w:r>
      <w:r w:rsidRPr="00CE5A79">
        <w:rPr>
          <w:rFonts w:ascii="Times New Roman" w:eastAsia="Times New Roman" w:hAnsi="Times New Roman" w:cs="Times New Roman"/>
          <w:kern w:val="0"/>
          <w:sz w:val="24"/>
          <w:szCs w:val="24"/>
          <w:lang w:eastAsia="en-GB"/>
          <w14:ligatures w14:val="none"/>
        </w:rPr>
        <w:t xml:space="preserve">, 10(6), pp. 807–815. </w:t>
      </w:r>
      <w:hyperlink r:id="rId18" w:history="1">
        <w:r w:rsidRPr="00574329">
          <w:rPr>
            <w:rStyle w:val="Hyperlink"/>
            <w:rFonts w:ascii="Times New Roman" w:eastAsia="Times New Roman" w:hAnsi="Times New Roman" w:cs="Times New Roman"/>
            <w:kern w:val="0"/>
            <w:sz w:val="24"/>
            <w:szCs w:val="24"/>
            <w:lang w:eastAsia="en-GB"/>
            <w14:ligatures w14:val="none"/>
          </w:rPr>
          <w:t>https://doi.org/10.1016/j.cptl.2018.03.019</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CF210B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Clarke, V. and Braun, V. (2017) 'Thematic analysis', </w:t>
      </w:r>
      <w:r w:rsidRPr="00CE5A79">
        <w:rPr>
          <w:rFonts w:ascii="Times New Roman" w:eastAsia="Times New Roman" w:hAnsi="Times New Roman" w:cs="Times New Roman"/>
          <w:i/>
          <w:iCs/>
          <w:kern w:val="0"/>
          <w:sz w:val="24"/>
          <w:szCs w:val="24"/>
          <w:lang w:eastAsia="en-GB"/>
          <w14:ligatures w14:val="none"/>
        </w:rPr>
        <w:t>The Journal of Positive Psychology</w:t>
      </w:r>
      <w:r w:rsidRPr="00CE5A79">
        <w:rPr>
          <w:rFonts w:ascii="Times New Roman" w:eastAsia="Times New Roman" w:hAnsi="Times New Roman" w:cs="Times New Roman"/>
          <w:kern w:val="0"/>
          <w:sz w:val="24"/>
          <w:szCs w:val="24"/>
          <w:lang w:eastAsia="en-GB"/>
          <w14:ligatures w14:val="none"/>
        </w:rPr>
        <w:t xml:space="preserve">, 12(3), pp. 297–298. </w:t>
      </w:r>
      <w:hyperlink r:id="rId19" w:history="1">
        <w:r w:rsidRPr="00574329">
          <w:rPr>
            <w:rStyle w:val="Hyperlink"/>
            <w:rFonts w:ascii="Times New Roman" w:eastAsia="Times New Roman" w:hAnsi="Times New Roman" w:cs="Times New Roman"/>
            <w:kern w:val="0"/>
            <w:sz w:val="24"/>
            <w:szCs w:val="24"/>
            <w:lang w:eastAsia="en-GB"/>
            <w14:ligatures w14:val="none"/>
          </w:rPr>
          <w:t>https://doi.org/10.1080/17439760.2016.1262613</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D78FA54"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Creswell, J.W. (2013) </w:t>
      </w:r>
      <w:r w:rsidRPr="00CE5A79">
        <w:rPr>
          <w:rFonts w:ascii="Times New Roman" w:eastAsia="Times New Roman" w:hAnsi="Times New Roman" w:cs="Times New Roman"/>
          <w:i/>
          <w:iCs/>
          <w:kern w:val="0"/>
          <w:sz w:val="24"/>
          <w:szCs w:val="24"/>
          <w:lang w:eastAsia="en-GB"/>
          <w14:ligatures w14:val="none"/>
        </w:rPr>
        <w:t>Qualitative Inquiry and Research Design: Choosing Among Five Approaches</w:t>
      </w:r>
      <w:r w:rsidRPr="00CE5A79">
        <w:rPr>
          <w:rFonts w:ascii="Times New Roman" w:eastAsia="Times New Roman" w:hAnsi="Times New Roman" w:cs="Times New Roman"/>
          <w:kern w:val="0"/>
          <w:sz w:val="24"/>
          <w:szCs w:val="24"/>
          <w:lang w:eastAsia="en-GB"/>
          <w14:ligatures w14:val="none"/>
        </w:rPr>
        <w:t xml:space="preserve">. 3rd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London: SAGE Publications.</w:t>
      </w:r>
    </w:p>
    <w:p w14:paraId="15282FE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Creswell, J.W. and Creswell, J.D. (2024) </w:t>
      </w:r>
      <w:r w:rsidRPr="00CE5A79">
        <w:rPr>
          <w:rFonts w:ascii="Times New Roman" w:eastAsia="Times New Roman" w:hAnsi="Times New Roman" w:cs="Times New Roman"/>
          <w:i/>
          <w:iCs/>
          <w:kern w:val="0"/>
          <w:sz w:val="24"/>
          <w:szCs w:val="24"/>
          <w:lang w:eastAsia="en-GB"/>
          <w14:ligatures w14:val="none"/>
        </w:rPr>
        <w:t>Research Design: Qualitative, Quantitative, and Mixed Methods Approaches</w:t>
      </w:r>
      <w:r w:rsidRPr="00CE5A79">
        <w:rPr>
          <w:rFonts w:ascii="Times New Roman" w:eastAsia="Times New Roman" w:hAnsi="Times New Roman" w:cs="Times New Roman"/>
          <w:kern w:val="0"/>
          <w:sz w:val="24"/>
          <w:szCs w:val="24"/>
          <w:lang w:eastAsia="en-GB"/>
          <w14:ligatures w14:val="none"/>
        </w:rPr>
        <w:t xml:space="preserve">. 6th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Thousand Oaks, CA: SAGE Publications.</w:t>
      </w:r>
    </w:p>
    <w:p w14:paraId="41C34E8B"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Davison, G. and Rowlands, R. (2009) </w:t>
      </w:r>
      <w:r w:rsidRPr="00CE5A79">
        <w:rPr>
          <w:rFonts w:ascii="Times New Roman" w:eastAsia="Times New Roman" w:hAnsi="Times New Roman" w:cs="Times New Roman"/>
          <w:i/>
          <w:iCs/>
          <w:kern w:val="0"/>
          <w:sz w:val="24"/>
          <w:szCs w:val="24"/>
          <w:lang w:eastAsia="en-GB"/>
          <w14:ligatures w14:val="none"/>
        </w:rPr>
        <w:t>Retirement Housing in Wales: Supply, Demand and Future Need</w:t>
      </w:r>
      <w:r w:rsidRPr="00CE5A79">
        <w:rPr>
          <w:rFonts w:ascii="Times New Roman" w:eastAsia="Times New Roman" w:hAnsi="Times New Roman" w:cs="Times New Roman"/>
          <w:kern w:val="0"/>
          <w:sz w:val="24"/>
          <w:szCs w:val="24"/>
          <w:lang w:eastAsia="en-GB"/>
          <w14:ligatures w14:val="none"/>
        </w:rPr>
        <w:t>. Cardiff: Welsh Assembly Government.</w:t>
      </w:r>
    </w:p>
    <w:p w14:paraId="7CA91437"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Denzin, N.K. and Lincoln, Y.S. (2011) </w:t>
      </w:r>
      <w:r w:rsidRPr="00CE5A79">
        <w:rPr>
          <w:rFonts w:ascii="Times New Roman" w:eastAsia="Times New Roman" w:hAnsi="Times New Roman" w:cs="Times New Roman"/>
          <w:i/>
          <w:iCs/>
          <w:kern w:val="0"/>
          <w:sz w:val="24"/>
          <w:szCs w:val="24"/>
          <w:lang w:eastAsia="en-GB"/>
          <w14:ligatures w14:val="none"/>
        </w:rPr>
        <w:t>The SAGE Handbook of Qualitative Research</w:t>
      </w:r>
      <w:r w:rsidRPr="00CE5A79">
        <w:rPr>
          <w:rFonts w:ascii="Times New Roman" w:eastAsia="Times New Roman" w:hAnsi="Times New Roman" w:cs="Times New Roman"/>
          <w:kern w:val="0"/>
          <w:sz w:val="24"/>
          <w:szCs w:val="24"/>
          <w:lang w:eastAsia="en-GB"/>
          <w14:ligatures w14:val="none"/>
        </w:rPr>
        <w:t xml:space="preserve">. 4th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London: SAGE Publications.</w:t>
      </w:r>
    </w:p>
    <w:p w14:paraId="7D798D7E"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Duncan, J. (2023) 'Leasehold reform remains elusive', </w:t>
      </w:r>
      <w:r w:rsidRPr="00CE5A79">
        <w:rPr>
          <w:rFonts w:ascii="Times New Roman" w:eastAsia="Times New Roman" w:hAnsi="Times New Roman" w:cs="Times New Roman"/>
          <w:i/>
          <w:iCs/>
          <w:kern w:val="0"/>
          <w:sz w:val="24"/>
          <w:szCs w:val="24"/>
          <w:lang w:eastAsia="en-GB"/>
          <w14:ligatures w14:val="none"/>
        </w:rPr>
        <w:t>The Estates Gazette</w:t>
      </w:r>
      <w:r w:rsidRPr="00CE5A79">
        <w:rPr>
          <w:rFonts w:ascii="Times New Roman" w:eastAsia="Times New Roman" w:hAnsi="Times New Roman" w:cs="Times New Roman"/>
          <w:kern w:val="0"/>
          <w:sz w:val="24"/>
          <w:szCs w:val="24"/>
          <w:lang w:eastAsia="en-GB"/>
          <w14:ligatures w14:val="none"/>
        </w:rPr>
        <w:t>, p. 52.</w:t>
      </w:r>
    </w:p>
    <w:p w14:paraId="3B36235E"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Dupuis, A. and Thorns, D.C. (1998) 'Home, home ownership and the search for ontological security', </w:t>
      </w:r>
      <w:r w:rsidRPr="00CE5A79">
        <w:rPr>
          <w:rFonts w:ascii="Times New Roman" w:eastAsia="Times New Roman" w:hAnsi="Times New Roman" w:cs="Times New Roman"/>
          <w:i/>
          <w:iCs/>
          <w:kern w:val="0"/>
          <w:sz w:val="24"/>
          <w:szCs w:val="24"/>
          <w:lang w:eastAsia="en-GB"/>
          <w14:ligatures w14:val="none"/>
        </w:rPr>
        <w:t>The Sociological Review</w:t>
      </w:r>
      <w:r w:rsidRPr="00CE5A79">
        <w:rPr>
          <w:rFonts w:ascii="Times New Roman" w:eastAsia="Times New Roman" w:hAnsi="Times New Roman" w:cs="Times New Roman"/>
          <w:kern w:val="0"/>
          <w:sz w:val="24"/>
          <w:szCs w:val="24"/>
          <w:lang w:eastAsia="en-GB"/>
          <w14:ligatures w14:val="none"/>
        </w:rPr>
        <w:t xml:space="preserve">, 46(1), pp. 24–47. </w:t>
      </w:r>
      <w:hyperlink r:id="rId20" w:history="1">
        <w:r w:rsidRPr="00574329">
          <w:rPr>
            <w:rStyle w:val="Hyperlink"/>
            <w:rFonts w:ascii="Times New Roman" w:eastAsia="Times New Roman" w:hAnsi="Times New Roman" w:cs="Times New Roman"/>
            <w:kern w:val="0"/>
            <w:sz w:val="24"/>
            <w:szCs w:val="24"/>
            <w:lang w:eastAsia="en-GB"/>
            <w14:ligatures w14:val="none"/>
          </w:rPr>
          <w:t>https://doi.org/10.1111/1467-954X.00088</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6F7AC16" w14:textId="3FB27421"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Federation of Private Residents' Associations (FPRA) (no date) </w:t>
      </w:r>
      <w:r w:rsidRPr="00CE5A79">
        <w:rPr>
          <w:rFonts w:ascii="Times New Roman" w:eastAsia="Times New Roman" w:hAnsi="Times New Roman" w:cs="Times New Roman"/>
          <w:i/>
          <w:iCs/>
          <w:kern w:val="0"/>
          <w:sz w:val="24"/>
          <w:szCs w:val="24"/>
          <w:lang w:eastAsia="en-GB"/>
          <w14:ligatures w14:val="none"/>
        </w:rPr>
        <w:t>Leasehold: A Guide for Owner-Occupiers</w:t>
      </w:r>
      <w:r w:rsidRPr="00CE5A79">
        <w:rPr>
          <w:rFonts w:ascii="Times New Roman" w:eastAsia="Times New Roman" w:hAnsi="Times New Roman" w:cs="Times New Roman"/>
          <w:kern w:val="0"/>
          <w:sz w:val="24"/>
          <w:szCs w:val="24"/>
          <w:lang w:eastAsia="en-GB"/>
          <w14:ligatures w14:val="none"/>
        </w:rPr>
        <w:t xml:space="preserve">. 4th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xml:space="preserve">. London: FPRA. Available at: </w:t>
      </w:r>
      <w:hyperlink r:id="rId21" w:history="1">
        <w:r w:rsidR="006A77AD" w:rsidRPr="00574329">
          <w:rPr>
            <w:rStyle w:val="Hyperlink"/>
            <w:rFonts w:ascii="Times New Roman" w:eastAsia="Times New Roman" w:hAnsi="Times New Roman" w:cs="Times New Roman"/>
            <w:kern w:val="0"/>
            <w:sz w:val="24"/>
            <w:szCs w:val="24"/>
            <w:lang w:eastAsia="en-GB"/>
            <w14:ligatures w14:val="none"/>
          </w:rPr>
          <w:t>https://www.fpra.org.uk/wp-content/uploads/BW-Leasehold-A-Guide-For-Owner-Occupiers-4th-Edition.pdf</w:t>
        </w:r>
      </w:hyperlink>
      <w:r w:rsidR="006A77AD">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1</w:t>
      </w:r>
      <w:r>
        <w:rPr>
          <w:rFonts w:ascii="Times New Roman" w:eastAsia="Times New Roman" w:hAnsi="Times New Roman" w:cs="Times New Roman"/>
          <w:kern w:val="0"/>
          <w:sz w:val="24"/>
          <w:szCs w:val="24"/>
          <w:lang w:eastAsia="en-GB"/>
          <w14:ligatures w14:val="none"/>
        </w:rPr>
        <w:t xml:space="preserve">0 March </w:t>
      </w:r>
      <w:r w:rsidRPr="00CE5A79">
        <w:rPr>
          <w:rFonts w:ascii="Times New Roman" w:eastAsia="Times New Roman" w:hAnsi="Times New Roman" w:cs="Times New Roman"/>
          <w:kern w:val="0"/>
          <w:sz w:val="24"/>
          <w:szCs w:val="24"/>
          <w:lang w:eastAsia="en-GB"/>
          <w14:ligatures w14:val="none"/>
        </w:rPr>
        <w:t>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069180CB"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Fryer, T. (2022) 'A critical realist approach to thematic analysis: producing causal explanations', </w:t>
      </w:r>
      <w:r w:rsidRPr="00CE5A79">
        <w:rPr>
          <w:rFonts w:ascii="Times New Roman" w:eastAsia="Times New Roman" w:hAnsi="Times New Roman" w:cs="Times New Roman"/>
          <w:i/>
          <w:iCs/>
          <w:kern w:val="0"/>
          <w:sz w:val="24"/>
          <w:szCs w:val="24"/>
          <w:lang w:eastAsia="en-GB"/>
          <w14:ligatures w14:val="none"/>
        </w:rPr>
        <w:t>Journal of Critical Realism</w:t>
      </w:r>
      <w:r w:rsidRPr="00CE5A79">
        <w:rPr>
          <w:rFonts w:ascii="Times New Roman" w:eastAsia="Times New Roman" w:hAnsi="Times New Roman" w:cs="Times New Roman"/>
          <w:kern w:val="0"/>
          <w:sz w:val="24"/>
          <w:szCs w:val="24"/>
          <w:lang w:eastAsia="en-GB"/>
          <w14:ligatures w14:val="none"/>
        </w:rPr>
        <w:t>, 21(4), pp. 365–384.</w:t>
      </w:r>
    </w:p>
    <w:p w14:paraId="17069316"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Giddens, A. (1991) </w:t>
      </w:r>
      <w:r w:rsidRPr="00CE5A79">
        <w:rPr>
          <w:rFonts w:ascii="Times New Roman" w:eastAsia="Times New Roman" w:hAnsi="Times New Roman" w:cs="Times New Roman"/>
          <w:i/>
          <w:iCs/>
          <w:kern w:val="0"/>
          <w:sz w:val="24"/>
          <w:szCs w:val="24"/>
          <w:lang w:eastAsia="en-GB"/>
          <w14:ligatures w14:val="none"/>
        </w:rPr>
        <w:t>Modernity and Self-Identity: Self and Society in the Late Modern Age</w:t>
      </w:r>
      <w:r w:rsidRPr="00CE5A79">
        <w:rPr>
          <w:rFonts w:ascii="Times New Roman" w:eastAsia="Times New Roman" w:hAnsi="Times New Roman" w:cs="Times New Roman"/>
          <w:kern w:val="0"/>
          <w:sz w:val="24"/>
          <w:szCs w:val="24"/>
          <w:lang w:eastAsia="en-GB"/>
          <w14:ligatures w14:val="none"/>
        </w:rPr>
        <w:t>. Cambridge: Polity Press.</w:t>
      </w:r>
    </w:p>
    <w:p w14:paraId="72457454"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Guest, G., Bunce, A. and Johnson, L. (2006) 'How many interviews are enough? An experiment with data saturation and variability', </w:t>
      </w:r>
      <w:r w:rsidRPr="00CE5A79">
        <w:rPr>
          <w:rFonts w:ascii="Times New Roman" w:eastAsia="Times New Roman" w:hAnsi="Times New Roman" w:cs="Times New Roman"/>
          <w:i/>
          <w:iCs/>
          <w:kern w:val="0"/>
          <w:sz w:val="24"/>
          <w:szCs w:val="24"/>
          <w:lang w:eastAsia="en-GB"/>
          <w14:ligatures w14:val="none"/>
        </w:rPr>
        <w:t>Field Methods</w:t>
      </w:r>
      <w:r w:rsidRPr="00CE5A79">
        <w:rPr>
          <w:rFonts w:ascii="Times New Roman" w:eastAsia="Times New Roman" w:hAnsi="Times New Roman" w:cs="Times New Roman"/>
          <w:kern w:val="0"/>
          <w:sz w:val="24"/>
          <w:szCs w:val="24"/>
          <w:lang w:eastAsia="en-GB"/>
          <w14:ligatures w14:val="none"/>
        </w:rPr>
        <w:t>, 18(1), pp. 59–82.</w:t>
      </w:r>
    </w:p>
    <w:p w14:paraId="6D8CA356"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Hiscock, R., Kearns, A., MacIntyre, S. and </w:t>
      </w:r>
      <w:proofErr w:type="spellStart"/>
      <w:r w:rsidRPr="00CE5A79">
        <w:rPr>
          <w:rFonts w:ascii="Times New Roman" w:eastAsia="Times New Roman" w:hAnsi="Times New Roman" w:cs="Times New Roman"/>
          <w:kern w:val="0"/>
          <w:sz w:val="24"/>
          <w:szCs w:val="24"/>
          <w:lang w:eastAsia="en-GB"/>
          <w14:ligatures w14:val="none"/>
        </w:rPr>
        <w:t>Ellaway</w:t>
      </w:r>
      <w:proofErr w:type="spellEnd"/>
      <w:r w:rsidRPr="00CE5A79">
        <w:rPr>
          <w:rFonts w:ascii="Times New Roman" w:eastAsia="Times New Roman" w:hAnsi="Times New Roman" w:cs="Times New Roman"/>
          <w:kern w:val="0"/>
          <w:sz w:val="24"/>
          <w:szCs w:val="24"/>
          <w:lang w:eastAsia="en-GB"/>
          <w14:ligatures w14:val="none"/>
        </w:rPr>
        <w:t xml:space="preserve">, A. (2001) 'Ontological security and psycho-social benefits from the home: qualitative evidence on issues of tenure', </w:t>
      </w:r>
      <w:r w:rsidRPr="00CE5A79">
        <w:rPr>
          <w:rFonts w:ascii="Times New Roman" w:eastAsia="Times New Roman" w:hAnsi="Times New Roman" w:cs="Times New Roman"/>
          <w:i/>
          <w:iCs/>
          <w:kern w:val="0"/>
          <w:sz w:val="24"/>
          <w:szCs w:val="24"/>
          <w:lang w:eastAsia="en-GB"/>
          <w14:ligatures w14:val="none"/>
        </w:rPr>
        <w:t>Housing, Theory and Society</w:t>
      </w:r>
      <w:r w:rsidRPr="00CE5A79">
        <w:rPr>
          <w:rFonts w:ascii="Times New Roman" w:eastAsia="Times New Roman" w:hAnsi="Times New Roman" w:cs="Times New Roman"/>
          <w:kern w:val="0"/>
          <w:sz w:val="24"/>
          <w:szCs w:val="24"/>
          <w:lang w:eastAsia="en-GB"/>
          <w14:ligatures w14:val="none"/>
        </w:rPr>
        <w:t xml:space="preserve">, 18(1–2), pp. 50–66. </w:t>
      </w:r>
      <w:hyperlink r:id="rId22" w:history="1">
        <w:r w:rsidRPr="00574329">
          <w:rPr>
            <w:rStyle w:val="Hyperlink"/>
            <w:rFonts w:ascii="Times New Roman" w:eastAsia="Times New Roman" w:hAnsi="Times New Roman" w:cs="Times New Roman"/>
            <w:kern w:val="0"/>
            <w:sz w:val="24"/>
            <w:szCs w:val="24"/>
            <w:lang w:eastAsia="en-GB"/>
            <w14:ligatures w14:val="none"/>
          </w:rPr>
          <w:t>https://doi.org/10.1080/14036090120617</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7631EF1" w14:textId="7E203B4B"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HM Government (2023) </w:t>
      </w:r>
      <w:r w:rsidRPr="00CE5A79">
        <w:rPr>
          <w:rFonts w:ascii="Times New Roman" w:eastAsia="Times New Roman" w:hAnsi="Times New Roman" w:cs="Times New Roman"/>
          <w:i/>
          <w:iCs/>
          <w:kern w:val="0"/>
          <w:sz w:val="24"/>
          <w:szCs w:val="24"/>
          <w:lang w:eastAsia="en-GB"/>
          <w14:ligatures w14:val="none"/>
        </w:rPr>
        <w:t>Leasehold and Freehold Reform Bill: Impact Assessment</w:t>
      </w:r>
      <w:r w:rsidRPr="00CE5A79">
        <w:rPr>
          <w:rFonts w:ascii="Times New Roman" w:eastAsia="Times New Roman" w:hAnsi="Times New Roman" w:cs="Times New Roman"/>
          <w:kern w:val="0"/>
          <w:sz w:val="24"/>
          <w:szCs w:val="24"/>
          <w:lang w:eastAsia="en-GB"/>
          <w14:ligatures w14:val="none"/>
        </w:rPr>
        <w:t xml:space="preserve">. London: HMSO. Available at: </w:t>
      </w:r>
      <w:hyperlink r:id="rId23" w:history="1">
        <w:r w:rsidRPr="00574329">
          <w:rPr>
            <w:rStyle w:val="Hyperlink"/>
            <w:rFonts w:ascii="Times New Roman" w:eastAsia="Times New Roman" w:hAnsi="Times New Roman" w:cs="Times New Roman"/>
            <w:kern w:val="0"/>
            <w:sz w:val="24"/>
            <w:szCs w:val="24"/>
            <w:lang w:eastAsia="en-GB"/>
            <w14:ligatures w14:val="none"/>
          </w:rPr>
          <w:t>https://publications.parliament.uk/pa/bills/cbill/58-04/0013/LeaseholdandFreeholdReformBillImpactAssessment.pdf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1</w:t>
      </w:r>
      <w:r>
        <w:rPr>
          <w:rFonts w:ascii="Times New Roman" w:eastAsia="Times New Roman" w:hAnsi="Times New Roman" w:cs="Times New Roman"/>
          <w:kern w:val="0"/>
          <w:sz w:val="24"/>
          <w:szCs w:val="24"/>
          <w:lang w:eastAsia="en-GB"/>
          <w14:ligatures w14:val="none"/>
        </w:rPr>
        <w:t>5</w:t>
      </w:r>
      <w:r w:rsidR="000A3082">
        <w:rPr>
          <w:rFonts w:ascii="Times New Roman" w:eastAsia="Times New Roman" w:hAnsi="Times New Roman" w:cs="Times New Roman"/>
          <w:kern w:val="0"/>
          <w:sz w:val="24"/>
          <w:szCs w:val="24"/>
          <w:lang w:eastAsia="en-GB"/>
          <w14:ligatures w14:val="none"/>
        </w:rPr>
        <w:t xml:space="preserve"> April</w:t>
      </w:r>
      <w:r w:rsidRPr="00CE5A79">
        <w:rPr>
          <w:rFonts w:ascii="Times New Roman" w:eastAsia="Times New Roman" w:hAnsi="Times New Roman" w:cs="Times New Roman"/>
          <w:kern w:val="0"/>
          <w:sz w:val="24"/>
          <w:szCs w:val="24"/>
          <w:lang w:eastAsia="en-GB"/>
          <w14:ligatures w14:val="none"/>
        </w:rPr>
        <w:t xml:space="preserve">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40A6D167" w14:textId="62BC7886"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E5A79">
        <w:rPr>
          <w:rFonts w:ascii="Times New Roman" w:eastAsia="Times New Roman" w:hAnsi="Times New Roman" w:cs="Times New Roman"/>
          <w:kern w:val="0"/>
          <w:sz w:val="24"/>
          <w:szCs w:val="24"/>
          <w:lang w:eastAsia="en-GB"/>
          <w14:ligatures w14:val="none"/>
        </w:rPr>
        <w:lastRenderedPageBreak/>
        <w:t>HomeOwners</w:t>
      </w:r>
      <w:proofErr w:type="spellEnd"/>
      <w:r w:rsidRPr="00CE5A79">
        <w:rPr>
          <w:rFonts w:ascii="Times New Roman" w:eastAsia="Times New Roman" w:hAnsi="Times New Roman" w:cs="Times New Roman"/>
          <w:kern w:val="0"/>
          <w:sz w:val="24"/>
          <w:szCs w:val="24"/>
          <w:lang w:eastAsia="en-GB"/>
          <w14:ligatures w14:val="none"/>
        </w:rPr>
        <w:t xml:space="preserve"> Alliance (2021) </w:t>
      </w:r>
      <w:r w:rsidRPr="00CE5A79">
        <w:rPr>
          <w:rFonts w:ascii="Times New Roman" w:eastAsia="Times New Roman" w:hAnsi="Times New Roman" w:cs="Times New Roman"/>
          <w:i/>
          <w:iCs/>
          <w:kern w:val="0"/>
          <w:sz w:val="24"/>
          <w:szCs w:val="24"/>
          <w:lang w:eastAsia="en-GB"/>
          <w14:ligatures w14:val="none"/>
        </w:rPr>
        <w:t>Homes Held Hostage: The Leasehold Scandal Exposed</w:t>
      </w:r>
      <w:r w:rsidRPr="00CE5A79">
        <w:rPr>
          <w:rFonts w:ascii="Times New Roman" w:eastAsia="Times New Roman" w:hAnsi="Times New Roman" w:cs="Times New Roman"/>
          <w:kern w:val="0"/>
          <w:sz w:val="24"/>
          <w:szCs w:val="24"/>
          <w:lang w:eastAsia="en-GB"/>
          <w14:ligatures w14:val="none"/>
        </w:rPr>
        <w:t xml:space="preserve">. London: </w:t>
      </w:r>
      <w:proofErr w:type="spellStart"/>
      <w:r w:rsidRPr="00CE5A79">
        <w:rPr>
          <w:rFonts w:ascii="Times New Roman" w:eastAsia="Times New Roman" w:hAnsi="Times New Roman" w:cs="Times New Roman"/>
          <w:kern w:val="0"/>
          <w:sz w:val="24"/>
          <w:szCs w:val="24"/>
          <w:lang w:eastAsia="en-GB"/>
          <w14:ligatures w14:val="none"/>
        </w:rPr>
        <w:t>HomeOwners</w:t>
      </w:r>
      <w:proofErr w:type="spellEnd"/>
      <w:r w:rsidRPr="00CE5A79">
        <w:rPr>
          <w:rFonts w:ascii="Times New Roman" w:eastAsia="Times New Roman" w:hAnsi="Times New Roman" w:cs="Times New Roman"/>
          <w:kern w:val="0"/>
          <w:sz w:val="24"/>
          <w:szCs w:val="24"/>
          <w:lang w:eastAsia="en-GB"/>
          <w14:ligatures w14:val="none"/>
        </w:rPr>
        <w:t xml:space="preserve"> Alliance. Available at: </w:t>
      </w:r>
      <w:hyperlink r:id="rId24" w:history="1">
        <w:r w:rsidRPr="00574329">
          <w:rPr>
            <w:rStyle w:val="Hyperlink"/>
            <w:rFonts w:ascii="Times New Roman" w:eastAsia="Times New Roman" w:hAnsi="Times New Roman" w:cs="Times New Roman"/>
            <w:kern w:val="0"/>
            <w:sz w:val="24"/>
            <w:szCs w:val="24"/>
            <w:lang w:eastAsia="en-GB"/>
            <w14:ligatures w14:val="none"/>
          </w:rPr>
          <w:t>https://hoa.org.uk/wp-content/uploads/2021/02/HomesHeldHostage.pdf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5</w:t>
      </w:r>
      <w:r w:rsidRPr="00CE5A79">
        <w:rPr>
          <w:rFonts w:ascii="Times New Roman" w:eastAsia="Times New Roman" w:hAnsi="Times New Roman" w:cs="Times New Roman"/>
          <w:kern w:val="0"/>
          <w:sz w:val="24"/>
          <w:szCs w:val="24"/>
          <w:lang w:eastAsia="en-GB"/>
          <w14:ligatures w14:val="none"/>
        </w:rPr>
        <w:t xml:space="preserve"> March </w:t>
      </w:r>
      <w:r w:rsidR="003C09F9" w:rsidRPr="00CE5A79">
        <w:rPr>
          <w:rFonts w:ascii="Times New Roman" w:eastAsia="Times New Roman" w:hAnsi="Times New Roman" w:cs="Times New Roman"/>
          <w:kern w:val="0"/>
          <w:sz w:val="24"/>
          <w:szCs w:val="24"/>
          <w:lang w:eastAsia="en-GB"/>
          <w14:ligatures w14:val="none"/>
        </w:rPr>
        <w:t>202</w:t>
      </w:r>
      <w:r w:rsidR="003C09F9">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5ABC2BB1" w14:textId="4454FA00"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Law Commission (2020) </w:t>
      </w:r>
      <w:r w:rsidRPr="00CE5A79">
        <w:rPr>
          <w:rFonts w:ascii="Times New Roman" w:eastAsia="Times New Roman" w:hAnsi="Times New Roman" w:cs="Times New Roman"/>
          <w:i/>
          <w:iCs/>
          <w:kern w:val="0"/>
          <w:sz w:val="24"/>
          <w:szCs w:val="24"/>
          <w:lang w:eastAsia="en-GB"/>
          <w14:ligatures w14:val="none"/>
        </w:rPr>
        <w:t>Leasehold Home Ownership: Exercising the Right to Manage</w:t>
      </w:r>
      <w:r w:rsidRPr="00CE5A79">
        <w:rPr>
          <w:rFonts w:ascii="Times New Roman" w:eastAsia="Times New Roman" w:hAnsi="Times New Roman" w:cs="Times New Roman"/>
          <w:kern w:val="0"/>
          <w:sz w:val="24"/>
          <w:szCs w:val="24"/>
          <w:lang w:eastAsia="en-GB"/>
          <w14:ligatures w14:val="none"/>
        </w:rPr>
        <w:t xml:space="preserve">. Law Com No. 393. London: HMSO. Available at: </w:t>
      </w:r>
      <w:hyperlink r:id="rId25" w:history="1">
        <w:r w:rsidRPr="00574329">
          <w:rPr>
            <w:rStyle w:val="Hyperlink"/>
            <w:rFonts w:ascii="Times New Roman" w:eastAsia="Times New Roman" w:hAnsi="Times New Roman" w:cs="Times New Roman"/>
            <w:kern w:val="0"/>
            <w:sz w:val="24"/>
            <w:szCs w:val="24"/>
            <w:lang w:eastAsia="en-GB"/>
            <w14:ligatures w14:val="none"/>
          </w:rPr>
          <w:t>https://assets.publishing.service.gov.uk/media/61b9f26f8fa8f50382035014/RTM-Report-final-N5.pdf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11</w:t>
      </w:r>
      <w:r w:rsidRPr="00CE5A79">
        <w:rPr>
          <w:rFonts w:ascii="Times New Roman" w:eastAsia="Times New Roman" w:hAnsi="Times New Roman" w:cs="Times New Roman"/>
          <w:kern w:val="0"/>
          <w:sz w:val="24"/>
          <w:szCs w:val="24"/>
          <w:lang w:eastAsia="en-GB"/>
          <w14:ligatures w14:val="none"/>
        </w:rPr>
        <w:t xml:space="preserve"> </w:t>
      </w:r>
      <w:r w:rsidR="00360129">
        <w:rPr>
          <w:rFonts w:ascii="Times New Roman" w:eastAsia="Times New Roman" w:hAnsi="Times New Roman" w:cs="Times New Roman"/>
          <w:kern w:val="0"/>
          <w:sz w:val="24"/>
          <w:szCs w:val="24"/>
          <w:lang w:eastAsia="en-GB"/>
          <w14:ligatures w14:val="none"/>
        </w:rPr>
        <w:t>April</w:t>
      </w:r>
      <w:r w:rsidRPr="00CE5A79">
        <w:rPr>
          <w:rFonts w:ascii="Times New Roman" w:eastAsia="Times New Roman" w:hAnsi="Times New Roman" w:cs="Times New Roman"/>
          <w:kern w:val="0"/>
          <w:sz w:val="24"/>
          <w:szCs w:val="24"/>
          <w:lang w:eastAsia="en-GB"/>
          <w14:ligatures w14:val="none"/>
        </w:rPr>
        <w:t xml:space="preserve">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7FE505E1"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Law Commission (2025) </w:t>
      </w:r>
      <w:r w:rsidRPr="00CE5A79">
        <w:rPr>
          <w:rFonts w:ascii="Times New Roman" w:eastAsia="Times New Roman" w:hAnsi="Times New Roman" w:cs="Times New Roman"/>
          <w:i/>
          <w:iCs/>
          <w:kern w:val="0"/>
          <w:sz w:val="24"/>
          <w:szCs w:val="24"/>
          <w:lang w:eastAsia="en-GB"/>
          <w14:ligatures w14:val="none"/>
        </w:rPr>
        <w:t>Residential Leases: Event Fees – Progress Report</w:t>
      </w:r>
      <w:r w:rsidRPr="00CE5A79">
        <w:rPr>
          <w:rFonts w:ascii="Times New Roman" w:eastAsia="Times New Roman" w:hAnsi="Times New Roman" w:cs="Times New Roman"/>
          <w:kern w:val="0"/>
          <w:sz w:val="24"/>
          <w:szCs w:val="24"/>
          <w:lang w:eastAsia="en-GB"/>
          <w14:ligatures w14:val="none"/>
        </w:rPr>
        <w:t xml:space="preserve">. London: HMSO. Available at: </w:t>
      </w:r>
      <w:hyperlink r:id="rId26" w:history="1">
        <w:r w:rsidRPr="00574329">
          <w:rPr>
            <w:rStyle w:val="Hyperlink"/>
            <w:rFonts w:ascii="Times New Roman" w:eastAsia="Times New Roman" w:hAnsi="Times New Roman" w:cs="Times New Roman"/>
            <w:kern w:val="0"/>
            <w:sz w:val="24"/>
            <w:szCs w:val="24"/>
            <w:lang w:eastAsia="en-GB"/>
            <w14:ligatures w14:val="none"/>
          </w:rPr>
          <w:t>https://cdn.websitebuilder.service.justice.gov.uk/uploads/sites/54/2025/12/Residential-Leases-Event-fees-progress-report.pdf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3</w:t>
      </w:r>
      <w:r w:rsidRPr="00CE5A79">
        <w:rPr>
          <w:rFonts w:ascii="Times New Roman" w:eastAsia="Times New Roman" w:hAnsi="Times New Roman" w:cs="Times New Roman"/>
          <w:kern w:val="0"/>
          <w:sz w:val="24"/>
          <w:szCs w:val="24"/>
          <w:lang w:eastAsia="en-GB"/>
          <w14:ligatures w14:val="none"/>
        </w:rPr>
        <w:t xml:space="preserve">0 </w:t>
      </w:r>
      <w:r>
        <w:rPr>
          <w:rFonts w:ascii="Times New Roman" w:eastAsia="Times New Roman" w:hAnsi="Times New Roman" w:cs="Times New Roman"/>
          <w:kern w:val="0"/>
          <w:sz w:val="24"/>
          <w:szCs w:val="24"/>
          <w:lang w:eastAsia="en-GB"/>
          <w14:ligatures w14:val="none"/>
        </w:rPr>
        <w:t>March</w:t>
      </w:r>
      <w:r w:rsidRPr="00CE5A79">
        <w:rPr>
          <w:rFonts w:ascii="Times New Roman" w:eastAsia="Times New Roman" w:hAnsi="Times New Roman" w:cs="Times New Roman"/>
          <w:kern w:val="0"/>
          <w:sz w:val="24"/>
          <w:szCs w:val="24"/>
          <w:lang w:eastAsia="en-GB"/>
          <w14:ligatures w14:val="none"/>
        </w:rPr>
        <w:t xml:space="preserve"> 2026).</w:t>
      </w:r>
    </w:p>
    <w:p w14:paraId="101F8E1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Lingard, L. (2019) 'Beyond the default colon: effective use of quotes in qualitative research', </w:t>
      </w:r>
      <w:r w:rsidRPr="00CE5A79">
        <w:rPr>
          <w:rFonts w:ascii="Times New Roman" w:eastAsia="Times New Roman" w:hAnsi="Times New Roman" w:cs="Times New Roman"/>
          <w:i/>
          <w:iCs/>
          <w:kern w:val="0"/>
          <w:sz w:val="24"/>
          <w:szCs w:val="24"/>
          <w:lang w:eastAsia="en-GB"/>
          <w14:ligatures w14:val="none"/>
        </w:rPr>
        <w:t>Perspectives on Medical Education</w:t>
      </w:r>
      <w:r w:rsidRPr="00CE5A79">
        <w:rPr>
          <w:rFonts w:ascii="Times New Roman" w:eastAsia="Times New Roman" w:hAnsi="Times New Roman" w:cs="Times New Roman"/>
          <w:kern w:val="0"/>
          <w:sz w:val="24"/>
          <w:szCs w:val="24"/>
          <w:lang w:eastAsia="en-GB"/>
          <w14:ligatures w14:val="none"/>
        </w:rPr>
        <w:t>, 8(6), pp. 360–361.</w:t>
      </w:r>
    </w:p>
    <w:p w14:paraId="259BAE4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London Forum of Pensioner and Resident Associations (2020) </w:t>
      </w:r>
      <w:r w:rsidRPr="00CE5A79">
        <w:rPr>
          <w:rFonts w:ascii="Times New Roman" w:eastAsia="Times New Roman" w:hAnsi="Times New Roman" w:cs="Times New Roman"/>
          <w:i/>
          <w:iCs/>
          <w:kern w:val="0"/>
          <w:sz w:val="24"/>
          <w:szCs w:val="24"/>
          <w:lang w:eastAsia="en-GB"/>
          <w14:ligatures w14:val="none"/>
        </w:rPr>
        <w:t>Too Little, Too Late: Retirement Housing</w:t>
      </w:r>
      <w:r w:rsidRPr="00CE5A79">
        <w:rPr>
          <w:rFonts w:ascii="Times New Roman" w:eastAsia="Times New Roman" w:hAnsi="Times New Roman" w:cs="Times New Roman"/>
          <w:kern w:val="0"/>
          <w:sz w:val="24"/>
          <w:szCs w:val="24"/>
          <w:lang w:eastAsia="en-GB"/>
          <w14:ligatures w14:val="none"/>
        </w:rPr>
        <w:t xml:space="preserve">. London: London Forum. Available at: </w:t>
      </w:r>
      <w:hyperlink r:id="rId27" w:history="1">
        <w:r w:rsidRPr="00574329">
          <w:rPr>
            <w:rStyle w:val="Hyperlink"/>
            <w:rFonts w:ascii="Times New Roman" w:eastAsia="Times New Roman" w:hAnsi="Times New Roman" w:cs="Times New Roman"/>
            <w:kern w:val="0"/>
            <w:sz w:val="24"/>
            <w:szCs w:val="24"/>
            <w:lang w:eastAsia="en-GB"/>
            <w14:ligatures w14:val="none"/>
          </w:rPr>
          <w:t>https://www.londonforum.org.uk/reports/Too_little_too_late__Retirement_housing_-_June_2020.pdf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23</w:t>
      </w:r>
      <w:r w:rsidRPr="00CE5A79">
        <w:rPr>
          <w:rFonts w:ascii="Times New Roman" w:eastAsia="Times New Roman" w:hAnsi="Times New Roman" w:cs="Times New Roman"/>
          <w:kern w:val="0"/>
          <w:sz w:val="24"/>
          <w:szCs w:val="24"/>
          <w:lang w:eastAsia="en-GB"/>
          <w14:ligatures w14:val="none"/>
        </w:rPr>
        <w:t xml:space="preserve"> March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607A898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Marczyk, G.R., DeMatteo, D. and Festinger, D. (2005) </w:t>
      </w:r>
      <w:r w:rsidRPr="00CE5A79">
        <w:rPr>
          <w:rFonts w:ascii="Times New Roman" w:eastAsia="Times New Roman" w:hAnsi="Times New Roman" w:cs="Times New Roman"/>
          <w:i/>
          <w:iCs/>
          <w:kern w:val="0"/>
          <w:sz w:val="24"/>
          <w:szCs w:val="24"/>
          <w:lang w:eastAsia="en-GB"/>
          <w14:ligatures w14:val="none"/>
        </w:rPr>
        <w:t>Essentials of Research Design and Methodology</w:t>
      </w:r>
      <w:r w:rsidRPr="00CE5A79">
        <w:rPr>
          <w:rFonts w:ascii="Times New Roman" w:eastAsia="Times New Roman" w:hAnsi="Times New Roman" w:cs="Times New Roman"/>
          <w:kern w:val="0"/>
          <w:sz w:val="24"/>
          <w:szCs w:val="24"/>
          <w:lang w:eastAsia="en-GB"/>
          <w14:ligatures w14:val="none"/>
        </w:rPr>
        <w:t>. Hoboken, NJ: John Wiley and Sons.</w:t>
      </w:r>
    </w:p>
    <w:p w14:paraId="57FBCE4C" w14:textId="1C8DE50B"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Ministry of Housing, Communities and Local Government (MHCLG) (2025) </w:t>
      </w:r>
      <w:r w:rsidRPr="00CE5A79">
        <w:rPr>
          <w:rFonts w:ascii="Times New Roman" w:eastAsia="Times New Roman" w:hAnsi="Times New Roman" w:cs="Times New Roman"/>
          <w:i/>
          <w:iCs/>
          <w:kern w:val="0"/>
          <w:sz w:val="24"/>
          <w:szCs w:val="24"/>
          <w:lang w:eastAsia="en-GB"/>
          <w14:ligatures w14:val="none"/>
        </w:rPr>
        <w:t>Strengthening Leaseholder Protections over Fees, Charges and Services: Consultation Document</w:t>
      </w:r>
      <w:r w:rsidRPr="00CE5A79">
        <w:rPr>
          <w:rFonts w:ascii="Times New Roman" w:eastAsia="Times New Roman" w:hAnsi="Times New Roman" w:cs="Times New Roman"/>
          <w:kern w:val="0"/>
          <w:sz w:val="24"/>
          <w:szCs w:val="24"/>
          <w:lang w:eastAsia="en-GB"/>
          <w14:ligatures w14:val="none"/>
        </w:rPr>
        <w:t xml:space="preserve">. London: MHCLG. Available at: </w:t>
      </w:r>
      <w:hyperlink r:id="rId28" w:history="1">
        <w:r w:rsidRPr="00574329">
          <w:rPr>
            <w:rStyle w:val="Hyperlink"/>
            <w:rFonts w:ascii="Times New Roman" w:eastAsia="Times New Roman" w:hAnsi="Times New Roman" w:cs="Times New Roman"/>
            <w:kern w:val="0"/>
            <w:sz w:val="24"/>
            <w:szCs w:val="24"/>
            <w:lang w:eastAsia="en-GB"/>
            <w14:ligatures w14:val="none"/>
          </w:rPr>
          <w:t>https://consult.communities.gov.uk/leasehold-and-private-rented-sector/strengthening-leaseholder-protections-consultation/</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 xml:space="preserve">3 </w:t>
      </w:r>
      <w:r w:rsidR="008732D8">
        <w:rPr>
          <w:rFonts w:ascii="Times New Roman" w:eastAsia="Times New Roman" w:hAnsi="Times New Roman" w:cs="Times New Roman"/>
          <w:kern w:val="0"/>
          <w:sz w:val="24"/>
          <w:szCs w:val="24"/>
          <w:lang w:eastAsia="en-GB"/>
          <w14:ligatures w14:val="none"/>
        </w:rPr>
        <w:t>April</w:t>
      </w:r>
      <w:r w:rsidRPr="00CE5A79">
        <w:rPr>
          <w:rFonts w:ascii="Times New Roman" w:eastAsia="Times New Roman" w:hAnsi="Times New Roman" w:cs="Times New Roman"/>
          <w:kern w:val="0"/>
          <w:sz w:val="24"/>
          <w:szCs w:val="24"/>
          <w:lang w:eastAsia="en-GB"/>
          <w14:ligatures w14:val="none"/>
        </w:rPr>
        <w:t xml:space="preserve">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72261EE9"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E5A79">
        <w:rPr>
          <w:rFonts w:ascii="Times New Roman" w:eastAsia="Times New Roman" w:hAnsi="Times New Roman" w:cs="Times New Roman"/>
          <w:kern w:val="0"/>
          <w:sz w:val="24"/>
          <w:szCs w:val="24"/>
          <w:lang w:eastAsia="en-GB"/>
          <w14:ligatures w14:val="none"/>
        </w:rPr>
        <w:t>Mortelmans</w:t>
      </w:r>
      <w:proofErr w:type="spellEnd"/>
      <w:r w:rsidRPr="00CE5A79">
        <w:rPr>
          <w:rFonts w:ascii="Times New Roman" w:eastAsia="Times New Roman" w:hAnsi="Times New Roman" w:cs="Times New Roman"/>
          <w:kern w:val="0"/>
          <w:sz w:val="24"/>
          <w:szCs w:val="24"/>
          <w:lang w:eastAsia="en-GB"/>
          <w14:ligatures w14:val="none"/>
        </w:rPr>
        <w:t xml:space="preserve">, D. (2025) </w:t>
      </w:r>
      <w:r w:rsidRPr="00CE5A79">
        <w:rPr>
          <w:rFonts w:ascii="Times New Roman" w:eastAsia="Times New Roman" w:hAnsi="Times New Roman" w:cs="Times New Roman"/>
          <w:i/>
          <w:iCs/>
          <w:kern w:val="0"/>
          <w:sz w:val="24"/>
          <w:szCs w:val="24"/>
          <w:lang w:eastAsia="en-GB"/>
          <w14:ligatures w14:val="none"/>
        </w:rPr>
        <w:t>Doing Qualitative Data Analysis with NVivo</w:t>
      </w:r>
      <w:r w:rsidRPr="00CE5A79">
        <w:rPr>
          <w:rFonts w:ascii="Times New Roman" w:eastAsia="Times New Roman" w:hAnsi="Times New Roman" w:cs="Times New Roman"/>
          <w:kern w:val="0"/>
          <w:sz w:val="24"/>
          <w:szCs w:val="24"/>
          <w:lang w:eastAsia="en-GB"/>
          <w14:ligatures w14:val="none"/>
        </w:rPr>
        <w:t xml:space="preserve">. Cham: Springer Nature Switzerland. </w:t>
      </w:r>
      <w:hyperlink r:id="rId29" w:history="1">
        <w:r w:rsidRPr="00574329">
          <w:rPr>
            <w:rStyle w:val="Hyperlink"/>
            <w:rFonts w:ascii="Times New Roman" w:eastAsia="Times New Roman" w:hAnsi="Times New Roman" w:cs="Times New Roman"/>
            <w:kern w:val="0"/>
            <w:sz w:val="24"/>
            <w:szCs w:val="24"/>
            <w:lang w:eastAsia="en-GB"/>
            <w14:ligatures w14:val="none"/>
          </w:rPr>
          <w:t>https://doi.org/10.1007/978-3-031-66014-6</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B7CC0AA"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Naeem, M., Smith, T. and Thomas, L. (2025) 'Thematic analysis and artificial intelligence: a step-by-step process for using ChatGPT in thematic analysis', </w:t>
      </w:r>
      <w:r w:rsidRPr="00CE5A79">
        <w:rPr>
          <w:rFonts w:ascii="Times New Roman" w:eastAsia="Times New Roman" w:hAnsi="Times New Roman" w:cs="Times New Roman"/>
          <w:i/>
          <w:iCs/>
          <w:kern w:val="0"/>
          <w:sz w:val="24"/>
          <w:szCs w:val="24"/>
          <w:lang w:eastAsia="en-GB"/>
          <w14:ligatures w14:val="none"/>
        </w:rPr>
        <w:t>International Journal of Qualitative Methods</w:t>
      </w:r>
      <w:r w:rsidRPr="00CE5A79">
        <w:rPr>
          <w:rFonts w:ascii="Times New Roman" w:eastAsia="Times New Roman" w:hAnsi="Times New Roman" w:cs="Times New Roman"/>
          <w:kern w:val="0"/>
          <w:sz w:val="24"/>
          <w:szCs w:val="24"/>
          <w:lang w:eastAsia="en-GB"/>
          <w14:ligatures w14:val="none"/>
        </w:rPr>
        <w:t xml:space="preserve">, 24. </w:t>
      </w:r>
      <w:hyperlink r:id="rId30" w:history="1">
        <w:r w:rsidRPr="00574329">
          <w:rPr>
            <w:rStyle w:val="Hyperlink"/>
            <w:rFonts w:ascii="Times New Roman" w:eastAsia="Times New Roman" w:hAnsi="Times New Roman" w:cs="Times New Roman"/>
            <w:kern w:val="0"/>
            <w:sz w:val="24"/>
            <w:szCs w:val="24"/>
            <w:lang w:eastAsia="en-GB"/>
            <w14:ligatures w14:val="none"/>
          </w:rPr>
          <w:t>https://doi.org/10.1177/16094069251333886</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BF80284" w14:textId="623E352A"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Niemietz, K. (2021) </w:t>
      </w:r>
      <w:r w:rsidRPr="00CE5A79">
        <w:rPr>
          <w:rFonts w:ascii="Times New Roman" w:eastAsia="Times New Roman" w:hAnsi="Times New Roman" w:cs="Times New Roman"/>
          <w:i/>
          <w:iCs/>
          <w:kern w:val="0"/>
          <w:sz w:val="24"/>
          <w:szCs w:val="24"/>
          <w:lang w:eastAsia="en-GB"/>
          <w14:ligatures w14:val="none"/>
        </w:rPr>
        <w:t>Grounds for Concern: Leasehold Reform and the Future of Home Ownership</w:t>
      </w:r>
      <w:r w:rsidRPr="00CE5A79">
        <w:rPr>
          <w:rFonts w:ascii="Times New Roman" w:eastAsia="Times New Roman" w:hAnsi="Times New Roman" w:cs="Times New Roman"/>
          <w:kern w:val="0"/>
          <w:sz w:val="24"/>
          <w:szCs w:val="24"/>
          <w:lang w:eastAsia="en-GB"/>
          <w14:ligatures w14:val="none"/>
        </w:rPr>
        <w:t xml:space="preserve">. London: Institute of Economic Affairs. Available at: </w:t>
      </w:r>
      <w:hyperlink r:id="rId31" w:history="1">
        <w:r w:rsidR="00BF6E20" w:rsidRPr="00574329">
          <w:rPr>
            <w:rStyle w:val="Hyperlink"/>
            <w:rFonts w:ascii="Times New Roman" w:eastAsia="Times New Roman" w:hAnsi="Times New Roman" w:cs="Times New Roman"/>
            <w:kern w:val="0"/>
            <w:sz w:val="24"/>
            <w:szCs w:val="24"/>
            <w:lang w:eastAsia="en-GB"/>
            <w14:ligatures w14:val="none"/>
          </w:rPr>
          <w:t>https://iea.org.uk/publications/grounds-for-concern-leasehold-reform-and-the-future-of-home-ownership/</w:t>
        </w:r>
      </w:hyperlink>
      <w:r w:rsidR="00BF6E20">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w:t>
      </w:r>
      <w:r>
        <w:rPr>
          <w:rFonts w:ascii="Times New Roman" w:eastAsia="Times New Roman" w:hAnsi="Times New Roman" w:cs="Times New Roman"/>
          <w:kern w:val="0"/>
          <w:sz w:val="24"/>
          <w:szCs w:val="24"/>
          <w:lang w:eastAsia="en-GB"/>
          <w14:ligatures w14:val="none"/>
        </w:rPr>
        <w:t>11</w:t>
      </w:r>
      <w:r w:rsidRPr="00CE5A79">
        <w:rPr>
          <w:rFonts w:ascii="Times New Roman" w:eastAsia="Times New Roman" w:hAnsi="Times New Roman" w:cs="Times New Roman"/>
          <w:kern w:val="0"/>
          <w:sz w:val="24"/>
          <w:szCs w:val="24"/>
          <w:lang w:eastAsia="en-GB"/>
          <w14:ligatures w14:val="none"/>
        </w:rPr>
        <w:t xml:space="preserve"> </w:t>
      </w:r>
      <w:r w:rsidR="00BF6E20">
        <w:rPr>
          <w:rFonts w:ascii="Times New Roman" w:eastAsia="Times New Roman" w:hAnsi="Times New Roman" w:cs="Times New Roman"/>
          <w:kern w:val="0"/>
          <w:sz w:val="24"/>
          <w:szCs w:val="24"/>
          <w:lang w:eastAsia="en-GB"/>
          <w14:ligatures w14:val="none"/>
        </w:rPr>
        <w:t>April</w:t>
      </w:r>
      <w:r w:rsidRPr="00CE5A79">
        <w:rPr>
          <w:rFonts w:ascii="Times New Roman" w:eastAsia="Times New Roman" w:hAnsi="Times New Roman" w:cs="Times New Roman"/>
          <w:kern w:val="0"/>
          <w:sz w:val="24"/>
          <w:szCs w:val="24"/>
          <w:lang w:eastAsia="en-GB"/>
          <w14:ligatures w14:val="none"/>
        </w:rPr>
        <w:t xml:space="preserve">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348543BE"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Nowell, L.S. </w:t>
      </w:r>
      <w:r w:rsidRPr="00CE5A79">
        <w:rPr>
          <w:rFonts w:ascii="Times New Roman" w:eastAsia="Times New Roman" w:hAnsi="Times New Roman" w:cs="Times New Roman"/>
          <w:i/>
          <w:iCs/>
          <w:kern w:val="0"/>
          <w:sz w:val="24"/>
          <w:szCs w:val="24"/>
          <w:lang w:eastAsia="en-GB"/>
          <w14:ligatures w14:val="none"/>
        </w:rPr>
        <w:t>et al.</w:t>
      </w:r>
      <w:r w:rsidRPr="00CE5A79">
        <w:rPr>
          <w:rFonts w:ascii="Times New Roman" w:eastAsia="Times New Roman" w:hAnsi="Times New Roman" w:cs="Times New Roman"/>
          <w:kern w:val="0"/>
          <w:sz w:val="24"/>
          <w:szCs w:val="24"/>
          <w:lang w:eastAsia="en-GB"/>
          <w14:ligatures w14:val="none"/>
        </w:rPr>
        <w:t xml:space="preserve"> (2017) 'Thematic analysis: striving to meet the trustworthiness criteria', </w:t>
      </w:r>
      <w:r w:rsidRPr="00CE5A79">
        <w:rPr>
          <w:rFonts w:ascii="Times New Roman" w:eastAsia="Times New Roman" w:hAnsi="Times New Roman" w:cs="Times New Roman"/>
          <w:i/>
          <w:iCs/>
          <w:kern w:val="0"/>
          <w:sz w:val="24"/>
          <w:szCs w:val="24"/>
          <w:lang w:eastAsia="en-GB"/>
          <w14:ligatures w14:val="none"/>
        </w:rPr>
        <w:t>International Journal of Qualitative Methods</w:t>
      </w:r>
      <w:r w:rsidRPr="00CE5A79">
        <w:rPr>
          <w:rFonts w:ascii="Times New Roman" w:eastAsia="Times New Roman" w:hAnsi="Times New Roman" w:cs="Times New Roman"/>
          <w:kern w:val="0"/>
          <w:sz w:val="24"/>
          <w:szCs w:val="24"/>
          <w:lang w:eastAsia="en-GB"/>
          <w14:ligatures w14:val="none"/>
        </w:rPr>
        <w:t xml:space="preserve">, 16(1), pp. 1–13. </w:t>
      </w:r>
      <w:hyperlink r:id="rId32" w:history="1">
        <w:r w:rsidRPr="00574329">
          <w:rPr>
            <w:rStyle w:val="Hyperlink"/>
            <w:rFonts w:ascii="Times New Roman" w:eastAsia="Times New Roman" w:hAnsi="Times New Roman" w:cs="Times New Roman"/>
            <w:kern w:val="0"/>
            <w:sz w:val="24"/>
            <w:szCs w:val="24"/>
            <w:lang w:eastAsia="en-GB"/>
            <w14:ligatures w14:val="none"/>
          </w:rPr>
          <w:t>https://doi.org/10.1177/1609406917733847</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78495EE"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Older People's Housing Task Force (2024) </w:t>
      </w:r>
      <w:r w:rsidRPr="00CE5A79">
        <w:rPr>
          <w:rFonts w:ascii="Times New Roman" w:eastAsia="Times New Roman" w:hAnsi="Times New Roman" w:cs="Times New Roman"/>
          <w:i/>
          <w:iCs/>
          <w:kern w:val="0"/>
          <w:sz w:val="24"/>
          <w:szCs w:val="24"/>
          <w:lang w:eastAsia="en-GB"/>
          <w14:ligatures w14:val="none"/>
        </w:rPr>
        <w:t>Our Future Homes: Housing that Promotes Wellbeing and Community for an Ageing Population</w:t>
      </w:r>
      <w:r w:rsidRPr="00CE5A79">
        <w:rPr>
          <w:rFonts w:ascii="Times New Roman" w:eastAsia="Times New Roman" w:hAnsi="Times New Roman" w:cs="Times New Roman"/>
          <w:kern w:val="0"/>
          <w:sz w:val="24"/>
          <w:szCs w:val="24"/>
          <w:lang w:eastAsia="en-GB"/>
          <w14:ligatures w14:val="none"/>
        </w:rPr>
        <w:t>. London: MHCLG.</w:t>
      </w:r>
    </w:p>
    <w:p w14:paraId="3478B75C"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lastRenderedPageBreak/>
        <w:t xml:space="preserve">Patton, M.Q. (2002) </w:t>
      </w:r>
      <w:r w:rsidRPr="00CE5A79">
        <w:rPr>
          <w:rFonts w:ascii="Times New Roman" w:eastAsia="Times New Roman" w:hAnsi="Times New Roman" w:cs="Times New Roman"/>
          <w:i/>
          <w:iCs/>
          <w:kern w:val="0"/>
          <w:sz w:val="24"/>
          <w:szCs w:val="24"/>
          <w:lang w:eastAsia="en-GB"/>
          <w14:ligatures w14:val="none"/>
        </w:rPr>
        <w:t>Qualitative Research and Evaluation Methods</w:t>
      </w:r>
      <w:r w:rsidRPr="00CE5A79">
        <w:rPr>
          <w:rFonts w:ascii="Times New Roman" w:eastAsia="Times New Roman" w:hAnsi="Times New Roman" w:cs="Times New Roman"/>
          <w:kern w:val="0"/>
          <w:sz w:val="24"/>
          <w:szCs w:val="24"/>
          <w:lang w:eastAsia="en-GB"/>
          <w14:ligatures w14:val="none"/>
        </w:rPr>
        <w:t xml:space="preserve">. 3rd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Thousand Oaks, CA: SAGE Publications.</w:t>
      </w:r>
    </w:p>
    <w:p w14:paraId="161F0D7B"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Polat, A. (2025) 'Thematic analysis in qualitative research: common pitfalls and practical insights for academic writing', </w:t>
      </w:r>
      <w:r w:rsidRPr="00CE5A79">
        <w:rPr>
          <w:rFonts w:ascii="Times New Roman" w:eastAsia="Times New Roman" w:hAnsi="Times New Roman" w:cs="Times New Roman"/>
          <w:i/>
          <w:iCs/>
          <w:kern w:val="0"/>
          <w:sz w:val="24"/>
          <w:szCs w:val="24"/>
          <w:lang w:eastAsia="en-GB"/>
          <w14:ligatures w14:val="none"/>
        </w:rPr>
        <w:t>International Journal of Qualitative Methods</w:t>
      </w:r>
      <w:r w:rsidRPr="00CE5A79">
        <w:rPr>
          <w:rFonts w:ascii="Times New Roman" w:eastAsia="Times New Roman" w:hAnsi="Times New Roman" w:cs="Times New Roman"/>
          <w:kern w:val="0"/>
          <w:sz w:val="24"/>
          <w:szCs w:val="24"/>
          <w:lang w:eastAsia="en-GB"/>
          <w14:ligatures w14:val="none"/>
        </w:rPr>
        <w:t xml:space="preserve">, 24. </w:t>
      </w:r>
      <w:hyperlink r:id="rId33" w:history="1">
        <w:r w:rsidRPr="00574329">
          <w:rPr>
            <w:rStyle w:val="Hyperlink"/>
            <w:rFonts w:ascii="Times New Roman" w:eastAsia="Times New Roman" w:hAnsi="Times New Roman" w:cs="Times New Roman"/>
            <w:kern w:val="0"/>
            <w:sz w:val="24"/>
            <w:szCs w:val="24"/>
            <w:lang w:eastAsia="en-GB"/>
            <w14:ligatures w14:val="none"/>
          </w:rPr>
          <w:t>https://doi.org/10.1177/16094069251372835</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4054DEFB"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Richards, P. (2014) </w:t>
      </w:r>
      <w:r w:rsidRPr="00CE5A79">
        <w:rPr>
          <w:rFonts w:ascii="Times New Roman" w:eastAsia="Times New Roman" w:hAnsi="Times New Roman" w:cs="Times New Roman"/>
          <w:i/>
          <w:iCs/>
          <w:kern w:val="0"/>
          <w:sz w:val="24"/>
          <w:szCs w:val="24"/>
          <w:lang w:eastAsia="en-GB"/>
          <w14:ligatures w14:val="none"/>
        </w:rPr>
        <w:t>Land Law</w:t>
      </w:r>
      <w:r w:rsidRPr="00CE5A79">
        <w:rPr>
          <w:rFonts w:ascii="Times New Roman" w:eastAsia="Times New Roman" w:hAnsi="Times New Roman" w:cs="Times New Roman"/>
          <w:kern w:val="0"/>
          <w:sz w:val="24"/>
          <w:szCs w:val="24"/>
          <w:lang w:eastAsia="en-GB"/>
          <w14:ligatures w14:val="none"/>
        </w:rPr>
        <w:t xml:space="preserve">. 1st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Harlow: Pearson Education Limited.</w:t>
      </w:r>
    </w:p>
    <w:p w14:paraId="12FB1EF9"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Ritchie, J., Lewis, J., McNaughton Nicholls, C. and Ormston, R. (eds.) (2014) </w:t>
      </w:r>
      <w:r w:rsidRPr="00CE5A79">
        <w:rPr>
          <w:rFonts w:ascii="Times New Roman" w:eastAsia="Times New Roman" w:hAnsi="Times New Roman" w:cs="Times New Roman"/>
          <w:i/>
          <w:iCs/>
          <w:kern w:val="0"/>
          <w:sz w:val="24"/>
          <w:szCs w:val="24"/>
          <w:lang w:eastAsia="en-GB"/>
          <w14:ligatures w14:val="none"/>
        </w:rPr>
        <w:t>Qualitative Research Practice: A Guide for Social Science Students and Researchers</w:t>
      </w:r>
      <w:r w:rsidRPr="00CE5A79">
        <w:rPr>
          <w:rFonts w:ascii="Times New Roman" w:eastAsia="Times New Roman" w:hAnsi="Times New Roman" w:cs="Times New Roman"/>
          <w:kern w:val="0"/>
          <w:sz w:val="24"/>
          <w:szCs w:val="24"/>
          <w:lang w:eastAsia="en-GB"/>
          <w14:ligatures w14:val="none"/>
        </w:rPr>
        <w:t xml:space="preserve">. 2nd </w:t>
      </w:r>
      <w:proofErr w:type="spellStart"/>
      <w:r w:rsidRPr="00CE5A79">
        <w:rPr>
          <w:rFonts w:ascii="Times New Roman" w:eastAsia="Times New Roman" w:hAnsi="Times New Roman" w:cs="Times New Roman"/>
          <w:kern w:val="0"/>
          <w:sz w:val="24"/>
          <w:szCs w:val="24"/>
          <w:lang w:eastAsia="en-GB"/>
          <w14:ligatures w14:val="none"/>
        </w:rPr>
        <w:t>edn</w:t>
      </w:r>
      <w:proofErr w:type="spellEnd"/>
      <w:r w:rsidRPr="00CE5A79">
        <w:rPr>
          <w:rFonts w:ascii="Times New Roman" w:eastAsia="Times New Roman" w:hAnsi="Times New Roman" w:cs="Times New Roman"/>
          <w:kern w:val="0"/>
          <w:sz w:val="24"/>
          <w:szCs w:val="24"/>
          <w:lang w:eastAsia="en-GB"/>
          <w14:ligatures w14:val="none"/>
        </w:rPr>
        <w:t>. London: SAGE Publications.</w:t>
      </w:r>
    </w:p>
    <w:p w14:paraId="46DFFD7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Rolfe, S., Garnham, L., Godwin, J. and Anderson, I. (2020) 'Housing as a social determinant of health and wellbeing: developing an </w:t>
      </w:r>
      <w:proofErr w:type="gramStart"/>
      <w:r w:rsidRPr="00CE5A79">
        <w:rPr>
          <w:rFonts w:ascii="Times New Roman" w:eastAsia="Times New Roman" w:hAnsi="Times New Roman" w:cs="Times New Roman"/>
          <w:kern w:val="0"/>
          <w:sz w:val="24"/>
          <w:szCs w:val="24"/>
          <w:lang w:eastAsia="en-GB"/>
          <w14:ligatures w14:val="none"/>
        </w:rPr>
        <w:t>empirically-informed</w:t>
      </w:r>
      <w:proofErr w:type="gramEnd"/>
      <w:r w:rsidRPr="00CE5A79">
        <w:rPr>
          <w:rFonts w:ascii="Times New Roman" w:eastAsia="Times New Roman" w:hAnsi="Times New Roman" w:cs="Times New Roman"/>
          <w:kern w:val="0"/>
          <w:sz w:val="24"/>
          <w:szCs w:val="24"/>
          <w:lang w:eastAsia="en-GB"/>
          <w14:ligatures w14:val="none"/>
        </w:rPr>
        <w:t xml:space="preserve"> realist theoretical framework', </w:t>
      </w:r>
      <w:r w:rsidRPr="00CE5A79">
        <w:rPr>
          <w:rFonts w:ascii="Times New Roman" w:eastAsia="Times New Roman" w:hAnsi="Times New Roman" w:cs="Times New Roman"/>
          <w:i/>
          <w:iCs/>
          <w:kern w:val="0"/>
          <w:sz w:val="24"/>
          <w:szCs w:val="24"/>
          <w:lang w:eastAsia="en-GB"/>
          <w14:ligatures w14:val="none"/>
        </w:rPr>
        <w:t>BMC Public Health</w:t>
      </w:r>
      <w:r w:rsidRPr="00CE5A79">
        <w:rPr>
          <w:rFonts w:ascii="Times New Roman" w:eastAsia="Times New Roman" w:hAnsi="Times New Roman" w:cs="Times New Roman"/>
          <w:kern w:val="0"/>
          <w:sz w:val="24"/>
          <w:szCs w:val="24"/>
          <w:lang w:eastAsia="en-GB"/>
          <w14:ligatures w14:val="none"/>
        </w:rPr>
        <w:t xml:space="preserve">, 20, p. 1138. </w:t>
      </w:r>
      <w:hyperlink r:id="rId34" w:history="1">
        <w:r w:rsidRPr="00574329">
          <w:rPr>
            <w:rStyle w:val="Hyperlink"/>
            <w:rFonts w:ascii="Times New Roman" w:eastAsia="Times New Roman" w:hAnsi="Times New Roman" w:cs="Times New Roman"/>
            <w:kern w:val="0"/>
            <w:sz w:val="24"/>
            <w:szCs w:val="24"/>
            <w:lang w:eastAsia="en-GB"/>
            <w14:ligatures w14:val="none"/>
          </w:rPr>
          <w:t>https://doi.org/10.1186/s12889-020-09224-0</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1A0C85BF"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Sandelowski, M. (1986) 'The problem of rigor in qualitative research', </w:t>
      </w:r>
      <w:r w:rsidRPr="00CE5A79">
        <w:rPr>
          <w:rFonts w:ascii="Times New Roman" w:eastAsia="Times New Roman" w:hAnsi="Times New Roman" w:cs="Times New Roman"/>
          <w:i/>
          <w:iCs/>
          <w:kern w:val="0"/>
          <w:sz w:val="24"/>
          <w:szCs w:val="24"/>
          <w:lang w:eastAsia="en-GB"/>
          <w14:ligatures w14:val="none"/>
        </w:rPr>
        <w:t>Advances in Nursing Science</w:t>
      </w:r>
      <w:r w:rsidRPr="00CE5A79">
        <w:rPr>
          <w:rFonts w:ascii="Times New Roman" w:eastAsia="Times New Roman" w:hAnsi="Times New Roman" w:cs="Times New Roman"/>
          <w:kern w:val="0"/>
          <w:sz w:val="24"/>
          <w:szCs w:val="24"/>
          <w:lang w:eastAsia="en-GB"/>
          <w14:ligatures w14:val="none"/>
        </w:rPr>
        <w:t>, 8(3), pp. 27–37.</w:t>
      </w:r>
    </w:p>
    <w:p w14:paraId="6D73A1F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Saunders, C.H. </w:t>
      </w:r>
      <w:r w:rsidRPr="00CE5A79">
        <w:rPr>
          <w:rFonts w:ascii="Times New Roman" w:eastAsia="Times New Roman" w:hAnsi="Times New Roman" w:cs="Times New Roman"/>
          <w:i/>
          <w:iCs/>
          <w:kern w:val="0"/>
          <w:sz w:val="24"/>
          <w:szCs w:val="24"/>
          <w:lang w:eastAsia="en-GB"/>
          <w14:ligatures w14:val="none"/>
        </w:rPr>
        <w:t>et al.</w:t>
      </w:r>
      <w:r w:rsidRPr="00CE5A79">
        <w:rPr>
          <w:rFonts w:ascii="Times New Roman" w:eastAsia="Times New Roman" w:hAnsi="Times New Roman" w:cs="Times New Roman"/>
          <w:kern w:val="0"/>
          <w:sz w:val="24"/>
          <w:szCs w:val="24"/>
          <w:lang w:eastAsia="en-GB"/>
          <w14:ligatures w14:val="none"/>
        </w:rPr>
        <w:t xml:space="preserve"> (2023) 'Practical thematic analysis: a guide for multidisciplinary health services research teams engaging in qualitative analysis', </w:t>
      </w:r>
      <w:r w:rsidRPr="00CE5A79">
        <w:rPr>
          <w:rFonts w:ascii="Times New Roman" w:eastAsia="Times New Roman" w:hAnsi="Times New Roman" w:cs="Times New Roman"/>
          <w:i/>
          <w:iCs/>
          <w:kern w:val="0"/>
          <w:sz w:val="24"/>
          <w:szCs w:val="24"/>
          <w:lang w:eastAsia="en-GB"/>
          <w14:ligatures w14:val="none"/>
        </w:rPr>
        <w:t>BMJ</w:t>
      </w:r>
      <w:r w:rsidRPr="00CE5A79">
        <w:rPr>
          <w:rFonts w:ascii="Times New Roman" w:eastAsia="Times New Roman" w:hAnsi="Times New Roman" w:cs="Times New Roman"/>
          <w:kern w:val="0"/>
          <w:sz w:val="24"/>
          <w:szCs w:val="24"/>
          <w:lang w:eastAsia="en-GB"/>
          <w14:ligatures w14:val="none"/>
        </w:rPr>
        <w:t xml:space="preserve">, 381, p. e074256. </w:t>
      </w:r>
      <w:hyperlink r:id="rId35" w:history="1">
        <w:r w:rsidRPr="00574329">
          <w:rPr>
            <w:rStyle w:val="Hyperlink"/>
            <w:rFonts w:ascii="Times New Roman" w:eastAsia="Times New Roman" w:hAnsi="Times New Roman" w:cs="Times New Roman"/>
            <w:kern w:val="0"/>
            <w:sz w:val="24"/>
            <w:szCs w:val="24"/>
            <w:lang w:eastAsia="en-GB"/>
            <w14:ligatures w14:val="none"/>
          </w:rPr>
          <w:t>https://doi.org/10.1136/bmj-2022-074256</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081A4A32"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Seagraves, P. (2023) 'Real estate insights: the clash of politics and economics in the UK property market – the case of leaseholds', </w:t>
      </w:r>
      <w:r w:rsidRPr="00CE5A79">
        <w:rPr>
          <w:rFonts w:ascii="Times New Roman" w:eastAsia="Times New Roman" w:hAnsi="Times New Roman" w:cs="Times New Roman"/>
          <w:i/>
          <w:iCs/>
          <w:kern w:val="0"/>
          <w:sz w:val="24"/>
          <w:szCs w:val="24"/>
          <w:lang w:eastAsia="en-GB"/>
          <w14:ligatures w14:val="none"/>
        </w:rPr>
        <w:t>Journal of Property Investment and Finance</w:t>
      </w:r>
      <w:r w:rsidRPr="00CE5A79">
        <w:rPr>
          <w:rFonts w:ascii="Times New Roman" w:eastAsia="Times New Roman" w:hAnsi="Times New Roman" w:cs="Times New Roman"/>
          <w:kern w:val="0"/>
          <w:sz w:val="24"/>
          <w:szCs w:val="24"/>
          <w:lang w:eastAsia="en-GB"/>
          <w14:ligatures w14:val="none"/>
        </w:rPr>
        <w:t>, 41(6), pp. 629–635.</w:t>
      </w:r>
    </w:p>
    <w:p w14:paraId="739D0733"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Shapiro, L. (2023) 'Leasehold reform debate rolls on', </w:t>
      </w:r>
      <w:r w:rsidRPr="00CE5A79">
        <w:rPr>
          <w:rFonts w:ascii="Times New Roman" w:eastAsia="Times New Roman" w:hAnsi="Times New Roman" w:cs="Times New Roman"/>
          <w:i/>
          <w:iCs/>
          <w:kern w:val="0"/>
          <w:sz w:val="24"/>
          <w:szCs w:val="24"/>
          <w:lang w:eastAsia="en-GB"/>
          <w14:ligatures w14:val="none"/>
        </w:rPr>
        <w:t>Property Week</w:t>
      </w:r>
      <w:r w:rsidRPr="00CE5A79">
        <w:rPr>
          <w:rFonts w:ascii="Times New Roman" w:eastAsia="Times New Roman" w:hAnsi="Times New Roman" w:cs="Times New Roman"/>
          <w:kern w:val="0"/>
          <w:sz w:val="24"/>
          <w:szCs w:val="24"/>
          <w:lang w:eastAsia="en-GB"/>
          <w14:ligatures w14:val="none"/>
        </w:rPr>
        <w:t>, p. 38.</w:t>
      </w:r>
    </w:p>
    <w:p w14:paraId="6A2A21B7"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E5A79">
        <w:rPr>
          <w:rFonts w:ascii="Times New Roman" w:eastAsia="Times New Roman" w:hAnsi="Times New Roman" w:cs="Times New Roman"/>
          <w:kern w:val="0"/>
          <w:sz w:val="24"/>
          <w:szCs w:val="24"/>
          <w:lang w:eastAsia="en-GB"/>
          <w14:ligatures w14:val="none"/>
        </w:rPr>
        <w:t>Vaismoradi</w:t>
      </w:r>
      <w:proofErr w:type="spellEnd"/>
      <w:r w:rsidRPr="00CE5A79">
        <w:rPr>
          <w:rFonts w:ascii="Times New Roman" w:eastAsia="Times New Roman" w:hAnsi="Times New Roman" w:cs="Times New Roman"/>
          <w:kern w:val="0"/>
          <w:sz w:val="24"/>
          <w:szCs w:val="24"/>
          <w:lang w:eastAsia="en-GB"/>
          <w14:ligatures w14:val="none"/>
        </w:rPr>
        <w:t xml:space="preserve">, M. and Snelgrove, S. (2019) 'Theme in qualitative content analysis and thematic analysis', </w:t>
      </w:r>
      <w:r w:rsidRPr="00CE5A79">
        <w:rPr>
          <w:rFonts w:ascii="Times New Roman" w:eastAsia="Times New Roman" w:hAnsi="Times New Roman" w:cs="Times New Roman"/>
          <w:i/>
          <w:iCs/>
          <w:kern w:val="0"/>
          <w:sz w:val="24"/>
          <w:szCs w:val="24"/>
          <w:lang w:eastAsia="en-GB"/>
          <w14:ligatures w14:val="none"/>
        </w:rPr>
        <w:t>Forum: Qualitative Social Research</w:t>
      </w:r>
      <w:r w:rsidRPr="00CE5A79">
        <w:rPr>
          <w:rFonts w:ascii="Times New Roman" w:eastAsia="Times New Roman" w:hAnsi="Times New Roman" w:cs="Times New Roman"/>
          <w:kern w:val="0"/>
          <w:sz w:val="24"/>
          <w:szCs w:val="24"/>
          <w:lang w:eastAsia="en-GB"/>
          <w14:ligatures w14:val="none"/>
        </w:rPr>
        <w:t xml:space="preserve">, 20(3), Art. 23. </w:t>
      </w:r>
      <w:hyperlink r:id="rId36" w:history="1">
        <w:r w:rsidRPr="00574329">
          <w:rPr>
            <w:rStyle w:val="Hyperlink"/>
            <w:rFonts w:ascii="Times New Roman" w:eastAsia="Times New Roman" w:hAnsi="Times New Roman" w:cs="Times New Roman"/>
            <w:kern w:val="0"/>
            <w:sz w:val="24"/>
            <w:szCs w:val="24"/>
            <w:lang w:eastAsia="en-GB"/>
            <w14:ligatures w14:val="none"/>
          </w:rPr>
          <w:t>https://doi.org/10.17169/fqs-20.3.3376</w:t>
        </w:r>
      </w:hyperlink>
      <w:r w:rsidRPr="00CE5A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D5C62C9"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Welsh Government (2019) </w:t>
      </w:r>
      <w:r w:rsidRPr="00CE5A79">
        <w:rPr>
          <w:rFonts w:ascii="Times New Roman" w:eastAsia="Times New Roman" w:hAnsi="Times New Roman" w:cs="Times New Roman"/>
          <w:i/>
          <w:iCs/>
          <w:kern w:val="0"/>
          <w:sz w:val="24"/>
          <w:szCs w:val="24"/>
          <w:lang w:eastAsia="en-GB"/>
          <w14:ligatures w14:val="none"/>
        </w:rPr>
        <w:t>Improving the Lives of Leaseholders in Wales: Report of the Independent Task and Finish Group</w:t>
      </w:r>
      <w:r w:rsidRPr="00CE5A79">
        <w:rPr>
          <w:rFonts w:ascii="Times New Roman" w:eastAsia="Times New Roman" w:hAnsi="Times New Roman" w:cs="Times New Roman"/>
          <w:kern w:val="0"/>
          <w:sz w:val="24"/>
          <w:szCs w:val="24"/>
          <w:lang w:eastAsia="en-GB"/>
          <w14:ligatures w14:val="none"/>
        </w:rPr>
        <w:t xml:space="preserve">. Cardiff: Welsh Government. Available at: </w:t>
      </w:r>
      <w:hyperlink r:id="rId37" w:history="1">
        <w:r w:rsidRPr="00574329">
          <w:rPr>
            <w:rStyle w:val="Hyperlink"/>
            <w:rFonts w:ascii="Times New Roman" w:eastAsia="Times New Roman" w:hAnsi="Times New Roman" w:cs="Times New Roman"/>
            <w:kern w:val="0"/>
            <w:sz w:val="24"/>
            <w:szCs w:val="24"/>
            <w:lang w:eastAsia="en-GB"/>
            <w14:ligatures w14:val="none"/>
          </w:rPr>
          <w:t>https://www.gov.wales/sites/default/files/publications/2019-07/independent-review-of-residential-leasehold-report_1.pdf</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 xml:space="preserve"> (Accessed: 1</w:t>
      </w:r>
      <w:r>
        <w:rPr>
          <w:rFonts w:ascii="Times New Roman" w:eastAsia="Times New Roman" w:hAnsi="Times New Roman" w:cs="Times New Roman"/>
          <w:kern w:val="0"/>
          <w:sz w:val="24"/>
          <w:szCs w:val="24"/>
          <w:lang w:eastAsia="en-GB"/>
          <w14:ligatures w14:val="none"/>
        </w:rPr>
        <w:t>7</w:t>
      </w:r>
      <w:r w:rsidRPr="00CE5A79">
        <w:rPr>
          <w:rFonts w:ascii="Times New Roman" w:eastAsia="Times New Roman" w:hAnsi="Times New Roman" w:cs="Times New Roman"/>
          <w:kern w:val="0"/>
          <w:sz w:val="24"/>
          <w:szCs w:val="24"/>
          <w:lang w:eastAsia="en-GB"/>
          <w14:ligatures w14:val="none"/>
        </w:rPr>
        <w:t xml:space="preserve"> March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0C46BC26" w14:textId="33C5C9CA"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Welsh Government (2021) </w:t>
      </w:r>
      <w:r w:rsidRPr="00CE5A79">
        <w:rPr>
          <w:rFonts w:ascii="Times New Roman" w:eastAsia="Times New Roman" w:hAnsi="Times New Roman" w:cs="Times New Roman"/>
          <w:i/>
          <w:iCs/>
          <w:kern w:val="0"/>
          <w:sz w:val="24"/>
          <w:szCs w:val="24"/>
          <w:lang w:eastAsia="en-GB"/>
          <w14:ligatures w14:val="none"/>
        </w:rPr>
        <w:t>Research on the Sale and Use of Leaseholds in Wales: Summary</w:t>
      </w:r>
      <w:r w:rsidRPr="00CE5A79">
        <w:rPr>
          <w:rFonts w:ascii="Times New Roman" w:eastAsia="Times New Roman" w:hAnsi="Times New Roman" w:cs="Times New Roman"/>
          <w:kern w:val="0"/>
          <w:sz w:val="24"/>
          <w:szCs w:val="24"/>
          <w:lang w:eastAsia="en-GB"/>
          <w14:ligatures w14:val="none"/>
        </w:rPr>
        <w:t xml:space="preserve">. Cardiff: Welsh Government. Available at: </w:t>
      </w:r>
      <w:hyperlink r:id="rId38" w:history="1">
        <w:r w:rsidRPr="00574329">
          <w:rPr>
            <w:rStyle w:val="Hyperlink"/>
            <w:rFonts w:ascii="Times New Roman" w:eastAsia="Times New Roman" w:hAnsi="Times New Roman" w:cs="Times New Roman"/>
            <w:kern w:val="0"/>
            <w:sz w:val="24"/>
            <w:szCs w:val="24"/>
            <w:lang w:eastAsia="en-GB"/>
            <w14:ligatures w14:val="none"/>
          </w:rPr>
          <w:t>https://www.gov.wales/research-sale-and-use-leaseholds-wales-summary-html</w:t>
        </w:r>
      </w:hyperlink>
      <w:r>
        <w:rPr>
          <w:rFonts w:ascii="Times New Roman" w:eastAsia="Times New Roman" w:hAnsi="Times New Roman" w:cs="Times New Roman"/>
          <w:kern w:val="0"/>
          <w:sz w:val="24"/>
          <w:szCs w:val="24"/>
          <w:lang w:eastAsia="en-GB"/>
          <w14:ligatures w14:val="none"/>
        </w:rPr>
        <w:t xml:space="preserve"> </w:t>
      </w:r>
      <w:r w:rsidRPr="00CE5A79">
        <w:rPr>
          <w:rFonts w:ascii="Times New Roman" w:eastAsia="Times New Roman" w:hAnsi="Times New Roman" w:cs="Times New Roman"/>
          <w:kern w:val="0"/>
          <w:sz w:val="24"/>
          <w:szCs w:val="24"/>
          <w:lang w:eastAsia="en-GB"/>
          <w14:ligatures w14:val="none"/>
        </w:rPr>
        <w:t>(Accessed: 1</w:t>
      </w:r>
      <w:r>
        <w:rPr>
          <w:rFonts w:ascii="Times New Roman" w:eastAsia="Times New Roman" w:hAnsi="Times New Roman" w:cs="Times New Roman"/>
          <w:kern w:val="0"/>
          <w:sz w:val="24"/>
          <w:szCs w:val="24"/>
          <w:lang w:eastAsia="en-GB"/>
          <w14:ligatures w14:val="none"/>
        </w:rPr>
        <w:t>9</w:t>
      </w:r>
      <w:r w:rsidRPr="00CE5A79">
        <w:rPr>
          <w:rFonts w:ascii="Times New Roman" w:eastAsia="Times New Roman" w:hAnsi="Times New Roman" w:cs="Times New Roman"/>
          <w:kern w:val="0"/>
          <w:sz w:val="24"/>
          <w:szCs w:val="24"/>
          <w:lang w:eastAsia="en-GB"/>
          <w14:ligatures w14:val="none"/>
        </w:rPr>
        <w:t xml:space="preserve"> </w:t>
      </w:r>
      <w:r w:rsidR="00FE6A0B">
        <w:rPr>
          <w:rFonts w:ascii="Times New Roman" w:eastAsia="Times New Roman" w:hAnsi="Times New Roman" w:cs="Times New Roman"/>
          <w:kern w:val="0"/>
          <w:sz w:val="24"/>
          <w:szCs w:val="24"/>
          <w:lang w:eastAsia="en-GB"/>
          <w14:ligatures w14:val="none"/>
        </w:rPr>
        <w:t>April</w:t>
      </w:r>
      <w:r w:rsidRPr="00CE5A79">
        <w:rPr>
          <w:rFonts w:ascii="Times New Roman" w:eastAsia="Times New Roman" w:hAnsi="Times New Roman" w:cs="Times New Roman"/>
          <w:kern w:val="0"/>
          <w:sz w:val="24"/>
          <w:szCs w:val="24"/>
          <w:lang w:eastAsia="en-GB"/>
          <w14:ligatures w14:val="none"/>
        </w:rPr>
        <w:t xml:space="preserve"> 202</w:t>
      </w:r>
      <w:r>
        <w:rPr>
          <w:rFonts w:ascii="Times New Roman" w:eastAsia="Times New Roman" w:hAnsi="Times New Roman" w:cs="Times New Roman"/>
          <w:kern w:val="0"/>
          <w:sz w:val="24"/>
          <w:szCs w:val="24"/>
          <w:lang w:eastAsia="en-GB"/>
          <w14:ligatures w14:val="none"/>
        </w:rPr>
        <w:t>6</w:t>
      </w:r>
      <w:r w:rsidRPr="00CE5A79">
        <w:rPr>
          <w:rFonts w:ascii="Times New Roman" w:eastAsia="Times New Roman" w:hAnsi="Times New Roman" w:cs="Times New Roman"/>
          <w:kern w:val="0"/>
          <w:sz w:val="24"/>
          <w:szCs w:val="24"/>
          <w:lang w:eastAsia="en-GB"/>
          <w14:ligatures w14:val="none"/>
        </w:rPr>
        <w:t>).</w:t>
      </w:r>
    </w:p>
    <w:p w14:paraId="10ACAC7D"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Wilson, W. (2023) </w:t>
      </w:r>
      <w:r w:rsidRPr="00CE5A79">
        <w:rPr>
          <w:rFonts w:ascii="Times New Roman" w:eastAsia="Times New Roman" w:hAnsi="Times New Roman" w:cs="Times New Roman"/>
          <w:i/>
          <w:iCs/>
          <w:kern w:val="0"/>
          <w:sz w:val="24"/>
          <w:szCs w:val="24"/>
          <w:lang w:eastAsia="en-GB"/>
          <w14:ligatures w14:val="none"/>
        </w:rPr>
        <w:t>Leasehold Reform in England and Wales</w:t>
      </w:r>
      <w:r w:rsidRPr="00CE5A79">
        <w:rPr>
          <w:rFonts w:ascii="Times New Roman" w:eastAsia="Times New Roman" w:hAnsi="Times New Roman" w:cs="Times New Roman"/>
          <w:kern w:val="0"/>
          <w:sz w:val="24"/>
          <w:szCs w:val="24"/>
          <w:lang w:eastAsia="en-GB"/>
          <w14:ligatures w14:val="none"/>
        </w:rPr>
        <w:t>. House of Commons Library Research Briefing CBP-8047. London: House of Commons Library.</w:t>
      </w:r>
    </w:p>
    <w:p w14:paraId="4B61F11B" w14:textId="77777777" w:rsidR="00CB12F5" w:rsidRPr="00CE5A79" w:rsidRDefault="00CB12F5" w:rsidP="00CB12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5A79">
        <w:rPr>
          <w:rFonts w:ascii="Times New Roman" w:eastAsia="Times New Roman" w:hAnsi="Times New Roman" w:cs="Times New Roman"/>
          <w:kern w:val="0"/>
          <w:sz w:val="24"/>
          <w:szCs w:val="24"/>
          <w:lang w:eastAsia="en-GB"/>
          <w14:ligatures w14:val="none"/>
        </w:rPr>
        <w:t xml:space="preserve">Wiltshire, G. and Ronkainen, N. (2021) 'A realist approach to thematic analysis: making sense of qualitative data through experiential, inferential and dispositional themes', </w:t>
      </w:r>
      <w:r w:rsidRPr="00CE5A79">
        <w:rPr>
          <w:rFonts w:ascii="Times New Roman" w:eastAsia="Times New Roman" w:hAnsi="Times New Roman" w:cs="Times New Roman"/>
          <w:i/>
          <w:iCs/>
          <w:kern w:val="0"/>
          <w:sz w:val="24"/>
          <w:szCs w:val="24"/>
          <w:lang w:eastAsia="en-GB"/>
          <w14:ligatures w14:val="none"/>
        </w:rPr>
        <w:t>Journal of Critical Realism</w:t>
      </w:r>
      <w:r w:rsidRPr="00CE5A79">
        <w:rPr>
          <w:rFonts w:ascii="Times New Roman" w:eastAsia="Times New Roman" w:hAnsi="Times New Roman" w:cs="Times New Roman"/>
          <w:kern w:val="0"/>
          <w:sz w:val="24"/>
          <w:szCs w:val="24"/>
          <w:lang w:eastAsia="en-GB"/>
          <w14:ligatures w14:val="none"/>
        </w:rPr>
        <w:t>, 20(2), pp. 159–180.</w:t>
      </w:r>
    </w:p>
    <w:p w14:paraId="076B6D68" w14:textId="06483B01" w:rsidR="00CB12F5" w:rsidRPr="004465C8" w:rsidRDefault="00222085" w:rsidP="00CB12F5">
      <w:pPr>
        <w:rPr>
          <w:rFonts w:ascii="Times New Roman" w:hAnsi="Times New Roman" w:cs="Times New Roman"/>
          <w:b/>
          <w:bCs/>
          <w:i/>
          <w:iCs/>
          <w:color w:val="0070C0"/>
          <w:sz w:val="40"/>
          <w:szCs w:val="40"/>
        </w:rPr>
      </w:pPr>
      <w:r w:rsidRPr="004465C8">
        <w:rPr>
          <w:rFonts w:ascii="Times New Roman" w:hAnsi="Times New Roman" w:cs="Times New Roman"/>
          <w:b/>
          <w:bCs/>
          <w:i/>
          <w:iCs/>
          <w:color w:val="0070C0"/>
          <w:sz w:val="40"/>
          <w:szCs w:val="40"/>
        </w:rPr>
        <w:lastRenderedPageBreak/>
        <w:t>Appendix</w:t>
      </w:r>
    </w:p>
    <w:p w14:paraId="2089784D" w14:textId="77777777" w:rsidR="00222085" w:rsidRDefault="00222085" w:rsidP="00CB12F5">
      <w:pPr>
        <w:rPr>
          <w:rFonts w:ascii="Times New Roman" w:hAnsi="Times New Roman" w:cs="Times New Roman"/>
          <w:b/>
          <w:bCs/>
          <w:color w:val="0070C0"/>
          <w:sz w:val="32"/>
          <w:szCs w:val="32"/>
        </w:rPr>
      </w:pPr>
    </w:p>
    <w:p w14:paraId="224157BF" w14:textId="3694C434" w:rsidR="00222085" w:rsidRDefault="00DB1C5C" w:rsidP="00DB1C5C">
      <w:pPr>
        <w:pStyle w:val="ListParagraph"/>
        <w:numPr>
          <w:ilvl w:val="0"/>
          <w:numId w:val="3"/>
        </w:numPr>
        <w:rPr>
          <w:rFonts w:ascii="Times New Roman" w:hAnsi="Times New Roman" w:cs="Times New Roman"/>
          <w:b/>
          <w:bCs/>
          <w:color w:val="0070C0"/>
          <w:sz w:val="32"/>
          <w:szCs w:val="32"/>
        </w:rPr>
      </w:pPr>
      <w:r>
        <w:rPr>
          <w:rFonts w:ascii="Times New Roman" w:hAnsi="Times New Roman" w:cs="Times New Roman"/>
          <w:b/>
          <w:bCs/>
          <w:color w:val="0070C0"/>
          <w:sz w:val="32"/>
          <w:szCs w:val="32"/>
        </w:rPr>
        <w:t>Participant consent form</w:t>
      </w:r>
    </w:p>
    <w:p w14:paraId="6D07AA4C" w14:textId="77777777" w:rsidR="00331137" w:rsidRPr="00CD6342" w:rsidRDefault="00331137" w:rsidP="00331137">
      <w:pPr>
        <w:spacing w:line="360" w:lineRule="auto"/>
        <w:jc w:val="center"/>
        <w:rPr>
          <w:rFonts w:ascii="Times New Roman" w:hAnsi="Times New Roman" w:cs="Times New Roman"/>
          <w:b/>
          <w:sz w:val="24"/>
          <w:szCs w:val="24"/>
        </w:rPr>
      </w:pPr>
      <w:r w:rsidRPr="00CD6342">
        <w:rPr>
          <w:rFonts w:ascii="Times New Roman" w:hAnsi="Times New Roman" w:cs="Times New Roman"/>
          <w:b/>
          <w:sz w:val="24"/>
          <w:szCs w:val="24"/>
        </w:rPr>
        <w:t>Participant consent form</w:t>
      </w:r>
    </w:p>
    <w:p w14:paraId="5A1D0C56" w14:textId="57B3240D" w:rsidR="00331137" w:rsidRPr="00CD6342" w:rsidRDefault="00331137" w:rsidP="00331137">
      <w:pPr>
        <w:spacing w:line="240" w:lineRule="auto"/>
        <w:rPr>
          <w:rFonts w:ascii="Times New Roman" w:hAnsi="Times New Roman" w:cs="Times New Roman"/>
          <w:sz w:val="24"/>
          <w:szCs w:val="24"/>
        </w:rPr>
      </w:pPr>
      <w:r w:rsidRPr="00CD6342">
        <w:rPr>
          <w:rFonts w:ascii="Times New Roman" w:hAnsi="Times New Roman" w:cs="Times New Roman"/>
          <w:sz w:val="24"/>
          <w:szCs w:val="24"/>
        </w:rPr>
        <w:t xml:space="preserve">Version number &amp; date: Version 1.0 </w:t>
      </w:r>
    </w:p>
    <w:p w14:paraId="276F1A48" w14:textId="77777777" w:rsidR="00331137" w:rsidRPr="00CD6342" w:rsidRDefault="00331137" w:rsidP="00331137">
      <w:pPr>
        <w:spacing w:line="240" w:lineRule="auto"/>
        <w:rPr>
          <w:rFonts w:ascii="Times New Roman" w:hAnsi="Times New Roman" w:cs="Times New Roman"/>
          <w:sz w:val="24"/>
          <w:szCs w:val="24"/>
        </w:rPr>
      </w:pPr>
      <w:r w:rsidRPr="00CD6342">
        <w:rPr>
          <w:rFonts w:ascii="Times New Roman" w:hAnsi="Times New Roman" w:cs="Times New Roman"/>
          <w:sz w:val="24"/>
          <w:szCs w:val="24"/>
        </w:rPr>
        <w:t xml:space="preserve">Research ethics approval number: </w:t>
      </w:r>
    </w:p>
    <w:p w14:paraId="6C500A3B" w14:textId="3AFEB82D" w:rsidR="00331137" w:rsidRPr="00CD6342" w:rsidRDefault="00331137" w:rsidP="00331137">
      <w:pPr>
        <w:spacing w:line="240" w:lineRule="auto"/>
        <w:rPr>
          <w:rFonts w:ascii="Times New Roman" w:hAnsi="Times New Roman" w:cs="Times New Roman"/>
          <w:sz w:val="24"/>
          <w:szCs w:val="24"/>
        </w:rPr>
      </w:pPr>
      <w:r w:rsidRPr="00CD6342">
        <w:rPr>
          <w:rFonts w:ascii="Times New Roman" w:hAnsi="Times New Roman" w:cs="Times New Roman"/>
          <w:sz w:val="24"/>
          <w:szCs w:val="24"/>
        </w:rPr>
        <w:t xml:space="preserve">Title of the research project: </w:t>
      </w:r>
      <w:r w:rsidR="00A36EF1" w:rsidRPr="00A36EF1">
        <w:rPr>
          <w:rFonts w:ascii="Times New Roman" w:hAnsi="Times New Roman" w:cs="Times New Roman"/>
          <w:sz w:val="24"/>
          <w:szCs w:val="24"/>
        </w:rPr>
        <w:t>The Leasehold Trap: Short Leases, Financial Insecurity, and the Implications for Elderly Homeowners in Wales</w:t>
      </w:r>
    </w:p>
    <w:p w14:paraId="55A55D9D" w14:textId="437E19DE" w:rsidR="00331137" w:rsidRPr="00CD6342" w:rsidRDefault="00331137" w:rsidP="00331137">
      <w:pPr>
        <w:spacing w:line="240" w:lineRule="auto"/>
        <w:rPr>
          <w:rFonts w:ascii="Times New Roman" w:hAnsi="Times New Roman" w:cs="Times New Roman"/>
          <w:sz w:val="24"/>
          <w:szCs w:val="24"/>
        </w:rPr>
      </w:pPr>
      <w:r w:rsidRPr="00CD6342">
        <w:rPr>
          <w:rFonts w:ascii="Times New Roman" w:hAnsi="Times New Roman" w:cs="Times New Roman"/>
          <w:sz w:val="24"/>
          <w:szCs w:val="24"/>
        </w:rPr>
        <w:t xml:space="preserve">Name of researcher(s): </w:t>
      </w:r>
      <w:r w:rsidR="00A36EF1">
        <w:rPr>
          <w:rFonts w:ascii="Times New Roman" w:hAnsi="Times New Roman" w:cs="Times New Roman"/>
          <w:sz w:val="24"/>
          <w:szCs w:val="24"/>
        </w:rPr>
        <w:t xml:space="preserve">Violeta Alina Moros </w:t>
      </w:r>
    </w:p>
    <w:p w14:paraId="144F919F" w14:textId="5BC6DE4F" w:rsidR="00331137" w:rsidRPr="00CD6342" w:rsidRDefault="00331137" w:rsidP="00331137">
      <w:pPr>
        <w:pStyle w:val="ListParagraph"/>
        <w:numPr>
          <w:ilvl w:val="0"/>
          <w:numId w:val="4"/>
        </w:numPr>
        <w:spacing w:after="120" w:line="360" w:lineRule="auto"/>
        <w:ind w:left="357" w:right="1134" w:hanging="357"/>
        <w:rPr>
          <w:rFonts w:ascii="Times New Roman" w:hAnsi="Times New Roman" w:cs="Times New Roman"/>
          <w:sz w:val="24"/>
          <w:szCs w:val="24"/>
        </w:rPr>
      </w:pPr>
      <w:r w:rsidRPr="00CD6342">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64D4FC2D" wp14:editId="79195460">
                <wp:simplePos x="0" y="0"/>
                <wp:positionH relativeFrom="margin">
                  <wp:align>right</wp:align>
                </wp:positionH>
                <wp:positionV relativeFrom="paragraph">
                  <wp:posOffset>685165</wp:posOffset>
                </wp:positionV>
                <wp:extent cx="342900" cy="342900"/>
                <wp:effectExtent l="0" t="0" r="19050" b="19050"/>
                <wp:wrapNone/>
                <wp:docPr id="1315253743"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ED479B2" w14:textId="74F26B30"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D4FC2D" id="Rectangle 30" o:spid="_x0000_s1030" style="position:absolute;left:0;text-align:left;margin-left:-24.2pt;margin-top:53.95pt;width:27pt;height:27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" strokeweight="1.5pt">
                <v:textbox>
                  <w:txbxContent>
                    <w:p w14:paraId="4ED479B2" w14:textId="74F26B30" w:rsidR="00331137" w:rsidRDefault="008220A2" w:rsidP="00331137">
                      <w:pPr>
                        <w:jc w:val="center"/>
                      </w:pPr>
                      <w:r>
                        <w:t>x</w:t>
                      </w:r>
                    </w:p>
                  </w:txbxContent>
                </v:textbox>
                <w10:wrap anchorx="margin"/>
              </v:rect>
            </w:pict>
          </mc:Fallback>
        </mc:AlternateContent>
      </w:r>
      <w:r w:rsidRPr="00CD6342">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59DB41C8" wp14:editId="44915930">
                <wp:simplePos x="0" y="0"/>
                <wp:positionH relativeFrom="margin">
                  <wp:align>right</wp:align>
                </wp:positionH>
                <wp:positionV relativeFrom="paragraph">
                  <wp:posOffset>86360</wp:posOffset>
                </wp:positionV>
                <wp:extent cx="342900" cy="342900"/>
                <wp:effectExtent l="0" t="0" r="19050" b="19050"/>
                <wp:wrapNone/>
                <wp:docPr id="1807985825"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84D82FF" w14:textId="130711FE"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DB41C8" id="Rectangle 29" o:spid="_x0000_s1031" style="position:absolute;left:0;text-align:left;margin-left:-24.2pt;margin-top:6.8pt;width:27pt;height:27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" strokeweight="1.5pt">
                <v:textbox>
                  <w:txbxContent>
                    <w:p w14:paraId="484D82FF" w14:textId="130711FE"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I confirm that I have read and have understood the information sheet dated for the above study, or it has been read to me. I have had the opportunity to consider the information, ask questions and have had these answered satisfactorily.</w:t>
      </w:r>
    </w:p>
    <w:p w14:paraId="4B9231D7" w14:textId="77777777" w:rsidR="00331137" w:rsidRPr="00CD6342" w:rsidRDefault="00331137" w:rsidP="00331137">
      <w:pPr>
        <w:pStyle w:val="ListParagraph"/>
        <w:numPr>
          <w:ilvl w:val="0"/>
          <w:numId w:val="4"/>
        </w:numPr>
        <w:spacing w:before="120" w:after="120" w:line="360" w:lineRule="auto"/>
        <w:ind w:left="357" w:right="1134" w:hanging="357"/>
        <w:rPr>
          <w:rFonts w:ascii="Times New Roman" w:hAnsi="Times New Roman" w:cs="Times New Roman"/>
          <w:bCs/>
          <w:sz w:val="24"/>
          <w:szCs w:val="24"/>
        </w:rPr>
      </w:pPr>
      <w:r w:rsidRPr="00CD6342">
        <w:rPr>
          <w:rFonts w:ascii="Times New Roman" w:hAnsi="Times New Roman" w:cs="Times New Roman"/>
          <w:sz w:val="24"/>
          <w:szCs w:val="24"/>
        </w:rPr>
        <w:t xml:space="preserve">I understand that taking part in the study involves </w:t>
      </w:r>
      <w:r w:rsidRPr="00CD6342">
        <w:rPr>
          <w:rFonts w:ascii="Times New Roman" w:hAnsi="Times New Roman" w:cs="Times New Roman"/>
          <w:bCs/>
          <w:sz w:val="24"/>
          <w:szCs w:val="24"/>
        </w:rPr>
        <w:t>an audio recorded interview lasting approximately 20 to 40 minutes.</w:t>
      </w:r>
    </w:p>
    <w:p w14:paraId="428EDDF8" w14:textId="437BA86A" w:rsidR="00331137" w:rsidRPr="00CD6342" w:rsidRDefault="00331137" w:rsidP="00331137">
      <w:pPr>
        <w:pStyle w:val="ListParagraph"/>
        <w:numPr>
          <w:ilvl w:val="0"/>
          <w:numId w:val="4"/>
        </w:numPr>
        <w:spacing w:after="0" w:line="360" w:lineRule="auto"/>
        <w:ind w:right="1134"/>
        <w:rPr>
          <w:rFonts w:ascii="Times New Roman" w:hAnsi="Times New Roman" w:cs="Times New Roman"/>
          <w:sz w:val="24"/>
          <w:szCs w:val="24"/>
        </w:rPr>
      </w:pPr>
      <w:r w:rsidRPr="00CD6342">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B778406" wp14:editId="437A3CCF">
                <wp:simplePos x="0" y="0"/>
                <wp:positionH relativeFrom="margin">
                  <wp:align>right</wp:align>
                </wp:positionH>
                <wp:positionV relativeFrom="paragraph">
                  <wp:posOffset>9525</wp:posOffset>
                </wp:positionV>
                <wp:extent cx="342900" cy="342900"/>
                <wp:effectExtent l="0" t="0" r="19050" b="19050"/>
                <wp:wrapNone/>
                <wp:docPr id="854003044"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0A7489A" w14:textId="1149F300"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778406" id="Rectangle 28" o:spid="_x0000_s1032" style="position:absolute;left:0;text-align:left;margin-left:-24.2pt;margin-top:.75pt;width:27pt;height:27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" strokeweight="1.5pt">
                <v:textbox>
                  <w:txbxContent>
                    <w:p w14:paraId="60A7489A" w14:textId="1149F300"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I understand that I must not take part if I am currently experiencing significant mental health difficulties.</w:t>
      </w:r>
    </w:p>
    <w:p w14:paraId="7DE65D44" w14:textId="6DE58647" w:rsidR="00331137" w:rsidRPr="00CD6342" w:rsidRDefault="00331137" w:rsidP="00331137">
      <w:pPr>
        <w:pStyle w:val="ListParagraph"/>
        <w:numPr>
          <w:ilvl w:val="0"/>
          <w:numId w:val="4"/>
        </w:numPr>
        <w:spacing w:after="120" w:line="360" w:lineRule="auto"/>
        <w:ind w:left="357" w:right="1134" w:hanging="357"/>
        <w:rPr>
          <w:rFonts w:ascii="Times New Roman" w:hAnsi="Times New Roman" w:cs="Times New Roman"/>
          <w:sz w:val="24"/>
          <w:szCs w:val="24"/>
        </w:rPr>
      </w:pPr>
      <w:r w:rsidRPr="00CD6342">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310C960" wp14:editId="3A15B5A0">
                <wp:simplePos x="0" y="0"/>
                <wp:positionH relativeFrom="margin">
                  <wp:align>right</wp:align>
                </wp:positionH>
                <wp:positionV relativeFrom="paragraph">
                  <wp:posOffset>13335</wp:posOffset>
                </wp:positionV>
                <wp:extent cx="342900" cy="342900"/>
                <wp:effectExtent l="0" t="0" r="19050" b="19050"/>
                <wp:wrapNone/>
                <wp:docPr id="1246800785"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C991F3B" w14:textId="4B20BC58"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10C960" id="Rectangle 27" o:spid="_x0000_s1033" style="position:absolute;left:0;text-align:left;margin-left:-24.2pt;margin-top:1.05pt;width:27pt;height:27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" strokeweight="1.5pt">
                <v:textbox>
                  <w:txbxContent>
                    <w:p w14:paraId="0C991F3B" w14:textId="4B20BC58"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 xml:space="preserve">I understand that my participation is voluntary and that I am free to stop taking part and can withdraw from the study at any time without giving any reason and without my rights being affected.  In addition, I understand that I am free to decline to answer any </w:t>
      </w:r>
      <w:proofErr w:type="gramStart"/>
      <w:r w:rsidRPr="00CD6342">
        <w:rPr>
          <w:rFonts w:ascii="Times New Roman" w:hAnsi="Times New Roman" w:cs="Times New Roman"/>
          <w:sz w:val="24"/>
          <w:szCs w:val="24"/>
        </w:rPr>
        <w:t>particular question</w:t>
      </w:r>
      <w:proofErr w:type="gramEnd"/>
      <w:r w:rsidRPr="00CD6342">
        <w:rPr>
          <w:rFonts w:ascii="Times New Roman" w:hAnsi="Times New Roman" w:cs="Times New Roman"/>
          <w:sz w:val="24"/>
          <w:szCs w:val="24"/>
        </w:rPr>
        <w:t xml:space="preserve"> or questions.</w:t>
      </w:r>
    </w:p>
    <w:p w14:paraId="0994E24F" w14:textId="09387F0C" w:rsidR="00331137" w:rsidRPr="00CD6342" w:rsidRDefault="00331137" w:rsidP="00331137">
      <w:pPr>
        <w:pStyle w:val="ListParagraph"/>
        <w:numPr>
          <w:ilvl w:val="0"/>
          <w:numId w:val="4"/>
        </w:numPr>
        <w:spacing w:after="120" w:line="360" w:lineRule="auto"/>
        <w:ind w:left="357" w:right="1134" w:hanging="357"/>
        <w:rPr>
          <w:rFonts w:ascii="Times New Roman" w:hAnsi="Times New Roman" w:cs="Times New Roman"/>
          <w:sz w:val="24"/>
          <w:szCs w:val="24"/>
        </w:rPr>
      </w:pPr>
      <w:r w:rsidRPr="00CD6342">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60A30A1" wp14:editId="555BD3B8">
                <wp:simplePos x="0" y="0"/>
                <wp:positionH relativeFrom="margin">
                  <wp:align>right</wp:align>
                </wp:positionH>
                <wp:positionV relativeFrom="paragraph">
                  <wp:posOffset>13335</wp:posOffset>
                </wp:positionV>
                <wp:extent cx="342900" cy="342900"/>
                <wp:effectExtent l="0" t="0" r="19050" b="19050"/>
                <wp:wrapNone/>
                <wp:docPr id="1108775738"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94FC165" w14:textId="5CFC038A"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0A30A1" id="Rectangle 26" o:spid="_x0000_s1034" style="position:absolute;left:0;text-align:left;margin-left:-24.2pt;margin-top:1.05pt;width:27pt;height:27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" strokeweight="1.5pt">
                <v:textbox>
                  <w:txbxContent>
                    <w:p w14:paraId="694FC165" w14:textId="5CFC038A"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 xml:space="preserve">I understand that I can ask for access to the information I provide and I can request the destruction of that information if I wish at any time </w:t>
      </w:r>
      <w:r w:rsidRPr="00CD6342">
        <w:rPr>
          <w:rFonts w:ascii="Times New Roman" w:hAnsi="Times New Roman" w:cs="Times New Roman"/>
          <w:b/>
          <w:bCs/>
          <w:sz w:val="24"/>
          <w:szCs w:val="24"/>
        </w:rPr>
        <w:t xml:space="preserve">prior </w:t>
      </w:r>
      <w:r w:rsidR="00261A8C">
        <w:rPr>
          <w:rFonts w:ascii="Times New Roman" w:hAnsi="Times New Roman" w:cs="Times New Roman"/>
          <w:b/>
          <w:bCs/>
          <w:sz w:val="24"/>
          <w:szCs w:val="24"/>
        </w:rPr>
        <w:t xml:space="preserve">to </w:t>
      </w:r>
      <w:r w:rsidRPr="00CD6342">
        <w:rPr>
          <w:rFonts w:ascii="Times New Roman" w:hAnsi="Times New Roman" w:cs="Times New Roman"/>
          <w:b/>
          <w:bCs/>
          <w:sz w:val="24"/>
          <w:szCs w:val="24"/>
        </w:rPr>
        <w:t>two weeks after my interview.</w:t>
      </w:r>
      <w:r w:rsidRPr="00CD6342">
        <w:rPr>
          <w:rFonts w:ascii="Times New Roman" w:hAnsi="Times New Roman" w:cs="Times New Roman"/>
          <w:sz w:val="24"/>
          <w:szCs w:val="24"/>
        </w:rPr>
        <w:t xml:space="preserve"> I understand that following </w:t>
      </w:r>
      <w:r w:rsidR="00261A8C">
        <w:rPr>
          <w:rFonts w:ascii="Times New Roman" w:hAnsi="Times New Roman" w:cs="Times New Roman"/>
          <w:sz w:val="24"/>
          <w:szCs w:val="24"/>
        </w:rPr>
        <w:t xml:space="preserve">the </w:t>
      </w:r>
      <w:r w:rsidRPr="00CD6342">
        <w:rPr>
          <w:rFonts w:ascii="Times New Roman" w:hAnsi="Times New Roman" w:cs="Times New Roman"/>
          <w:b/>
          <w:bCs/>
          <w:sz w:val="24"/>
          <w:szCs w:val="24"/>
        </w:rPr>
        <w:t>anonymisation of the transcript</w:t>
      </w:r>
      <w:r w:rsidRPr="00CD6342">
        <w:rPr>
          <w:rFonts w:ascii="Times New Roman" w:hAnsi="Times New Roman" w:cs="Times New Roman"/>
          <w:sz w:val="24"/>
          <w:szCs w:val="24"/>
        </w:rPr>
        <w:t>. I will no longer be able to request access to or withdrawal of the information I provide.</w:t>
      </w:r>
    </w:p>
    <w:p w14:paraId="2FBA93B1" w14:textId="4823DB5C" w:rsidR="00331137" w:rsidRPr="00CD6342" w:rsidRDefault="00331137" w:rsidP="00331137">
      <w:pPr>
        <w:pStyle w:val="ListParagraph"/>
        <w:numPr>
          <w:ilvl w:val="0"/>
          <w:numId w:val="4"/>
        </w:numPr>
        <w:spacing w:after="120" w:line="360" w:lineRule="auto"/>
        <w:ind w:right="1134"/>
        <w:rPr>
          <w:rFonts w:ascii="Times New Roman" w:hAnsi="Times New Roman" w:cs="Times New Roman"/>
          <w:sz w:val="24"/>
          <w:szCs w:val="24"/>
        </w:rPr>
      </w:pPr>
      <w:r w:rsidRPr="00CD6342">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7FF878A3" wp14:editId="2F2F6434">
                <wp:simplePos x="0" y="0"/>
                <wp:positionH relativeFrom="margin">
                  <wp:align>right</wp:align>
                </wp:positionH>
                <wp:positionV relativeFrom="paragraph">
                  <wp:posOffset>15875</wp:posOffset>
                </wp:positionV>
                <wp:extent cx="342900" cy="342900"/>
                <wp:effectExtent l="0" t="0" r="19050" b="19050"/>
                <wp:wrapNone/>
                <wp:docPr id="2140873244"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3BB2AEA" w14:textId="41E6556F"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F878A3" id="Rectangle 25" o:spid="_x0000_s1035" style="position:absolute;left:0;text-align:left;margin-left:-24.2pt;margin-top:1.25pt;width:27pt;height:27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" strokeweight="1.5pt">
                <v:textbox>
                  <w:txbxContent>
                    <w:p w14:paraId="33BB2AEA" w14:textId="41E6556F"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I understand that the information I provide will be held securely and in line with data protection requirements at the UWTSD until it is</w:t>
      </w:r>
      <w:r w:rsidRPr="00CD6342">
        <w:rPr>
          <w:rFonts w:ascii="Times New Roman" w:hAnsi="Times New Roman" w:cs="Times New Roman"/>
          <w:b/>
          <w:bCs/>
          <w:sz w:val="24"/>
          <w:szCs w:val="24"/>
        </w:rPr>
        <w:t xml:space="preserve"> fully anonymised</w:t>
      </w:r>
      <w:r w:rsidRPr="00CD6342">
        <w:rPr>
          <w:rFonts w:ascii="Times New Roman" w:hAnsi="Times New Roman" w:cs="Times New Roman"/>
          <w:b/>
          <w:color w:val="156082" w:themeColor="accent1"/>
          <w:sz w:val="24"/>
          <w:szCs w:val="24"/>
        </w:rPr>
        <w:t>.</w:t>
      </w:r>
      <w:r w:rsidRPr="00CD6342">
        <w:rPr>
          <w:rFonts w:ascii="Times New Roman" w:hAnsi="Times New Roman" w:cs="Times New Roman"/>
          <w:sz w:val="24"/>
          <w:szCs w:val="24"/>
        </w:rPr>
        <w:t xml:space="preserve"> Anonymised data will be retained securely for five years following publication to enable verification of research findings, after which it will be securely deleted.</w:t>
      </w:r>
    </w:p>
    <w:p w14:paraId="23C0C079" w14:textId="2F57175E" w:rsidR="00331137" w:rsidRPr="00CD6342" w:rsidRDefault="00331137" w:rsidP="00331137">
      <w:pPr>
        <w:pStyle w:val="ListParagraph"/>
        <w:numPr>
          <w:ilvl w:val="0"/>
          <w:numId w:val="4"/>
        </w:numPr>
        <w:spacing w:after="0" w:line="360" w:lineRule="auto"/>
        <w:ind w:right="1134"/>
        <w:rPr>
          <w:rFonts w:ascii="Times New Roman" w:hAnsi="Times New Roman" w:cs="Times New Roman"/>
          <w:b/>
          <w:sz w:val="24"/>
          <w:szCs w:val="24"/>
        </w:rPr>
      </w:pPr>
      <w:r w:rsidRPr="00CD6342">
        <w:rPr>
          <w:rFonts w:ascii="Times New Roman" w:hAnsi="Times New Roman" w:cs="Times New Roman"/>
          <w:noProof/>
          <w:sz w:val="24"/>
          <w:szCs w:val="24"/>
        </w:rPr>
        <w:lastRenderedPageBreak/>
        <mc:AlternateContent>
          <mc:Choice Requires="wps">
            <w:drawing>
              <wp:anchor distT="0" distB="0" distL="114300" distR="114300" simplePos="0" relativeHeight="251673600" behindDoc="0" locked="0" layoutInCell="1" allowOverlap="1" wp14:anchorId="7A38F1A2" wp14:editId="3C685885">
                <wp:simplePos x="0" y="0"/>
                <wp:positionH relativeFrom="margin">
                  <wp:align>right</wp:align>
                </wp:positionH>
                <wp:positionV relativeFrom="paragraph">
                  <wp:posOffset>74295</wp:posOffset>
                </wp:positionV>
                <wp:extent cx="342900" cy="342900"/>
                <wp:effectExtent l="0" t="0" r="19050" b="19050"/>
                <wp:wrapNone/>
                <wp:docPr id="2022864960"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E6A2A13" w14:textId="0A18ADF4"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38F1A2" id="Rectangle 24" o:spid="_x0000_s1036" style="position:absolute;left:0;text-align:left;margin-left:-24.2pt;margin-top:5.85pt;width:27pt;height:27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" strokeweight="1.5pt">
                <v:textbox>
                  <w:txbxContent>
                    <w:p w14:paraId="2E6A2A13" w14:textId="0A18ADF4"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 xml:space="preserve">I understand that signed consent forms and </w:t>
      </w:r>
      <w:r w:rsidRPr="00CD6342">
        <w:rPr>
          <w:rFonts w:ascii="Times New Roman" w:hAnsi="Times New Roman" w:cs="Times New Roman"/>
          <w:b/>
          <w:bCs/>
          <w:sz w:val="24"/>
          <w:szCs w:val="24"/>
        </w:rPr>
        <w:t>original audio recordings</w:t>
      </w:r>
      <w:r w:rsidRPr="00CD6342">
        <w:rPr>
          <w:rFonts w:ascii="Times New Roman" w:hAnsi="Times New Roman" w:cs="Times New Roman"/>
          <w:sz w:val="24"/>
          <w:szCs w:val="24"/>
        </w:rPr>
        <w:t xml:space="preserve"> will be retained in </w:t>
      </w:r>
      <w:r w:rsidRPr="00CD6342">
        <w:rPr>
          <w:rFonts w:ascii="Times New Roman" w:hAnsi="Times New Roman" w:cs="Times New Roman"/>
          <w:b/>
          <w:bCs/>
          <w:sz w:val="24"/>
          <w:szCs w:val="24"/>
        </w:rPr>
        <w:t xml:space="preserve">UWTSD OneDrive in password protected folders, accessible only to the two named researchers </w:t>
      </w:r>
      <w:r w:rsidRPr="00CD6342">
        <w:rPr>
          <w:rFonts w:ascii="Times New Roman" w:hAnsi="Times New Roman" w:cs="Times New Roman"/>
          <w:sz w:val="24"/>
          <w:szCs w:val="24"/>
        </w:rPr>
        <w:t>until</w:t>
      </w:r>
      <w:r w:rsidRPr="00CD6342">
        <w:rPr>
          <w:rFonts w:ascii="Times New Roman" w:hAnsi="Times New Roman" w:cs="Times New Roman"/>
          <w:b/>
          <w:sz w:val="24"/>
          <w:szCs w:val="24"/>
        </w:rPr>
        <w:t xml:space="preserve"> </w:t>
      </w:r>
      <w:r w:rsidRPr="00CD6342">
        <w:rPr>
          <w:rFonts w:ascii="Times New Roman" w:hAnsi="Times New Roman" w:cs="Times New Roman"/>
          <w:sz w:val="24"/>
          <w:szCs w:val="24"/>
        </w:rPr>
        <w:t xml:space="preserve">transcription and verification are complete. Audio recordings will then be securely deleted. Signed consent forms and anonymised transcripts will be retained for five years following publication, after which they will be securely deleted. </w:t>
      </w:r>
      <w:r w:rsidRPr="00CD6342">
        <w:rPr>
          <w:rFonts w:ascii="Times New Roman" w:hAnsi="Times New Roman" w:cs="Times New Roman"/>
          <w:b/>
          <w:color w:val="156082" w:themeColor="accent1"/>
          <w:sz w:val="24"/>
          <w:szCs w:val="24"/>
        </w:rPr>
        <w:t xml:space="preserve">  </w:t>
      </w:r>
    </w:p>
    <w:p w14:paraId="34A4AD43" w14:textId="4F26A38F" w:rsidR="00331137" w:rsidRPr="00CD6342" w:rsidRDefault="00331137" w:rsidP="00331137">
      <w:pPr>
        <w:pStyle w:val="ListParagraph"/>
        <w:numPr>
          <w:ilvl w:val="0"/>
          <w:numId w:val="4"/>
        </w:numPr>
        <w:spacing w:after="120" w:line="360" w:lineRule="auto"/>
        <w:ind w:right="1134"/>
        <w:rPr>
          <w:rFonts w:ascii="Times New Roman" w:hAnsi="Times New Roman" w:cs="Times New Roman"/>
          <w:sz w:val="24"/>
          <w:szCs w:val="24"/>
        </w:rPr>
      </w:pPr>
      <w:r w:rsidRPr="00CD6342">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759ACDC2" wp14:editId="64133009">
                <wp:simplePos x="0" y="0"/>
                <wp:positionH relativeFrom="margin">
                  <wp:align>right</wp:align>
                </wp:positionH>
                <wp:positionV relativeFrom="paragraph">
                  <wp:posOffset>16510</wp:posOffset>
                </wp:positionV>
                <wp:extent cx="342900" cy="342900"/>
                <wp:effectExtent l="0" t="0" r="19050" b="19050"/>
                <wp:wrapNone/>
                <wp:docPr id="2064966878"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9DCF74A" w14:textId="6FD60FA0" w:rsidR="00331137" w:rsidRDefault="008220A2" w:rsidP="00331137">
                            <w:pPr>
                              <w:jc w:val="center"/>
                            </w:pPr>
                            <w:r>
                              <w:t>x</w:t>
                            </w:r>
                          </w:p>
                        </w:txbxContent>
                      </wps:txbx>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9ACDC2" id="Rectangle 23" o:spid="_x0000_s1037" style="position:absolute;left:0;text-align:left;margin-left:-24.2pt;margin-top:1.3pt;width:27pt;height:27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" strokeweight="1.5pt">
                <v:textbox>
                  <w:txbxContent>
                    <w:p w14:paraId="39DCF74A" w14:textId="6FD60FA0" w:rsidR="00331137" w:rsidRDefault="008220A2" w:rsidP="00331137">
                      <w:pPr>
                        <w:jc w:val="center"/>
                      </w:pPr>
                      <w:r>
                        <w:t>x</w:t>
                      </w:r>
                    </w:p>
                  </w:txbxContent>
                </v:textbox>
                <w10:wrap anchorx="margin"/>
              </v:rect>
            </w:pict>
          </mc:Fallback>
        </mc:AlternateContent>
      </w:r>
      <w:r w:rsidRPr="00CD6342">
        <w:rPr>
          <w:rFonts w:ascii="Times New Roman" w:hAnsi="Times New Roman" w:cs="Times New Roman"/>
          <w:sz w:val="24"/>
          <w:szCs w:val="24"/>
        </w:rPr>
        <w:t>I agree to take part in the above study.</w:t>
      </w:r>
    </w:p>
    <w:p w14:paraId="2C97ABDF" w14:textId="77777777" w:rsidR="00331137" w:rsidRPr="00CD6342" w:rsidRDefault="00331137" w:rsidP="00331137">
      <w:pPr>
        <w:spacing w:line="360" w:lineRule="auto"/>
        <w:rPr>
          <w:rFonts w:ascii="Times New Roman" w:hAnsi="Times New Roman" w:cs="Times New Roman"/>
          <w:sz w:val="24"/>
          <w:szCs w:val="24"/>
        </w:rPr>
      </w:pPr>
    </w:p>
    <w:p w14:paraId="51A95D42" w14:textId="7F929301" w:rsidR="00331137" w:rsidRPr="00CD6342" w:rsidRDefault="00331137" w:rsidP="00331137">
      <w:pPr>
        <w:spacing w:line="360" w:lineRule="auto"/>
        <w:rPr>
          <w:rFonts w:ascii="Times New Roman" w:hAnsi="Times New Roman" w:cs="Times New Roman"/>
          <w:sz w:val="24"/>
          <w:szCs w:val="24"/>
        </w:rPr>
      </w:pPr>
      <w:r w:rsidRPr="00CD6342">
        <w:rPr>
          <w:rFonts w:ascii="Times New Roman" w:hAnsi="Times New Roman" w:cs="Times New Roman"/>
          <w:sz w:val="24"/>
          <w:szCs w:val="24"/>
        </w:rPr>
        <w:t>____________</w:t>
      </w:r>
      <w:r w:rsidR="005464C0">
        <w:rPr>
          <w:rFonts w:ascii="Times New Roman" w:hAnsi="Times New Roman" w:cs="Times New Roman"/>
          <w:sz w:val="24"/>
          <w:szCs w:val="24"/>
        </w:rPr>
        <w:t>P8</w:t>
      </w:r>
      <w:r w:rsidRPr="00CD6342">
        <w:rPr>
          <w:rFonts w:ascii="Times New Roman" w:hAnsi="Times New Roman" w:cs="Times New Roman"/>
          <w:sz w:val="24"/>
          <w:szCs w:val="24"/>
        </w:rPr>
        <w:t>______________</w:t>
      </w:r>
      <w:r w:rsidRPr="00CD6342">
        <w:rPr>
          <w:rFonts w:ascii="Times New Roman" w:hAnsi="Times New Roman" w:cs="Times New Roman"/>
          <w:sz w:val="24"/>
          <w:szCs w:val="24"/>
        </w:rPr>
        <w:tab/>
      </w:r>
      <w:r w:rsidRPr="00CD6342">
        <w:rPr>
          <w:rFonts w:ascii="Times New Roman" w:hAnsi="Times New Roman" w:cs="Times New Roman"/>
          <w:sz w:val="24"/>
          <w:szCs w:val="24"/>
        </w:rPr>
        <w:tab/>
        <w:t>________</w:t>
      </w:r>
      <w:r w:rsidR="009438A8">
        <w:rPr>
          <w:rFonts w:ascii="Times New Roman" w:hAnsi="Times New Roman" w:cs="Times New Roman"/>
          <w:sz w:val="24"/>
          <w:szCs w:val="24"/>
        </w:rPr>
        <w:t>2</w:t>
      </w:r>
      <w:r w:rsidR="008220A2">
        <w:rPr>
          <w:rFonts w:ascii="Times New Roman" w:hAnsi="Times New Roman" w:cs="Times New Roman"/>
          <w:sz w:val="24"/>
          <w:szCs w:val="24"/>
        </w:rPr>
        <w:t>/03/20</w:t>
      </w:r>
      <w:r w:rsidR="0069679F">
        <w:rPr>
          <w:rFonts w:ascii="Times New Roman" w:hAnsi="Times New Roman" w:cs="Times New Roman"/>
          <w:sz w:val="24"/>
          <w:szCs w:val="24"/>
        </w:rPr>
        <w:t>6</w:t>
      </w:r>
      <w:r w:rsidRPr="00CD6342">
        <w:rPr>
          <w:rFonts w:ascii="Times New Roman" w:hAnsi="Times New Roman" w:cs="Times New Roman"/>
          <w:sz w:val="24"/>
          <w:szCs w:val="24"/>
        </w:rPr>
        <w:t>_____________________</w:t>
      </w:r>
    </w:p>
    <w:p w14:paraId="696B7F3F" w14:textId="4C435293" w:rsidR="00331137" w:rsidRPr="00CD6342" w:rsidRDefault="00331137" w:rsidP="00331137">
      <w:pPr>
        <w:spacing w:line="360" w:lineRule="auto"/>
        <w:rPr>
          <w:rFonts w:ascii="Times New Roman" w:hAnsi="Times New Roman" w:cs="Times New Roman"/>
          <w:sz w:val="24"/>
          <w:szCs w:val="24"/>
        </w:rPr>
      </w:pPr>
      <w:r w:rsidRPr="00CD6342">
        <w:rPr>
          <w:rFonts w:ascii="Times New Roman" w:hAnsi="Times New Roman" w:cs="Times New Roman"/>
          <w:sz w:val="24"/>
          <w:szCs w:val="24"/>
        </w:rPr>
        <w:t>Participant name</w:t>
      </w: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r>
      <w:r w:rsidR="00CD6342">
        <w:rPr>
          <w:rFonts w:ascii="Times New Roman" w:hAnsi="Times New Roman" w:cs="Times New Roman"/>
          <w:sz w:val="24"/>
          <w:szCs w:val="24"/>
        </w:rPr>
        <w:t xml:space="preserve">      </w:t>
      </w:r>
      <w:r w:rsidRPr="00CD6342">
        <w:rPr>
          <w:rFonts w:ascii="Times New Roman" w:hAnsi="Times New Roman" w:cs="Times New Roman"/>
          <w:sz w:val="24"/>
          <w:szCs w:val="24"/>
        </w:rPr>
        <w:t>Date</w:t>
      </w:r>
      <w:r w:rsidRPr="00CD6342">
        <w:rPr>
          <w:rFonts w:ascii="Times New Roman" w:hAnsi="Times New Roman" w:cs="Times New Roman"/>
          <w:sz w:val="24"/>
          <w:szCs w:val="24"/>
        </w:rPr>
        <w:tab/>
      </w:r>
      <w:r w:rsidR="00CD6342">
        <w:rPr>
          <w:rFonts w:ascii="Times New Roman" w:hAnsi="Times New Roman" w:cs="Times New Roman"/>
          <w:sz w:val="24"/>
          <w:szCs w:val="24"/>
        </w:rPr>
        <w:t xml:space="preserve">                     </w:t>
      </w:r>
      <w:r w:rsidRPr="00CD6342">
        <w:rPr>
          <w:rFonts w:ascii="Times New Roman" w:hAnsi="Times New Roman" w:cs="Times New Roman"/>
          <w:sz w:val="24"/>
          <w:szCs w:val="24"/>
        </w:rPr>
        <w:t>Signature</w:t>
      </w:r>
    </w:p>
    <w:p w14:paraId="5BFD7EA8" w14:textId="77777777" w:rsidR="00331137" w:rsidRPr="00CD6342" w:rsidRDefault="00331137" w:rsidP="00331137">
      <w:pPr>
        <w:spacing w:line="360" w:lineRule="auto"/>
        <w:rPr>
          <w:rFonts w:ascii="Times New Roman" w:hAnsi="Times New Roman" w:cs="Times New Roman"/>
          <w:sz w:val="24"/>
          <w:szCs w:val="24"/>
        </w:rPr>
      </w:pPr>
    </w:p>
    <w:p w14:paraId="26F0ED04" w14:textId="350ED90A" w:rsidR="00331137" w:rsidRPr="00CD6342" w:rsidRDefault="00331137" w:rsidP="00331137">
      <w:pPr>
        <w:spacing w:line="360" w:lineRule="auto"/>
        <w:rPr>
          <w:rFonts w:ascii="Times New Roman" w:hAnsi="Times New Roman" w:cs="Times New Roman"/>
          <w:sz w:val="24"/>
          <w:szCs w:val="24"/>
        </w:rPr>
      </w:pPr>
      <w:r w:rsidRPr="00CD6342">
        <w:rPr>
          <w:rFonts w:ascii="Times New Roman" w:hAnsi="Times New Roman" w:cs="Times New Roman"/>
          <w:sz w:val="24"/>
          <w:szCs w:val="24"/>
        </w:rPr>
        <w:t>_________</w:t>
      </w:r>
      <w:r w:rsidR="005464C0">
        <w:rPr>
          <w:rFonts w:ascii="Times New Roman" w:hAnsi="Times New Roman" w:cs="Times New Roman"/>
          <w:sz w:val="24"/>
          <w:szCs w:val="24"/>
        </w:rPr>
        <w:t xml:space="preserve">Violeta Alina Moros </w:t>
      </w:r>
      <w:r w:rsidRPr="00CD6342">
        <w:rPr>
          <w:rFonts w:ascii="Times New Roman" w:hAnsi="Times New Roman" w:cs="Times New Roman"/>
          <w:sz w:val="24"/>
          <w:szCs w:val="24"/>
        </w:rPr>
        <w:tab/>
      </w:r>
      <w:r w:rsidRPr="00CD6342">
        <w:rPr>
          <w:rFonts w:ascii="Times New Roman" w:hAnsi="Times New Roman" w:cs="Times New Roman"/>
          <w:sz w:val="24"/>
          <w:szCs w:val="24"/>
        </w:rPr>
        <w:tab/>
        <w:t>_______</w:t>
      </w:r>
      <w:r w:rsidR="009438A8">
        <w:rPr>
          <w:rFonts w:ascii="Times New Roman" w:hAnsi="Times New Roman" w:cs="Times New Roman"/>
          <w:sz w:val="24"/>
          <w:szCs w:val="24"/>
        </w:rPr>
        <w:t>2</w:t>
      </w:r>
      <w:r w:rsidR="008220A2">
        <w:rPr>
          <w:rFonts w:ascii="Times New Roman" w:hAnsi="Times New Roman" w:cs="Times New Roman"/>
          <w:sz w:val="24"/>
          <w:szCs w:val="24"/>
        </w:rPr>
        <w:t>/03/2026</w:t>
      </w:r>
      <w:r w:rsidRPr="00CD6342">
        <w:rPr>
          <w:rFonts w:ascii="Times New Roman" w:hAnsi="Times New Roman" w:cs="Times New Roman"/>
          <w:sz w:val="24"/>
          <w:szCs w:val="24"/>
        </w:rPr>
        <w:t>_____________________</w:t>
      </w:r>
    </w:p>
    <w:p w14:paraId="03C18135" w14:textId="77777777" w:rsidR="00331137" w:rsidRPr="00CD6342" w:rsidRDefault="00331137" w:rsidP="00331137">
      <w:pPr>
        <w:spacing w:line="360" w:lineRule="auto"/>
        <w:rPr>
          <w:rFonts w:ascii="Times New Roman" w:hAnsi="Times New Roman" w:cs="Times New Roman"/>
          <w:sz w:val="24"/>
          <w:szCs w:val="24"/>
        </w:rPr>
      </w:pPr>
      <w:r w:rsidRPr="00CD6342">
        <w:rPr>
          <w:rFonts w:ascii="Times New Roman" w:hAnsi="Times New Roman" w:cs="Times New Roman"/>
          <w:sz w:val="24"/>
          <w:szCs w:val="24"/>
        </w:rPr>
        <w:t>Name of person taking consent</w:t>
      </w: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t>Date</w:t>
      </w: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t>Signature</w:t>
      </w:r>
    </w:p>
    <w:p w14:paraId="31867E0F" w14:textId="77777777" w:rsidR="00331137" w:rsidRPr="00CD6342" w:rsidRDefault="00331137" w:rsidP="00331137">
      <w:pPr>
        <w:spacing w:line="240" w:lineRule="auto"/>
        <w:rPr>
          <w:rFonts w:ascii="Times New Roman" w:hAnsi="Times New Roman" w:cs="Times New Roman"/>
          <w:b/>
          <w:sz w:val="24"/>
          <w:szCs w:val="24"/>
        </w:rPr>
      </w:pPr>
    </w:p>
    <w:p w14:paraId="0F9EDAF2" w14:textId="77777777" w:rsidR="00331137" w:rsidRPr="00CD6342" w:rsidRDefault="00331137" w:rsidP="00331137">
      <w:pPr>
        <w:spacing w:after="30" w:line="240" w:lineRule="auto"/>
        <w:rPr>
          <w:rFonts w:ascii="Times New Roman" w:eastAsia="Arial" w:hAnsi="Times New Roman" w:cs="Times New Roman"/>
          <w:b/>
          <w:bCs/>
          <w:sz w:val="24"/>
          <w:szCs w:val="24"/>
        </w:rPr>
      </w:pPr>
      <w:r w:rsidRPr="00CD6342">
        <w:rPr>
          <w:rFonts w:ascii="Times New Roman" w:eastAsia="Arial" w:hAnsi="Times New Roman" w:cs="Times New Roman"/>
          <w:b/>
          <w:bCs/>
          <w:sz w:val="24"/>
          <w:szCs w:val="24"/>
        </w:rPr>
        <w:t>University Address</w:t>
      </w:r>
      <w:r w:rsidRPr="00CD6342">
        <w:rPr>
          <w:rFonts w:ascii="Times New Roman" w:eastAsia="Arial" w:hAnsi="Times New Roman" w:cs="Times New Roman"/>
          <w:sz w:val="24"/>
          <w:szCs w:val="24"/>
        </w:rPr>
        <w:t>:</w:t>
      </w:r>
      <w:r w:rsidRPr="00CD6342">
        <w:rPr>
          <w:rFonts w:ascii="Times New Roman" w:eastAsia="Arial" w:hAnsi="Times New Roman" w:cs="Times New Roman"/>
          <w:b/>
          <w:bCs/>
          <w:sz w:val="24"/>
          <w:szCs w:val="24"/>
        </w:rPr>
        <w:t xml:space="preserve"> </w:t>
      </w:r>
    </w:p>
    <w:p w14:paraId="5C42330E" w14:textId="77777777" w:rsidR="00331137" w:rsidRPr="00CD6342" w:rsidRDefault="00331137" w:rsidP="00331137">
      <w:pPr>
        <w:spacing w:line="240" w:lineRule="auto"/>
        <w:rPr>
          <w:rFonts w:ascii="Times New Roman" w:eastAsia="Arial" w:hAnsi="Times New Roman" w:cs="Times New Roman"/>
          <w:sz w:val="24"/>
          <w:szCs w:val="24"/>
        </w:rPr>
      </w:pPr>
      <w:r w:rsidRPr="00CD6342">
        <w:rPr>
          <w:rFonts w:ascii="Times New Roman" w:eastAsia="Arial" w:hAnsi="Times New Roman" w:cs="Times New Roman"/>
          <w:sz w:val="24"/>
          <w:szCs w:val="24"/>
        </w:rPr>
        <w:t xml:space="preserve">IQ Campus, University of Wales Trinity Saint David, </w:t>
      </w:r>
    </w:p>
    <w:p w14:paraId="72AD8250" w14:textId="77777777" w:rsidR="00331137" w:rsidRPr="00CD6342" w:rsidRDefault="00331137" w:rsidP="00331137">
      <w:pPr>
        <w:spacing w:line="240" w:lineRule="auto"/>
        <w:rPr>
          <w:rFonts w:ascii="Times New Roman" w:hAnsi="Times New Roman" w:cs="Times New Roman"/>
          <w:sz w:val="24"/>
          <w:szCs w:val="24"/>
        </w:rPr>
      </w:pPr>
      <w:r w:rsidRPr="00CD6342">
        <w:rPr>
          <w:rFonts w:ascii="Times New Roman" w:eastAsia="Arial" w:hAnsi="Times New Roman" w:cs="Times New Roman"/>
          <w:sz w:val="24"/>
          <w:szCs w:val="24"/>
        </w:rPr>
        <w:t>Swansea Waterfront, SA1 8EW</w:t>
      </w:r>
    </w:p>
    <w:p w14:paraId="056D3C4A" w14:textId="77777777" w:rsidR="00331137" w:rsidRPr="00CD6342" w:rsidRDefault="00331137" w:rsidP="00331137">
      <w:pPr>
        <w:spacing w:line="240" w:lineRule="auto"/>
        <w:rPr>
          <w:rFonts w:ascii="Times New Roman" w:hAnsi="Times New Roman" w:cs="Times New Roman"/>
          <w:b/>
          <w:color w:val="156082" w:themeColor="accent1"/>
          <w:sz w:val="24"/>
          <w:szCs w:val="24"/>
        </w:rPr>
      </w:pP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r>
      <w:r w:rsidRPr="00CD6342">
        <w:rPr>
          <w:rFonts w:ascii="Times New Roman" w:hAnsi="Times New Roman" w:cs="Times New Roman"/>
          <w:sz w:val="24"/>
          <w:szCs w:val="24"/>
        </w:rPr>
        <w:tab/>
      </w:r>
    </w:p>
    <w:p w14:paraId="69E7991E" w14:textId="77777777" w:rsidR="00DB1C5C" w:rsidRPr="00CD6342" w:rsidRDefault="00DB1C5C" w:rsidP="00DB1C5C">
      <w:pPr>
        <w:rPr>
          <w:rFonts w:ascii="Times New Roman" w:hAnsi="Times New Roman" w:cs="Times New Roman"/>
          <w:b/>
          <w:bCs/>
          <w:color w:val="0070C0"/>
          <w:sz w:val="24"/>
          <w:szCs w:val="24"/>
        </w:rPr>
      </w:pPr>
    </w:p>
    <w:p w14:paraId="4DD94E46" w14:textId="23554FB4" w:rsidR="00222085" w:rsidRPr="00CD6342" w:rsidRDefault="00222085" w:rsidP="00CB12F5">
      <w:pPr>
        <w:rPr>
          <w:rFonts w:ascii="Times New Roman" w:hAnsi="Times New Roman" w:cs="Times New Roman"/>
          <w:b/>
          <w:bCs/>
          <w:color w:val="0070C0"/>
          <w:sz w:val="24"/>
          <w:szCs w:val="24"/>
        </w:rPr>
      </w:pPr>
    </w:p>
    <w:p w14:paraId="3F50E508" w14:textId="77777777" w:rsidR="00CB12F5" w:rsidRPr="00B41109" w:rsidRDefault="00CB12F5" w:rsidP="00CB12F5">
      <w:pPr>
        <w:rPr>
          <w:rFonts w:ascii="Times New Roman" w:hAnsi="Times New Roman" w:cs="Times New Roman"/>
          <w:sz w:val="24"/>
          <w:szCs w:val="24"/>
        </w:rPr>
      </w:pPr>
    </w:p>
    <w:p w14:paraId="104EFAE7" w14:textId="77777777" w:rsidR="00CB12F5" w:rsidRDefault="00CB12F5" w:rsidP="00935341">
      <w:pPr>
        <w:jc w:val="both"/>
        <w:rPr>
          <w:rFonts w:ascii="Times New Roman" w:hAnsi="Times New Roman" w:cs="Times New Roman"/>
          <w:color w:val="000000" w:themeColor="text1"/>
          <w:sz w:val="24"/>
          <w:szCs w:val="24"/>
        </w:rPr>
      </w:pPr>
    </w:p>
    <w:p w14:paraId="7DBCC83C" w14:textId="77777777" w:rsidR="00CB12F5" w:rsidRDefault="00CB12F5" w:rsidP="00935341">
      <w:pPr>
        <w:jc w:val="both"/>
        <w:rPr>
          <w:rFonts w:ascii="Times New Roman" w:hAnsi="Times New Roman" w:cs="Times New Roman"/>
          <w:color w:val="000000" w:themeColor="text1"/>
          <w:sz w:val="24"/>
          <w:szCs w:val="24"/>
        </w:rPr>
      </w:pPr>
    </w:p>
    <w:p w14:paraId="08B8A7A4" w14:textId="77777777" w:rsidR="00CB12F5" w:rsidRDefault="00CB12F5" w:rsidP="00935341">
      <w:pPr>
        <w:jc w:val="both"/>
        <w:rPr>
          <w:rFonts w:ascii="Times New Roman" w:hAnsi="Times New Roman" w:cs="Times New Roman"/>
          <w:color w:val="000000" w:themeColor="text1"/>
          <w:sz w:val="24"/>
          <w:szCs w:val="24"/>
        </w:rPr>
      </w:pPr>
    </w:p>
    <w:p w14:paraId="24D55235" w14:textId="77777777" w:rsidR="00E1723A" w:rsidRDefault="00E1723A" w:rsidP="00935341">
      <w:pPr>
        <w:jc w:val="both"/>
        <w:rPr>
          <w:rFonts w:ascii="Times New Roman" w:hAnsi="Times New Roman" w:cs="Times New Roman"/>
          <w:color w:val="000000" w:themeColor="text1"/>
          <w:sz w:val="24"/>
          <w:szCs w:val="24"/>
        </w:rPr>
      </w:pPr>
    </w:p>
    <w:p w14:paraId="580D9AFF" w14:textId="77777777" w:rsidR="00D337A9" w:rsidRDefault="00D337A9" w:rsidP="00935341">
      <w:pPr>
        <w:jc w:val="both"/>
        <w:rPr>
          <w:rFonts w:ascii="Times New Roman" w:hAnsi="Times New Roman" w:cs="Times New Roman"/>
          <w:color w:val="000000" w:themeColor="text1"/>
          <w:sz w:val="24"/>
          <w:szCs w:val="24"/>
        </w:rPr>
      </w:pPr>
    </w:p>
    <w:p w14:paraId="4373F5D4" w14:textId="77777777" w:rsidR="00D15E27" w:rsidRDefault="00D15E27" w:rsidP="00935341">
      <w:pPr>
        <w:jc w:val="both"/>
        <w:rPr>
          <w:rFonts w:ascii="Times New Roman" w:hAnsi="Times New Roman" w:cs="Times New Roman"/>
          <w:color w:val="000000" w:themeColor="text1"/>
          <w:sz w:val="24"/>
          <w:szCs w:val="24"/>
        </w:rPr>
      </w:pPr>
    </w:p>
    <w:p w14:paraId="76C3663A" w14:textId="77777777" w:rsidR="00D15E27" w:rsidRDefault="00D15E27" w:rsidP="00935341">
      <w:pPr>
        <w:jc w:val="both"/>
        <w:rPr>
          <w:rFonts w:ascii="Times New Roman" w:hAnsi="Times New Roman" w:cs="Times New Roman"/>
          <w:color w:val="000000" w:themeColor="text1"/>
          <w:sz w:val="24"/>
          <w:szCs w:val="24"/>
        </w:rPr>
      </w:pPr>
    </w:p>
    <w:p w14:paraId="19162CF6" w14:textId="77777777" w:rsidR="00E1723A" w:rsidRDefault="00E1723A" w:rsidP="00935341">
      <w:pPr>
        <w:jc w:val="both"/>
        <w:rPr>
          <w:rFonts w:ascii="Times New Roman" w:hAnsi="Times New Roman" w:cs="Times New Roman"/>
          <w:color w:val="000000" w:themeColor="text1"/>
          <w:sz w:val="24"/>
          <w:szCs w:val="24"/>
        </w:rPr>
      </w:pPr>
    </w:p>
    <w:p w14:paraId="3F0B0E44" w14:textId="77777777" w:rsidR="00E1723A" w:rsidRDefault="00E1723A" w:rsidP="00935341">
      <w:pPr>
        <w:jc w:val="both"/>
        <w:rPr>
          <w:rFonts w:ascii="Times New Roman" w:hAnsi="Times New Roman" w:cs="Times New Roman"/>
          <w:color w:val="000000" w:themeColor="text1"/>
          <w:sz w:val="24"/>
          <w:szCs w:val="24"/>
        </w:rPr>
      </w:pPr>
    </w:p>
    <w:p w14:paraId="07A82E61" w14:textId="64F985D4" w:rsidR="00C62616" w:rsidRPr="00C62616" w:rsidRDefault="00C62616" w:rsidP="00C62616">
      <w:pPr>
        <w:pStyle w:val="ListParagraph"/>
        <w:numPr>
          <w:ilvl w:val="0"/>
          <w:numId w:val="3"/>
        </w:numPr>
        <w:jc w:val="both"/>
        <w:rPr>
          <w:rFonts w:ascii="Times New Roman" w:hAnsi="Times New Roman" w:cs="Times New Roman"/>
          <w:b/>
          <w:bCs/>
          <w:color w:val="0070C0"/>
          <w:sz w:val="32"/>
          <w:szCs w:val="32"/>
        </w:rPr>
      </w:pPr>
      <w:r w:rsidRPr="00C62616">
        <w:rPr>
          <w:rFonts w:ascii="Times New Roman" w:hAnsi="Times New Roman" w:cs="Times New Roman"/>
          <w:b/>
          <w:bCs/>
          <w:color w:val="0070C0"/>
          <w:sz w:val="32"/>
          <w:szCs w:val="32"/>
        </w:rPr>
        <w:lastRenderedPageBreak/>
        <w:t>Participant Information Sheet</w:t>
      </w:r>
    </w:p>
    <w:p w14:paraId="5A07E779" w14:textId="77777777" w:rsidR="00C62616" w:rsidRPr="00EA6208" w:rsidRDefault="00C62616" w:rsidP="00C62616">
      <w:pPr>
        <w:jc w:val="both"/>
        <w:rPr>
          <w:rFonts w:ascii="Times New Roman" w:hAnsi="Times New Roman" w:cs="Times New Roman"/>
          <w:i/>
          <w:iCs/>
          <w:color w:val="000000" w:themeColor="text1"/>
          <w:sz w:val="24"/>
          <w:szCs w:val="24"/>
        </w:rPr>
      </w:pPr>
      <w:r w:rsidRPr="00EA6208">
        <w:rPr>
          <w:rFonts w:ascii="Times New Roman" w:hAnsi="Times New Roman" w:cs="Times New Roman"/>
          <w:i/>
          <w:iCs/>
          <w:color w:val="000000" w:themeColor="text1"/>
          <w:sz w:val="24"/>
          <w:szCs w:val="24"/>
        </w:rPr>
        <w:t>The Leasehold Trap: Short Leases, Financial Insecurity, and the Implications for Elderly Homeowners in Wales</w:t>
      </w:r>
    </w:p>
    <w:p w14:paraId="7C47FB8C" w14:textId="77777777" w:rsidR="00C62616" w:rsidRPr="00C62616" w:rsidRDefault="00C62616" w:rsidP="00C62616">
      <w:pPr>
        <w:jc w:val="both"/>
        <w:rPr>
          <w:rFonts w:ascii="Times New Roman" w:hAnsi="Times New Roman" w:cs="Times New Roman"/>
          <w:color w:val="000000" w:themeColor="text1"/>
          <w:sz w:val="24"/>
          <w:szCs w:val="24"/>
        </w:rPr>
      </w:pPr>
    </w:p>
    <w:p w14:paraId="708A2DF5" w14:textId="16910C78" w:rsidR="00C62616" w:rsidRPr="00CD6342" w:rsidRDefault="00C42CEF"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CD6342">
        <w:rPr>
          <w:rFonts w:ascii="Times New Roman" w:hAnsi="Times New Roman" w:cs="Times New Roman"/>
          <w:b/>
          <w:bCs/>
          <w:color w:val="0070C0"/>
          <w:sz w:val="24"/>
          <w:szCs w:val="24"/>
        </w:rPr>
        <w:t>1.</w:t>
      </w:r>
      <w:r w:rsidR="00C62616" w:rsidRPr="00CD6342">
        <w:rPr>
          <w:rFonts w:ascii="Times New Roman" w:hAnsi="Times New Roman" w:cs="Times New Roman"/>
          <w:b/>
          <w:bCs/>
          <w:color w:val="0070C0"/>
          <w:sz w:val="24"/>
          <w:szCs w:val="24"/>
        </w:rPr>
        <w:tab/>
        <w:t>Invitation</w:t>
      </w:r>
    </w:p>
    <w:p w14:paraId="0011F2D7" w14:textId="77777777" w:rsidR="00C62616" w:rsidRPr="00C62616" w:rsidRDefault="00C62616" w:rsidP="00C62616">
      <w:pPr>
        <w:jc w:val="both"/>
        <w:rPr>
          <w:rFonts w:ascii="Times New Roman" w:hAnsi="Times New Roman" w:cs="Times New Roman"/>
          <w:color w:val="000000" w:themeColor="text1"/>
          <w:sz w:val="24"/>
          <w:szCs w:val="24"/>
        </w:rPr>
      </w:pPr>
    </w:p>
    <w:p w14:paraId="4B9DC5B2"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Thank you for considering taking part in this research study.</w:t>
      </w:r>
    </w:p>
    <w:p w14:paraId="7EB62237"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Before you decide whether you would like to participate, it is important that you understand what the research is about and what taking part would involve. Please take some time to read this information carefully. Feel free to discuss it with family, friends, or anyone else you trust. If anything is unclear or you would like more information, please do not hesitate to ask.</w:t>
      </w:r>
    </w:p>
    <w:p w14:paraId="2C4B9CAE"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Taking part is entirely your choice, so please take as much time as you need before making your decision.</w:t>
      </w:r>
    </w:p>
    <w:p w14:paraId="6BC68D0F" w14:textId="77777777" w:rsidR="00C62616" w:rsidRPr="00CD6342" w:rsidRDefault="00C62616" w:rsidP="00C62616">
      <w:pPr>
        <w:jc w:val="both"/>
        <w:rPr>
          <w:rFonts w:ascii="Times New Roman" w:hAnsi="Times New Roman" w:cs="Times New Roman"/>
          <w:b/>
          <w:bCs/>
          <w:color w:val="0070C0"/>
          <w:sz w:val="24"/>
          <w:szCs w:val="24"/>
        </w:rPr>
      </w:pPr>
    </w:p>
    <w:p w14:paraId="3B1E6E16" w14:textId="5598260B" w:rsidR="00C62616" w:rsidRPr="00CD6342" w:rsidRDefault="00C62616" w:rsidP="00C62616">
      <w:pPr>
        <w:jc w:val="both"/>
        <w:rPr>
          <w:rFonts w:ascii="Times New Roman" w:hAnsi="Times New Roman" w:cs="Times New Roman"/>
          <w:b/>
          <w:bCs/>
          <w:color w:val="0070C0"/>
          <w:sz w:val="24"/>
          <w:szCs w:val="24"/>
        </w:rPr>
      </w:pPr>
      <w:r w:rsidRPr="00CD6342">
        <w:rPr>
          <w:rFonts w:ascii="Times New Roman" w:hAnsi="Times New Roman" w:cs="Times New Roman"/>
          <w:b/>
          <w:bCs/>
          <w:color w:val="0070C0"/>
          <w:sz w:val="24"/>
          <w:szCs w:val="24"/>
        </w:rPr>
        <w:t>2.</w:t>
      </w:r>
      <w:r w:rsidR="00C42CEF">
        <w:rPr>
          <w:rFonts w:ascii="Times New Roman" w:hAnsi="Times New Roman" w:cs="Times New Roman"/>
          <w:b/>
          <w:bCs/>
          <w:color w:val="0070C0"/>
          <w:sz w:val="24"/>
          <w:szCs w:val="24"/>
        </w:rPr>
        <w:t>2</w:t>
      </w:r>
      <w:r w:rsidRPr="00CD6342">
        <w:rPr>
          <w:rFonts w:ascii="Times New Roman" w:hAnsi="Times New Roman" w:cs="Times New Roman"/>
          <w:b/>
          <w:bCs/>
          <w:color w:val="0070C0"/>
          <w:sz w:val="24"/>
          <w:szCs w:val="24"/>
        </w:rPr>
        <w:tab/>
        <w:t>What is the purpose of the study?</w:t>
      </w:r>
    </w:p>
    <w:p w14:paraId="197222BA" w14:textId="77777777" w:rsidR="00C62616" w:rsidRPr="00C62616" w:rsidRDefault="00C62616" w:rsidP="00C62616">
      <w:pPr>
        <w:jc w:val="both"/>
        <w:rPr>
          <w:rFonts w:ascii="Times New Roman" w:hAnsi="Times New Roman" w:cs="Times New Roman"/>
          <w:color w:val="000000" w:themeColor="text1"/>
          <w:sz w:val="24"/>
          <w:szCs w:val="24"/>
        </w:rPr>
      </w:pPr>
    </w:p>
    <w:p w14:paraId="4AAB0027"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This research forms part of my Bachelor of Arts in Leadership and Management dissertation at the University of Wales Trinity Saint David (UWTSD).</w:t>
      </w:r>
    </w:p>
    <w:p w14:paraId="1D31B60E"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 xml:space="preserve">The study aims to better understand the experiences of older people living in leasehold retirement housing in Wales. </w:t>
      </w:r>
      <w:proofErr w:type="gramStart"/>
      <w:r w:rsidRPr="00C62616">
        <w:rPr>
          <w:rFonts w:ascii="Times New Roman" w:hAnsi="Times New Roman" w:cs="Times New Roman"/>
          <w:color w:val="000000" w:themeColor="text1"/>
          <w:sz w:val="24"/>
          <w:szCs w:val="24"/>
        </w:rPr>
        <w:t>In particular, it</w:t>
      </w:r>
      <w:proofErr w:type="gramEnd"/>
      <w:r w:rsidRPr="00C62616">
        <w:rPr>
          <w:rFonts w:ascii="Times New Roman" w:hAnsi="Times New Roman" w:cs="Times New Roman"/>
          <w:color w:val="000000" w:themeColor="text1"/>
          <w:sz w:val="24"/>
          <w:szCs w:val="24"/>
        </w:rPr>
        <w:t xml:space="preserve"> explores how leasehold ownership affects financial security, housing satisfaction, and overall wellbeing in later life.</w:t>
      </w:r>
    </w:p>
    <w:p w14:paraId="1722016B" w14:textId="77777777" w:rsidR="00C62616" w:rsidRPr="00C62616" w:rsidRDefault="00C62616" w:rsidP="00C62616">
      <w:pPr>
        <w:jc w:val="both"/>
        <w:rPr>
          <w:rFonts w:ascii="Times New Roman" w:hAnsi="Times New Roman" w:cs="Times New Roman"/>
          <w:color w:val="000000" w:themeColor="text1"/>
          <w:sz w:val="24"/>
          <w:szCs w:val="24"/>
        </w:rPr>
      </w:pPr>
    </w:p>
    <w:p w14:paraId="0E9D208B" w14:textId="2B4982FD" w:rsidR="00C62616" w:rsidRPr="00CD6342" w:rsidRDefault="00C42CEF"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2.3</w:t>
      </w:r>
      <w:r w:rsidR="00C62616" w:rsidRPr="00CD6342">
        <w:rPr>
          <w:rFonts w:ascii="Times New Roman" w:hAnsi="Times New Roman" w:cs="Times New Roman"/>
          <w:b/>
          <w:bCs/>
          <w:color w:val="0070C0"/>
          <w:sz w:val="24"/>
          <w:szCs w:val="24"/>
        </w:rPr>
        <w:tab/>
        <w:t>Why have I been invited?</w:t>
      </w:r>
    </w:p>
    <w:p w14:paraId="3CF63097" w14:textId="77777777" w:rsidR="00C62616" w:rsidRPr="00C62616" w:rsidRDefault="00C62616" w:rsidP="00C62616">
      <w:pPr>
        <w:jc w:val="both"/>
        <w:rPr>
          <w:rFonts w:ascii="Times New Roman" w:hAnsi="Times New Roman" w:cs="Times New Roman"/>
          <w:color w:val="000000" w:themeColor="text1"/>
          <w:sz w:val="24"/>
          <w:szCs w:val="24"/>
        </w:rPr>
      </w:pPr>
    </w:p>
    <w:p w14:paraId="4BB2DE42"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You have been invited because you live in leasehold retirement housing, and your experiences can provide valuable insights into this research.</w:t>
      </w:r>
    </w:p>
    <w:p w14:paraId="280555CE"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 am hoping to interview approximately eight residents who are willing to share their experiences.</w:t>
      </w:r>
    </w:p>
    <w:p w14:paraId="6FB992C7" w14:textId="77777777" w:rsidR="00C62616" w:rsidRPr="00477969" w:rsidRDefault="00C62616" w:rsidP="00C62616">
      <w:pPr>
        <w:jc w:val="both"/>
        <w:rPr>
          <w:rFonts w:ascii="Times New Roman" w:hAnsi="Times New Roman" w:cs="Times New Roman"/>
          <w:b/>
          <w:bCs/>
          <w:color w:val="000000" w:themeColor="text1"/>
          <w:sz w:val="24"/>
          <w:szCs w:val="24"/>
        </w:rPr>
      </w:pPr>
    </w:p>
    <w:p w14:paraId="3D40DF6B" w14:textId="55E611F6" w:rsidR="00C62616" w:rsidRPr="00C62616" w:rsidRDefault="00C42CEF" w:rsidP="00C62616">
      <w:pPr>
        <w:jc w:val="both"/>
        <w:rPr>
          <w:rFonts w:ascii="Times New Roman" w:hAnsi="Times New Roman" w:cs="Times New Roman"/>
          <w:color w:val="000000" w:themeColor="text1"/>
          <w:sz w:val="24"/>
          <w:szCs w:val="24"/>
        </w:rPr>
      </w:pPr>
      <w:r w:rsidRPr="00477969">
        <w:rPr>
          <w:rFonts w:ascii="Times New Roman" w:hAnsi="Times New Roman" w:cs="Times New Roman"/>
          <w:b/>
          <w:bCs/>
          <w:color w:val="0070C0"/>
          <w:sz w:val="24"/>
          <w:szCs w:val="24"/>
        </w:rPr>
        <w:t>2.</w:t>
      </w:r>
      <w:r w:rsidR="00C62616" w:rsidRPr="00477969">
        <w:rPr>
          <w:rFonts w:ascii="Times New Roman" w:hAnsi="Times New Roman" w:cs="Times New Roman"/>
          <w:b/>
          <w:bCs/>
          <w:color w:val="0070C0"/>
          <w:sz w:val="24"/>
          <w:szCs w:val="24"/>
        </w:rPr>
        <w:t>4</w:t>
      </w:r>
      <w:r w:rsidR="00C62616" w:rsidRPr="00D337A9">
        <w:rPr>
          <w:rFonts w:ascii="Times New Roman" w:hAnsi="Times New Roman" w:cs="Times New Roman"/>
          <w:b/>
          <w:bCs/>
          <w:color w:val="0070C0"/>
          <w:sz w:val="24"/>
          <w:szCs w:val="24"/>
        </w:rPr>
        <w:tab/>
        <w:t>Do I have to take part?</w:t>
      </w:r>
    </w:p>
    <w:p w14:paraId="7CC7E0E9" w14:textId="77777777" w:rsidR="00C62616" w:rsidRPr="00C62616" w:rsidRDefault="00C62616" w:rsidP="00C62616">
      <w:pPr>
        <w:jc w:val="both"/>
        <w:rPr>
          <w:rFonts w:ascii="Times New Roman" w:hAnsi="Times New Roman" w:cs="Times New Roman"/>
          <w:color w:val="000000" w:themeColor="text1"/>
          <w:sz w:val="24"/>
          <w:szCs w:val="24"/>
        </w:rPr>
      </w:pPr>
    </w:p>
    <w:p w14:paraId="1B0C5112"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No. Taking part is completely voluntary.</w:t>
      </w:r>
    </w:p>
    <w:p w14:paraId="428ECDE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lastRenderedPageBreak/>
        <w:t>It is entirely up to you whether you choose to participate. If you decide to take part, you will be asked to sign a consent form before the interview begins.</w:t>
      </w:r>
    </w:p>
    <w:p w14:paraId="7B7E9AEA"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Even after agreeing to participate, you are free to withdraw at any time without giving a reason, and there will be no negative consequences. You may also request that your interview data be withdrawn up until March 1</w:t>
      </w:r>
      <w:proofErr w:type="gramStart"/>
      <w:r w:rsidRPr="00C62616">
        <w:rPr>
          <w:rFonts w:ascii="Times New Roman" w:hAnsi="Times New Roman" w:cs="Times New Roman"/>
          <w:color w:val="000000" w:themeColor="text1"/>
          <w:sz w:val="24"/>
          <w:szCs w:val="24"/>
        </w:rPr>
        <w:t>st .</w:t>
      </w:r>
      <w:proofErr w:type="gramEnd"/>
      <w:r w:rsidRPr="00C62616">
        <w:rPr>
          <w:rFonts w:ascii="Times New Roman" w:hAnsi="Times New Roman" w:cs="Times New Roman"/>
          <w:color w:val="000000" w:themeColor="text1"/>
          <w:sz w:val="24"/>
          <w:szCs w:val="24"/>
        </w:rPr>
        <w:t xml:space="preserve"> After this point, the data may already have been anonymised and included in the analysis, making it difficult to remove.</w:t>
      </w:r>
    </w:p>
    <w:p w14:paraId="430A0E73" w14:textId="77777777" w:rsidR="00C62616" w:rsidRPr="00C62616" w:rsidRDefault="00C62616" w:rsidP="00C62616">
      <w:pPr>
        <w:jc w:val="both"/>
        <w:rPr>
          <w:rFonts w:ascii="Times New Roman" w:hAnsi="Times New Roman" w:cs="Times New Roman"/>
          <w:color w:val="000000" w:themeColor="text1"/>
          <w:sz w:val="24"/>
          <w:szCs w:val="24"/>
        </w:rPr>
      </w:pPr>
    </w:p>
    <w:p w14:paraId="73D92CF6" w14:textId="1CADFD3F" w:rsidR="00C62616" w:rsidRPr="00D337A9" w:rsidRDefault="00C42CEF"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D337A9">
        <w:rPr>
          <w:rFonts w:ascii="Times New Roman" w:hAnsi="Times New Roman" w:cs="Times New Roman"/>
          <w:b/>
          <w:bCs/>
          <w:color w:val="0070C0"/>
          <w:sz w:val="24"/>
          <w:szCs w:val="24"/>
        </w:rPr>
        <w:t>5</w:t>
      </w:r>
      <w:r w:rsidR="00C62616" w:rsidRPr="00D337A9">
        <w:rPr>
          <w:rFonts w:ascii="Times New Roman" w:hAnsi="Times New Roman" w:cs="Times New Roman"/>
          <w:b/>
          <w:bCs/>
          <w:color w:val="0070C0"/>
          <w:sz w:val="24"/>
          <w:szCs w:val="24"/>
        </w:rPr>
        <w:tab/>
        <w:t>What will happen if I take part?</w:t>
      </w:r>
    </w:p>
    <w:p w14:paraId="6D9EDBBD" w14:textId="77777777" w:rsidR="00C62616" w:rsidRPr="00C62616" w:rsidRDefault="00C62616" w:rsidP="00C62616">
      <w:pPr>
        <w:jc w:val="both"/>
        <w:rPr>
          <w:rFonts w:ascii="Times New Roman" w:hAnsi="Times New Roman" w:cs="Times New Roman"/>
          <w:color w:val="000000" w:themeColor="text1"/>
          <w:sz w:val="24"/>
          <w:szCs w:val="24"/>
        </w:rPr>
      </w:pPr>
    </w:p>
    <w:p w14:paraId="0260E3F7"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If you agree to participate, you will be invited to take part in a one-to-one interview with me, the researcher.</w:t>
      </w:r>
    </w:p>
    <w:p w14:paraId="5A162969"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The interview will:</w:t>
      </w:r>
    </w:p>
    <w:p w14:paraId="1F3F8135"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take place at a time and location that is convenient for you, either in person, over the telephone, or online;</w:t>
      </w:r>
    </w:p>
    <w:p w14:paraId="624C937C"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last approximately 20 to 30 minutes;</w:t>
      </w:r>
    </w:p>
    <w:p w14:paraId="2EC2F5F5"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be audio-recorded with your permission so that your responses can be accurately transcribed;</w:t>
      </w:r>
    </w:p>
    <w:p w14:paraId="08627FCA"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focus on topics such as your housing journey, your experiences as a leaseholder, and how leasehold ownership has affected your financial security and wellbeing.</w:t>
      </w:r>
    </w:p>
    <w:p w14:paraId="45CD1C4F"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There are no right or wrong answers. I am interested only in your personal experiences and opinions.</w:t>
      </w:r>
    </w:p>
    <w:p w14:paraId="68C3D7D1"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If there is any question you would rather not answer, you are welcome to skip it. You may also pause or end the interview at any time.</w:t>
      </w:r>
    </w:p>
    <w:p w14:paraId="3C3B53F4" w14:textId="77777777" w:rsidR="00C62616" w:rsidRPr="00D337A9" w:rsidRDefault="00C62616" w:rsidP="00C62616">
      <w:pPr>
        <w:jc w:val="both"/>
        <w:rPr>
          <w:rFonts w:ascii="Times New Roman" w:hAnsi="Times New Roman" w:cs="Times New Roman"/>
          <w:b/>
          <w:bCs/>
          <w:color w:val="0070C0"/>
          <w:sz w:val="24"/>
          <w:szCs w:val="24"/>
        </w:rPr>
      </w:pPr>
    </w:p>
    <w:p w14:paraId="4B10881D" w14:textId="3A95F978" w:rsidR="00C62616" w:rsidRPr="00C62616" w:rsidRDefault="00477969" w:rsidP="00C62616">
      <w:pPr>
        <w:jc w:val="both"/>
        <w:rPr>
          <w:rFonts w:ascii="Times New Roman" w:hAnsi="Times New Roman" w:cs="Times New Roman"/>
          <w:color w:val="000000" w:themeColor="text1"/>
          <w:sz w:val="24"/>
          <w:szCs w:val="24"/>
        </w:rPr>
      </w:pPr>
      <w:r>
        <w:rPr>
          <w:rFonts w:ascii="Times New Roman" w:hAnsi="Times New Roman" w:cs="Times New Roman"/>
          <w:b/>
          <w:bCs/>
          <w:color w:val="0070C0"/>
          <w:sz w:val="24"/>
          <w:szCs w:val="24"/>
        </w:rPr>
        <w:t>2.</w:t>
      </w:r>
      <w:r w:rsidR="00C62616" w:rsidRPr="00D337A9">
        <w:rPr>
          <w:rFonts w:ascii="Times New Roman" w:hAnsi="Times New Roman" w:cs="Times New Roman"/>
          <w:b/>
          <w:bCs/>
          <w:color w:val="0070C0"/>
          <w:sz w:val="24"/>
          <w:szCs w:val="24"/>
        </w:rPr>
        <w:t>6</w:t>
      </w:r>
      <w:r w:rsidR="00C62616" w:rsidRPr="00D337A9">
        <w:rPr>
          <w:rFonts w:ascii="Times New Roman" w:hAnsi="Times New Roman" w:cs="Times New Roman"/>
          <w:b/>
          <w:bCs/>
          <w:color w:val="0070C0"/>
          <w:sz w:val="24"/>
          <w:szCs w:val="24"/>
        </w:rPr>
        <w:tab/>
        <w:t>What are the possible benefits of taking part?</w:t>
      </w:r>
      <w:r w:rsidR="00C62616" w:rsidRPr="00C62616">
        <w:rPr>
          <w:rFonts w:ascii="Times New Roman" w:hAnsi="Times New Roman" w:cs="Times New Roman"/>
          <w:color w:val="000000" w:themeColor="text1"/>
          <w:sz w:val="24"/>
          <w:szCs w:val="24"/>
        </w:rPr>
        <w:tab/>
      </w:r>
    </w:p>
    <w:p w14:paraId="54429D85" w14:textId="77777777" w:rsidR="00C62616" w:rsidRPr="00C62616" w:rsidRDefault="00C62616" w:rsidP="00C62616">
      <w:pPr>
        <w:jc w:val="both"/>
        <w:rPr>
          <w:rFonts w:ascii="Times New Roman" w:hAnsi="Times New Roman" w:cs="Times New Roman"/>
          <w:color w:val="000000" w:themeColor="text1"/>
          <w:sz w:val="24"/>
          <w:szCs w:val="24"/>
        </w:rPr>
      </w:pPr>
    </w:p>
    <w:p w14:paraId="1AA1E11E"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Although there are no direct personal benefits, your participation will contribute to a better understanding of the challenges faced by older people living in leasehold retirement housing.</w:t>
      </w:r>
    </w:p>
    <w:p w14:paraId="4F4601A8"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The findings may help inform future housing policy, improve professional practice, and raise awareness of issues affecting leaseholders in later life.</w:t>
      </w:r>
    </w:p>
    <w:p w14:paraId="4BBA67FE" w14:textId="77777777" w:rsidR="00C62616" w:rsidRPr="00D337A9" w:rsidRDefault="00C62616" w:rsidP="00C62616">
      <w:pPr>
        <w:jc w:val="both"/>
        <w:rPr>
          <w:rFonts w:ascii="Times New Roman" w:hAnsi="Times New Roman" w:cs="Times New Roman"/>
          <w:b/>
          <w:bCs/>
          <w:color w:val="0070C0"/>
          <w:sz w:val="24"/>
          <w:szCs w:val="24"/>
        </w:rPr>
      </w:pPr>
    </w:p>
    <w:p w14:paraId="49344C92" w14:textId="7F05C843" w:rsidR="00C62616" w:rsidRPr="00D337A9" w:rsidRDefault="00477969" w:rsidP="00C62616">
      <w:pPr>
        <w:jc w:val="both"/>
        <w:rPr>
          <w:rFonts w:ascii="Times New Roman" w:hAnsi="Times New Roman" w:cs="Times New Roman"/>
          <w:b/>
          <w:bCs/>
          <w:color w:val="0070C0"/>
          <w:sz w:val="24"/>
          <w:szCs w:val="24"/>
        </w:rPr>
      </w:pPr>
      <w:r w:rsidRPr="00477969">
        <w:rPr>
          <w:rFonts w:ascii="Times New Roman" w:hAnsi="Times New Roman" w:cs="Times New Roman"/>
          <w:b/>
          <w:bCs/>
          <w:color w:val="0070C0"/>
          <w:sz w:val="24"/>
          <w:szCs w:val="24"/>
        </w:rPr>
        <w:t>2.</w:t>
      </w:r>
      <w:r w:rsidR="00C62616" w:rsidRPr="00477969">
        <w:rPr>
          <w:rFonts w:ascii="Times New Roman" w:hAnsi="Times New Roman" w:cs="Times New Roman"/>
          <w:b/>
          <w:bCs/>
          <w:color w:val="0070C0"/>
          <w:sz w:val="24"/>
          <w:szCs w:val="24"/>
        </w:rPr>
        <w:t>7</w:t>
      </w:r>
      <w:r w:rsidR="00C62616" w:rsidRPr="00D337A9">
        <w:rPr>
          <w:rFonts w:ascii="Times New Roman" w:hAnsi="Times New Roman" w:cs="Times New Roman"/>
          <w:b/>
          <w:bCs/>
          <w:color w:val="0070C0"/>
          <w:sz w:val="24"/>
          <w:szCs w:val="24"/>
        </w:rPr>
        <w:tab/>
        <w:t>Are there any risks or disadvantages?</w:t>
      </w:r>
    </w:p>
    <w:p w14:paraId="766A59F2" w14:textId="77777777" w:rsidR="00C62616" w:rsidRPr="00C62616" w:rsidRDefault="00C62616" w:rsidP="00C62616">
      <w:pPr>
        <w:jc w:val="both"/>
        <w:rPr>
          <w:rFonts w:ascii="Times New Roman" w:hAnsi="Times New Roman" w:cs="Times New Roman"/>
          <w:color w:val="000000" w:themeColor="text1"/>
          <w:sz w:val="24"/>
          <w:szCs w:val="24"/>
        </w:rPr>
      </w:pPr>
    </w:p>
    <w:p w14:paraId="6909A21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 do not expect any significant risks from taking part.</w:t>
      </w:r>
    </w:p>
    <w:p w14:paraId="319CD621"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lastRenderedPageBreak/>
        <w:t>However, some questions may involve discussing financial concerns or housing-related experiences that you may find sensitive or upsetting. If you feel uncomfortable at any point, you can choose not to answer a question, take a break, or end the interview altogether.</w:t>
      </w:r>
    </w:p>
    <w:p w14:paraId="68CF6E2D"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 xml:space="preserve">If needed, I can also provide information about organisations that offer advice and support, such as Citizens Advice, Age UK, or the </w:t>
      </w:r>
      <w:proofErr w:type="spellStart"/>
      <w:r w:rsidRPr="00C62616">
        <w:rPr>
          <w:rFonts w:ascii="Times New Roman" w:hAnsi="Times New Roman" w:cs="Times New Roman"/>
          <w:color w:val="000000" w:themeColor="text1"/>
          <w:sz w:val="24"/>
          <w:szCs w:val="24"/>
        </w:rPr>
        <w:t>HomeOwners</w:t>
      </w:r>
      <w:proofErr w:type="spellEnd"/>
      <w:r w:rsidRPr="00C62616">
        <w:rPr>
          <w:rFonts w:ascii="Times New Roman" w:hAnsi="Times New Roman" w:cs="Times New Roman"/>
          <w:color w:val="000000" w:themeColor="text1"/>
          <w:sz w:val="24"/>
          <w:szCs w:val="24"/>
        </w:rPr>
        <w:t xml:space="preserve"> Alliance.</w:t>
      </w:r>
    </w:p>
    <w:p w14:paraId="78C2AB68" w14:textId="77777777" w:rsidR="00C62616" w:rsidRPr="004630D1" w:rsidRDefault="00C62616" w:rsidP="00C62616">
      <w:pPr>
        <w:jc w:val="both"/>
        <w:rPr>
          <w:rFonts w:ascii="Times New Roman" w:hAnsi="Times New Roman" w:cs="Times New Roman"/>
          <w:b/>
          <w:bCs/>
          <w:color w:val="0070C0"/>
          <w:sz w:val="24"/>
          <w:szCs w:val="24"/>
        </w:rPr>
      </w:pPr>
    </w:p>
    <w:p w14:paraId="5F36A6AC" w14:textId="7BFC8A01" w:rsidR="00C62616" w:rsidRPr="004630D1" w:rsidRDefault="00477969"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4630D1">
        <w:rPr>
          <w:rFonts w:ascii="Times New Roman" w:hAnsi="Times New Roman" w:cs="Times New Roman"/>
          <w:b/>
          <w:bCs/>
          <w:color w:val="0070C0"/>
          <w:sz w:val="24"/>
          <w:szCs w:val="24"/>
        </w:rPr>
        <w:t>8</w:t>
      </w:r>
      <w:r w:rsidR="00C62616" w:rsidRPr="004630D1">
        <w:rPr>
          <w:rFonts w:ascii="Times New Roman" w:hAnsi="Times New Roman" w:cs="Times New Roman"/>
          <w:b/>
          <w:bCs/>
          <w:color w:val="0070C0"/>
          <w:sz w:val="24"/>
          <w:szCs w:val="24"/>
        </w:rPr>
        <w:tab/>
        <w:t>Will my information be kept confidential?</w:t>
      </w:r>
    </w:p>
    <w:p w14:paraId="4EA4F1EB" w14:textId="77777777" w:rsidR="00C62616" w:rsidRPr="00C62616" w:rsidRDefault="00C62616" w:rsidP="00C62616">
      <w:pPr>
        <w:jc w:val="both"/>
        <w:rPr>
          <w:rFonts w:ascii="Times New Roman" w:hAnsi="Times New Roman" w:cs="Times New Roman"/>
          <w:color w:val="000000" w:themeColor="text1"/>
          <w:sz w:val="24"/>
          <w:szCs w:val="24"/>
        </w:rPr>
      </w:pPr>
    </w:p>
    <w:p w14:paraId="28E1B19E"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Yes.</w:t>
      </w:r>
    </w:p>
    <w:p w14:paraId="7567CDCA"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Everything you share will be treated confidentially and handled in accordance with the UK General Data Protection Regulation (UK GDPR) and the Data Protection Act 2018.</w:t>
      </w:r>
    </w:p>
    <w:p w14:paraId="2A4EC4F5"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This means that:</w:t>
      </w:r>
    </w:p>
    <w:p w14:paraId="2AE6A72C"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your name and any information that could identify you will be removed and replaced with a pseudonym;</w:t>
      </w:r>
    </w:p>
    <w:p w14:paraId="6DA8175A"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audio recordings and interview transcripts will be stored securely on password-protected, encrypted University systems and will only be accessible to the researcher and academic supervisor;</w:t>
      </w:r>
    </w:p>
    <w:p w14:paraId="6494C5C3"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audio recordings will be permanently deleted once the transcripts have been checked for accuracy;</w:t>
      </w:r>
    </w:p>
    <w:p w14:paraId="3A73C399"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anonymised research data may be retained in line with the University of Wales Trinity Saint David's data retention policy;</w:t>
      </w:r>
    </w:p>
    <w:p w14:paraId="0623A4C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w:t>
      </w:r>
      <w:r w:rsidRPr="00C62616">
        <w:rPr>
          <w:rFonts w:ascii="Times New Roman" w:hAnsi="Times New Roman" w:cs="Times New Roman"/>
          <w:color w:val="000000" w:themeColor="text1"/>
          <w:sz w:val="24"/>
          <w:szCs w:val="24"/>
        </w:rPr>
        <w:tab/>
        <w:t>anonymous quotations from your interview may be included in the dissertation or future academic publications, but they will never identify you personally.</w:t>
      </w:r>
    </w:p>
    <w:p w14:paraId="5FB6D460" w14:textId="77777777" w:rsidR="00C62616" w:rsidRPr="00C62616" w:rsidRDefault="00C62616" w:rsidP="00C62616">
      <w:pPr>
        <w:jc w:val="both"/>
        <w:rPr>
          <w:rFonts w:ascii="Times New Roman" w:hAnsi="Times New Roman" w:cs="Times New Roman"/>
          <w:color w:val="000000" w:themeColor="text1"/>
          <w:sz w:val="24"/>
          <w:szCs w:val="24"/>
        </w:rPr>
      </w:pPr>
    </w:p>
    <w:p w14:paraId="03FE54F3" w14:textId="1ECF222F" w:rsidR="00C62616" w:rsidRPr="004630D1" w:rsidRDefault="00477969"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4630D1">
        <w:rPr>
          <w:rFonts w:ascii="Times New Roman" w:hAnsi="Times New Roman" w:cs="Times New Roman"/>
          <w:b/>
          <w:bCs/>
          <w:color w:val="0070C0"/>
          <w:sz w:val="24"/>
          <w:szCs w:val="24"/>
        </w:rPr>
        <w:t>9</w:t>
      </w:r>
      <w:r w:rsidR="00C62616" w:rsidRPr="004630D1">
        <w:rPr>
          <w:rFonts w:ascii="Times New Roman" w:hAnsi="Times New Roman" w:cs="Times New Roman"/>
          <w:b/>
          <w:bCs/>
          <w:color w:val="0070C0"/>
          <w:sz w:val="24"/>
          <w:szCs w:val="24"/>
        </w:rPr>
        <w:tab/>
        <w:t>What will happen to the results?</w:t>
      </w:r>
    </w:p>
    <w:p w14:paraId="4F0D9B3C" w14:textId="77777777" w:rsidR="00C62616" w:rsidRPr="00C62616" w:rsidRDefault="00C62616" w:rsidP="00C62616">
      <w:pPr>
        <w:jc w:val="both"/>
        <w:rPr>
          <w:rFonts w:ascii="Times New Roman" w:hAnsi="Times New Roman" w:cs="Times New Roman"/>
          <w:color w:val="000000" w:themeColor="text1"/>
          <w:sz w:val="24"/>
          <w:szCs w:val="24"/>
        </w:rPr>
      </w:pPr>
    </w:p>
    <w:p w14:paraId="58092609"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The findings from this study will be used in my dissertation, which will be submitted to UWTSD as part of my degree.</w:t>
      </w:r>
    </w:p>
    <w:p w14:paraId="72050DE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The results may also be shared through academic publications, conference presentations, or reports for organisations involved in housing and ageing.</w:t>
      </w:r>
    </w:p>
    <w:p w14:paraId="46F3EAB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Your identity will remain anonymous in all reports and publications.</w:t>
      </w:r>
    </w:p>
    <w:p w14:paraId="673493B0" w14:textId="613E67D6" w:rsid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If you would like a summary of the research findings once the study has finished, please let me know and I will be happy to provide one.</w:t>
      </w:r>
    </w:p>
    <w:p w14:paraId="5009F03C" w14:textId="77777777" w:rsidR="008A7E01" w:rsidRPr="00C62616" w:rsidRDefault="008A7E01" w:rsidP="00C62616">
      <w:pPr>
        <w:jc w:val="both"/>
        <w:rPr>
          <w:rFonts w:ascii="Times New Roman" w:hAnsi="Times New Roman" w:cs="Times New Roman"/>
          <w:color w:val="000000" w:themeColor="text1"/>
          <w:sz w:val="24"/>
          <w:szCs w:val="24"/>
        </w:rPr>
      </w:pPr>
    </w:p>
    <w:p w14:paraId="6712C08B" w14:textId="08EB0885" w:rsidR="00C62616" w:rsidRPr="004630D1" w:rsidRDefault="00477969"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4630D1">
        <w:rPr>
          <w:rFonts w:ascii="Times New Roman" w:hAnsi="Times New Roman" w:cs="Times New Roman"/>
          <w:b/>
          <w:bCs/>
          <w:color w:val="0070C0"/>
          <w:sz w:val="24"/>
          <w:szCs w:val="24"/>
        </w:rPr>
        <w:t>10</w:t>
      </w:r>
      <w:r w:rsidR="00C62616" w:rsidRPr="004630D1">
        <w:rPr>
          <w:rFonts w:ascii="Times New Roman" w:hAnsi="Times New Roman" w:cs="Times New Roman"/>
          <w:b/>
          <w:bCs/>
          <w:color w:val="0070C0"/>
          <w:sz w:val="24"/>
          <w:szCs w:val="24"/>
        </w:rPr>
        <w:tab/>
        <w:t>Who is organising and funding the research?</w:t>
      </w:r>
    </w:p>
    <w:p w14:paraId="55718D21" w14:textId="77777777" w:rsidR="00C62616" w:rsidRPr="00C62616" w:rsidRDefault="00C62616" w:rsidP="00C62616">
      <w:pPr>
        <w:jc w:val="both"/>
        <w:rPr>
          <w:rFonts w:ascii="Times New Roman" w:hAnsi="Times New Roman" w:cs="Times New Roman"/>
          <w:color w:val="000000" w:themeColor="text1"/>
          <w:sz w:val="24"/>
          <w:szCs w:val="24"/>
        </w:rPr>
      </w:pPr>
    </w:p>
    <w:p w14:paraId="004015C4"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This research is being carried out by Violeta Alina Moros, a student at the University of Wales Trinity Saint David, as part of the requirements for a Bachelor of Arts in Developing Leadership and Management.</w:t>
      </w:r>
    </w:p>
    <w:p w14:paraId="358FAD76"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The study is not externally funded.</w:t>
      </w:r>
    </w:p>
    <w:p w14:paraId="63FE569E" w14:textId="77777777" w:rsidR="00C62616" w:rsidRPr="00C62616" w:rsidRDefault="00C62616" w:rsidP="00C62616">
      <w:pPr>
        <w:jc w:val="both"/>
        <w:rPr>
          <w:rFonts w:ascii="Times New Roman" w:hAnsi="Times New Roman" w:cs="Times New Roman"/>
          <w:color w:val="000000" w:themeColor="text1"/>
          <w:sz w:val="24"/>
          <w:szCs w:val="24"/>
        </w:rPr>
      </w:pPr>
    </w:p>
    <w:p w14:paraId="2F4DCFF4" w14:textId="08E1D2E9" w:rsidR="00C62616" w:rsidRPr="004630D1" w:rsidRDefault="00477969"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4630D1">
        <w:rPr>
          <w:rFonts w:ascii="Times New Roman" w:hAnsi="Times New Roman" w:cs="Times New Roman"/>
          <w:b/>
          <w:bCs/>
          <w:color w:val="0070C0"/>
          <w:sz w:val="24"/>
          <w:szCs w:val="24"/>
        </w:rPr>
        <w:t>11</w:t>
      </w:r>
      <w:r w:rsidR="00C62616" w:rsidRPr="004630D1">
        <w:rPr>
          <w:rFonts w:ascii="Times New Roman" w:hAnsi="Times New Roman" w:cs="Times New Roman"/>
          <w:b/>
          <w:bCs/>
          <w:color w:val="0070C0"/>
          <w:sz w:val="24"/>
          <w:szCs w:val="24"/>
        </w:rPr>
        <w:tab/>
        <w:t>Who has reviewed this study?</w:t>
      </w:r>
    </w:p>
    <w:p w14:paraId="572F9456" w14:textId="77777777" w:rsidR="00C62616" w:rsidRPr="00C62616" w:rsidRDefault="00C62616" w:rsidP="00C62616">
      <w:pPr>
        <w:jc w:val="both"/>
        <w:rPr>
          <w:rFonts w:ascii="Times New Roman" w:hAnsi="Times New Roman" w:cs="Times New Roman"/>
          <w:color w:val="000000" w:themeColor="text1"/>
          <w:sz w:val="24"/>
          <w:szCs w:val="24"/>
        </w:rPr>
      </w:pPr>
    </w:p>
    <w:p w14:paraId="575A9922"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This research has been reviewed and approved by the University of Wales Trinity Saint David in accordance with its ethical approval procedures.</w:t>
      </w:r>
    </w:p>
    <w:p w14:paraId="49B18AC9" w14:textId="77777777" w:rsidR="00C62616" w:rsidRPr="00C62616" w:rsidRDefault="00C62616" w:rsidP="00C62616">
      <w:pPr>
        <w:jc w:val="both"/>
        <w:rPr>
          <w:rFonts w:ascii="Times New Roman" w:hAnsi="Times New Roman" w:cs="Times New Roman"/>
          <w:color w:val="000000" w:themeColor="text1"/>
          <w:sz w:val="24"/>
          <w:szCs w:val="24"/>
        </w:rPr>
      </w:pPr>
    </w:p>
    <w:p w14:paraId="3B262E44" w14:textId="0084DC62" w:rsidR="00C62616" w:rsidRPr="004630D1" w:rsidRDefault="00477969"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4630D1">
        <w:rPr>
          <w:rFonts w:ascii="Times New Roman" w:hAnsi="Times New Roman" w:cs="Times New Roman"/>
          <w:b/>
          <w:bCs/>
          <w:color w:val="0070C0"/>
          <w:sz w:val="24"/>
          <w:szCs w:val="24"/>
        </w:rPr>
        <w:t>12</w:t>
      </w:r>
      <w:r w:rsidR="00C62616" w:rsidRPr="004630D1">
        <w:rPr>
          <w:rFonts w:ascii="Times New Roman" w:hAnsi="Times New Roman" w:cs="Times New Roman"/>
          <w:b/>
          <w:bCs/>
          <w:color w:val="0070C0"/>
          <w:sz w:val="24"/>
          <w:szCs w:val="24"/>
        </w:rPr>
        <w:tab/>
        <w:t>What if I have concerns about the study?</w:t>
      </w:r>
    </w:p>
    <w:p w14:paraId="42C9BA19" w14:textId="77777777" w:rsidR="00C62616" w:rsidRPr="00C62616" w:rsidRDefault="00C62616" w:rsidP="00C62616">
      <w:pPr>
        <w:jc w:val="both"/>
        <w:rPr>
          <w:rFonts w:ascii="Times New Roman" w:hAnsi="Times New Roman" w:cs="Times New Roman"/>
          <w:color w:val="000000" w:themeColor="text1"/>
          <w:sz w:val="24"/>
          <w:szCs w:val="24"/>
        </w:rPr>
      </w:pPr>
    </w:p>
    <w:p w14:paraId="4FF5314A"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If you have any questions, concerns, or complaints about the way this research has been conducted, please contact my academic supervisor:</w:t>
      </w:r>
    </w:p>
    <w:p w14:paraId="0C70C66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Jaliya de Silva</w:t>
      </w:r>
    </w:p>
    <w:p w14:paraId="5D78A4E0" w14:textId="77777777" w:rsidR="00C62616" w:rsidRPr="00C62616" w:rsidRDefault="00C62616" w:rsidP="00C62616">
      <w:pPr>
        <w:jc w:val="both"/>
        <w:rPr>
          <w:rFonts w:ascii="Times New Roman" w:hAnsi="Times New Roman" w:cs="Times New Roman"/>
          <w:color w:val="000000" w:themeColor="text1"/>
          <w:sz w:val="24"/>
          <w:szCs w:val="24"/>
        </w:rPr>
      </w:pPr>
    </w:p>
    <w:p w14:paraId="785A1371"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Email: j.de-silva@uwtsd.ac.uk</w:t>
      </w:r>
    </w:p>
    <w:p w14:paraId="32A8CFBC" w14:textId="77777777" w:rsidR="00C62616" w:rsidRPr="00C62616" w:rsidRDefault="00C62616" w:rsidP="00C62616">
      <w:pPr>
        <w:jc w:val="both"/>
        <w:rPr>
          <w:rFonts w:ascii="Times New Roman" w:hAnsi="Times New Roman" w:cs="Times New Roman"/>
          <w:color w:val="000000" w:themeColor="text1"/>
          <w:sz w:val="24"/>
          <w:szCs w:val="24"/>
        </w:rPr>
      </w:pPr>
    </w:p>
    <w:p w14:paraId="1136388A" w14:textId="60AB0CB2" w:rsidR="00C62616" w:rsidRPr="004630D1" w:rsidRDefault="00477969" w:rsidP="00C62616">
      <w:pPr>
        <w:jc w:val="both"/>
        <w:rPr>
          <w:rFonts w:ascii="Times New Roman" w:hAnsi="Times New Roman" w:cs="Times New Roman"/>
          <w:b/>
          <w:bCs/>
          <w:color w:val="0070C0"/>
          <w:sz w:val="24"/>
          <w:szCs w:val="24"/>
        </w:rPr>
      </w:pPr>
      <w:r>
        <w:rPr>
          <w:rFonts w:ascii="Times New Roman" w:hAnsi="Times New Roman" w:cs="Times New Roman"/>
          <w:b/>
          <w:bCs/>
          <w:color w:val="0070C0"/>
          <w:sz w:val="24"/>
          <w:szCs w:val="24"/>
        </w:rPr>
        <w:t>2.</w:t>
      </w:r>
      <w:r w:rsidR="00C62616" w:rsidRPr="004630D1">
        <w:rPr>
          <w:rFonts w:ascii="Times New Roman" w:hAnsi="Times New Roman" w:cs="Times New Roman"/>
          <w:b/>
          <w:bCs/>
          <w:color w:val="0070C0"/>
          <w:sz w:val="24"/>
          <w:szCs w:val="24"/>
        </w:rPr>
        <w:t>13</w:t>
      </w:r>
      <w:r w:rsidR="00C62616" w:rsidRPr="004630D1">
        <w:rPr>
          <w:rFonts w:ascii="Times New Roman" w:hAnsi="Times New Roman" w:cs="Times New Roman"/>
          <w:b/>
          <w:bCs/>
          <w:color w:val="0070C0"/>
          <w:sz w:val="24"/>
          <w:szCs w:val="24"/>
        </w:rPr>
        <w:tab/>
        <w:t>Contact for further information</w:t>
      </w:r>
    </w:p>
    <w:p w14:paraId="6823C66B" w14:textId="77777777" w:rsidR="00C62616" w:rsidRPr="00C62616" w:rsidRDefault="00C62616" w:rsidP="00C62616">
      <w:pPr>
        <w:jc w:val="both"/>
        <w:rPr>
          <w:rFonts w:ascii="Times New Roman" w:hAnsi="Times New Roman" w:cs="Times New Roman"/>
          <w:color w:val="000000" w:themeColor="text1"/>
          <w:sz w:val="24"/>
          <w:szCs w:val="24"/>
        </w:rPr>
      </w:pPr>
    </w:p>
    <w:p w14:paraId="3F7FF13B"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If you have any questions about the research before deciding whether to take part, or if you would like more information, please contact:</w:t>
      </w:r>
    </w:p>
    <w:p w14:paraId="141C7729" w14:textId="53A3DCDD"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Violeta Alina Moros</w:t>
      </w:r>
      <w:r w:rsidR="00CD6114">
        <w:rPr>
          <w:rFonts w:ascii="Times New Roman" w:hAnsi="Times New Roman" w:cs="Times New Roman"/>
          <w:color w:val="000000" w:themeColor="text1"/>
          <w:sz w:val="24"/>
          <w:szCs w:val="24"/>
        </w:rPr>
        <w:t xml:space="preserve"> - </w:t>
      </w:r>
      <w:r w:rsidRPr="00C62616">
        <w:rPr>
          <w:rFonts w:ascii="Times New Roman" w:hAnsi="Times New Roman" w:cs="Times New Roman"/>
          <w:color w:val="000000" w:themeColor="text1"/>
          <w:sz w:val="24"/>
          <w:szCs w:val="24"/>
        </w:rPr>
        <w:t>Student Researcher</w:t>
      </w:r>
    </w:p>
    <w:p w14:paraId="23140B6E" w14:textId="77777777" w:rsidR="00C62616" w:rsidRPr="00C62616" w:rsidRDefault="00C62616" w:rsidP="00C62616">
      <w:pPr>
        <w:jc w:val="both"/>
        <w:rPr>
          <w:rFonts w:ascii="Times New Roman" w:hAnsi="Times New Roman" w:cs="Times New Roman"/>
          <w:color w:val="000000" w:themeColor="text1"/>
          <w:sz w:val="24"/>
          <w:szCs w:val="24"/>
        </w:rPr>
      </w:pPr>
    </w:p>
    <w:p w14:paraId="530742E4"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University of Wales Trinity Saint David</w:t>
      </w:r>
    </w:p>
    <w:p w14:paraId="589E0D0D" w14:textId="77777777" w:rsidR="00C62616" w:rsidRPr="00C62616" w:rsidRDefault="00C62616" w:rsidP="00C62616">
      <w:pPr>
        <w:jc w:val="both"/>
        <w:rPr>
          <w:rFonts w:ascii="Times New Roman" w:hAnsi="Times New Roman" w:cs="Times New Roman"/>
          <w:color w:val="000000" w:themeColor="text1"/>
          <w:sz w:val="24"/>
          <w:szCs w:val="24"/>
        </w:rPr>
      </w:pPr>
    </w:p>
    <w:p w14:paraId="42679EF6" w14:textId="77777777" w:rsidR="00C62616" w:rsidRPr="00C62616" w:rsidRDefault="00C62616" w:rsidP="00C62616">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Email: 2219608@students.uwtsd.ac.uk</w:t>
      </w:r>
    </w:p>
    <w:p w14:paraId="1C4A2B25" w14:textId="77777777" w:rsidR="00C62616" w:rsidRPr="00C62616" w:rsidRDefault="00C62616" w:rsidP="00C62616">
      <w:pPr>
        <w:jc w:val="both"/>
        <w:rPr>
          <w:rFonts w:ascii="Times New Roman" w:hAnsi="Times New Roman" w:cs="Times New Roman"/>
          <w:color w:val="000000" w:themeColor="text1"/>
          <w:sz w:val="24"/>
          <w:szCs w:val="24"/>
        </w:rPr>
      </w:pPr>
    </w:p>
    <w:p w14:paraId="6465F3DF" w14:textId="77777777" w:rsidR="00C62616" w:rsidRPr="00C62616" w:rsidRDefault="00C62616" w:rsidP="00C62616">
      <w:pPr>
        <w:jc w:val="both"/>
        <w:rPr>
          <w:rFonts w:ascii="Times New Roman" w:hAnsi="Times New Roman" w:cs="Times New Roman"/>
          <w:color w:val="000000" w:themeColor="text1"/>
          <w:sz w:val="24"/>
          <w:szCs w:val="24"/>
        </w:rPr>
      </w:pPr>
    </w:p>
    <w:p w14:paraId="2857AA9A" w14:textId="6B85FE7D" w:rsidR="004425B2" w:rsidRDefault="00C62616" w:rsidP="00935341">
      <w:pPr>
        <w:jc w:val="both"/>
        <w:rPr>
          <w:rFonts w:ascii="Times New Roman" w:hAnsi="Times New Roman" w:cs="Times New Roman"/>
          <w:color w:val="000000" w:themeColor="text1"/>
          <w:sz w:val="24"/>
          <w:szCs w:val="24"/>
        </w:rPr>
      </w:pPr>
      <w:r w:rsidRPr="00C62616">
        <w:rPr>
          <w:rFonts w:ascii="Times New Roman" w:hAnsi="Times New Roman" w:cs="Times New Roman"/>
          <w:color w:val="000000" w:themeColor="text1"/>
          <w:sz w:val="24"/>
          <w:szCs w:val="24"/>
        </w:rPr>
        <w:t>Thank you for taking the time to read this information sheet and for considering taking part in this research. Your time and experiences are greatly appreciated.</w:t>
      </w:r>
    </w:p>
    <w:p w14:paraId="03F6AF26" w14:textId="77777777" w:rsidR="004425B2" w:rsidRDefault="004425B2" w:rsidP="00935341">
      <w:pPr>
        <w:jc w:val="both"/>
        <w:rPr>
          <w:rFonts w:ascii="Times New Roman" w:hAnsi="Times New Roman" w:cs="Times New Roman"/>
          <w:color w:val="000000" w:themeColor="text1"/>
          <w:sz w:val="24"/>
          <w:szCs w:val="24"/>
        </w:rPr>
      </w:pPr>
    </w:p>
    <w:p w14:paraId="791F6E65" w14:textId="77777777" w:rsidR="004425B2" w:rsidRDefault="004425B2" w:rsidP="00935341">
      <w:pPr>
        <w:jc w:val="both"/>
        <w:rPr>
          <w:rFonts w:ascii="Times New Roman" w:hAnsi="Times New Roman" w:cs="Times New Roman"/>
          <w:color w:val="000000" w:themeColor="text1"/>
          <w:sz w:val="24"/>
          <w:szCs w:val="24"/>
        </w:rPr>
      </w:pPr>
    </w:p>
    <w:p w14:paraId="7E547D98" w14:textId="1C1E0E87" w:rsidR="004425B2" w:rsidRPr="002E6C19" w:rsidRDefault="002E6C19" w:rsidP="002E6C19">
      <w:pPr>
        <w:pStyle w:val="ListParagraph"/>
        <w:numPr>
          <w:ilvl w:val="0"/>
          <w:numId w:val="3"/>
        </w:numPr>
        <w:jc w:val="both"/>
        <w:rPr>
          <w:rFonts w:ascii="Times New Roman" w:hAnsi="Times New Roman" w:cs="Times New Roman"/>
          <w:b/>
          <w:bCs/>
          <w:color w:val="0070C0"/>
          <w:sz w:val="32"/>
          <w:szCs w:val="32"/>
        </w:rPr>
      </w:pPr>
      <w:r w:rsidRPr="002E6C19">
        <w:rPr>
          <w:rFonts w:ascii="Times New Roman" w:hAnsi="Times New Roman" w:cs="Times New Roman"/>
          <w:b/>
          <w:bCs/>
          <w:color w:val="0070C0"/>
          <w:sz w:val="32"/>
          <w:szCs w:val="32"/>
        </w:rPr>
        <w:t xml:space="preserve">Interview Questions </w:t>
      </w:r>
    </w:p>
    <w:p w14:paraId="2BE2ADEE" w14:textId="77777777" w:rsidR="004425B2" w:rsidRPr="004425B2" w:rsidRDefault="004425B2" w:rsidP="004425B2">
      <w:pPr>
        <w:jc w:val="both"/>
        <w:rPr>
          <w:rFonts w:ascii="Times New Roman" w:hAnsi="Times New Roman" w:cs="Times New Roman"/>
          <w:color w:val="000000" w:themeColor="text1"/>
          <w:sz w:val="24"/>
          <w:szCs w:val="24"/>
        </w:rPr>
      </w:pPr>
      <w:r w:rsidRPr="004425B2">
        <w:rPr>
          <w:rFonts w:ascii="Times New Roman" w:hAnsi="Times New Roman" w:cs="Times New Roman"/>
          <w:color w:val="000000" w:themeColor="text1"/>
          <w:sz w:val="24"/>
          <w:szCs w:val="24"/>
        </w:rPr>
        <w:t xml:space="preserve">Thank you for agreeing to speak with me today. This interview is part of my dissertation research into the experiences of people who own leasehold properties in Wales. There are no right or wrong answers — I am interested in your personal experience and views. Everything you say will be kept confidential and anonymised. You can stop or pause at any time. So, with your permission, I will record the interview so I can focus on our conversation rather than taking notes. </w:t>
      </w:r>
    </w:p>
    <w:p w14:paraId="32375116" w14:textId="77777777" w:rsidR="004425B2" w:rsidRPr="00EA6208" w:rsidRDefault="004425B2" w:rsidP="004425B2">
      <w:pPr>
        <w:jc w:val="both"/>
        <w:rPr>
          <w:rFonts w:ascii="Times New Roman" w:hAnsi="Times New Roman" w:cs="Times New Roman"/>
          <w:color w:val="000000" w:themeColor="text1"/>
          <w:sz w:val="24"/>
          <w:szCs w:val="24"/>
        </w:rPr>
      </w:pPr>
    </w:p>
    <w:p w14:paraId="0F2E99BA"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Could you start by telling me a little about your home — how long have you lived there, and how did you come to buy it?</w:t>
      </w:r>
    </w:p>
    <w:p w14:paraId="09CC3B28" w14:textId="77777777" w:rsidR="004425B2" w:rsidRPr="00EA6208" w:rsidRDefault="004425B2" w:rsidP="004425B2">
      <w:pPr>
        <w:jc w:val="both"/>
        <w:rPr>
          <w:rFonts w:ascii="Times New Roman" w:hAnsi="Times New Roman" w:cs="Times New Roman"/>
          <w:color w:val="000000" w:themeColor="text1"/>
          <w:sz w:val="24"/>
          <w:szCs w:val="24"/>
        </w:rPr>
      </w:pPr>
    </w:p>
    <w:p w14:paraId="7B06250D"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When you bought the property, did you know it was leasehold? What did you understand that to mean at the time?</w:t>
      </w:r>
    </w:p>
    <w:p w14:paraId="35C8546A" w14:textId="77777777" w:rsidR="004425B2" w:rsidRPr="00EA6208" w:rsidRDefault="004425B2" w:rsidP="004425B2">
      <w:pPr>
        <w:jc w:val="both"/>
        <w:rPr>
          <w:rFonts w:ascii="Times New Roman" w:hAnsi="Times New Roman" w:cs="Times New Roman"/>
          <w:color w:val="000000" w:themeColor="text1"/>
          <w:sz w:val="24"/>
          <w:szCs w:val="24"/>
        </w:rPr>
      </w:pPr>
    </w:p>
    <w:p w14:paraId="615B478A"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Did anyone — a solicitor, estate agent, or developer — explain what leasehold meant for you as the owner?</w:t>
      </w:r>
    </w:p>
    <w:p w14:paraId="05D45B98" w14:textId="77777777" w:rsidR="004425B2" w:rsidRPr="00EA6208" w:rsidRDefault="004425B2" w:rsidP="004425B2">
      <w:pPr>
        <w:jc w:val="both"/>
        <w:rPr>
          <w:rFonts w:ascii="Times New Roman" w:hAnsi="Times New Roman" w:cs="Times New Roman"/>
          <w:color w:val="000000" w:themeColor="text1"/>
          <w:sz w:val="24"/>
          <w:szCs w:val="24"/>
        </w:rPr>
      </w:pPr>
    </w:p>
    <w:p w14:paraId="3ECA7D42"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Were you given any information about how many years were left on the lease?</w:t>
      </w:r>
    </w:p>
    <w:p w14:paraId="793418CD" w14:textId="77777777" w:rsidR="004425B2" w:rsidRPr="00EA6208" w:rsidRDefault="004425B2" w:rsidP="004425B2">
      <w:pPr>
        <w:jc w:val="both"/>
        <w:rPr>
          <w:rFonts w:ascii="Times New Roman" w:hAnsi="Times New Roman" w:cs="Times New Roman"/>
          <w:color w:val="000000" w:themeColor="text1"/>
          <w:sz w:val="24"/>
          <w:szCs w:val="24"/>
        </w:rPr>
      </w:pPr>
    </w:p>
    <w:p w14:paraId="5EA869C8"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Do you know approximately how many years are left on your lease now?</w:t>
      </w:r>
    </w:p>
    <w:p w14:paraId="7DEEFA7D" w14:textId="77777777" w:rsidR="004425B2" w:rsidRPr="00EA6208" w:rsidRDefault="004425B2" w:rsidP="004425B2">
      <w:pPr>
        <w:jc w:val="both"/>
        <w:rPr>
          <w:rFonts w:ascii="Times New Roman" w:hAnsi="Times New Roman" w:cs="Times New Roman"/>
          <w:color w:val="000000" w:themeColor="text1"/>
          <w:sz w:val="24"/>
          <w:szCs w:val="24"/>
        </w:rPr>
      </w:pPr>
    </w:p>
    <w:p w14:paraId="540C8FA2"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When did you first become aware of that number?</w:t>
      </w:r>
    </w:p>
    <w:p w14:paraId="00EF2E5F" w14:textId="77777777" w:rsidR="004425B2" w:rsidRPr="00EA6208" w:rsidRDefault="004425B2" w:rsidP="004425B2">
      <w:pPr>
        <w:jc w:val="both"/>
        <w:rPr>
          <w:rFonts w:ascii="Times New Roman" w:hAnsi="Times New Roman" w:cs="Times New Roman"/>
          <w:i/>
          <w:iCs/>
          <w:color w:val="000000" w:themeColor="text1"/>
          <w:sz w:val="24"/>
          <w:szCs w:val="24"/>
        </w:rPr>
      </w:pPr>
    </w:p>
    <w:p w14:paraId="72D290EE"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Did it concern you when you found out, or did it not feel relevant at the time?</w:t>
      </w:r>
    </w:p>
    <w:p w14:paraId="130EF0ED" w14:textId="77777777" w:rsidR="004425B2" w:rsidRPr="00EA6208" w:rsidRDefault="004425B2" w:rsidP="004425B2">
      <w:pPr>
        <w:jc w:val="both"/>
        <w:rPr>
          <w:rFonts w:ascii="Times New Roman" w:hAnsi="Times New Roman" w:cs="Times New Roman"/>
          <w:color w:val="000000" w:themeColor="text1"/>
          <w:sz w:val="24"/>
          <w:szCs w:val="24"/>
        </w:rPr>
      </w:pPr>
    </w:p>
    <w:p w14:paraId="3F3D79DB"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Has anyone — a solicitor, managing agent, or anyone else — ever explained to you what happens as a lease gets shorter, or what options you have?</w:t>
      </w:r>
    </w:p>
    <w:p w14:paraId="3478A485" w14:textId="77777777" w:rsidR="004425B2" w:rsidRPr="00EA6208" w:rsidRDefault="004425B2" w:rsidP="004425B2">
      <w:pPr>
        <w:jc w:val="both"/>
        <w:rPr>
          <w:rFonts w:ascii="Times New Roman" w:hAnsi="Times New Roman" w:cs="Times New Roman"/>
          <w:color w:val="000000" w:themeColor="text1"/>
          <w:sz w:val="24"/>
          <w:szCs w:val="24"/>
        </w:rPr>
      </w:pPr>
    </w:p>
    <w:p w14:paraId="134C539E"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 xml:space="preserve">For example, had you heard of lease extension before speaking with me?  </w:t>
      </w:r>
    </w:p>
    <w:p w14:paraId="72308AF2" w14:textId="77777777" w:rsidR="004425B2" w:rsidRPr="00EA6208" w:rsidRDefault="004425B2" w:rsidP="004425B2">
      <w:pPr>
        <w:jc w:val="both"/>
        <w:rPr>
          <w:rFonts w:ascii="Times New Roman" w:hAnsi="Times New Roman" w:cs="Times New Roman"/>
          <w:color w:val="000000" w:themeColor="text1"/>
          <w:sz w:val="24"/>
          <w:szCs w:val="24"/>
        </w:rPr>
      </w:pPr>
    </w:p>
    <w:p w14:paraId="4B4F48BE" w14:textId="77777777" w:rsidR="004425B2" w:rsidRPr="00EA6208" w:rsidRDefault="004425B2" w:rsidP="004425B2">
      <w:pPr>
        <w:jc w:val="both"/>
        <w:rPr>
          <w:rFonts w:ascii="Times New Roman" w:hAnsi="Times New Roman" w:cs="Times New Roman"/>
          <w:color w:val="000000" w:themeColor="text1"/>
          <w:sz w:val="24"/>
          <w:szCs w:val="24"/>
        </w:rPr>
      </w:pPr>
    </w:p>
    <w:p w14:paraId="3BA69157"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lastRenderedPageBreak/>
        <w:t>In your own words, how would you describe what it means to own a leasehold property, compared to owning a property outright?</w:t>
      </w:r>
    </w:p>
    <w:p w14:paraId="00229B2A" w14:textId="77777777" w:rsidR="004425B2" w:rsidRPr="00EA6208" w:rsidRDefault="004425B2" w:rsidP="004425B2">
      <w:pPr>
        <w:jc w:val="both"/>
        <w:rPr>
          <w:rFonts w:ascii="Times New Roman" w:hAnsi="Times New Roman" w:cs="Times New Roman"/>
          <w:color w:val="000000" w:themeColor="text1"/>
          <w:sz w:val="24"/>
          <w:szCs w:val="24"/>
        </w:rPr>
      </w:pPr>
    </w:p>
    <w:p w14:paraId="4AA74498"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Have you ever thought about selling your home or using it to fund your retirement or care costs in the future? If so, has the leasehold situation affected those plans?</w:t>
      </w:r>
    </w:p>
    <w:p w14:paraId="0DFF46C0" w14:textId="77777777" w:rsidR="004425B2" w:rsidRPr="00EA6208" w:rsidRDefault="004425B2" w:rsidP="004425B2">
      <w:pPr>
        <w:jc w:val="both"/>
        <w:rPr>
          <w:rFonts w:ascii="Times New Roman" w:hAnsi="Times New Roman" w:cs="Times New Roman"/>
          <w:color w:val="000000" w:themeColor="text1"/>
          <w:sz w:val="24"/>
          <w:szCs w:val="24"/>
        </w:rPr>
      </w:pPr>
    </w:p>
    <w:p w14:paraId="1549F936"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Have you been told — by an estate agent, solicitor, or otherwise — that the lease length could affect the value or saleability of your home?</w:t>
      </w:r>
    </w:p>
    <w:p w14:paraId="51EA4EB4" w14:textId="77777777" w:rsidR="004425B2" w:rsidRPr="00EA6208" w:rsidRDefault="004425B2" w:rsidP="004425B2">
      <w:pPr>
        <w:jc w:val="both"/>
        <w:rPr>
          <w:rFonts w:ascii="Times New Roman" w:hAnsi="Times New Roman" w:cs="Times New Roman"/>
          <w:color w:val="000000" w:themeColor="text1"/>
          <w:sz w:val="24"/>
          <w:szCs w:val="24"/>
        </w:rPr>
      </w:pPr>
    </w:p>
    <w:p w14:paraId="24DA312D"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Has a mortgage lender ever raised concerns about the lease length?</w:t>
      </w:r>
    </w:p>
    <w:p w14:paraId="619D4065" w14:textId="77777777" w:rsidR="004425B2" w:rsidRPr="00EA6208" w:rsidRDefault="004425B2" w:rsidP="004425B2">
      <w:pPr>
        <w:jc w:val="both"/>
        <w:rPr>
          <w:rFonts w:ascii="Times New Roman" w:hAnsi="Times New Roman" w:cs="Times New Roman"/>
          <w:color w:val="000000" w:themeColor="text1"/>
          <w:sz w:val="24"/>
          <w:szCs w:val="24"/>
        </w:rPr>
      </w:pPr>
    </w:p>
    <w:p w14:paraId="68BC539B" w14:textId="77777777" w:rsidR="004425B2" w:rsidRPr="00EA6208" w:rsidRDefault="004425B2" w:rsidP="004425B2">
      <w:pPr>
        <w:jc w:val="both"/>
        <w:rPr>
          <w:rFonts w:ascii="Times New Roman" w:hAnsi="Times New Roman" w:cs="Times New Roman"/>
          <w:color w:val="000000" w:themeColor="text1"/>
          <w:sz w:val="24"/>
          <w:szCs w:val="24"/>
        </w:rPr>
      </w:pPr>
    </w:p>
    <w:p w14:paraId="1BE05740"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 xml:space="preserve">Have you </w:t>
      </w:r>
      <w:proofErr w:type="gramStart"/>
      <w:r w:rsidRPr="00EA6208">
        <w:rPr>
          <w:rFonts w:ascii="Times New Roman" w:hAnsi="Times New Roman" w:cs="Times New Roman"/>
          <w:color w:val="000000" w:themeColor="text1"/>
          <w:sz w:val="24"/>
          <w:szCs w:val="24"/>
        </w:rPr>
        <w:t>looked into</w:t>
      </w:r>
      <w:proofErr w:type="gramEnd"/>
      <w:r w:rsidRPr="00EA6208">
        <w:rPr>
          <w:rFonts w:ascii="Times New Roman" w:hAnsi="Times New Roman" w:cs="Times New Roman"/>
          <w:color w:val="000000" w:themeColor="text1"/>
          <w:sz w:val="24"/>
          <w:szCs w:val="24"/>
        </w:rPr>
        <w:t xml:space="preserve"> extending your lease? What happened, or what stopped you from doing so?</w:t>
      </w:r>
    </w:p>
    <w:p w14:paraId="087FE1FC" w14:textId="77777777" w:rsidR="004425B2" w:rsidRPr="00EA6208" w:rsidRDefault="004425B2" w:rsidP="004425B2">
      <w:pPr>
        <w:jc w:val="both"/>
        <w:rPr>
          <w:rFonts w:ascii="Times New Roman" w:hAnsi="Times New Roman" w:cs="Times New Roman"/>
          <w:color w:val="000000" w:themeColor="text1"/>
          <w:sz w:val="24"/>
          <w:szCs w:val="24"/>
        </w:rPr>
      </w:pPr>
    </w:p>
    <w:p w14:paraId="2D0D28B6"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Were you put off by the cost? The complexity? Lack of information?</w:t>
      </w:r>
    </w:p>
    <w:p w14:paraId="6CDF8F61" w14:textId="77777777" w:rsidR="004425B2" w:rsidRPr="00EA6208" w:rsidRDefault="004425B2" w:rsidP="004425B2">
      <w:pPr>
        <w:jc w:val="both"/>
        <w:rPr>
          <w:rFonts w:ascii="Times New Roman" w:hAnsi="Times New Roman" w:cs="Times New Roman"/>
          <w:color w:val="000000" w:themeColor="text1"/>
          <w:sz w:val="24"/>
          <w:szCs w:val="24"/>
        </w:rPr>
      </w:pPr>
    </w:p>
    <w:p w14:paraId="578C5E18"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Did you seek professional advice, and if so, was it helpful?</w:t>
      </w:r>
    </w:p>
    <w:p w14:paraId="3F02A140" w14:textId="77777777" w:rsidR="004425B2" w:rsidRPr="00EA6208" w:rsidRDefault="004425B2" w:rsidP="004425B2">
      <w:pPr>
        <w:jc w:val="both"/>
        <w:rPr>
          <w:rFonts w:ascii="Times New Roman" w:hAnsi="Times New Roman" w:cs="Times New Roman"/>
          <w:color w:val="000000" w:themeColor="text1"/>
          <w:sz w:val="24"/>
          <w:szCs w:val="24"/>
        </w:rPr>
      </w:pPr>
    </w:p>
    <w:p w14:paraId="62F0E89E"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How do you feel the current situation with your lease affects your financial security — your sense of what your home is worth to you, and your future?</w:t>
      </w:r>
    </w:p>
    <w:p w14:paraId="4F18E378" w14:textId="77777777" w:rsidR="004425B2" w:rsidRPr="00EA6208" w:rsidRDefault="004425B2" w:rsidP="004425B2">
      <w:pPr>
        <w:jc w:val="both"/>
        <w:rPr>
          <w:rFonts w:ascii="Times New Roman" w:hAnsi="Times New Roman" w:cs="Times New Roman"/>
          <w:color w:val="000000" w:themeColor="text1"/>
          <w:sz w:val="24"/>
          <w:szCs w:val="24"/>
        </w:rPr>
      </w:pPr>
    </w:p>
    <w:p w14:paraId="08DB45EB"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Does it affect how you think about your retirement, or leaving something to family?</w:t>
      </w:r>
    </w:p>
    <w:p w14:paraId="5F15FB3F" w14:textId="77777777" w:rsidR="004425B2" w:rsidRPr="00EA6208" w:rsidRDefault="004425B2" w:rsidP="004425B2">
      <w:pPr>
        <w:jc w:val="both"/>
        <w:rPr>
          <w:rFonts w:ascii="Times New Roman" w:hAnsi="Times New Roman" w:cs="Times New Roman"/>
          <w:color w:val="000000" w:themeColor="text1"/>
          <w:sz w:val="24"/>
          <w:szCs w:val="24"/>
        </w:rPr>
      </w:pPr>
    </w:p>
    <w:p w14:paraId="69548689"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Are there other costs associated with your leasehold property — such as service charges, ground rent, or permission fees — that affect your finances?</w:t>
      </w:r>
    </w:p>
    <w:p w14:paraId="6ABA3020" w14:textId="77777777" w:rsidR="004425B2" w:rsidRPr="00EA6208" w:rsidRDefault="004425B2" w:rsidP="004425B2">
      <w:pPr>
        <w:jc w:val="both"/>
        <w:rPr>
          <w:rFonts w:ascii="Times New Roman" w:hAnsi="Times New Roman" w:cs="Times New Roman"/>
          <w:color w:val="000000" w:themeColor="text1"/>
          <w:sz w:val="24"/>
          <w:szCs w:val="24"/>
        </w:rPr>
      </w:pPr>
    </w:p>
    <w:p w14:paraId="03D52D38"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 xml:space="preserve"> Do you feel those charges are reasonable and transparent, or have they ever surprised or concerned you?</w:t>
      </w:r>
    </w:p>
    <w:p w14:paraId="24347EE8" w14:textId="77777777" w:rsidR="004425B2" w:rsidRPr="00EA6208" w:rsidRDefault="004425B2" w:rsidP="004425B2">
      <w:pPr>
        <w:jc w:val="both"/>
        <w:rPr>
          <w:rFonts w:ascii="Times New Roman" w:hAnsi="Times New Roman" w:cs="Times New Roman"/>
          <w:color w:val="000000" w:themeColor="text1"/>
          <w:sz w:val="24"/>
          <w:szCs w:val="24"/>
        </w:rPr>
      </w:pPr>
    </w:p>
    <w:p w14:paraId="0CF561A7"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Beyond the financial side, how does the leasehold situation make you feel on a day-to-day basis — does it cause you worry or stress, or is it something you have made peace with?</w:t>
      </w:r>
    </w:p>
    <w:p w14:paraId="3CAFEF34" w14:textId="77777777" w:rsidR="004425B2" w:rsidRPr="00EA6208" w:rsidRDefault="004425B2" w:rsidP="004425B2">
      <w:pPr>
        <w:jc w:val="both"/>
        <w:rPr>
          <w:rFonts w:ascii="Times New Roman" w:hAnsi="Times New Roman" w:cs="Times New Roman"/>
          <w:color w:val="000000" w:themeColor="text1"/>
          <w:sz w:val="24"/>
          <w:szCs w:val="24"/>
        </w:rPr>
      </w:pPr>
    </w:p>
    <w:p w14:paraId="447865D2"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lastRenderedPageBreak/>
        <w:t>Is it something you think about often, or mainly when a bill arrives or something comes up?</w:t>
      </w:r>
    </w:p>
    <w:p w14:paraId="59E71183" w14:textId="77777777" w:rsidR="004425B2" w:rsidRPr="00EA6208" w:rsidRDefault="004425B2" w:rsidP="004425B2">
      <w:pPr>
        <w:jc w:val="both"/>
        <w:rPr>
          <w:rFonts w:ascii="Times New Roman" w:hAnsi="Times New Roman" w:cs="Times New Roman"/>
          <w:color w:val="000000" w:themeColor="text1"/>
          <w:sz w:val="24"/>
          <w:szCs w:val="24"/>
        </w:rPr>
      </w:pPr>
    </w:p>
    <w:p w14:paraId="1097C1D5"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Have you spoken to family members, friends, or neighbours about these concerns? Do you feel supported in understanding your situation?</w:t>
      </w:r>
    </w:p>
    <w:p w14:paraId="28F3C9CB" w14:textId="77777777" w:rsidR="004425B2" w:rsidRPr="00EA6208" w:rsidRDefault="004425B2" w:rsidP="004425B2">
      <w:pPr>
        <w:jc w:val="both"/>
        <w:rPr>
          <w:rFonts w:ascii="Times New Roman" w:hAnsi="Times New Roman" w:cs="Times New Roman"/>
          <w:color w:val="000000" w:themeColor="text1"/>
          <w:sz w:val="24"/>
          <w:szCs w:val="24"/>
        </w:rPr>
      </w:pPr>
    </w:p>
    <w:p w14:paraId="2B913A2D"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Are you aware that the law around leaseholds is currently being reformed by the Government? If so, what are your thoughts — do you feel the changes will help people in your situation?</w:t>
      </w:r>
    </w:p>
    <w:p w14:paraId="7D71AA7C" w14:textId="77777777" w:rsidR="004425B2" w:rsidRPr="00EA6208" w:rsidRDefault="004425B2" w:rsidP="004425B2">
      <w:pPr>
        <w:jc w:val="both"/>
        <w:rPr>
          <w:rFonts w:ascii="Times New Roman" w:hAnsi="Times New Roman" w:cs="Times New Roman"/>
          <w:color w:val="000000" w:themeColor="text1"/>
          <w:sz w:val="24"/>
          <w:szCs w:val="24"/>
        </w:rPr>
      </w:pPr>
    </w:p>
    <w:p w14:paraId="0CA64498" w14:textId="77777777" w:rsidR="004425B2" w:rsidRPr="00EA6208" w:rsidRDefault="004425B2" w:rsidP="004425B2">
      <w:pPr>
        <w:jc w:val="both"/>
        <w:rPr>
          <w:rFonts w:ascii="Times New Roman" w:hAnsi="Times New Roman" w:cs="Times New Roman"/>
          <w:color w:val="000000" w:themeColor="text1"/>
          <w:sz w:val="24"/>
          <w:szCs w:val="24"/>
        </w:rPr>
      </w:pPr>
    </w:p>
    <w:p w14:paraId="61A24446" w14:textId="77777777" w:rsidR="004425B2" w:rsidRPr="00EA6208" w:rsidRDefault="004425B2" w:rsidP="004425B2">
      <w:pPr>
        <w:numPr>
          <w:ilvl w:val="0"/>
          <w:numId w:val="8"/>
        </w:num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What one thing, above anything else, would you want policymakers or the Welsh Government to understand about what it is like to be in your situation?</w:t>
      </w:r>
    </w:p>
    <w:p w14:paraId="29220F17" w14:textId="77777777" w:rsidR="004425B2" w:rsidRPr="00EA6208" w:rsidRDefault="004425B2" w:rsidP="004425B2">
      <w:pPr>
        <w:jc w:val="both"/>
        <w:rPr>
          <w:rFonts w:ascii="Times New Roman" w:hAnsi="Times New Roman" w:cs="Times New Roman"/>
          <w:color w:val="000000" w:themeColor="text1"/>
          <w:sz w:val="24"/>
          <w:szCs w:val="24"/>
        </w:rPr>
      </w:pPr>
    </w:p>
    <w:p w14:paraId="1AA9C125" w14:textId="77777777" w:rsidR="004425B2" w:rsidRPr="00EA6208" w:rsidRDefault="004425B2" w:rsidP="004425B2">
      <w:pPr>
        <w:jc w:val="both"/>
        <w:rPr>
          <w:rFonts w:ascii="Times New Roman" w:hAnsi="Times New Roman" w:cs="Times New Roman"/>
          <w:color w:val="000000" w:themeColor="text1"/>
          <w:sz w:val="24"/>
          <w:szCs w:val="24"/>
        </w:rPr>
      </w:pPr>
      <w:r w:rsidRPr="00EA6208">
        <w:rPr>
          <w:rFonts w:ascii="Times New Roman" w:hAnsi="Times New Roman" w:cs="Times New Roman"/>
          <w:color w:val="000000" w:themeColor="text1"/>
          <w:sz w:val="24"/>
          <w:szCs w:val="24"/>
        </w:rPr>
        <w:t>Those are all my questions. Is there anything else you would like to add — anything we haven't covered that you feel is important to share?"</w:t>
      </w:r>
    </w:p>
    <w:p w14:paraId="7D636F78" w14:textId="77777777" w:rsidR="004425B2" w:rsidRPr="004425B2" w:rsidRDefault="004425B2" w:rsidP="004425B2">
      <w:pPr>
        <w:jc w:val="both"/>
        <w:rPr>
          <w:rFonts w:ascii="Times New Roman" w:hAnsi="Times New Roman" w:cs="Times New Roman"/>
          <w:b/>
          <w:bCs/>
          <w:color w:val="000000" w:themeColor="text1"/>
          <w:sz w:val="24"/>
          <w:szCs w:val="24"/>
        </w:rPr>
      </w:pPr>
    </w:p>
    <w:p w14:paraId="6AB85649" w14:textId="77777777" w:rsidR="004425B2" w:rsidRPr="004425B2" w:rsidRDefault="004425B2" w:rsidP="004425B2">
      <w:pPr>
        <w:jc w:val="both"/>
        <w:rPr>
          <w:rFonts w:ascii="Times New Roman" w:hAnsi="Times New Roman" w:cs="Times New Roman"/>
          <w:color w:val="000000" w:themeColor="text1"/>
          <w:sz w:val="24"/>
          <w:szCs w:val="24"/>
        </w:rPr>
      </w:pPr>
    </w:p>
    <w:p w14:paraId="44EDAFC6" w14:textId="77777777" w:rsidR="00DE327A" w:rsidRDefault="004425B2" w:rsidP="00C44D4D">
      <w:pPr>
        <w:jc w:val="both"/>
        <w:rPr>
          <w:rFonts w:ascii="Times New Roman" w:hAnsi="Times New Roman" w:cs="Times New Roman"/>
          <w:color w:val="000000" w:themeColor="text1"/>
          <w:sz w:val="24"/>
          <w:szCs w:val="24"/>
        </w:rPr>
      </w:pPr>
      <w:r w:rsidRPr="004425B2">
        <w:rPr>
          <w:rFonts w:ascii="Times New Roman" w:hAnsi="Times New Roman" w:cs="Times New Roman"/>
          <w:color w:val="000000" w:themeColor="text1"/>
          <w:sz w:val="24"/>
          <w:szCs w:val="24"/>
        </w:rPr>
        <w:t>Thank you very much for your time and for speaking so openly with me. As a reminder, everything will be anonymised.</w:t>
      </w:r>
    </w:p>
    <w:p w14:paraId="756535A1" w14:textId="77777777" w:rsidR="00C44D4D" w:rsidRDefault="00C44D4D" w:rsidP="00C44D4D">
      <w:pPr>
        <w:jc w:val="both"/>
        <w:rPr>
          <w:rFonts w:ascii="Times New Roman" w:hAnsi="Times New Roman" w:cs="Times New Roman"/>
          <w:color w:val="000000" w:themeColor="text1"/>
          <w:sz w:val="24"/>
          <w:szCs w:val="24"/>
        </w:rPr>
      </w:pPr>
    </w:p>
    <w:p w14:paraId="685DA7AB" w14:textId="77777777" w:rsidR="00C44D4D" w:rsidRDefault="00C44D4D" w:rsidP="00C44D4D">
      <w:pPr>
        <w:jc w:val="both"/>
        <w:rPr>
          <w:rFonts w:ascii="Times New Roman" w:hAnsi="Times New Roman" w:cs="Times New Roman"/>
          <w:color w:val="000000" w:themeColor="text1"/>
          <w:sz w:val="24"/>
          <w:szCs w:val="24"/>
        </w:rPr>
      </w:pPr>
    </w:p>
    <w:p w14:paraId="60A0B8BF" w14:textId="77777777" w:rsidR="00C44D4D" w:rsidRDefault="00C44D4D" w:rsidP="00C44D4D">
      <w:pPr>
        <w:jc w:val="both"/>
        <w:rPr>
          <w:rFonts w:ascii="Times New Roman" w:hAnsi="Times New Roman" w:cs="Times New Roman"/>
          <w:color w:val="000000" w:themeColor="text1"/>
          <w:sz w:val="24"/>
          <w:szCs w:val="24"/>
        </w:rPr>
      </w:pPr>
    </w:p>
    <w:p w14:paraId="741B7694" w14:textId="77777777" w:rsidR="00C44D4D" w:rsidRDefault="00C44D4D" w:rsidP="00C44D4D">
      <w:pPr>
        <w:jc w:val="both"/>
        <w:rPr>
          <w:rFonts w:ascii="Times New Roman" w:hAnsi="Times New Roman" w:cs="Times New Roman"/>
          <w:color w:val="000000" w:themeColor="text1"/>
          <w:sz w:val="24"/>
          <w:szCs w:val="24"/>
        </w:rPr>
      </w:pPr>
    </w:p>
    <w:p w14:paraId="26809B6F" w14:textId="77777777" w:rsidR="00C44D4D" w:rsidRDefault="00C44D4D" w:rsidP="00C44D4D">
      <w:pPr>
        <w:jc w:val="both"/>
        <w:rPr>
          <w:rFonts w:ascii="Times New Roman" w:hAnsi="Times New Roman" w:cs="Times New Roman"/>
          <w:color w:val="000000" w:themeColor="text1"/>
          <w:sz w:val="24"/>
          <w:szCs w:val="24"/>
        </w:rPr>
      </w:pPr>
    </w:p>
    <w:p w14:paraId="233BAE3D" w14:textId="77777777" w:rsidR="00C44D4D" w:rsidRDefault="00C44D4D" w:rsidP="00C44D4D">
      <w:pPr>
        <w:jc w:val="both"/>
        <w:rPr>
          <w:rFonts w:ascii="Times New Roman" w:hAnsi="Times New Roman" w:cs="Times New Roman"/>
          <w:color w:val="000000" w:themeColor="text1"/>
          <w:sz w:val="24"/>
          <w:szCs w:val="24"/>
        </w:rPr>
      </w:pPr>
    </w:p>
    <w:p w14:paraId="3FC5248B" w14:textId="77777777" w:rsidR="00C44D4D" w:rsidRDefault="00C44D4D" w:rsidP="00C44D4D">
      <w:pPr>
        <w:jc w:val="both"/>
        <w:rPr>
          <w:rFonts w:ascii="Times New Roman" w:hAnsi="Times New Roman" w:cs="Times New Roman"/>
          <w:color w:val="000000" w:themeColor="text1"/>
          <w:sz w:val="24"/>
          <w:szCs w:val="24"/>
        </w:rPr>
      </w:pPr>
    </w:p>
    <w:p w14:paraId="717E3848" w14:textId="77777777" w:rsidR="00C44D4D" w:rsidRDefault="00C44D4D" w:rsidP="00C44D4D">
      <w:pPr>
        <w:jc w:val="both"/>
        <w:rPr>
          <w:rFonts w:ascii="Times New Roman" w:hAnsi="Times New Roman" w:cs="Times New Roman"/>
          <w:color w:val="000000" w:themeColor="text1"/>
          <w:sz w:val="24"/>
          <w:szCs w:val="24"/>
        </w:rPr>
      </w:pPr>
    </w:p>
    <w:p w14:paraId="09840AC5" w14:textId="77777777" w:rsidR="00C44D4D" w:rsidRDefault="00C44D4D" w:rsidP="00C44D4D">
      <w:pPr>
        <w:jc w:val="both"/>
        <w:rPr>
          <w:rFonts w:ascii="Times New Roman" w:hAnsi="Times New Roman" w:cs="Times New Roman"/>
          <w:color w:val="000000" w:themeColor="text1"/>
          <w:sz w:val="24"/>
          <w:szCs w:val="24"/>
        </w:rPr>
      </w:pPr>
    </w:p>
    <w:p w14:paraId="256DC340" w14:textId="77777777" w:rsidR="00C44D4D" w:rsidRDefault="00C44D4D" w:rsidP="00C44D4D">
      <w:pPr>
        <w:jc w:val="both"/>
        <w:rPr>
          <w:rFonts w:ascii="Times New Roman" w:hAnsi="Times New Roman" w:cs="Times New Roman"/>
          <w:color w:val="000000" w:themeColor="text1"/>
          <w:sz w:val="24"/>
          <w:szCs w:val="24"/>
        </w:rPr>
      </w:pPr>
    </w:p>
    <w:p w14:paraId="2E92DE01" w14:textId="77777777" w:rsidR="00C44D4D" w:rsidRDefault="00C44D4D" w:rsidP="00C44D4D">
      <w:pPr>
        <w:jc w:val="both"/>
        <w:rPr>
          <w:rFonts w:ascii="Times New Roman" w:hAnsi="Times New Roman" w:cs="Times New Roman"/>
          <w:color w:val="000000" w:themeColor="text1"/>
          <w:sz w:val="24"/>
          <w:szCs w:val="24"/>
        </w:rPr>
      </w:pPr>
    </w:p>
    <w:p w14:paraId="7D90EFBB" w14:textId="77777777" w:rsidR="00C44D4D" w:rsidRDefault="00C44D4D" w:rsidP="00C44D4D">
      <w:pPr>
        <w:jc w:val="both"/>
        <w:rPr>
          <w:rFonts w:ascii="Times New Roman" w:hAnsi="Times New Roman" w:cs="Times New Roman"/>
          <w:color w:val="000000" w:themeColor="text1"/>
          <w:sz w:val="24"/>
          <w:szCs w:val="24"/>
        </w:rPr>
      </w:pPr>
    </w:p>
    <w:p w14:paraId="79BF9294" w14:textId="77777777" w:rsidR="00C44D4D" w:rsidRDefault="00C44D4D" w:rsidP="00C44D4D">
      <w:pPr>
        <w:jc w:val="both"/>
        <w:rPr>
          <w:rFonts w:ascii="Times New Roman" w:hAnsi="Times New Roman" w:cs="Times New Roman"/>
          <w:color w:val="000000" w:themeColor="text1"/>
          <w:sz w:val="24"/>
          <w:szCs w:val="24"/>
        </w:rPr>
      </w:pPr>
    </w:p>
    <w:p w14:paraId="20E6F8C8" w14:textId="77777777" w:rsidR="00C44D4D" w:rsidRDefault="00C44D4D" w:rsidP="00C44D4D">
      <w:pPr>
        <w:jc w:val="both"/>
        <w:rPr>
          <w:rFonts w:ascii="Times New Roman" w:hAnsi="Times New Roman" w:cs="Times New Roman"/>
          <w:color w:val="000000" w:themeColor="text1"/>
          <w:sz w:val="24"/>
          <w:szCs w:val="24"/>
        </w:rPr>
      </w:pPr>
    </w:p>
    <w:p w14:paraId="32ECAE1E" w14:textId="77777777" w:rsidR="00C44D4D" w:rsidRDefault="00C44D4D" w:rsidP="00C44D4D">
      <w:pPr>
        <w:jc w:val="both"/>
        <w:rPr>
          <w:rFonts w:ascii="Times New Roman" w:hAnsi="Times New Roman" w:cs="Times New Roman"/>
          <w:color w:val="000000" w:themeColor="text1"/>
          <w:sz w:val="24"/>
          <w:szCs w:val="24"/>
        </w:rPr>
      </w:pPr>
    </w:p>
    <w:p w14:paraId="2080FACC" w14:textId="77777777" w:rsidR="00C44D4D" w:rsidRDefault="003E74E4" w:rsidP="00C44D4D">
      <w:pPr>
        <w:pStyle w:val="ListParagraph"/>
        <w:numPr>
          <w:ilvl w:val="0"/>
          <w:numId w:val="3"/>
        </w:numPr>
        <w:jc w:val="both"/>
        <w:rPr>
          <w:rFonts w:ascii="Times New Roman" w:hAnsi="Times New Roman" w:cs="Times New Roman"/>
          <w:b/>
          <w:bCs/>
          <w:color w:val="0070C0"/>
          <w:sz w:val="32"/>
          <w:szCs w:val="32"/>
        </w:rPr>
      </w:pPr>
      <w:r w:rsidRPr="003E74E4">
        <w:rPr>
          <w:rFonts w:ascii="Times New Roman" w:hAnsi="Times New Roman" w:cs="Times New Roman"/>
          <w:b/>
          <w:bCs/>
          <w:color w:val="0070C0"/>
          <w:sz w:val="32"/>
          <w:szCs w:val="32"/>
        </w:rPr>
        <w:t xml:space="preserve">Transcript </w:t>
      </w:r>
    </w:p>
    <w:p w14:paraId="158FC9C3" w14:textId="77777777" w:rsidR="003E74E4" w:rsidRDefault="003E74E4" w:rsidP="003E74E4">
      <w:pPr>
        <w:jc w:val="both"/>
        <w:rPr>
          <w:rFonts w:ascii="Times New Roman" w:hAnsi="Times New Roman" w:cs="Times New Roman"/>
          <w:b/>
          <w:bCs/>
          <w:color w:val="0070C0"/>
          <w:sz w:val="32"/>
          <w:szCs w:val="32"/>
        </w:rPr>
      </w:pPr>
    </w:p>
    <w:p w14:paraId="3DF909DC" w14:textId="77777777" w:rsidR="003E74E4" w:rsidRDefault="003E74E4" w:rsidP="003E74E4">
      <w:pPr>
        <w:jc w:val="both"/>
        <w:rPr>
          <w:rFonts w:ascii="Times New Roman" w:hAnsi="Times New Roman" w:cs="Times New Roman"/>
          <w:b/>
          <w:bCs/>
          <w:color w:val="0070C0"/>
          <w:sz w:val="32"/>
          <w:szCs w:val="32"/>
        </w:rPr>
      </w:pPr>
    </w:p>
    <w:p w14:paraId="0BB25FB6" w14:textId="77777777" w:rsidR="006813CA" w:rsidRPr="006813CA" w:rsidRDefault="006813CA" w:rsidP="006813CA">
      <w:pPr>
        <w:jc w:val="both"/>
        <w:rPr>
          <w:rFonts w:ascii="Times New Roman" w:hAnsi="Times New Roman" w:cs="Times New Roman"/>
          <w:b/>
          <w:bCs/>
          <w:sz w:val="24"/>
          <w:szCs w:val="24"/>
        </w:rPr>
      </w:pPr>
      <w:r w:rsidRPr="006813CA">
        <w:rPr>
          <w:rFonts w:ascii="Times New Roman" w:hAnsi="Times New Roman" w:cs="Times New Roman"/>
          <w:b/>
          <w:bCs/>
          <w:sz w:val="24"/>
          <w:szCs w:val="24"/>
        </w:rPr>
        <w:t>Participant 5</w:t>
      </w:r>
    </w:p>
    <w:p w14:paraId="2AF380AE" w14:textId="77777777" w:rsidR="006813CA" w:rsidRPr="006813CA" w:rsidRDefault="006813CA" w:rsidP="006813CA">
      <w:pPr>
        <w:jc w:val="both"/>
        <w:rPr>
          <w:rFonts w:ascii="Times New Roman" w:hAnsi="Times New Roman" w:cs="Times New Roman"/>
          <w:b/>
          <w:bCs/>
          <w:sz w:val="24"/>
          <w:szCs w:val="24"/>
        </w:rPr>
      </w:pPr>
    </w:p>
    <w:p w14:paraId="5A9C699A" w14:textId="77777777" w:rsidR="006813CA" w:rsidRPr="006813CA" w:rsidRDefault="006813CA" w:rsidP="006813CA">
      <w:pPr>
        <w:jc w:val="both"/>
        <w:rPr>
          <w:rFonts w:ascii="Times New Roman" w:hAnsi="Times New Roman" w:cs="Times New Roman"/>
          <w:b/>
          <w:bCs/>
          <w:sz w:val="24"/>
          <w:szCs w:val="24"/>
        </w:rPr>
      </w:pPr>
    </w:p>
    <w:p w14:paraId="3D8C2358" w14:textId="77777777" w:rsidR="006813CA" w:rsidRPr="006813CA" w:rsidRDefault="006813CA" w:rsidP="006813CA">
      <w:pPr>
        <w:jc w:val="both"/>
        <w:rPr>
          <w:rFonts w:ascii="Times New Roman" w:hAnsi="Times New Roman" w:cs="Times New Roman"/>
          <w:sz w:val="24"/>
          <w:szCs w:val="24"/>
        </w:rPr>
      </w:pPr>
      <w:r w:rsidRPr="006813CA">
        <w:rPr>
          <w:rFonts w:ascii="Times New Roman" w:hAnsi="Times New Roman" w:cs="Times New Roman"/>
          <w:sz w:val="24"/>
          <w:szCs w:val="24"/>
        </w:rPr>
        <w:t>Thank you for agreeing to speak with me today. This interview is part of my dissertation research into the experiences of people who own leasehold properties in Wales. There are no right or wrong answers — I am interested in your personal experience and views. Everything you say will be kept confidential and anonymised. You can stop or pause at any time. With your permission, I will record the interview so I can focus on our conversation rather than taking notes. Do you have any questions before we begin?</w:t>
      </w:r>
    </w:p>
    <w:p w14:paraId="4434BE1C" w14:textId="77777777" w:rsidR="006813CA" w:rsidRPr="006813CA" w:rsidRDefault="006813CA" w:rsidP="006813CA">
      <w:pPr>
        <w:jc w:val="both"/>
        <w:rPr>
          <w:rFonts w:ascii="Times New Roman" w:hAnsi="Times New Roman" w:cs="Times New Roman"/>
          <w:sz w:val="24"/>
          <w:szCs w:val="24"/>
        </w:rPr>
      </w:pPr>
    </w:p>
    <w:p w14:paraId="366E1B87" w14:textId="77777777" w:rsidR="006813CA" w:rsidRPr="006813CA" w:rsidRDefault="006813CA" w:rsidP="006813CA">
      <w:pPr>
        <w:jc w:val="both"/>
        <w:rPr>
          <w:rFonts w:ascii="Times New Roman" w:hAnsi="Times New Roman" w:cs="Times New Roman"/>
          <w:sz w:val="24"/>
          <w:szCs w:val="24"/>
        </w:rPr>
      </w:pPr>
    </w:p>
    <w:p w14:paraId="3922DE57"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Could you start by telling me a little about your home — how long have you lived there, and how did you come to buy it?</w:t>
      </w:r>
    </w:p>
    <w:p w14:paraId="09B87059" w14:textId="77777777" w:rsidR="006813CA" w:rsidRPr="006813CA" w:rsidRDefault="006813CA" w:rsidP="006813CA">
      <w:pPr>
        <w:jc w:val="both"/>
        <w:rPr>
          <w:rFonts w:ascii="Times New Roman" w:hAnsi="Times New Roman" w:cs="Times New Roman"/>
          <w:sz w:val="24"/>
          <w:szCs w:val="24"/>
        </w:rPr>
      </w:pPr>
    </w:p>
    <w:p w14:paraId="03BAB76A"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 Yes, I've got a flat in a retirement development, and I've lived there about 18 months. I moved to Wales because my family were here. But I found it very difficult to find a suitable house for somebody getting older to buy, </w:t>
      </w:r>
      <w:proofErr w:type="spellStart"/>
      <w:r w:rsidRPr="006813CA">
        <w:rPr>
          <w:rFonts w:ascii="Times New Roman" w:hAnsi="Times New Roman" w:cs="Times New Roman"/>
          <w:i/>
          <w:iCs/>
          <w:sz w:val="24"/>
          <w:szCs w:val="24"/>
        </w:rPr>
        <w:t>'cause</w:t>
      </w:r>
      <w:proofErr w:type="spellEnd"/>
      <w:r w:rsidRPr="006813CA">
        <w:rPr>
          <w:rFonts w:ascii="Times New Roman" w:hAnsi="Times New Roman" w:cs="Times New Roman"/>
          <w:i/>
          <w:iCs/>
          <w:sz w:val="24"/>
          <w:szCs w:val="24"/>
        </w:rPr>
        <w:t xml:space="preserve"> it's very hilly around here. So I was, I very much liked the idea of a flat, and in this development, it's very convenient for local facilities, and also, it's nice to live alongside of the people, so you can always have a chat, and to feel much safer, and everything is designed, so that you don't trip up, and the bathroom has got all the necessary aids in it, and everything like that is already done. Whereas if you bought another ordinary house, you'd have to try and incorporate all those sorts of things. They're lovely.</w:t>
      </w:r>
    </w:p>
    <w:p w14:paraId="2D1B1003" w14:textId="77777777" w:rsidR="006813CA" w:rsidRPr="006813CA" w:rsidRDefault="006813CA" w:rsidP="006813CA">
      <w:pPr>
        <w:jc w:val="both"/>
        <w:rPr>
          <w:rFonts w:ascii="Times New Roman" w:hAnsi="Times New Roman" w:cs="Times New Roman"/>
          <w:sz w:val="24"/>
          <w:szCs w:val="24"/>
        </w:rPr>
      </w:pPr>
    </w:p>
    <w:p w14:paraId="024206E7" w14:textId="77777777" w:rsidR="006813CA" w:rsidRPr="006813CA" w:rsidRDefault="006813CA" w:rsidP="006813CA">
      <w:pPr>
        <w:jc w:val="both"/>
        <w:rPr>
          <w:rFonts w:ascii="Times New Roman" w:hAnsi="Times New Roman" w:cs="Times New Roman"/>
          <w:sz w:val="24"/>
          <w:szCs w:val="24"/>
        </w:rPr>
      </w:pPr>
    </w:p>
    <w:p w14:paraId="3A0F8E28"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When you bought the property, did you know it was leasehold? What did you understand that to mean at the time?</w:t>
      </w:r>
    </w:p>
    <w:p w14:paraId="01CD5DE4" w14:textId="77777777" w:rsidR="006813CA" w:rsidRPr="006813CA" w:rsidRDefault="006813CA" w:rsidP="006813CA">
      <w:pPr>
        <w:jc w:val="both"/>
        <w:rPr>
          <w:rFonts w:ascii="Times New Roman" w:hAnsi="Times New Roman" w:cs="Times New Roman"/>
          <w:sz w:val="24"/>
          <w:szCs w:val="24"/>
        </w:rPr>
      </w:pPr>
    </w:p>
    <w:p w14:paraId="3293C249" w14:textId="72C18F55" w:rsidR="006813CA" w:rsidRPr="006813CA" w:rsidRDefault="006813CA" w:rsidP="006813CA">
      <w:pPr>
        <w:jc w:val="both"/>
        <w:rPr>
          <w:rFonts w:ascii="Times New Roman" w:hAnsi="Times New Roman" w:cs="Times New Roman"/>
          <w:sz w:val="24"/>
          <w:szCs w:val="24"/>
        </w:rPr>
      </w:pPr>
      <w:r w:rsidRPr="006813CA">
        <w:rPr>
          <w:rFonts w:ascii="Times New Roman" w:hAnsi="Times New Roman" w:cs="Times New Roman"/>
          <w:i/>
          <w:iCs/>
          <w:sz w:val="24"/>
          <w:szCs w:val="24"/>
        </w:rPr>
        <w:t xml:space="preserve">Yes, I did. Um, I didn't really understand enough. My solicitor did give me some information. Um, but I should have </w:t>
      </w:r>
      <w:proofErr w:type="gramStart"/>
      <w:r w:rsidRPr="006813CA">
        <w:rPr>
          <w:rFonts w:ascii="Times New Roman" w:hAnsi="Times New Roman" w:cs="Times New Roman"/>
          <w:i/>
          <w:iCs/>
          <w:sz w:val="24"/>
          <w:szCs w:val="24"/>
        </w:rPr>
        <w:t>looked into</w:t>
      </w:r>
      <w:proofErr w:type="gramEnd"/>
      <w:r w:rsidRPr="006813CA">
        <w:rPr>
          <w:rFonts w:ascii="Times New Roman" w:hAnsi="Times New Roman" w:cs="Times New Roman"/>
          <w:i/>
          <w:iCs/>
          <w:sz w:val="24"/>
          <w:szCs w:val="24"/>
        </w:rPr>
        <w:t xml:space="preserve"> it more, but I knew enough, I knew that some people had, people did have problems with it. But I just felt that the accommodation </w:t>
      </w:r>
      <w:r w:rsidRPr="006813CA">
        <w:rPr>
          <w:rFonts w:ascii="Times New Roman" w:hAnsi="Times New Roman" w:cs="Times New Roman"/>
          <w:i/>
          <w:iCs/>
          <w:sz w:val="24"/>
          <w:szCs w:val="24"/>
        </w:rPr>
        <w:lastRenderedPageBreak/>
        <w:t>was so much better suited to me than just buying an ordinary house, that I decided I would take the risk</w:t>
      </w:r>
      <w:r w:rsidRPr="006813CA">
        <w:rPr>
          <w:rFonts w:ascii="Times New Roman" w:hAnsi="Times New Roman" w:cs="Times New Roman"/>
          <w:sz w:val="24"/>
          <w:szCs w:val="24"/>
        </w:rPr>
        <w:t xml:space="preserve">. </w:t>
      </w:r>
    </w:p>
    <w:p w14:paraId="6991349F" w14:textId="77777777" w:rsidR="006813CA" w:rsidRPr="006813CA" w:rsidRDefault="006813CA" w:rsidP="006813CA">
      <w:pPr>
        <w:jc w:val="both"/>
        <w:rPr>
          <w:rFonts w:ascii="Times New Roman" w:hAnsi="Times New Roman" w:cs="Times New Roman"/>
          <w:sz w:val="24"/>
          <w:szCs w:val="24"/>
        </w:rPr>
      </w:pPr>
    </w:p>
    <w:p w14:paraId="029CAA42" w14:textId="77777777" w:rsidR="006813CA" w:rsidRPr="006813CA" w:rsidRDefault="006813CA" w:rsidP="006813CA">
      <w:pPr>
        <w:jc w:val="both"/>
        <w:rPr>
          <w:rFonts w:ascii="Times New Roman" w:hAnsi="Times New Roman" w:cs="Times New Roman"/>
          <w:sz w:val="24"/>
          <w:szCs w:val="24"/>
        </w:rPr>
      </w:pPr>
    </w:p>
    <w:p w14:paraId="4F3C4811"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Did anyone — a solicitor, estate agent, or developer — explain what leasehold meant for you as the owner?</w:t>
      </w:r>
    </w:p>
    <w:p w14:paraId="56A5A6D1" w14:textId="77777777" w:rsidR="006813CA" w:rsidRPr="006813CA" w:rsidRDefault="006813CA" w:rsidP="006813CA">
      <w:pPr>
        <w:jc w:val="both"/>
        <w:rPr>
          <w:rFonts w:ascii="Times New Roman" w:hAnsi="Times New Roman" w:cs="Times New Roman"/>
          <w:sz w:val="24"/>
          <w:szCs w:val="24"/>
        </w:rPr>
      </w:pPr>
    </w:p>
    <w:p w14:paraId="2BFD8D53"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Yes, everything. I was aware. </w:t>
      </w:r>
    </w:p>
    <w:p w14:paraId="3923641F" w14:textId="77777777" w:rsidR="006813CA" w:rsidRPr="006813CA" w:rsidRDefault="006813CA" w:rsidP="006813CA">
      <w:pPr>
        <w:jc w:val="both"/>
        <w:rPr>
          <w:rFonts w:ascii="Times New Roman" w:hAnsi="Times New Roman" w:cs="Times New Roman"/>
          <w:i/>
          <w:iCs/>
          <w:sz w:val="24"/>
          <w:szCs w:val="24"/>
        </w:rPr>
      </w:pPr>
    </w:p>
    <w:p w14:paraId="1DC4D13B" w14:textId="77777777" w:rsidR="006813CA" w:rsidRPr="006813CA" w:rsidRDefault="006813CA" w:rsidP="006813CA">
      <w:pPr>
        <w:jc w:val="both"/>
        <w:rPr>
          <w:rFonts w:ascii="Times New Roman" w:hAnsi="Times New Roman" w:cs="Times New Roman"/>
          <w:i/>
          <w:iCs/>
          <w:sz w:val="24"/>
          <w:szCs w:val="24"/>
        </w:rPr>
      </w:pPr>
    </w:p>
    <w:p w14:paraId="229B815A"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Were you given any information about how many years were left on the lease?</w:t>
      </w:r>
    </w:p>
    <w:p w14:paraId="42BE2705" w14:textId="77777777" w:rsidR="006813CA" w:rsidRPr="006813CA" w:rsidRDefault="006813CA" w:rsidP="006813CA">
      <w:pPr>
        <w:jc w:val="both"/>
        <w:rPr>
          <w:rFonts w:ascii="Times New Roman" w:hAnsi="Times New Roman" w:cs="Times New Roman"/>
          <w:sz w:val="24"/>
          <w:szCs w:val="24"/>
        </w:rPr>
      </w:pPr>
    </w:p>
    <w:p w14:paraId="13EBD60B"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Uh, I haven’t been given on any information about how many years were left of this. No. No, I don't think I was. </w:t>
      </w:r>
    </w:p>
    <w:p w14:paraId="597F14B3" w14:textId="77777777" w:rsidR="006813CA" w:rsidRPr="006813CA" w:rsidRDefault="006813CA" w:rsidP="006813CA">
      <w:pPr>
        <w:jc w:val="both"/>
        <w:rPr>
          <w:rFonts w:ascii="Times New Roman" w:hAnsi="Times New Roman" w:cs="Times New Roman"/>
          <w:i/>
          <w:iCs/>
          <w:sz w:val="24"/>
          <w:szCs w:val="24"/>
        </w:rPr>
      </w:pPr>
    </w:p>
    <w:p w14:paraId="7B49F369" w14:textId="77777777" w:rsidR="006813CA" w:rsidRPr="006813CA" w:rsidRDefault="006813CA" w:rsidP="006813CA">
      <w:pPr>
        <w:jc w:val="both"/>
        <w:rPr>
          <w:rFonts w:ascii="Times New Roman" w:hAnsi="Times New Roman" w:cs="Times New Roman"/>
          <w:sz w:val="24"/>
          <w:szCs w:val="24"/>
        </w:rPr>
      </w:pPr>
    </w:p>
    <w:p w14:paraId="5F0C01EC"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Do you know approximately how many years are left on your lease now?</w:t>
      </w:r>
    </w:p>
    <w:p w14:paraId="6AB2A175" w14:textId="77777777" w:rsidR="006813CA" w:rsidRPr="006813CA" w:rsidRDefault="006813CA" w:rsidP="006813CA">
      <w:pPr>
        <w:jc w:val="both"/>
        <w:rPr>
          <w:rFonts w:ascii="Times New Roman" w:hAnsi="Times New Roman" w:cs="Times New Roman"/>
          <w:sz w:val="24"/>
          <w:szCs w:val="24"/>
        </w:rPr>
      </w:pPr>
    </w:p>
    <w:p w14:paraId="61E906D4"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Yes, there are a hundred. Now, 100 now.</w:t>
      </w:r>
    </w:p>
    <w:p w14:paraId="43B7E07C" w14:textId="77777777" w:rsidR="006813CA" w:rsidRPr="006813CA" w:rsidRDefault="006813CA" w:rsidP="006813CA">
      <w:pPr>
        <w:jc w:val="both"/>
        <w:rPr>
          <w:rFonts w:ascii="Times New Roman" w:hAnsi="Times New Roman" w:cs="Times New Roman"/>
          <w:i/>
          <w:iCs/>
          <w:sz w:val="24"/>
          <w:szCs w:val="24"/>
        </w:rPr>
      </w:pPr>
    </w:p>
    <w:p w14:paraId="002BDD5A" w14:textId="77777777" w:rsidR="006813CA" w:rsidRPr="006813CA" w:rsidRDefault="006813CA" w:rsidP="006813CA">
      <w:pPr>
        <w:jc w:val="both"/>
        <w:rPr>
          <w:rFonts w:ascii="Times New Roman" w:hAnsi="Times New Roman" w:cs="Times New Roman"/>
          <w:i/>
          <w:iCs/>
          <w:sz w:val="24"/>
          <w:szCs w:val="24"/>
        </w:rPr>
      </w:pPr>
    </w:p>
    <w:p w14:paraId="2DD7732E" w14:textId="77777777" w:rsidR="006813CA" w:rsidRPr="006813CA" w:rsidRDefault="006813CA" w:rsidP="006813CA">
      <w:pPr>
        <w:jc w:val="both"/>
        <w:rPr>
          <w:rFonts w:ascii="Times New Roman" w:hAnsi="Times New Roman" w:cs="Times New Roman"/>
          <w:sz w:val="24"/>
          <w:szCs w:val="24"/>
        </w:rPr>
      </w:pPr>
    </w:p>
    <w:p w14:paraId="3D6A6901"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When did you first become aware of that number?</w:t>
      </w:r>
    </w:p>
    <w:p w14:paraId="364B238E" w14:textId="77777777" w:rsidR="006813CA" w:rsidRPr="006813CA" w:rsidRDefault="006813CA" w:rsidP="006813CA">
      <w:pPr>
        <w:jc w:val="both"/>
        <w:rPr>
          <w:rFonts w:ascii="Times New Roman" w:hAnsi="Times New Roman" w:cs="Times New Roman"/>
          <w:sz w:val="24"/>
          <w:szCs w:val="24"/>
        </w:rPr>
      </w:pPr>
    </w:p>
    <w:p w14:paraId="7B9FD068" w14:textId="77777777" w:rsid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Possibly after I moved in, I think, yeah, right.  It did concern me, </w:t>
      </w:r>
      <w:proofErr w:type="spellStart"/>
      <w:r w:rsidRPr="006813CA">
        <w:rPr>
          <w:rFonts w:ascii="Times New Roman" w:hAnsi="Times New Roman" w:cs="Times New Roman"/>
          <w:i/>
          <w:iCs/>
          <w:sz w:val="24"/>
          <w:szCs w:val="24"/>
        </w:rPr>
        <w:t>'cause</w:t>
      </w:r>
      <w:proofErr w:type="spellEnd"/>
      <w:r w:rsidRPr="006813CA">
        <w:rPr>
          <w:rFonts w:ascii="Times New Roman" w:hAnsi="Times New Roman" w:cs="Times New Roman"/>
          <w:i/>
          <w:iCs/>
          <w:sz w:val="24"/>
          <w:szCs w:val="24"/>
        </w:rPr>
        <w:t xml:space="preserve"> I realised when I started reading up about it, I realised that if you let it go down to 80 years, then you have, it's very expensive to try and buy the leasehold. My solicitor did say that I would be able to buy the leasehold after I'd lived in the Flatford two years. </w:t>
      </w:r>
      <w:proofErr w:type="gramStart"/>
      <w:r w:rsidRPr="006813CA">
        <w:rPr>
          <w:rFonts w:ascii="Times New Roman" w:hAnsi="Times New Roman" w:cs="Times New Roman"/>
          <w:i/>
          <w:iCs/>
          <w:sz w:val="24"/>
          <w:szCs w:val="24"/>
        </w:rPr>
        <w:t>Actually, that's</w:t>
      </w:r>
      <w:proofErr w:type="gramEnd"/>
      <w:r w:rsidRPr="006813CA">
        <w:rPr>
          <w:rFonts w:ascii="Times New Roman" w:hAnsi="Times New Roman" w:cs="Times New Roman"/>
          <w:i/>
          <w:iCs/>
          <w:sz w:val="24"/>
          <w:szCs w:val="24"/>
        </w:rPr>
        <w:t xml:space="preserve"> not the case. Um, I could, I have tried. I have made inquiries about buying the leasehold... the least, but, um... estates and management, a company who handled that for the freeholder. wanted a fee of 170 pounds, just to start handling the case. And they would give me, they were prepared to sell me, if you like, 60 an extra 60 years. But to go any further with it, I would have to pay 170. </w:t>
      </w:r>
      <w:proofErr w:type="gramStart"/>
      <w:r w:rsidRPr="006813CA">
        <w:rPr>
          <w:rFonts w:ascii="Times New Roman" w:hAnsi="Times New Roman" w:cs="Times New Roman"/>
          <w:i/>
          <w:iCs/>
          <w:sz w:val="24"/>
          <w:szCs w:val="24"/>
        </w:rPr>
        <w:t>So</w:t>
      </w:r>
      <w:proofErr w:type="gramEnd"/>
      <w:r w:rsidRPr="006813CA">
        <w:rPr>
          <w:rFonts w:ascii="Times New Roman" w:hAnsi="Times New Roman" w:cs="Times New Roman"/>
          <w:i/>
          <w:iCs/>
          <w:sz w:val="24"/>
          <w:szCs w:val="24"/>
        </w:rPr>
        <w:t xml:space="preserve"> I thought that I would wait and think about it for a while.</w:t>
      </w:r>
    </w:p>
    <w:p w14:paraId="2FE81ACC" w14:textId="77777777" w:rsidR="003C0B28" w:rsidRPr="006813CA" w:rsidRDefault="003C0B28" w:rsidP="006813CA">
      <w:pPr>
        <w:jc w:val="both"/>
        <w:rPr>
          <w:rFonts w:ascii="Times New Roman" w:hAnsi="Times New Roman" w:cs="Times New Roman"/>
          <w:i/>
          <w:iCs/>
          <w:sz w:val="24"/>
          <w:szCs w:val="24"/>
        </w:rPr>
      </w:pPr>
    </w:p>
    <w:p w14:paraId="3D0B0D1C" w14:textId="77777777" w:rsidR="006813CA" w:rsidRPr="006813CA" w:rsidRDefault="006813CA" w:rsidP="006813CA">
      <w:pPr>
        <w:jc w:val="both"/>
        <w:rPr>
          <w:rFonts w:ascii="Times New Roman" w:hAnsi="Times New Roman" w:cs="Times New Roman"/>
          <w:sz w:val="24"/>
          <w:szCs w:val="24"/>
        </w:rPr>
      </w:pPr>
    </w:p>
    <w:p w14:paraId="6C02B13A"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Did it concern you when you found out, or did it not feel relevant at the time?</w:t>
      </w:r>
    </w:p>
    <w:p w14:paraId="3E55F7E7" w14:textId="77777777" w:rsidR="006813CA" w:rsidRPr="006813CA" w:rsidRDefault="006813CA" w:rsidP="006813CA">
      <w:pPr>
        <w:jc w:val="both"/>
        <w:rPr>
          <w:rFonts w:ascii="Times New Roman" w:hAnsi="Times New Roman" w:cs="Times New Roman"/>
          <w:sz w:val="24"/>
          <w:szCs w:val="24"/>
        </w:rPr>
      </w:pPr>
    </w:p>
    <w:p w14:paraId="03144040"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  It did concern me, </w:t>
      </w:r>
      <w:proofErr w:type="spellStart"/>
      <w:r w:rsidRPr="006813CA">
        <w:rPr>
          <w:rFonts w:ascii="Times New Roman" w:hAnsi="Times New Roman" w:cs="Times New Roman"/>
          <w:i/>
          <w:iCs/>
          <w:sz w:val="24"/>
          <w:szCs w:val="24"/>
        </w:rPr>
        <w:t>'cause</w:t>
      </w:r>
      <w:proofErr w:type="spellEnd"/>
      <w:r w:rsidRPr="006813CA">
        <w:rPr>
          <w:rFonts w:ascii="Times New Roman" w:hAnsi="Times New Roman" w:cs="Times New Roman"/>
          <w:i/>
          <w:iCs/>
          <w:sz w:val="24"/>
          <w:szCs w:val="24"/>
        </w:rPr>
        <w:t xml:space="preserve"> I realised when I started reading up about it, I realised that if you let it go down to 80 years, then you have, it's very expensive to try and buy the leasehold. My solicitor did say that I would be able to buy the leasehold after I'd lived in the flat for two years. </w:t>
      </w:r>
      <w:proofErr w:type="gramStart"/>
      <w:r w:rsidRPr="006813CA">
        <w:rPr>
          <w:rFonts w:ascii="Times New Roman" w:hAnsi="Times New Roman" w:cs="Times New Roman"/>
          <w:i/>
          <w:iCs/>
          <w:sz w:val="24"/>
          <w:szCs w:val="24"/>
        </w:rPr>
        <w:t>Actually, that's</w:t>
      </w:r>
      <w:proofErr w:type="gramEnd"/>
      <w:r w:rsidRPr="006813CA">
        <w:rPr>
          <w:rFonts w:ascii="Times New Roman" w:hAnsi="Times New Roman" w:cs="Times New Roman"/>
          <w:i/>
          <w:iCs/>
          <w:sz w:val="24"/>
          <w:szCs w:val="24"/>
        </w:rPr>
        <w:t xml:space="preserve"> not the case. Um, I could, I have tried. I have made inquiries about buying the leasehold... the lease, but, um... estates and management, a company that handled that for the freeholder. wanted a fee of 170 pounds, just to start handling the case. And they would give me, they were prepared to sell me, if you like, 60, an extra 60 years. But to go any further with it, I would have to pay 170. </w:t>
      </w:r>
      <w:proofErr w:type="gramStart"/>
      <w:r w:rsidRPr="006813CA">
        <w:rPr>
          <w:rFonts w:ascii="Times New Roman" w:hAnsi="Times New Roman" w:cs="Times New Roman"/>
          <w:i/>
          <w:iCs/>
          <w:sz w:val="24"/>
          <w:szCs w:val="24"/>
        </w:rPr>
        <w:t>So</w:t>
      </w:r>
      <w:proofErr w:type="gramEnd"/>
      <w:r w:rsidRPr="006813CA">
        <w:rPr>
          <w:rFonts w:ascii="Times New Roman" w:hAnsi="Times New Roman" w:cs="Times New Roman"/>
          <w:i/>
          <w:iCs/>
          <w:sz w:val="24"/>
          <w:szCs w:val="24"/>
        </w:rPr>
        <w:t xml:space="preserve"> I thought that I would wait and think about it for a while.</w:t>
      </w:r>
    </w:p>
    <w:p w14:paraId="3AF176DF" w14:textId="77777777" w:rsidR="006813CA" w:rsidRPr="006813CA" w:rsidRDefault="006813CA" w:rsidP="006813CA">
      <w:pPr>
        <w:jc w:val="both"/>
        <w:rPr>
          <w:rFonts w:ascii="Times New Roman" w:hAnsi="Times New Roman" w:cs="Times New Roman"/>
          <w:sz w:val="24"/>
          <w:szCs w:val="24"/>
        </w:rPr>
      </w:pPr>
    </w:p>
    <w:p w14:paraId="5C6A1584" w14:textId="77777777" w:rsidR="006813CA" w:rsidRPr="006813CA" w:rsidRDefault="006813CA" w:rsidP="006813CA">
      <w:pPr>
        <w:jc w:val="both"/>
        <w:rPr>
          <w:rFonts w:ascii="Times New Roman" w:hAnsi="Times New Roman" w:cs="Times New Roman"/>
          <w:sz w:val="24"/>
          <w:szCs w:val="24"/>
        </w:rPr>
      </w:pPr>
    </w:p>
    <w:p w14:paraId="6CC844E3"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Has anyone — a solicitor, managing agent, or anyone else — ever explained to you what happens as a lease gets shorter, or what options you have?</w:t>
      </w:r>
    </w:p>
    <w:p w14:paraId="5A07B3CC" w14:textId="77777777" w:rsidR="006813CA" w:rsidRPr="006813CA" w:rsidRDefault="006813CA" w:rsidP="006813CA">
      <w:pPr>
        <w:jc w:val="both"/>
        <w:rPr>
          <w:rFonts w:ascii="Times New Roman" w:hAnsi="Times New Roman" w:cs="Times New Roman"/>
          <w:i/>
          <w:iCs/>
          <w:sz w:val="24"/>
          <w:szCs w:val="24"/>
        </w:rPr>
      </w:pPr>
    </w:p>
    <w:p w14:paraId="74897259"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Yes, well, I have read up about it, and, um, yeah, if you buy under 80 years, then you've got to pay the freeholder for the loss of the property. It's called marriage value. And, um... I can't... I've read it, and I understood it, but I can't really explain it. But it means that you've got to pay the freeholder quite a lot because he's losing his property. Right. And it gets worse, I think, as time goes by. </w:t>
      </w:r>
    </w:p>
    <w:p w14:paraId="57F4A6FC" w14:textId="77777777" w:rsidR="006813CA" w:rsidRPr="006813CA" w:rsidRDefault="006813CA" w:rsidP="006813CA">
      <w:pPr>
        <w:jc w:val="both"/>
        <w:rPr>
          <w:rFonts w:ascii="Times New Roman" w:hAnsi="Times New Roman" w:cs="Times New Roman"/>
          <w:i/>
          <w:iCs/>
          <w:sz w:val="24"/>
          <w:szCs w:val="24"/>
        </w:rPr>
      </w:pPr>
    </w:p>
    <w:p w14:paraId="5FB6E5B1" w14:textId="77777777" w:rsidR="006813CA" w:rsidRPr="006813CA" w:rsidRDefault="006813CA" w:rsidP="006813CA">
      <w:pPr>
        <w:jc w:val="both"/>
        <w:rPr>
          <w:rFonts w:ascii="Times New Roman" w:hAnsi="Times New Roman" w:cs="Times New Roman"/>
          <w:i/>
          <w:iCs/>
          <w:sz w:val="24"/>
          <w:szCs w:val="24"/>
        </w:rPr>
      </w:pPr>
    </w:p>
    <w:p w14:paraId="06969078"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For example, had you heard of lease extension before speaking with us?</w:t>
      </w:r>
    </w:p>
    <w:p w14:paraId="593104EA" w14:textId="77777777" w:rsidR="006813CA" w:rsidRPr="006813CA" w:rsidRDefault="006813CA" w:rsidP="006813CA">
      <w:pPr>
        <w:jc w:val="both"/>
        <w:rPr>
          <w:rFonts w:ascii="Times New Roman" w:hAnsi="Times New Roman" w:cs="Times New Roman"/>
          <w:sz w:val="24"/>
          <w:szCs w:val="24"/>
        </w:rPr>
      </w:pPr>
    </w:p>
    <w:p w14:paraId="48965D20"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I've been </w:t>
      </w:r>
      <w:proofErr w:type="gramStart"/>
      <w:r w:rsidRPr="006813CA">
        <w:rPr>
          <w:rFonts w:ascii="Times New Roman" w:hAnsi="Times New Roman" w:cs="Times New Roman"/>
          <w:i/>
          <w:iCs/>
          <w:sz w:val="24"/>
          <w:szCs w:val="24"/>
        </w:rPr>
        <w:t>offered  60</w:t>
      </w:r>
      <w:proofErr w:type="gramEnd"/>
      <w:r w:rsidRPr="006813CA">
        <w:rPr>
          <w:rFonts w:ascii="Times New Roman" w:hAnsi="Times New Roman" w:cs="Times New Roman"/>
          <w:i/>
          <w:iCs/>
          <w:sz w:val="24"/>
          <w:szCs w:val="24"/>
        </w:rPr>
        <w:t xml:space="preserve"> years. Sixty years. Yes. But the expense of 170 pounds. Yes. Plus, plenty. Yes. Yes. Right. They will </w:t>
      </w:r>
      <w:proofErr w:type="gramStart"/>
      <w:r w:rsidRPr="006813CA">
        <w:rPr>
          <w:rFonts w:ascii="Times New Roman" w:hAnsi="Times New Roman" w:cs="Times New Roman"/>
          <w:i/>
          <w:iCs/>
          <w:sz w:val="24"/>
          <w:szCs w:val="24"/>
        </w:rPr>
        <w:t>look into</w:t>
      </w:r>
      <w:proofErr w:type="gramEnd"/>
      <w:r w:rsidRPr="006813CA">
        <w:rPr>
          <w:rFonts w:ascii="Times New Roman" w:hAnsi="Times New Roman" w:cs="Times New Roman"/>
          <w:i/>
          <w:iCs/>
          <w:sz w:val="24"/>
          <w:szCs w:val="24"/>
        </w:rPr>
        <w:t xml:space="preserve"> it, 170 pounds, but then there will be more fees to pay after that. Yeah. </w:t>
      </w:r>
    </w:p>
    <w:p w14:paraId="4B7F5F7A" w14:textId="77777777" w:rsidR="006813CA" w:rsidRPr="006813CA" w:rsidRDefault="006813CA" w:rsidP="006813CA">
      <w:pPr>
        <w:jc w:val="both"/>
        <w:rPr>
          <w:rFonts w:ascii="Times New Roman" w:hAnsi="Times New Roman" w:cs="Times New Roman"/>
          <w:sz w:val="24"/>
          <w:szCs w:val="24"/>
        </w:rPr>
      </w:pPr>
    </w:p>
    <w:p w14:paraId="707EB6C4" w14:textId="77777777" w:rsidR="006813CA" w:rsidRPr="006813CA" w:rsidRDefault="006813CA" w:rsidP="006813CA">
      <w:pPr>
        <w:jc w:val="both"/>
        <w:rPr>
          <w:rFonts w:ascii="Times New Roman" w:hAnsi="Times New Roman" w:cs="Times New Roman"/>
          <w:sz w:val="24"/>
          <w:szCs w:val="24"/>
        </w:rPr>
      </w:pPr>
    </w:p>
    <w:p w14:paraId="4836692D"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In your own words, how would you describe what it means to own a leasehold property, compared to owning a property outright?</w:t>
      </w:r>
    </w:p>
    <w:p w14:paraId="6A6DB372" w14:textId="77777777" w:rsidR="006813CA" w:rsidRPr="006813CA" w:rsidRDefault="006813CA" w:rsidP="006813CA">
      <w:pPr>
        <w:jc w:val="both"/>
        <w:rPr>
          <w:rFonts w:ascii="Times New Roman" w:hAnsi="Times New Roman" w:cs="Times New Roman"/>
          <w:sz w:val="24"/>
          <w:szCs w:val="24"/>
        </w:rPr>
      </w:pPr>
    </w:p>
    <w:p w14:paraId="0D89FCED" w14:textId="77777777" w:rsid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Um, it's, it's a bit of a worry, because, um... Um, you are subject to the freeholders or the people that they employ. The estates, management people, the management company, and the service charges that you </w:t>
      </w:r>
      <w:proofErr w:type="gramStart"/>
      <w:r w:rsidRPr="006813CA">
        <w:rPr>
          <w:rFonts w:ascii="Times New Roman" w:hAnsi="Times New Roman" w:cs="Times New Roman"/>
          <w:i/>
          <w:iCs/>
          <w:sz w:val="24"/>
          <w:szCs w:val="24"/>
        </w:rPr>
        <w:t>have to</w:t>
      </w:r>
      <w:proofErr w:type="gramEnd"/>
      <w:r w:rsidRPr="006813CA">
        <w:rPr>
          <w:rFonts w:ascii="Times New Roman" w:hAnsi="Times New Roman" w:cs="Times New Roman"/>
          <w:i/>
          <w:iCs/>
          <w:sz w:val="24"/>
          <w:szCs w:val="24"/>
        </w:rPr>
        <w:t xml:space="preserve"> pay. So that is quite a big outlay, and you don't know, </w:t>
      </w:r>
      <w:r w:rsidRPr="006813CA">
        <w:rPr>
          <w:rFonts w:ascii="Times New Roman" w:hAnsi="Times New Roman" w:cs="Times New Roman"/>
          <w:i/>
          <w:iCs/>
          <w:sz w:val="24"/>
          <w:szCs w:val="24"/>
        </w:rPr>
        <w:lastRenderedPageBreak/>
        <w:t xml:space="preserve">it's not a fixed figure. It can increase or go down, but if there are a big repair bills needed, then it's the leaseholders who </w:t>
      </w:r>
      <w:proofErr w:type="gramStart"/>
      <w:r w:rsidRPr="006813CA">
        <w:rPr>
          <w:rFonts w:ascii="Times New Roman" w:hAnsi="Times New Roman" w:cs="Times New Roman"/>
          <w:i/>
          <w:iCs/>
          <w:sz w:val="24"/>
          <w:szCs w:val="24"/>
        </w:rPr>
        <w:t>have to</w:t>
      </w:r>
      <w:proofErr w:type="gramEnd"/>
      <w:r w:rsidRPr="006813CA">
        <w:rPr>
          <w:rFonts w:ascii="Times New Roman" w:hAnsi="Times New Roman" w:cs="Times New Roman"/>
          <w:i/>
          <w:iCs/>
          <w:sz w:val="24"/>
          <w:szCs w:val="24"/>
        </w:rPr>
        <w:t xml:space="preserve"> foot the bill, and we're not in charge of who does the work or how the work is procured. You know, the various professionals that are used along the way, were just at the mercy of what we're told. We had to pay it. Right. </w:t>
      </w:r>
      <w:proofErr w:type="gramStart"/>
      <w:r w:rsidRPr="006813CA">
        <w:rPr>
          <w:rFonts w:ascii="Times New Roman" w:hAnsi="Times New Roman" w:cs="Times New Roman"/>
          <w:i/>
          <w:iCs/>
          <w:sz w:val="24"/>
          <w:szCs w:val="24"/>
        </w:rPr>
        <w:t>So</w:t>
      </w:r>
      <w:proofErr w:type="gramEnd"/>
      <w:r w:rsidRPr="006813CA">
        <w:rPr>
          <w:rFonts w:ascii="Times New Roman" w:hAnsi="Times New Roman" w:cs="Times New Roman"/>
          <w:i/>
          <w:iCs/>
          <w:sz w:val="24"/>
          <w:szCs w:val="24"/>
        </w:rPr>
        <w:t xml:space="preserve"> it makes it very uncertain financially.</w:t>
      </w:r>
    </w:p>
    <w:p w14:paraId="23EB16BC" w14:textId="77777777" w:rsidR="00EA6208" w:rsidRPr="006813CA" w:rsidRDefault="00EA6208" w:rsidP="006813CA">
      <w:pPr>
        <w:jc w:val="both"/>
        <w:rPr>
          <w:rFonts w:ascii="Times New Roman" w:hAnsi="Times New Roman" w:cs="Times New Roman"/>
          <w:i/>
          <w:iCs/>
          <w:sz w:val="24"/>
          <w:szCs w:val="24"/>
        </w:rPr>
      </w:pPr>
    </w:p>
    <w:p w14:paraId="01B8C1C7" w14:textId="77777777" w:rsidR="006813CA" w:rsidRPr="006813CA" w:rsidRDefault="006813CA" w:rsidP="006813CA">
      <w:pPr>
        <w:jc w:val="both"/>
        <w:rPr>
          <w:rFonts w:ascii="Times New Roman" w:hAnsi="Times New Roman" w:cs="Times New Roman"/>
          <w:sz w:val="24"/>
          <w:szCs w:val="24"/>
        </w:rPr>
      </w:pPr>
    </w:p>
    <w:p w14:paraId="27EEB32E"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Have you ever thought about selling your home or using it to fund your retirement or care costs in the future? If so, has the leasehold situation affected those plans?</w:t>
      </w:r>
    </w:p>
    <w:p w14:paraId="0B5CB4EC" w14:textId="77777777" w:rsidR="006813CA" w:rsidRPr="006813CA" w:rsidRDefault="006813CA" w:rsidP="006813CA">
      <w:pPr>
        <w:jc w:val="both"/>
        <w:rPr>
          <w:rFonts w:ascii="Times New Roman" w:hAnsi="Times New Roman" w:cs="Times New Roman"/>
          <w:sz w:val="24"/>
          <w:szCs w:val="24"/>
        </w:rPr>
      </w:pPr>
    </w:p>
    <w:p w14:paraId="7E95779B"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Well, I did sell my previous house and previous houses before that. Yeah. And downsized gradually. Yeah, yes. From my retirement, really. Yeah, yeah. But I wouldn't be selling this flat, the flat that I'm in now. Um... Unless I get desperate. Yeah, yeah. Depends on... circumstances. </w:t>
      </w:r>
    </w:p>
    <w:p w14:paraId="471A6627" w14:textId="77777777" w:rsidR="006813CA" w:rsidRPr="006813CA" w:rsidRDefault="006813CA" w:rsidP="006813CA">
      <w:pPr>
        <w:jc w:val="both"/>
        <w:rPr>
          <w:rFonts w:ascii="Times New Roman" w:hAnsi="Times New Roman" w:cs="Times New Roman"/>
          <w:i/>
          <w:iCs/>
          <w:sz w:val="24"/>
          <w:szCs w:val="24"/>
        </w:rPr>
      </w:pPr>
    </w:p>
    <w:p w14:paraId="5ACDAEEC" w14:textId="77777777" w:rsidR="006813CA" w:rsidRPr="006813CA" w:rsidRDefault="006813CA" w:rsidP="006813CA">
      <w:pPr>
        <w:jc w:val="both"/>
        <w:rPr>
          <w:rFonts w:ascii="Times New Roman" w:hAnsi="Times New Roman" w:cs="Times New Roman"/>
          <w:sz w:val="24"/>
          <w:szCs w:val="24"/>
        </w:rPr>
      </w:pPr>
    </w:p>
    <w:p w14:paraId="1FBC7BE3"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Have you been told — by an estate agent, solicitor, or otherwise — that the lease length could affect the value or saleability of your home?</w:t>
      </w:r>
    </w:p>
    <w:p w14:paraId="1CE97960" w14:textId="77777777" w:rsidR="006813CA" w:rsidRPr="006813CA" w:rsidRDefault="006813CA" w:rsidP="006813CA">
      <w:pPr>
        <w:jc w:val="both"/>
        <w:rPr>
          <w:rFonts w:ascii="Times New Roman" w:hAnsi="Times New Roman" w:cs="Times New Roman"/>
          <w:sz w:val="24"/>
          <w:szCs w:val="24"/>
        </w:rPr>
      </w:pPr>
    </w:p>
    <w:p w14:paraId="43E21D69"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Yes, I think so. When she mentioned it, she told me about the policy, yeah. It was all very fraught at the time when you were buying and selling, you know, it's... Yeah. There's a lot of discussions going on. It's difficult to remember all the... lots of information.</w:t>
      </w:r>
    </w:p>
    <w:p w14:paraId="548F0E33" w14:textId="77777777" w:rsidR="006813CA" w:rsidRPr="006813CA" w:rsidRDefault="006813CA" w:rsidP="006813CA">
      <w:pPr>
        <w:jc w:val="both"/>
        <w:rPr>
          <w:rFonts w:ascii="Times New Roman" w:hAnsi="Times New Roman" w:cs="Times New Roman"/>
          <w:sz w:val="24"/>
          <w:szCs w:val="24"/>
        </w:rPr>
      </w:pPr>
    </w:p>
    <w:p w14:paraId="0F209831" w14:textId="77777777" w:rsidR="006813CA" w:rsidRPr="006813CA" w:rsidRDefault="006813CA" w:rsidP="006813CA">
      <w:pPr>
        <w:jc w:val="both"/>
        <w:rPr>
          <w:rFonts w:ascii="Times New Roman" w:hAnsi="Times New Roman" w:cs="Times New Roman"/>
          <w:sz w:val="24"/>
          <w:szCs w:val="24"/>
        </w:rPr>
      </w:pPr>
    </w:p>
    <w:p w14:paraId="707B4539"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Has a mortgage lender ever raised concerns about the lease length?</w:t>
      </w:r>
    </w:p>
    <w:p w14:paraId="441B891A" w14:textId="77777777" w:rsidR="006813CA" w:rsidRPr="006813CA" w:rsidRDefault="006813CA" w:rsidP="006813CA">
      <w:pPr>
        <w:jc w:val="both"/>
        <w:rPr>
          <w:rFonts w:ascii="Times New Roman" w:hAnsi="Times New Roman" w:cs="Times New Roman"/>
          <w:sz w:val="24"/>
          <w:szCs w:val="24"/>
        </w:rPr>
      </w:pPr>
    </w:p>
    <w:p w14:paraId="6F678BC6" w14:textId="77777777" w:rsidR="006813CA" w:rsidRPr="006813CA" w:rsidRDefault="006813CA" w:rsidP="006813CA">
      <w:pPr>
        <w:jc w:val="both"/>
        <w:rPr>
          <w:rFonts w:ascii="Times New Roman" w:hAnsi="Times New Roman" w:cs="Times New Roman"/>
          <w:sz w:val="24"/>
          <w:szCs w:val="24"/>
        </w:rPr>
      </w:pPr>
      <w:r w:rsidRPr="006813CA">
        <w:rPr>
          <w:rFonts w:ascii="Times New Roman" w:hAnsi="Times New Roman" w:cs="Times New Roman"/>
          <w:sz w:val="24"/>
          <w:szCs w:val="24"/>
        </w:rPr>
        <w:t xml:space="preserve"> </w:t>
      </w:r>
      <w:r w:rsidRPr="006813CA">
        <w:rPr>
          <w:rFonts w:ascii="Times New Roman" w:hAnsi="Times New Roman" w:cs="Times New Roman"/>
          <w:i/>
          <w:iCs/>
          <w:sz w:val="24"/>
          <w:szCs w:val="24"/>
        </w:rPr>
        <w:t>No, I don't have a mortgage. No.</w:t>
      </w:r>
      <w:r w:rsidRPr="006813CA">
        <w:rPr>
          <w:rFonts w:ascii="Times New Roman" w:hAnsi="Times New Roman" w:cs="Times New Roman"/>
          <w:sz w:val="24"/>
          <w:szCs w:val="24"/>
        </w:rPr>
        <w:t xml:space="preserve"> </w:t>
      </w:r>
    </w:p>
    <w:p w14:paraId="726A2942" w14:textId="77777777" w:rsidR="006813CA" w:rsidRPr="006813CA" w:rsidRDefault="006813CA" w:rsidP="006813CA">
      <w:pPr>
        <w:jc w:val="both"/>
        <w:rPr>
          <w:rFonts w:ascii="Times New Roman" w:hAnsi="Times New Roman" w:cs="Times New Roman"/>
          <w:sz w:val="24"/>
          <w:szCs w:val="24"/>
        </w:rPr>
      </w:pPr>
    </w:p>
    <w:p w14:paraId="6DBDAC67" w14:textId="77777777" w:rsidR="006813CA" w:rsidRPr="006813CA" w:rsidRDefault="006813CA" w:rsidP="006813CA">
      <w:pPr>
        <w:jc w:val="both"/>
        <w:rPr>
          <w:rFonts w:ascii="Times New Roman" w:hAnsi="Times New Roman" w:cs="Times New Roman"/>
          <w:sz w:val="24"/>
          <w:szCs w:val="24"/>
        </w:rPr>
      </w:pPr>
    </w:p>
    <w:p w14:paraId="208BED1F"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 xml:space="preserve">Have you </w:t>
      </w:r>
      <w:proofErr w:type="gramStart"/>
      <w:r w:rsidRPr="006813CA">
        <w:rPr>
          <w:rFonts w:ascii="Times New Roman" w:hAnsi="Times New Roman" w:cs="Times New Roman"/>
          <w:sz w:val="24"/>
          <w:szCs w:val="24"/>
        </w:rPr>
        <w:t>looked into</w:t>
      </w:r>
      <w:proofErr w:type="gramEnd"/>
      <w:r w:rsidRPr="006813CA">
        <w:rPr>
          <w:rFonts w:ascii="Times New Roman" w:hAnsi="Times New Roman" w:cs="Times New Roman"/>
          <w:sz w:val="24"/>
          <w:szCs w:val="24"/>
        </w:rPr>
        <w:t xml:space="preserve"> extending your lease? What happened, or what stopped you from doing so?</w:t>
      </w:r>
    </w:p>
    <w:p w14:paraId="331481EC" w14:textId="77777777" w:rsidR="006813CA" w:rsidRPr="006813CA" w:rsidRDefault="006813CA" w:rsidP="006813CA">
      <w:pPr>
        <w:jc w:val="both"/>
        <w:rPr>
          <w:rFonts w:ascii="Times New Roman" w:hAnsi="Times New Roman" w:cs="Times New Roman"/>
          <w:sz w:val="24"/>
          <w:szCs w:val="24"/>
        </w:rPr>
      </w:pPr>
    </w:p>
    <w:p w14:paraId="34C91566" w14:textId="77777777" w:rsidR="006813CA" w:rsidRPr="006813CA" w:rsidRDefault="006813CA" w:rsidP="006813CA">
      <w:pPr>
        <w:jc w:val="both"/>
        <w:rPr>
          <w:rFonts w:ascii="Times New Roman" w:hAnsi="Times New Roman" w:cs="Times New Roman"/>
          <w:sz w:val="24"/>
          <w:szCs w:val="24"/>
        </w:rPr>
      </w:pPr>
      <w:r w:rsidRPr="006813CA">
        <w:rPr>
          <w:rFonts w:ascii="Times New Roman" w:hAnsi="Times New Roman" w:cs="Times New Roman"/>
          <w:i/>
          <w:iCs/>
          <w:sz w:val="24"/>
          <w:szCs w:val="24"/>
        </w:rPr>
        <w:t xml:space="preserve">Yes, yeah, I just... Okay, need to think about it. See what other people were thinking of doing. Yeah. Um, the... successive governments keep saying they're going to do something about these old leases. </w:t>
      </w:r>
      <w:proofErr w:type="gramStart"/>
      <w:r w:rsidRPr="006813CA">
        <w:rPr>
          <w:rFonts w:ascii="Times New Roman" w:hAnsi="Times New Roman" w:cs="Times New Roman"/>
          <w:i/>
          <w:iCs/>
          <w:sz w:val="24"/>
          <w:szCs w:val="24"/>
        </w:rPr>
        <w:t>So</w:t>
      </w:r>
      <w:proofErr w:type="gramEnd"/>
      <w:r w:rsidRPr="006813CA">
        <w:rPr>
          <w:rFonts w:ascii="Times New Roman" w:hAnsi="Times New Roman" w:cs="Times New Roman"/>
          <w:i/>
          <w:iCs/>
          <w:sz w:val="24"/>
          <w:szCs w:val="24"/>
        </w:rPr>
        <w:t xml:space="preserve"> it might be better to wait for a little bit and see whether anything happens on that. Yeah. I mean, certainly, when I was just between me agreeing to buy the </w:t>
      </w:r>
      <w:r w:rsidRPr="006813CA">
        <w:rPr>
          <w:rFonts w:ascii="Times New Roman" w:hAnsi="Times New Roman" w:cs="Times New Roman"/>
          <w:i/>
          <w:iCs/>
          <w:sz w:val="24"/>
          <w:szCs w:val="24"/>
        </w:rPr>
        <w:lastRenderedPageBreak/>
        <w:t xml:space="preserve">flat and then moving in, the ground rent had more than doubled, because it had reached the 25th anniversary. And I didn't realise that that was </w:t>
      </w:r>
      <w:proofErr w:type="spellStart"/>
      <w:r w:rsidRPr="006813CA">
        <w:rPr>
          <w:rFonts w:ascii="Times New Roman" w:hAnsi="Times New Roman" w:cs="Times New Roman"/>
          <w:i/>
          <w:iCs/>
          <w:sz w:val="24"/>
          <w:szCs w:val="24"/>
        </w:rPr>
        <w:t>gonna</w:t>
      </w:r>
      <w:proofErr w:type="spellEnd"/>
      <w:r w:rsidRPr="006813CA">
        <w:rPr>
          <w:rFonts w:ascii="Times New Roman" w:hAnsi="Times New Roman" w:cs="Times New Roman"/>
          <w:i/>
          <w:iCs/>
          <w:sz w:val="24"/>
          <w:szCs w:val="24"/>
        </w:rPr>
        <w:t xml:space="preserve"> happen</w:t>
      </w:r>
      <w:r w:rsidRPr="006813CA">
        <w:rPr>
          <w:rFonts w:ascii="Times New Roman" w:hAnsi="Times New Roman" w:cs="Times New Roman"/>
          <w:sz w:val="24"/>
          <w:szCs w:val="24"/>
        </w:rPr>
        <w:t>.</w:t>
      </w:r>
    </w:p>
    <w:p w14:paraId="739DECB3" w14:textId="77777777" w:rsidR="006813CA" w:rsidRPr="006813CA" w:rsidRDefault="006813CA" w:rsidP="006813CA">
      <w:pPr>
        <w:jc w:val="both"/>
        <w:rPr>
          <w:rFonts w:ascii="Times New Roman" w:hAnsi="Times New Roman" w:cs="Times New Roman"/>
          <w:sz w:val="24"/>
          <w:szCs w:val="24"/>
        </w:rPr>
      </w:pPr>
    </w:p>
    <w:p w14:paraId="0C8E80C6" w14:textId="77777777" w:rsidR="006813CA" w:rsidRPr="006813CA" w:rsidRDefault="006813CA" w:rsidP="006813CA">
      <w:pPr>
        <w:jc w:val="both"/>
        <w:rPr>
          <w:rFonts w:ascii="Times New Roman" w:hAnsi="Times New Roman" w:cs="Times New Roman"/>
          <w:sz w:val="24"/>
          <w:szCs w:val="24"/>
        </w:rPr>
      </w:pPr>
    </w:p>
    <w:p w14:paraId="51EED537"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Were you put off by the cost? The complexity? Lack of information?</w:t>
      </w:r>
    </w:p>
    <w:p w14:paraId="52767C0A" w14:textId="77777777" w:rsidR="006813CA" w:rsidRPr="006813CA" w:rsidRDefault="006813CA" w:rsidP="006813CA">
      <w:pPr>
        <w:jc w:val="both"/>
        <w:rPr>
          <w:rFonts w:ascii="Times New Roman" w:hAnsi="Times New Roman" w:cs="Times New Roman"/>
          <w:sz w:val="24"/>
          <w:szCs w:val="24"/>
        </w:rPr>
      </w:pPr>
    </w:p>
    <w:p w14:paraId="26817C67"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Yes, I have read about it, and you </w:t>
      </w:r>
      <w:proofErr w:type="gramStart"/>
      <w:r w:rsidRPr="006813CA">
        <w:rPr>
          <w:rFonts w:ascii="Times New Roman" w:hAnsi="Times New Roman" w:cs="Times New Roman"/>
          <w:i/>
          <w:iCs/>
          <w:sz w:val="24"/>
          <w:szCs w:val="24"/>
        </w:rPr>
        <w:t>have to</w:t>
      </w:r>
      <w:proofErr w:type="gramEnd"/>
      <w:r w:rsidRPr="006813CA">
        <w:rPr>
          <w:rFonts w:ascii="Times New Roman" w:hAnsi="Times New Roman" w:cs="Times New Roman"/>
          <w:i/>
          <w:iCs/>
          <w:sz w:val="24"/>
          <w:szCs w:val="24"/>
        </w:rPr>
        <w:t xml:space="preserve"> be very careful how it's done, because the document that you get might not stand up legally when you come to sell the flat. I must find that article again that I read. You've got to have it done </w:t>
      </w:r>
      <w:proofErr w:type="gramStart"/>
      <w:r w:rsidRPr="006813CA">
        <w:rPr>
          <w:rFonts w:ascii="Times New Roman" w:hAnsi="Times New Roman" w:cs="Times New Roman"/>
          <w:i/>
          <w:iCs/>
          <w:sz w:val="24"/>
          <w:szCs w:val="24"/>
        </w:rPr>
        <w:t>really properly</w:t>
      </w:r>
      <w:proofErr w:type="gramEnd"/>
      <w:r w:rsidRPr="006813CA">
        <w:rPr>
          <w:rFonts w:ascii="Times New Roman" w:hAnsi="Times New Roman" w:cs="Times New Roman"/>
          <w:i/>
          <w:iCs/>
          <w:sz w:val="24"/>
          <w:szCs w:val="24"/>
        </w:rPr>
        <w:t xml:space="preserve"> by a solicitor, um... So that you're sure that you've got a legal document, which is going to stand up, yeah. </w:t>
      </w:r>
    </w:p>
    <w:p w14:paraId="508E3D0E" w14:textId="77777777" w:rsidR="006813CA" w:rsidRPr="006813CA" w:rsidRDefault="006813CA" w:rsidP="006813CA">
      <w:pPr>
        <w:jc w:val="both"/>
        <w:rPr>
          <w:rFonts w:ascii="Times New Roman" w:hAnsi="Times New Roman" w:cs="Times New Roman"/>
          <w:sz w:val="24"/>
          <w:szCs w:val="24"/>
        </w:rPr>
      </w:pPr>
    </w:p>
    <w:p w14:paraId="7BC9206B" w14:textId="77777777" w:rsidR="006813CA" w:rsidRPr="006813CA" w:rsidRDefault="006813CA" w:rsidP="006813CA">
      <w:pPr>
        <w:jc w:val="both"/>
        <w:rPr>
          <w:rFonts w:ascii="Times New Roman" w:hAnsi="Times New Roman" w:cs="Times New Roman"/>
          <w:sz w:val="24"/>
          <w:szCs w:val="24"/>
        </w:rPr>
      </w:pPr>
    </w:p>
    <w:p w14:paraId="6DED9D02"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Did you seek professional advice, and if so, was it helpful?</w:t>
      </w:r>
    </w:p>
    <w:p w14:paraId="4FAD448B" w14:textId="77777777" w:rsidR="006813CA" w:rsidRPr="006813CA" w:rsidRDefault="006813CA" w:rsidP="006813CA">
      <w:pPr>
        <w:jc w:val="both"/>
        <w:rPr>
          <w:rFonts w:ascii="Times New Roman" w:hAnsi="Times New Roman" w:cs="Times New Roman"/>
          <w:i/>
          <w:iCs/>
          <w:sz w:val="24"/>
          <w:szCs w:val="24"/>
        </w:rPr>
      </w:pPr>
    </w:p>
    <w:p w14:paraId="452B7B36"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Not yet on this... Not yet. </w:t>
      </w:r>
    </w:p>
    <w:p w14:paraId="3022A3FB" w14:textId="77777777" w:rsidR="006813CA" w:rsidRPr="006813CA" w:rsidRDefault="006813CA" w:rsidP="006813CA">
      <w:pPr>
        <w:jc w:val="both"/>
        <w:rPr>
          <w:rFonts w:ascii="Times New Roman" w:hAnsi="Times New Roman" w:cs="Times New Roman"/>
          <w:sz w:val="24"/>
          <w:szCs w:val="24"/>
        </w:rPr>
      </w:pPr>
    </w:p>
    <w:p w14:paraId="3BF99419" w14:textId="77777777" w:rsidR="006813CA" w:rsidRPr="006813CA" w:rsidRDefault="006813CA" w:rsidP="006813CA">
      <w:pPr>
        <w:jc w:val="both"/>
        <w:rPr>
          <w:rFonts w:ascii="Times New Roman" w:hAnsi="Times New Roman" w:cs="Times New Roman"/>
          <w:sz w:val="24"/>
          <w:szCs w:val="24"/>
        </w:rPr>
      </w:pPr>
    </w:p>
    <w:p w14:paraId="70B35A98"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How do you feel the current situation with your lease affects your financial security, your sense of what your home is worth to you, and your future?</w:t>
      </w:r>
    </w:p>
    <w:p w14:paraId="2BA77F6B" w14:textId="77777777" w:rsidR="006813CA" w:rsidRPr="006813CA" w:rsidRDefault="006813CA" w:rsidP="006813CA">
      <w:pPr>
        <w:jc w:val="both"/>
        <w:rPr>
          <w:rFonts w:ascii="Times New Roman" w:hAnsi="Times New Roman" w:cs="Times New Roman"/>
          <w:sz w:val="24"/>
          <w:szCs w:val="24"/>
        </w:rPr>
      </w:pPr>
    </w:p>
    <w:p w14:paraId="53CFEBA2"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It is worrying in that you don't know how much you're going to be expected to pay for, what, this, the charges, the annual charges. </w:t>
      </w:r>
      <w:proofErr w:type="gramStart"/>
      <w:r w:rsidRPr="006813CA">
        <w:rPr>
          <w:rFonts w:ascii="Times New Roman" w:hAnsi="Times New Roman" w:cs="Times New Roman"/>
          <w:i/>
          <w:iCs/>
          <w:sz w:val="24"/>
          <w:szCs w:val="24"/>
        </w:rPr>
        <w:t>So</w:t>
      </w:r>
      <w:proofErr w:type="gramEnd"/>
      <w:r w:rsidRPr="006813CA">
        <w:rPr>
          <w:rFonts w:ascii="Times New Roman" w:hAnsi="Times New Roman" w:cs="Times New Roman"/>
          <w:i/>
          <w:iCs/>
          <w:sz w:val="24"/>
          <w:szCs w:val="24"/>
        </w:rPr>
        <w:t xml:space="preserve"> the charges, yeah. Service charges. Um, so that is a worry. And it's a worry in terms of passing it on to my children, you know, my children inheriting, I'm worried that they're going to inherit, suddenly, having to find thousands of pounds every year, to pay the service charges. Yeah. I have told them about it. I said, Get rid of it, as soon as you can. By whatever means. Yeah. Rent it, get rid of it. You know, just get it off, off the books. </w:t>
      </w:r>
    </w:p>
    <w:p w14:paraId="6A8F95CB" w14:textId="77777777" w:rsidR="006813CA" w:rsidRPr="006813CA" w:rsidRDefault="006813CA" w:rsidP="006813CA">
      <w:pPr>
        <w:jc w:val="both"/>
        <w:rPr>
          <w:rFonts w:ascii="Times New Roman" w:hAnsi="Times New Roman" w:cs="Times New Roman"/>
          <w:sz w:val="24"/>
          <w:szCs w:val="24"/>
        </w:rPr>
      </w:pPr>
    </w:p>
    <w:p w14:paraId="217274D3" w14:textId="77777777" w:rsidR="006813CA" w:rsidRPr="006813CA" w:rsidRDefault="006813CA" w:rsidP="006813CA">
      <w:pPr>
        <w:jc w:val="both"/>
        <w:rPr>
          <w:rFonts w:ascii="Times New Roman" w:hAnsi="Times New Roman" w:cs="Times New Roman"/>
          <w:sz w:val="24"/>
          <w:szCs w:val="24"/>
        </w:rPr>
      </w:pPr>
    </w:p>
    <w:p w14:paraId="3EF88198"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Does it affect how you think about your retirement, or leaving something to family?</w:t>
      </w:r>
    </w:p>
    <w:p w14:paraId="5E906DDF" w14:textId="77777777" w:rsidR="006813CA" w:rsidRPr="006813CA" w:rsidRDefault="006813CA" w:rsidP="006813CA">
      <w:pPr>
        <w:jc w:val="both"/>
        <w:rPr>
          <w:rFonts w:ascii="Times New Roman" w:hAnsi="Times New Roman" w:cs="Times New Roman"/>
          <w:sz w:val="24"/>
          <w:szCs w:val="24"/>
        </w:rPr>
      </w:pPr>
    </w:p>
    <w:p w14:paraId="65D3F30E"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Yes, I thought about it, and you advise your family, what... to </w:t>
      </w:r>
      <w:proofErr w:type="gramStart"/>
      <w:r w:rsidRPr="006813CA">
        <w:rPr>
          <w:rFonts w:ascii="Times New Roman" w:hAnsi="Times New Roman" w:cs="Times New Roman"/>
          <w:i/>
          <w:iCs/>
          <w:sz w:val="24"/>
          <w:szCs w:val="24"/>
        </w:rPr>
        <w:t>do ,</w:t>
      </w:r>
      <w:proofErr w:type="gramEnd"/>
      <w:r w:rsidRPr="006813CA">
        <w:rPr>
          <w:rFonts w:ascii="Times New Roman" w:hAnsi="Times New Roman" w:cs="Times New Roman"/>
          <w:i/>
          <w:iCs/>
          <w:sz w:val="24"/>
          <w:szCs w:val="24"/>
        </w:rPr>
        <w:t xml:space="preserve"> to sell it and get rid of it. Yeah. </w:t>
      </w:r>
    </w:p>
    <w:p w14:paraId="0F204145" w14:textId="77777777" w:rsidR="006813CA" w:rsidRPr="006813CA" w:rsidRDefault="006813CA" w:rsidP="006813CA">
      <w:pPr>
        <w:jc w:val="both"/>
        <w:rPr>
          <w:rFonts w:ascii="Times New Roman" w:hAnsi="Times New Roman" w:cs="Times New Roman"/>
          <w:i/>
          <w:iCs/>
          <w:sz w:val="24"/>
          <w:szCs w:val="24"/>
        </w:rPr>
      </w:pPr>
    </w:p>
    <w:p w14:paraId="6374BE18" w14:textId="77777777" w:rsidR="006813CA" w:rsidRPr="006813CA" w:rsidRDefault="006813CA" w:rsidP="006813CA">
      <w:pPr>
        <w:jc w:val="both"/>
        <w:rPr>
          <w:rFonts w:ascii="Times New Roman" w:hAnsi="Times New Roman" w:cs="Times New Roman"/>
          <w:sz w:val="24"/>
          <w:szCs w:val="24"/>
        </w:rPr>
      </w:pPr>
    </w:p>
    <w:p w14:paraId="10AD8A3E"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lastRenderedPageBreak/>
        <w:t>Are there other costs associated with your leasehold property — such as service charges, ground rent, or permission fees — that affect your finances?</w:t>
      </w:r>
    </w:p>
    <w:p w14:paraId="6C9D3919" w14:textId="77777777" w:rsidR="006813CA" w:rsidRPr="006813CA" w:rsidRDefault="006813CA" w:rsidP="006813CA">
      <w:pPr>
        <w:jc w:val="both"/>
        <w:rPr>
          <w:rFonts w:ascii="Times New Roman" w:hAnsi="Times New Roman" w:cs="Times New Roman"/>
          <w:sz w:val="24"/>
          <w:szCs w:val="24"/>
        </w:rPr>
      </w:pPr>
    </w:p>
    <w:p w14:paraId="66A46658"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Yes, yes. I am thinking about making a small adjustment to my kitchen layout. Okay. And I'm wondering whether I've got, I've got to find out about that. Get paid for permission to do that. </w:t>
      </w:r>
    </w:p>
    <w:p w14:paraId="4BF73E52" w14:textId="77777777" w:rsidR="006813CA" w:rsidRPr="006813CA" w:rsidRDefault="006813CA" w:rsidP="006813CA">
      <w:pPr>
        <w:jc w:val="both"/>
        <w:rPr>
          <w:rFonts w:ascii="Times New Roman" w:hAnsi="Times New Roman" w:cs="Times New Roman"/>
          <w:i/>
          <w:iCs/>
          <w:sz w:val="24"/>
          <w:szCs w:val="24"/>
        </w:rPr>
      </w:pPr>
    </w:p>
    <w:p w14:paraId="671EAF65" w14:textId="77777777" w:rsidR="006813CA" w:rsidRPr="006813CA" w:rsidRDefault="006813CA" w:rsidP="006813CA">
      <w:pPr>
        <w:jc w:val="both"/>
        <w:rPr>
          <w:rFonts w:ascii="Times New Roman" w:hAnsi="Times New Roman" w:cs="Times New Roman"/>
          <w:sz w:val="24"/>
          <w:szCs w:val="24"/>
        </w:rPr>
      </w:pPr>
    </w:p>
    <w:p w14:paraId="67232ED3" w14:textId="70FEA1C0" w:rsidR="004A1FA1" w:rsidRPr="004A1FA1" w:rsidRDefault="006813CA" w:rsidP="004A1FA1">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 xml:space="preserve"> Do you feel those charges are reasonable and transparent, or have they ever surprised or concerned you?</w:t>
      </w:r>
    </w:p>
    <w:p w14:paraId="4F7072DD" w14:textId="77777777" w:rsidR="006813CA" w:rsidRPr="006813CA" w:rsidRDefault="006813CA" w:rsidP="006813CA">
      <w:pPr>
        <w:jc w:val="both"/>
        <w:rPr>
          <w:rFonts w:ascii="Times New Roman" w:hAnsi="Times New Roman" w:cs="Times New Roman"/>
          <w:i/>
          <w:iCs/>
          <w:sz w:val="24"/>
          <w:szCs w:val="24"/>
        </w:rPr>
      </w:pPr>
    </w:p>
    <w:p w14:paraId="27F3735C" w14:textId="77777777" w:rsid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 I haven't tried before, but I've heard of other people being surprised that somebody, they want to make an alteration within their bathroom, say, or their kitchen, and they've had to pay a fee, which seems unreasonable. Yeah. And permission, yes. And I suppose what they </w:t>
      </w:r>
      <w:proofErr w:type="gramStart"/>
      <w:r w:rsidRPr="006813CA">
        <w:rPr>
          <w:rFonts w:ascii="Times New Roman" w:hAnsi="Times New Roman" w:cs="Times New Roman"/>
          <w:i/>
          <w:iCs/>
          <w:sz w:val="24"/>
          <w:szCs w:val="24"/>
        </w:rPr>
        <w:t>says</w:t>
      </w:r>
      <w:proofErr w:type="gramEnd"/>
      <w:r w:rsidRPr="006813CA">
        <w:rPr>
          <w:rFonts w:ascii="Times New Roman" w:hAnsi="Times New Roman" w:cs="Times New Roman"/>
          <w:i/>
          <w:iCs/>
          <w:sz w:val="24"/>
          <w:szCs w:val="24"/>
        </w:rPr>
        <w:t xml:space="preserve">, </w:t>
      </w:r>
      <w:proofErr w:type="gramStart"/>
      <w:r w:rsidRPr="006813CA">
        <w:rPr>
          <w:rFonts w:ascii="Times New Roman" w:hAnsi="Times New Roman" w:cs="Times New Roman"/>
          <w:i/>
          <w:iCs/>
          <w:sz w:val="24"/>
          <w:szCs w:val="24"/>
        </w:rPr>
        <w:t>Oh</w:t>
      </w:r>
      <w:proofErr w:type="gramEnd"/>
      <w:r w:rsidRPr="006813CA">
        <w:rPr>
          <w:rFonts w:ascii="Times New Roman" w:hAnsi="Times New Roman" w:cs="Times New Roman"/>
          <w:i/>
          <w:iCs/>
          <w:sz w:val="24"/>
          <w:szCs w:val="24"/>
        </w:rPr>
        <w:t xml:space="preserve">, well, to forgive you permission, you've got to look at it, and therefore it's </w:t>
      </w:r>
      <w:proofErr w:type="spellStart"/>
      <w:r w:rsidRPr="006813CA">
        <w:rPr>
          <w:rFonts w:ascii="Times New Roman" w:hAnsi="Times New Roman" w:cs="Times New Roman"/>
          <w:i/>
          <w:iCs/>
          <w:sz w:val="24"/>
          <w:szCs w:val="24"/>
        </w:rPr>
        <w:t>gonna</w:t>
      </w:r>
      <w:proofErr w:type="spellEnd"/>
      <w:r w:rsidRPr="006813CA">
        <w:rPr>
          <w:rFonts w:ascii="Times New Roman" w:hAnsi="Times New Roman" w:cs="Times New Roman"/>
          <w:i/>
          <w:iCs/>
          <w:sz w:val="24"/>
          <w:szCs w:val="24"/>
        </w:rPr>
        <w:t xml:space="preserve"> cost us. And therefore……</w:t>
      </w:r>
    </w:p>
    <w:p w14:paraId="79B1C1A8" w14:textId="77777777" w:rsidR="004A1FA1" w:rsidRPr="006813CA" w:rsidRDefault="004A1FA1" w:rsidP="006813CA">
      <w:pPr>
        <w:jc w:val="both"/>
        <w:rPr>
          <w:rFonts w:ascii="Times New Roman" w:hAnsi="Times New Roman" w:cs="Times New Roman"/>
          <w:i/>
          <w:iCs/>
          <w:sz w:val="24"/>
          <w:szCs w:val="24"/>
        </w:rPr>
      </w:pPr>
    </w:p>
    <w:p w14:paraId="419D598D" w14:textId="77777777" w:rsidR="006813CA" w:rsidRPr="006813CA" w:rsidRDefault="006813CA" w:rsidP="006813CA">
      <w:pPr>
        <w:jc w:val="both"/>
        <w:rPr>
          <w:rFonts w:ascii="Times New Roman" w:hAnsi="Times New Roman" w:cs="Times New Roman"/>
          <w:i/>
          <w:iCs/>
          <w:sz w:val="24"/>
          <w:szCs w:val="24"/>
        </w:rPr>
      </w:pPr>
    </w:p>
    <w:p w14:paraId="4C815ADA"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Beyond the financial side, how does the leasehold situation make you feel on a day-to-day basis — does it cause you worry or stress, or is it something you have made peace with?</w:t>
      </w:r>
    </w:p>
    <w:p w14:paraId="198734DD" w14:textId="77777777" w:rsidR="006813CA" w:rsidRPr="006813CA" w:rsidRDefault="006813CA" w:rsidP="006813CA">
      <w:pPr>
        <w:jc w:val="both"/>
        <w:rPr>
          <w:rFonts w:ascii="Times New Roman" w:hAnsi="Times New Roman" w:cs="Times New Roman"/>
          <w:sz w:val="24"/>
          <w:szCs w:val="24"/>
        </w:rPr>
      </w:pPr>
    </w:p>
    <w:p w14:paraId="7303C9B0"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I think I made peace with it for now. I don't know what will happen in the future. But </w:t>
      </w:r>
      <w:proofErr w:type="gramStart"/>
      <w:r w:rsidRPr="006813CA">
        <w:rPr>
          <w:rFonts w:ascii="Times New Roman" w:hAnsi="Times New Roman" w:cs="Times New Roman"/>
          <w:i/>
          <w:iCs/>
          <w:sz w:val="24"/>
          <w:szCs w:val="24"/>
        </w:rPr>
        <w:t>at the moment</w:t>
      </w:r>
      <w:proofErr w:type="gramEnd"/>
      <w:r w:rsidRPr="006813CA">
        <w:rPr>
          <w:rFonts w:ascii="Times New Roman" w:hAnsi="Times New Roman" w:cs="Times New Roman"/>
          <w:i/>
          <w:iCs/>
          <w:sz w:val="24"/>
          <w:szCs w:val="24"/>
        </w:rPr>
        <w:t>, I enjoy living where I live, and I feel I'm much better here than just a house in the street, somewhere.</w:t>
      </w:r>
    </w:p>
    <w:p w14:paraId="735D691C" w14:textId="77777777" w:rsidR="006813CA" w:rsidRPr="006813CA" w:rsidRDefault="006813CA" w:rsidP="006813CA">
      <w:pPr>
        <w:jc w:val="both"/>
        <w:rPr>
          <w:rFonts w:ascii="Times New Roman" w:hAnsi="Times New Roman" w:cs="Times New Roman"/>
          <w:i/>
          <w:iCs/>
          <w:sz w:val="24"/>
          <w:szCs w:val="24"/>
        </w:rPr>
      </w:pPr>
    </w:p>
    <w:p w14:paraId="619640E5" w14:textId="77777777" w:rsidR="006813CA" w:rsidRPr="006813CA" w:rsidRDefault="006813CA" w:rsidP="006813CA">
      <w:pPr>
        <w:jc w:val="both"/>
        <w:rPr>
          <w:rFonts w:ascii="Times New Roman" w:hAnsi="Times New Roman" w:cs="Times New Roman"/>
          <w:sz w:val="24"/>
          <w:szCs w:val="24"/>
        </w:rPr>
      </w:pPr>
    </w:p>
    <w:p w14:paraId="5C44766B"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Is it something you think about often, or mainly when a bill arrives or something comes up?</w:t>
      </w:r>
    </w:p>
    <w:p w14:paraId="497FCFEC" w14:textId="77777777" w:rsidR="006813CA" w:rsidRPr="006813CA" w:rsidRDefault="006813CA" w:rsidP="006813CA">
      <w:pPr>
        <w:jc w:val="both"/>
        <w:rPr>
          <w:rFonts w:ascii="Times New Roman" w:hAnsi="Times New Roman" w:cs="Times New Roman"/>
          <w:sz w:val="24"/>
          <w:szCs w:val="24"/>
        </w:rPr>
      </w:pPr>
    </w:p>
    <w:p w14:paraId="47585D89"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Quite often, yes, yes. Yeah. I think we are aware of it here, particularly with expensive construction work, repair work, you know? You're very much aware of it. Yeah.</w:t>
      </w:r>
    </w:p>
    <w:p w14:paraId="24093194" w14:textId="77777777" w:rsidR="006813CA" w:rsidRPr="006813CA" w:rsidRDefault="006813CA" w:rsidP="006813CA">
      <w:pPr>
        <w:jc w:val="both"/>
        <w:rPr>
          <w:rFonts w:ascii="Times New Roman" w:hAnsi="Times New Roman" w:cs="Times New Roman"/>
          <w:i/>
          <w:iCs/>
          <w:sz w:val="24"/>
          <w:szCs w:val="24"/>
        </w:rPr>
      </w:pPr>
    </w:p>
    <w:p w14:paraId="0FBFC852" w14:textId="77777777" w:rsidR="006813CA" w:rsidRPr="006813CA" w:rsidRDefault="006813CA" w:rsidP="006813CA">
      <w:pPr>
        <w:jc w:val="both"/>
        <w:rPr>
          <w:rFonts w:ascii="Times New Roman" w:hAnsi="Times New Roman" w:cs="Times New Roman"/>
          <w:sz w:val="24"/>
          <w:szCs w:val="24"/>
        </w:rPr>
      </w:pPr>
    </w:p>
    <w:p w14:paraId="4B74A531"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Have you spoken to family members, friends, or neighbours about these concerns? Do you feel supported in understanding your situation?</w:t>
      </w:r>
    </w:p>
    <w:p w14:paraId="54F21381" w14:textId="77777777" w:rsidR="006813CA" w:rsidRPr="006813CA" w:rsidRDefault="006813CA" w:rsidP="006813CA">
      <w:pPr>
        <w:jc w:val="both"/>
        <w:rPr>
          <w:rFonts w:ascii="Times New Roman" w:hAnsi="Times New Roman" w:cs="Times New Roman"/>
          <w:sz w:val="24"/>
          <w:szCs w:val="24"/>
        </w:rPr>
      </w:pPr>
    </w:p>
    <w:p w14:paraId="65E3195F" w14:textId="77777777" w:rsidR="006813CA" w:rsidRPr="006813CA" w:rsidRDefault="006813CA" w:rsidP="006813CA">
      <w:pPr>
        <w:jc w:val="both"/>
        <w:rPr>
          <w:rFonts w:ascii="Times New Roman" w:hAnsi="Times New Roman" w:cs="Times New Roman"/>
          <w:sz w:val="24"/>
          <w:szCs w:val="24"/>
        </w:rPr>
      </w:pPr>
      <w:r w:rsidRPr="006813CA">
        <w:rPr>
          <w:rFonts w:ascii="Times New Roman" w:hAnsi="Times New Roman" w:cs="Times New Roman"/>
          <w:i/>
          <w:iCs/>
          <w:sz w:val="24"/>
          <w:szCs w:val="24"/>
        </w:rPr>
        <w:t xml:space="preserve">Of course, I've spoken to my family and friends, of course, about these concerns, and I started </w:t>
      </w:r>
      <w:proofErr w:type="gramStart"/>
      <w:r w:rsidRPr="006813CA">
        <w:rPr>
          <w:rFonts w:ascii="Times New Roman" w:hAnsi="Times New Roman" w:cs="Times New Roman"/>
          <w:i/>
          <w:iCs/>
          <w:sz w:val="24"/>
          <w:szCs w:val="24"/>
        </w:rPr>
        <w:t>actually to</w:t>
      </w:r>
      <w:proofErr w:type="gramEnd"/>
      <w:r w:rsidRPr="006813CA">
        <w:rPr>
          <w:rFonts w:ascii="Times New Roman" w:hAnsi="Times New Roman" w:cs="Times New Roman"/>
          <w:i/>
          <w:iCs/>
          <w:sz w:val="24"/>
          <w:szCs w:val="24"/>
        </w:rPr>
        <w:t xml:space="preserve"> plan the road</w:t>
      </w:r>
      <w:r w:rsidRPr="006813CA">
        <w:rPr>
          <w:rFonts w:ascii="Times New Roman" w:hAnsi="Times New Roman" w:cs="Times New Roman"/>
          <w:sz w:val="24"/>
          <w:szCs w:val="24"/>
        </w:rPr>
        <w:t>.</w:t>
      </w:r>
    </w:p>
    <w:p w14:paraId="545145B9"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And yes, yes, they're very understanding. </w:t>
      </w:r>
    </w:p>
    <w:p w14:paraId="4CECBFD8" w14:textId="77777777" w:rsidR="006813CA" w:rsidRPr="006813CA" w:rsidRDefault="006813CA" w:rsidP="006813CA">
      <w:pPr>
        <w:jc w:val="both"/>
        <w:rPr>
          <w:rFonts w:ascii="Times New Roman" w:hAnsi="Times New Roman" w:cs="Times New Roman"/>
          <w:sz w:val="24"/>
          <w:szCs w:val="24"/>
        </w:rPr>
      </w:pPr>
    </w:p>
    <w:p w14:paraId="3188A20D" w14:textId="77777777" w:rsidR="006813CA" w:rsidRPr="006813CA" w:rsidRDefault="006813CA" w:rsidP="006813CA">
      <w:pPr>
        <w:jc w:val="both"/>
        <w:rPr>
          <w:rFonts w:ascii="Times New Roman" w:hAnsi="Times New Roman" w:cs="Times New Roman"/>
          <w:sz w:val="24"/>
          <w:szCs w:val="24"/>
        </w:rPr>
      </w:pPr>
    </w:p>
    <w:p w14:paraId="61BDABBB"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Are you aware that the law around leaseholds is currently being reformed by the Government? If so, what are your thoughts — do you feel the changes will help people in your situation?</w:t>
      </w:r>
    </w:p>
    <w:p w14:paraId="44720B10" w14:textId="77777777" w:rsidR="006813CA" w:rsidRPr="006813CA" w:rsidRDefault="006813CA" w:rsidP="006813CA">
      <w:pPr>
        <w:jc w:val="both"/>
        <w:rPr>
          <w:rFonts w:ascii="Times New Roman" w:hAnsi="Times New Roman" w:cs="Times New Roman"/>
          <w:sz w:val="24"/>
          <w:szCs w:val="24"/>
        </w:rPr>
      </w:pPr>
    </w:p>
    <w:p w14:paraId="661F2E64"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Yes, yeah, I mean, if they bring the... they limit the ground rent charge to £250 a year, that'll be very good, because that reduces quite a big, large chunk of money, yeah, and it makes the flat more saleable in the future. And if they can abolish it altogether, that would be brilliant. Ideal. Yes. Um, but there's a lot of... a lot of not being by the freeholders, and all people involved in making money out of freehold properties. There's a lot of lobbying by them, and other government again under a lot of pressure. </w:t>
      </w:r>
      <w:proofErr w:type="gramStart"/>
      <w:r w:rsidRPr="006813CA">
        <w:rPr>
          <w:rFonts w:ascii="Times New Roman" w:hAnsi="Times New Roman" w:cs="Times New Roman"/>
          <w:i/>
          <w:iCs/>
          <w:sz w:val="24"/>
          <w:szCs w:val="24"/>
        </w:rPr>
        <w:t>So</w:t>
      </w:r>
      <w:proofErr w:type="gramEnd"/>
      <w:r w:rsidRPr="006813CA">
        <w:rPr>
          <w:rFonts w:ascii="Times New Roman" w:hAnsi="Times New Roman" w:cs="Times New Roman"/>
          <w:i/>
          <w:iCs/>
          <w:sz w:val="24"/>
          <w:szCs w:val="24"/>
        </w:rPr>
        <w:t xml:space="preserve"> it's quite a big question mark around this matter.</w:t>
      </w:r>
    </w:p>
    <w:p w14:paraId="43CAF176" w14:textId="77777777" w:rsidR="008E71BF" w:rsidRPr="006813CA" w:rsidRDefault="008E71BF" w:rsidP="006813CA">
      <w:pPr>
        <w:jc w:val="both"/>
        <w:rPr>
          <w:rFonts w:ascii="Times New Roman" w:hAnsi="Times New Roman" w:cs="Times New Roman"/>
          <w:sz w:val="24"/>
          <w:szCs w:val="24"/>
        </w:rPr>
      </w:pPr>
    </w:p>
    <w:p w14:paraId="1D8746B9" w14:textId="77777777" w:rsidR="006813CA" w:rsidRPr="006813CA" w:rsidRDefault="006813CA" w:rsidP="006813CA">
      <w:pPr>
        <w:jc w:val="both"/>
        <w:rPr>
          <w:rFonts w:ascii="Times New Roman" w:hAnsi="Times New Roman" w:cs="Times New Roman"/>
          <w:sz w:val="24"/>
          <w:szCs w:val="24"/>
        </w:rPr>
      </w:pPr>
    </w:p>
    <w:p w14:paraId="69B0F0DC" w14:textId="77777777" w:rsidR="006813CA" w:rsidRPr="006813CA" w:rsidRDefault="006813CA" w:rsidP="006813CA">
      <w:pPr>
        <w:numPr>
          <w:ilvl w:val="0"/>
          <w:numId w:val="10"/>
        </w:numPr>
        <w:jc w:val="both"/>
        <w:rPr>
          <w:rFonts w:ascii="Times New Roman" w:hAnsi="Times New Roman" w:cs="Times New Roman"/>
          <w:sz w:val="24"/>
          <w:szCs w:val="24"/>
        </w:rPr>
      </w:pPr>
      <w:r w:rsidRPr="006813CA">
        <w:rPr>
          <w:rFonts w:ascii="Times New Roman" w:hAnsi="Times New Roman" w:cs="Times New Roman"/>
          <w:sz w:val="24"/>
          <w:szCs w:val="24"/>
        </w:rPr>
        <w:t>What one thing, above anything else, would you want policymakers or the Welsh Government to understand about what it is like to be in your situation?</w:t>
      </w:r>
    </w:p>
    <w:p w14:paraId="441516F7" w14:textId="77777777" w:rsidR="006813CA" w:rsidRPr="006813CA" w:rsidRDefault="006813CA" w:rsidP="006813CA">
      <w:pPr>
        <w:jc w:val="both"/>
        <w:rPr>
          <w:rFonts w:ascii="Times New Roman" w:hAnsi="Times New Roman" w:cs="Times New Roman"/>
          <w:sz w:val="24"/>
          <w:szCs w:val="24"/>
        </w:rPr>
      </w:pPr>
    </w:p>
    <w:p w14:paraId="781EE2E9"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t xml:space="preserve">I think if this sort of situation carries on, then I think there's got to be a lot more governance of the managers, the kind of estate management people, who just absorb our service charges and spend them. They have the right to take them from us and spend it how they like, and there should be a lot more governance over that. For instance, a lot of the companies are linked to each other and pass things from each other. And that shouldn't happen. And, you know, there should be laws against that. Yes. You know? Yes. We don't know. I need to </w:t>
      </w:r>
      <w:proofErr w:type="gramStart"/>
      <w:r w:rsidRPr="006813CA">
        <w:rPr>
          <w:rFonts w:ascii="Times New Roman" w:hAnsi="Times New Roman" w:cs="Times New Roman"/>
          <w:i/>
          <w:iCs/>
          <w:sz w:val="24"/>
          <w:szCs w:val="24"/>
        </w:rPr>
        <w:t>know,  you</w:t>
      </w:r>
      <w:proofErr w:type="gramEnd"/>
      <w:r w:rsidRPr="006813CA">
        <w:rPr>
          <w:rFonts w:ascii="Times New Roman" w:hAnsi="Times New Roman" w:cs="Times New Roman"/>
          <w:i/>
          <w:iCs/>
          <w:sz w:val="24"/>
          <w:szCs w:val="24"/>
        </w:rPr>
        <w:t xml:space="preserve"> know, whether they are, whether that work has been honestly gained or not, you know?  There's a lot of, yeah, grey areas that </w:t>
      </w:r>
      <w:proofErr w:type="gramStart"/>
      <w:r w:rsidRPr="006813CA">
        <w:rPr>
          <w:rFonts w:ascii="Times New Roman" w:hAnsi="Times New Roman" w:cs="Times New Roman"/>
          <w:i/>
          <w:iCs/>
          <w:sz w:val="24"/>
          <w:szCs w:val="24"/>
        </w:rPr>
        <w:t>have to</w:t>
      </w:r>
      <w:proofErr w:type="gramEnd"/>
      <w:r w:rsidRPr="006813CA">
        <w:rPr>
          <w:rFonts w:ascii="Times New Roman" w:hAnsi="Times New Roman" w:cs="Times New Roman"/>
          <w:i/>
          <w:iCs/>
          <w:sz w:val="24"/>
          <w:szCs w:val="24"/>
        </w:rPr>
        <w:t xml:space="preserve"> be, and the training, really, as well, of the people who deal with the service charge. Yes. Yeah.</w:t>
      </w:r>
    </w:p>
    <w:p w14:paraId="53F3F509" w14:textId="77777777" w:rsidR="006813CA" w:rsidRPr="006813CA" w:rsidRDefault="006813CA" w:rsidP="006813CA">
      <w:pPr>
        <w:jc w:val="both"/>
        <w:rPr>
          <w:rFonts w:ascii="Times New Roman" w:hAnsi="Times New Roman" w:cs="Times New Roman"/>
          <w:i/>
          <w:iCs/>
          <w:sz w:val="24"/>
          <w:szCs w:val="24"/>
        </w:rPr>
      </w:pPr>
    </w:p>
    <w:p w14:paraId="510C45CA" w14:textId="77777777" w:rsidR="006813CA" w:rsidRPr="006813CA" w:rsidRDefault="006813CA" w:rsidP="006813CA">
      <w:pPr>
        <w:jc w:val="both"/>
        <w:rPr>
          <w:rFonts w:ascii="Times New Roman" w:hAnsi="Times New Roman" w:cs="Times New Roman"/>
          <w:sz w:val="24"/>
          <w:szCs w:val="24"/>
        </w:rPr>
      </w:pPr>
    </w:p>
    <w:p w14:paraId="5EDE4952" w14:textId="77777777" w:rsidR="006813CA" w:rsidRPr="006813CA" w:rsidRDefault="006813CA" w:rsidP="006813CA">
      <w:pPr>
        <w:jc w:val="both"/>
        <w:rPr>
          <w:rFonts w:ascii="Times New Roman" w:hAnsi="Times New Roman" w:cs="Times New Roman"/>
          <w:sz w:val="24"/>
          <w:szCs w:val="24"/>
        </w:rPr>
      </w:pPr>
      <w:r w:rsidRPr="006813CA">
        <w:rPr>
          <w:rFonts w:ascii="Times New Roman" w:hAnsi="Times New Roman" w:cs="Times New Roman"/>
          <w:sz w:val="24"/>
          <w:szCs w:val="24"/>
        </w:rPr>
        <w:t>Those are all my questions. Is there anything else you would like to add — anything we haven't covered that you feel is important to share?</w:t>
      </w:r>
    </w:p>
    <w:p w14:paraId="10AFC10F" w14:textId="77777777" w:rsidR="006813CA" w:rsidRPr="006813CA" w:rsidRDefault="006813CA" w:rsidP="006813CA">
      <w:pPr>
        <w:jc w:val="both"/>
        <w:rPr>
          <w:rFonts w:ascii="Times New Roman" w:hAnsi="Times New Roman" w:cs="Times New Roman"/>
          <w:sz w:val="24"/>
          <w:szCs w:val="24"/>
        </w:rPr>
      </w:pPr>
    </w:p>
    <w:p w14:paraId="418E1000" w14:textId="77777777" w:rsidR="006813CA" w:rsidRPr="006813CA" w:rsidRDefault="006813CA" w:rsidP="006813CA">
      <w:pPr>
        <w:jc w:val="both"/>
        <w:rPr>
          <w:rFonts w:ascii="Times New Roman" w:hAnsi="Times New Roman" w:cs="Times New Roman"/>
          <w:i/>
          <w:iCs/>
          <w:sz w:val="24"/>
          <w:szCs w:val="24"/>
        </w:rPr>
      </w:pPr>
      <w:r w:rsidRPr="006813CA">
        <w:rPr>
          <w:rFonts w:ascii="Times New Roman" w:hAnsi="Times New Roman" w:cs="Times New Roman"/>
          <w:i/>
          <w:iCs/>
          <w:sz w:val="24"/>
          <w:szCs w:val="24"/>
        </w:rPr>
        <w:lastRenderedPageBreak/>
        <w:t xml:space="preserve"> I think it's, I think that's most, yeah, most of it, you know, I am worried about passing a liability onto my children, of course. That is a worry. Yes. You know, and I do try and work out ways around that. things, yeah. </w:t>
      </w:r>
    </w:p>
    <w:p w14:paraId="0208A8A5" w14:textId="77777777" w:rsidR="006813CA" w:rsidRPr="006813CA" w:rsidRDefault="006813CA" w:rsidP="006813CA">
      <w:pPr>
        <w:jc w:val="both"/>
        <w:rPr>
          <w:rFonts w:ascii="Times New Roman" w:hAnsi="Times New Roman" w:cs="Times New Roman"/>
          <w:i/>
          <w:iCs/>
          <w:sz w:val="24"/>
          <w:szCs w:val="24"/>
        </w:rPr>
      </w:pPr>
    </w:p>
    <w:p w14:paraId="2D6A4093" w14:textId="76B49D80" w:rsidR="003E74E4" w:rsidRPr="006813CA" w:rsidRDefault="006813CA" w:rsidP="003E74E4">
      <w:pPr>
        <w:jc w:val="both"/>
        <w:rPr>
          <w:rFonts w:ascii="Times New Roman" w:hAnsi="Times New Roman" w:cs="Times New Roman"/>
          <w:sz w:val="24"/>
          <w:szCs w:val="24"/>
        </w:rPr>
        <w:sectPr w:rsidR="003E74E4" w:rsidRPr="006813CA" w:rsidSect="002B40D3">
          <w:pgSz w:w="11906" w:h="16838"/>
          <w:pgMar w:top="1440" w:right="1440" w:bottom="1440" w:left="1800" w:header="708" w:footer="708" w:gutter="0"/>
          <w:cols w:space="720"/>
          <w:docGrid w:linePitch="360"/>
        </w:sectPr>
      </w:pPr>
      <w:r w:rsidRPr="006813CA">
        <w:rPr>
          <w:rFonts w:ascii="Times New Roman" w:hAnsi="Times New Roman" w:cs="Times New Roman"/>
          <w:sz w:val="24"/>
          <w:szCs w:val="24"/>
        </w:rPr>
        <w:t>"Thank you very much for your time and for speaking so openly with me. As a reminder, everything will be anonymised</w:t>
      </w:r>
      <w:r w:rsidR="00723D06">
        <w:rPr>
          <w:rFonts w:ascii="Times New Roman" w:hAnsi="Times New Roman" w:cs="Times New Roman"/>
          <w:sz w:val="24"/>
          <w:szCs w:val="24"/>
        </w:rPr>
        <w:t>.</w:t>
      </w:r>
    </w:p>
    <w:p w14:paraId="5AB71B25" w14:textId="77777777" w:rsidR="006813CA" w:rsidRPr="006813CA" w:rsidRDefault="006813CA" w:rsidP="005061D3">
      <w:pPr>
        <w:rPr>
          <w:rFonts w:ascii="Times New Roman" w:hAnsi="Times New Roman" w:cs="Times New Roman"/>
          <w:color w:val="0070C0"/>
          <w:sz w:val="32"/>
          <w:szCs w:val="32"/>
        </w:rPr>
      </w:pPr>
    </w:p>
    <w:sectPr w:rsidR="006813CA" w:rsidRPr="006813CA" w:rsidSect="002B40D3">
      <w:footerReference w:type="default" r:id="rId39"/>
      <w:pgSz w:w="11906" w:h="16838"/>
      <w:pgMar w:top="1440" w:right="1440" w:bottom="1440" w:left="1800" w:header="708" w:footer="708"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8C6E2" w14:textId="77777777" w:rsidR="00B85223" w:rsidRDefault="00B85223" w:rsidP="00E80397">
      <w:pPr>
        <w:spacing w:after="0" w:line="240" w:lineRule="auto"/>
      </w:pPr>
      <w:r>
        <w:separator/>
      </w:r>
    </w:p>
  </w:endnote>
  <w:endnote w:type="continuationSeparator" w:id="0">
    <w:p w14:paraId="4FF5E7A2" w14:textId="77777777" w:rsidR="00B85223" w:rsidRDefault="00B85223" w:rsidP="00E80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023729"/>
      <w:docPartObj>
        <w:docPartGallery w:val="Page Numbers (Bottom of Page)"/>
        <w:docPartUnique/>
      </w:docPartObj>
    </w:sdtPr>
    <w:sdtEndPr>
      <w:rPr>
        <w:noProof/>
      </w:rPr>
    </w:sdtEndPr>
    <w:sdtContent>
      <w:p w14:paraId="5A9C7F7D" w14:textId="110462E9" w:rsidR="00854F3C" w:rsidRDefault="00854F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E0AF3" w14:textId="77777777" w:rsidR="00565E73" w:rsidRDefault="00565E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22D6F" w14:textId="5400B021" w:rsidR="00C97BE3" w:rsidRDefault="00C97BE3">
    <w:pPr>
      <w:pStyle w:val="Footer"/>
      <w:jc w:val="right"/>
    </w:pPr>
  </w:p>
  <w:p w14:paraId="7DDAF4E4" w14:textId="77777777" w:rsidR="00C97BE3" w:rsidRDefault="00C97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96212" w14:textId="77777777" w:rsidR="00B85223" w:rsidRDefault="00B85223" w:rsidP="00E80397">
      <w:pPr>
        <w:spacing w:after="0" w:line="240" w:lineRule="auto"/>
      </w:pPr>
      <w:r>
        <w:separator/>
      </w:r>
    </w:p>
  </w:footnote>
  <w:footnote w:type="continuationSeparator" w:id="0">
    <w:p w14:paraId="7ABB7DF8" w14:textId="77777777" w:rsidR="00B85223" w:rsidRDefault="00B85223" w:rsidP="00E80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85E8F" w14:textId="012657DE" w:rsidR="00360ABC" w:rsidRDefault="00DC278F">
    <w:pPr>
      <w:pStyle w:val="Header"/>
    </w:pPr>
    <w:r w:rsidRPr="00DC278F">
      <w:rPr>
        <w:color w:val="215E99" w:themeColor="text2" w:themeTint="BF"/>
      </w:rPr>
      <w:t xml:space="preserve">Dissertation </w:t>
    </w:r>
    <w:r w:rsidR="00360ABC">
      <w:ptab w:relativeTo="margin" w:alignment="center" w:leader="none"/>
    </w:r>
    <w:r w:rsidRPr="00DC278F">
      <w:rPr>
        <w:color w:val="215E99" w:themeColor="text2" w:themeTint="BF"/>
      </w:rPr>
      <w:t>Violeta Alina Moros 2219608</w:t>
    </w:r>
    <w:r w:rsidR="00360ABC">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29E7"/>
    <w:multiLevelType w:val="multilevel"/>
    <w:tmpl w:val="65FE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57FE7"/>
    <w:multiLevelType w:val="multilevel"/>
    <w:tmpl w:val="9EFEE0EA"/>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17E44610"/>
    <w:multiLevelType w:val="hybridMultilevel"/>
    <w:tmpl w:val="38F0A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390072"/>
    <w:multiLevelType w:val="hybridMultilevel"/>
    <w:tmpl w:val="2C1A4C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6EB3DD3"/>
    <w:multiLevelType w:val="hybridMultilevel"/>
    <w:tmpl w:val="B5424E5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45367547"/>
    <w:multiLevelType w:val="multilevel"/>
    <w:tmpl w:val="E336368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D707EB7"/>
    <w:multiLevelType w:val="hybridMultilevel"/>
    <w:tmpl w:val="D966B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8A1E4B"/>
    <w:multiLevelType w:val="hybridMultilevel"/>
    <w:tmpl w:val="2C1A4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FE790B"/>
    <w:multiLevelType w:val="hybridMultilevel"/>
    <w:tmpl w:val="2C1A4C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FAC482A"/>
    <w:multiLevelType w:val="multilevel"/>
    <w:tmpl w:val="7B8E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0428908">
    <w:abstractNumId w:val="1"/>
  </w:num>
  <w:num w:numId="2" w16cid:durableId="109933260">
    <w:abstractNumId w:val="5"/>
  </w:num>
  <w:num w:numId="3" w16cid:durableId="1254391780">
    <w:abstractNumId w:val="2"/>
  </w:num>
  <w:num w:numId="4" w16cid:durableId="140005759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53169711">
    <w:abstractNumId w:val="0"/>
  </w:num>
  <w:num w:numId="6" w16cid:durableId="776631872">
    <w:abstractNumId w:val="9"/>
  </w:num>
  <w:num w:numId="7" w16cid:durableId="67726956">
    <w:abstractNumId w:val="6"/>
  </w:num>
  <w:num w:numId="8" w16cid:durableId="1111171888">
    <w:abstractNumId w:val="7"/>
  </w:num>
  <w:num w:numId="9" w16cid:durableId="1633368447">
    <w:abstractNumId w:val="8"/>
  </w:num>
  <w:num w:numId="10" w16cid:durableId="12359687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6DA"/>
    <w:rsid w:val="00003980"/>
    <w:rsid w:val="00010F8D"/>
    <w:rsid w:val="00012195"/>
    <w:rsid w:val="00020445"/>
    <w:rsid w:val="00024E00"/>
    <w:rsid w:val="00025A9E"/>
    <w:rsid w:val="00030567"/>
    <w:rsid w:val="00033772"/>
    <w:rsid w:val="00065117"/>
    <w:rsid w:val="000668A6"/>
    <w:rsid w:val="000714F1"/>
    <w:rsid w:val="00074275"/>
    <w:rsid w:val="0007433F"/>
    <w:rsid w:val="000747E3"/>
    <w:rsid w:val="00076950"/>
    <w:rsid w:val="000928C6"/>
    <w:rsid w:val="00096242"/>
    <w:rsid w:val="000A0794"/>
    <w:rsid w:val="000A3082"/>
    <w:rsid w:val="000A4A70"/>
    <w:rsid w:val="000C1662"/>
    <w:rsid w:val="000C3EAD"/>
    <w:rsid w:val="000D21B5"/>
    <w:rsid w:val="000D38B7"/>
    <w:rsid w:val="000D426C"/>
    <w:rsid w:val="000E2B64"/>
    <w:rsid w:val="000E4A02"/>
    <w:rsid w:val="000F59C3"/>
    <w:rsid w:val="00117E14"/>
    <w:rsid w:val="001205BD"/>
    <w:rsid w:val="00126059"/>
    <w:rsid w:val="001362F5"/>
    <w:rsid w:val="001502A9"/>
    <w:rsid w:val="0015339F"/>
    <w:rsid w:val="001549AD"/>
    <w:rsid w:val="00157DF9"/>
    <w:rsid w:val="00171C21"/>
    <w:rsid w:val="001779A2"/>
    <w:rsid w:val="00181901"/>
    <w:rsid w:val="001831F9"/>
    <w:rsid w:val="00196FDC"/>
    <w:rsid w:val="001A032F"/>
    <w:rsid w:val="001A65F9"/>
    <w:rsid w:val="001A6B97"/>
    <w:rsid w:val="001C499B"/>
    <w:rsid w:val="001C6E96"/>
    <w:rsid w:val="001F4694"/>
    <w:rsid w:val="002025A0"/>
    <w:rsid w:val="00206938"/>
    <w:rsid w:val="0021650A"/>
    <w:rsid w:val="00222085"/>
    <w:rsid w:val="002357C8"/>
    <w:rsid w:val="00236CF6"/>
    <w:rsid w:val="00242F0E"/>
    <w:rsid w:val="00246632"/>
    <w:rsid w:val="00256F9A"/>
    <w:rsid w:val="0025779E"/>
    <w:rsid w:val="00261A15"/>
    <w:rsid w:val="00261A8C"/>
    <w:rsid w:val="00261CBC"/>
    <w:rsid w:val="0026344A"/>
    <w:rsid w:val="00264346"/>
    <w:rsid w:val="00264425"/>
    <w:rsid w:val="00271CA0"/>
    <w:rsid w:val="00271EE1"/>
    <w:rsid w:val="0027411B"/>
    <w:rsid w:val="002816CB"/>
    <w:rsid w:val="00290377"/>
    <w:rsid w:val="00293235"/>
    <w:rsid w:val="002963A0"/>
    <w:rsid w:val="002A121B"/>
    <w:rsid w:val="002B40D3"/>
    <w:rsid w:val="002C45AD"/>
    <w:rsid w:val="002D4DEF"/>
    <w:rsid w:val="002D5E1D"/>
    <w:rsid w:val="002D62F6"/>
    <w:rsid w:val="002E6C19"/>
    <w:rsid w:val="002E6E5F"/>
    <w:rsid w:val="002F3141"/>
    <w:rsid w:val="002F370D"/>
    <w:rsid w:val="002F4849"/>
    <w:rsid w:val="0030445A"/>
    <w:rsid w:val="00304746"/>
    <w:rsid w:val="00307B8F"/>
    <w:rsid w:val="00310ED5"/>
    <w:rsid w:val="0032392B"/>
    <w:rsid w:val="003241E3"/>
    <w:rsid w:val="003250A2"/>
    <w:rsid w:val="00331137"/>
    <w:rsid w:val="00333047"/>
    <w:rsid w:val="00336CE7"/>
    <w:rsid w:val="0034268F"/>
    <w:rsid w:val="00344988"/>
    <w:rsid w:val="00345823"/>
    <w:rsid w:val="00352BCC"/>
    <w:rsid w:val="003547F9"/>
    <w:rsid w:val="00360129"/>
    <w:rsid w:val="00360ABC"/>
    <w:rsid w:val="003613B8"/>
    <w:rsid w:val="00363E06"/>
    <w:rsid w:val="0036680C"/>
    <w:rsid w:val="003743A5"/>
    <w:rsid w:val="00374BBD"/>
    <w:rsid w:val="00376175"/>
    <w:rsid w:val="003A5244"/>
    <w:rsid w:val="003B2A82"/>
    <w:rsid w:val="003B3110"/>
    <w:rsid w:val="003C09F9"/>
    <w:rsid w:val="003C0B28"/>
    <w:rsid w:val="003C6394"/>
    <w:rsid w:val="003C71B1"/>
    <w:rsid w:val="003D2FE4"/>
    <w:rsid w:val="003E070B"/>
    <w:rsid w:val="003E0C9A"/>
    <w:rsid w:val="003E0FDB"/>
    <w:rsid w:val="003E74E4"/>
    <w:rsid w:val="003F15D4"/>
    <w:rsid w:val="003F23F5"/>
    <w:rsid w:val="003F582B"/>
    <w:rsid w:val="00400D46"/>
    <w:rsid w:val="00405143"/>
    <w:rsid w:val="00405F15"/>
    <w:rsid w:val="00406DC4"/>
    <w:rsid w:val="00424835"/>
    <w:rsid w:val="00426F45"/>
    <w:rsid w:val="00431408"/>
    <w:rsid w:val="004343A8"/>
    <w:rsid w:val="0043477E"/>
    <w:rsid w:val="00434E78"/>
    <w:rsid w:val="0044206C"/>
    <w:rsid w:val="004425B2"/>
    <w:rsid w:val="00445165"/>
    <w:rsid w:val="00445CEC"/>
    <w:rsid w:val="004465C8"/>
    <w:rsid w:val="00446BB5"/>
    <w:rsid w:val="00447094"/>
    <w:rsid w:val="00456EF9"/>
    <w:rsid w:val="0046210B"/>
    <w:rsid w:val="004630D1"/>
    <w:rsid w:val="00471609"/>
    <w:rsid w:val="00477969"/>
    <w:rsid w:val="00496C92"/>
    <w:rsid w:val="004A1FA1"/>
    <w:rsid w:val="004B4690"/>
    <w:rsid w:val="004C0DEB"/>
    <w:rsid w:val="004C50A9"/>
    <w:rsid w:val="004C591F"/>
    <w:rsid w:val="004D33F9"/>
    <w:rsid w:val="004D654C"/>
    <w:rsid w:val="004D78D3"/>
    <w:rsid w:val="004E51BB"/>
    <w:rsid w:val="004F6845"/>
    <w:rsid w:val="00501ACC"/>
    <w:rsid w:val="005039DA"/>
    <w:rsid w:val="005061D3"/>
    <w:rsid w:val="00512B1A"/>
    <w:rsid w:val="00532715"/>
    <w:rsid w:val="0053272D"/>
    <w:rsid w:val="00537F3D"/>
    <w:rsid w:val="00545F28"/>
    <w:rsid w:val="005464C0"/>
    <w:rsid w:val="00546C8D"/>
    <w:rsid w:val="00547BF4"/>
    <w:rsid w:val="0055021C"/>
    <w:rsid w:val="0055199C"/>
    <w:rsid w:val="00560AB4"/>
    <w:rsid w:val="0056239F"/>
    <w:rsid w:val="00565E73"/>
    <w:rsid w:val="00573EAC"/>
    <w:rsid w:val="00575BE9"/>
    <w:rsid w:val="00581B43"/>
    <w:rsid w:val="00593231"/>
    <w:rsid w:val="0059599D"/>
    <w:rsid w:val="00596D22"/>
    <w:rsid w:val="005A058A"/>
    <w:rsid w:val="005A15B1"/>
    <w:rsid w:val="005A45C1"/>
    <w:rsid w:val="005A5BF6"/>
    <w:rsid w:val="005A5C09"/>
    <w:rsid w:val="005A64CA"/>
    <w:rsid w:val="005A7CB3"/>
    <w:rsid w:val="005B4F24"/>
    <w:rsid w:val="005B6C1F"/>
    <w:rsid w:val="005C1ED1"/>
    <w:rsid w:val="005C45E8"/>
    <w:rsid w:val="005D10DB"/>
    <w:rsid w:val="005D5C86"/>
    <w:rsid w:val="005D7A6A"/>
    <w:rsid w:val="005E0CC5"/>
    <w:rsid w:val="005E4EAA"/>
    <w:rsid w:val="005F5C52"/>
    <w:rsid w:val="006008E5"/>
    <w:rsid w:val="00602798"/>
    <w:rsid w:val="00604588"/>
    <w:rsid w:val="00615E14"/>
    <w:rsid w:val="006207C6"/>
    <w:rsid w:val="00620BF3"/>
    <w:rsid w:val="006256DE"/>
    <w:rsid w:val="00634C8C"/>
    <w:rsid w:val="006365AF"/>
    <w:rsid w:val="00636A92"/>
    <w:rsid w:val="00643FE5"/>
    <w:rsid w:val="0064770B"/>
    <w:rsid w:val="00650FC9"/>
    <w:rsid w:val="0065528D"/>
    <w:rsid w:val="00655EE2"/>
    <w:rsid w:val="00680190"/>
    <w:rsid w:val="00680A08"/>
    <w:rsid w:val="006813CA"/>
    <w:rsid w:val="00685415"/>
    <w:rsid w:val="006905C0"/>
    <w:rsid w:val="0069431E"/>
    <w:rsid w:val="006961AB"/>
    <w:rsid w:val="0069679F"/>
    <w:rsid w:val="006A77AD"/>
    <w:rsid w:val="006B1BAC"/>
    <w:rsid w:val="006C0F89"/>
    <w:rsid w:val="006C4B09"/>
    <w:rsid w:val="006D112A"/>
    <w:rsid w:val="006D425A"/>
    <w:rsid w:val="006D7AA5"/>
    <w:rsid w:val="006E0939"/>
    <w:rsid w:val="006E0B98"/>
    <w:rsid w:val="006E60AA"/>
    <w:rsid w:val="006F515A"/>
    <w:rsid w:val="007048A8"/>
    <w:rsid w:val="0071229C"/>
    <w:rsid w:val="00713DFC"/>
    <w:rsid w:val="00723D06"/>
    <w:rsid w:val="00726201"/>
    <w:rsid w:val="007266DA"/>
    <w:rsid w:val="00734FAC"/>
    <w:rsid w:val="00737404"/>
    <w:rsid w:val="00741ECF"/>
    <w:rsid w:val="00742F76"/>
    <w:rsid w:val="00743123"/>
    <w:rsid w:val="007575F2"/>
    <w:rsid w:val="00764747"/>
    <w:rsid w:val="00766A6E"/>
    <w:rsid w:val="00767D97"/>
    <w:rsid w:val="007728CD"/>
    <w:rsid w:val="007756C0"/>
    <w:rsid w:val="00776B67"/>
    <w:rsid w:val="00780CAA"/>
    <w:rsid w:val="007831CA"/>
    <w:rsid w:val="00786E82"/>
    <w:rsid w:val="00786F0F"/>
    <w:rsid w:val="00795875"/>
    <w:rsid w:val="00796B23"/>
    <w:rsid w:val="007A1ADC"/>
    <w:rsid w:val="007A743B"/>
    <w:rsid w:val="007C3126"/>
    <w:rsid w:val="007D2A2A"/>
    <w:rsid w:val="007D32CB"/>
    <w:rsid w:val="007E31B5"/>
    <w:rsid w:val="007E4B74"/>
    <w:rsid w:val="007E4C1E"/>
    <w:rsid w:val="007E731B"/>
    <w:rsid w:val="007E7D77"/>
    <w:rsid w:val="007F04CF"/>
    <w:rsid w:val="007F19DF"/>
    <w:rsid w:val="007F50A9"/>
    <w:rsid w:val="007F5121"/>
    <w:rsid w:val="00800A69"/>
    <w:rsid w:val="00804F06"/>
    <w:rsid w:val="00807E19"/>
    <w:rsid w:val="00812640"/>
    <w:rsid w:val="0081430E"/>
    <w:rsid w:val="008220A2"/>
    <w:rsid w:val="008228DB"/>
    <w:rsid w:val="0082411A"/>
    <w:rsid w:val="00826CCD"/>
    <w:rsid w:val="008301C8"/>
    <w:rsid w:val="00831E3B"/>
    <w:rsid w:val="0084496D"/>
    <w:rsid w:val="00854F3C"/>
    <w:rsid w:val="0086178B"/>
    <w:rsid w:val="00863392"/>
    <w:rsid w:val="00863DBF"/>
    <w:rsid w:val="008640BF"/>
    <w:rsid w:val="00865106"/>
    <w:rsid w:val="008708A0"/>
    <w:rsid w:val="008722D0"/>
    <w:rsid w:val="00872FB4"/>
    <w:rsid w:val="008732D8"/>
    <w:rsid w:val="00875CFF"/>
    <w:rsid w:val="00883668"/>
    <w:rsid w:val="00887949"/>
    <w:rsid w:val="00890FBD"/>
    <w:rsid w:val="00891D23"/>
    <w:rsid w:val="008975D4"/>
    <w:rsid w:val="008A019B"/>
    <w:rsid w:val="008A49F8"/>
    <w:rsid w:val="008A56F3"/>
    <w:rsid w:val="008A6917"/>
    <w:rsid w:val="008A7E01"/>
    <w:rsid w:val="008B41B7"/>
    <w:rsid w:val="008C0BFD"/>
    <w:rsid w:val="008C1568"/>
    <w:rsid w:val="008C30D3"/>
    <w:rsid w:val="008C72D3"/>
    <w:rsid w:val="008D126F"/>
    <w:rsid w:val="008D532A"/>
    <w:rsid w:val="008E52F0"/>
    <w:rsid w:val="008E56AC"/>
    <w:rsid w:val="008E7150"/>
    <w:rsid w:val="008E71BF"/>
    <w:rsid w:val="008F6008"/>
    <w:rsid w:val="008F6999"/>
    <w:rsid w:val="00902395"/>
    <w:rsid w:val="00906BF8"/>
    <w:rsid w:val="009104A3"/>
    <w:rsid w:val="00912541"/>
    <w:rsid w:val="00914826"/>
    <w:rsid w:val="00915F99"/>
    <w:rsid w:val="00931EFD"/>
    <w:rsid w:val="0093275A"/>
    <w:rsid w:val="00935341"/>
    <w:rsid w:val="009438A8"/>
    <w:rsid w:val="009656D4"/>
    <w:rsid w:val="00975D57"/>
    <w:rsid w:val="009776C8"/>
    <w:rsid w:val="00977802"/>
    <w:rsid w:val="00982D50"/>
    <w:rsid w:val="009B0283"/>
    <w:rsid w:val="009B6F07"/>
    <w:rsid w:val="009B7788"/>
    <w:rsid w:val="009C772B"/>
    <w:rsid w:val="009D5A19"/>
    <w:rsid w:val="009D6BBC"/>
    <w:rsid w:val="009F12DE"/>
    <w:rsid w:val="009F64A1"/>
    <w:rsid w:val="00A0093B"/>
    <w:rsid w:val="00A00AD6"/>
    <w:rsid w:val="00A141AD"/>
    <w:rsid w:val="00A14983"/>
    <w:rsid w:val="00A2056C"/>
    <w:rsid w:val="00A208DB"/>
    <w:rsid w:val="00A224EA"/>
    <w:rsid w:val="00A235FC"/>
    <w:rsid w:val="00A26593"/>
    <w:rsid w:val="00A36EF1"/>
    <w:rsid w:val="00A41257"/>
    <w:rsid w:val="00A419A9"/>
    <w:rsid w:val="00A43D9F"/>
    <w:rsid w:val="00A46500"/>
    <w:rsid w:val="00A53213"/>
    <w:rsid w:val="00A532F1"/>
    <w:rsid w:val="00A55CB1"/>
    <w:rsid w:val="00A56880"/>
    <w:rsid w:val="00A728E2"/>
    <w:rsid w:val="00A72F79"/>
    <w:rsid w:val="00A760BE"/>
    <w:rsid w:val="00A81CDD"/>
    <w:rsid w:val="00A9567E"/>
    <w:rsid w:val="00AA7293"/>
    <w:rsid w:val="00AB7A4D"/>
    <w:rsid w:val="00AC0D50"/>
    <w:rsid w:val="00AC0FE8"/>
    <w:rsid w:val="00AC68DF"/>
    <w:rsid w:val="00AE0E68"/>
    <w:rsid w:val="00AE47F3"/>
    <w:rsid w:val="00AF366B"/>
    <w:rsid w:val="00B00B02"/>
    <w:rsid w:val="00B05B55"/>
    <w:rsid w:val="00B0704A"/>
    <w:rsid w:val="00B21763"/>
    <w:rsid w:val="00B23281"/>
    <w:rsid w:val="00B24BDD"/>
    <w:rsid w:val="00B263B9"/>
    <w:rsid w:val="00B41500"/>
    <w:rsid w:val="00B42155"/>
    <w:rsid w:val="00B426BC"/>
    <w:rsid w:val="00B51A60"/>
    <w:rsid w:val="00B61050"/>
    <w:rsid w:val="00B640D4"/>
    <w:rsid w:val="00B67368"/>
    <w:rsid w:val="00B73489"/>
    <w:rsid w:val="00B749DD"/>
    <w:rsid w:val="00B85223"/>
    <w:rsid w:val="00B90C1B"/>
    <w:rsid w:val="00B96D0E"/>
    <w:rsid w:val="00BA2071"/>
    <w:rsid w:val="00BB0EC4"/>
    <w:rsid w:val="00BC3A59"/>
    <w:rsid w:val="00BC5594"/>
    <w:rsid w:val="00BC6E21"/>
    <w:rsid w:val="00BD0E83"/>
    <w:rsid w:val="00BE0D3F"/>
    <w:rsid w:val="00BF233B"/>
    <w:rsid w:val="00BF57DF"/>
    <w:rsid w:val="00BF6E20"/>
    <w:rsid w:val="00BF7803"/>
    <w:rsid w:val="00C14173"/>
    <w:rsid w:val="00C15616"/>
    <w:rsid w:val="00C20A10"/>
    <w:rsid w:val="00C23BC3"/>
    <w:rsid w:val="00C2668D"/>
    <w:rsid w:val="00C276BD"/>
    <w:rsid w:val="00C42CEF"/>
    <w:rsid w:val="00C44D4D"/>
    <w:rsid w:val="00C505EE"/>
    <w:rsid w:val="00C55EAD"/>
    <w:rsid w:val="00C61A8F"/>
    <w:rsid w:val="00C62561"/>
    <w:rsid w:val="00C62616"/>
    <w:rsid w:val="00C62BCB"/>
    <w:rsid w:val="00C81D32"/>
    <w:rsid w:val="00C83589"/>
    <w:rsid w:val="00C9639B"/>
    <w:rsid w:val="00C968C0"/>
    <w:rsid w:val="00C97BE3"/>
    <w:rsid w:val="00CA3CFD"/>
    <w:rsid w:val="00CA677A"/>
    <w:rsid w:val="00CB12F5"/>
    <w:rsid w:val="00CB2DE9"/>
    <w:rsid w:val="00CC3B1D"/>
    <w:rsid w:val="00CD36EF"/>
    <w:rsid w:val="00CD6114"/>
    <w:rsid w:val="00CD6342"/>
    <w:rsid w:val="00CE0EDE"/>
    <w:rsid w:val="00CE5A79"/>
    <w:rsid w:val="00CF709B"/>
    <w:rsid w:val="00D00F20"/>
    <w:rsid w:val="00D04107"/>
    <w:rsid w:val="00D04943"/>
    <w:rsid w:val="00D1429D"/>
    <w:rsid w:val="00D15E27"/>
    <w:rsid w:val="00D177CB"/>
    <w:rsid w:val="00D30096"/>
    <w:rsid w:val="00D32A20"/>
    <w:rsid w:val="00D337A9"/>
    <w:rsid w:val="00D5100E"/>
    <w:rsid w:val="00D60B6E"/>
    <w:rsid w:val="00D7022A"/>
    <w:rsid w:val="00D712A2"/>
    <w:rsid w:val="00D73026"/>
    <w:rsid w:val="00D738C7"/>
    <w:rsid w:val="00D8480C"/>
    <w:rsid w:val="00D908A5"/>
    <w:rsid w:val="00D9187F"/>
    <w:rsid w:val="00D96F6B"/>
    <w:rsid w:val="00DA29D5"/>
    <w:rsid w:val="00DA5B24"/>
    <w:rsid w:val="00DB1C5C"/>
    <w:rsid w:val="00DB7E5B"/>
    <w:rsid w:val="00DC1F10"/>
    <w:rsid w:val="00DC278F"/>
    <w:rsid w:val="00DC6CBC"/>
    <w:rsid w:val="00DD2282"/>
    <w:rsid w:val="00DD5C1F"/>
    <w:rsid w:val="00DE2DC1"/>
    <w:rsid w:val="00DE327A"/>
    <w:rsid w:val="00DE587E"/>
    <w:rsid w:val="00E04066"/>
    <w:rsid w:val="00E064F2"/>
    <w:rsid w:val="00E1105B"/>
    <w:rsid w:val="00E1334B"/>
    <w:rsid w:val="00E1723A"/>
    <w:rsid w:val="00E17862"/>
    <w:rsid w:val="00E25B39"/>
    <w:rsid w:val="00E4222E"/>
    <w:rsid w:val="00E42547"/>
    <w:rsid w:val="00E51A49"/>
    <w:rsid w:val="00E5643B"/>
    <w:rsid w:val="00E56488"/>
    <w:rsid w:val="00E65CB2"/>
    <w:rsid w:val="00E71A55"/>
    <w:rsid w:val="00E75A6B"/>
    <w:rsid w:val="00E80397"/>
    <w:rsid w:val="00E80474"/>
    <w:rsid w:val="00E83FB7"/>
    <w:rsid w:val="00E84744"/>
    <w:rsid w:val="00E849BC"/>
    <w:rsid w:val="00E87CDB"/>
    <w:rsid w:val="00E92478"/>
    <w:rsid w:val="00E92F4B"/>
    <w:rsid w:val="00E95897"/>
    <w:rsid w:val="00EA1213"/>
    <w:rsid w:val="00EA4DF0"/>
    <w:rsid w:val="00EA6208"/>
    <w:rsid w:val="00EB4859"/>
    <w:rsid w:val="00EC6839"/>
    <w:rsid w:val="00EC740F"/>
    <w:rsid w:val="00ED16D4"/>
    <w:rsid w:val="00ED1E18"/>
    <w:rsid w:val="00EE0BCF"/>
    <w:rsid w:val="00EE30E6"/>
    <w:rsid w:val="00EE5CDA"/>
    <w:rsid w:val="00F05719"/>
    <w:rsid w:val="00F06925"/>
    <w:rsid w:val="00F1084D"/>
    <w:rsid w:val="00F23039"/>
    <w:rsid w:val="00F31826"/>
    <w:rsid w:val="00F411A0"/>
    <w:rsid w:val="00F44091"/>
    <w:rsid w:val="00F54B0B"/>
    <w:rsid w:val="00F55C10"/>
    <w:rsid w:val="00F65964"/>
    <w:rsid w:val="00F7202D"/>
    <w:rsid w:val="00F771A0"/>
    <w:rsid w:val="00F77DBD"/>
    <w:rsid w:val="00F832FE"/>
    <w:rsid w:val="00F845BF"/>
    <w:rsid w:val="00F916ED"/>
    <w:rsid w:val="00F92FCC"/>
    <w:rsid w:val="00FA4457"/>
    <w:rsid w:val="00FB1D68"/>
    <w:rsid w:val="00FB2862"/>
    <w:rsid w:val="00FB4029"/>
    <w:rsid w:val="00FD6CEB"/>
    <w:rsid w:val="00FE3D20"/>
    <w:rsid w:val="00FE682C"/>
    <w:rsid w:val="00FE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E24C5"/>
  <w15:chartTrackingRefBased/>
  <w15:docId w15:val="{F3E065C6-4360-4EF6-8323-5CD61DCF3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6DA"/>
    <w:rPr>
      <w:rFonts w:eastAsiaTheme="majorEastAsia" w:cstheme="majorBidi"/>
      <w:color w:val="272727" w:themeColor="text1" w:themeTint="D8"/>
    </w:rPr>
  </w:style>
  <w:style w:type="paragraph" w:styleId="Title">
    <w:name w:val="Title"/>
    <w:basedOn w:val="Normal"/>
    <w:next w:val="Normal"/>
    <w:link w:val="TitleChar"/>
    <w:uiPriority w:val="10"/>
    <w:qFormat/>
    <w:rsid w:val="00726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6DA"/>
    <w:pPr>
      <w:spacing w:before="160"/>
      <w:jc w:val="center"/>
    </w:pPr>
    <w:rPr>
      <w:i/>
      <w:iCs/>
      <w:color w:val="404040" w:themeColor="text1" w:themeTint="BF"/>
    </w:rPr>
  </w:style>
  <w:style w:type="character" w:customStyle="1" w:styleId="QuoteChar">
    <w:name w:val="Quote Char"/>
    <w:basedOn w:val="DefaultParagraphFont"/>
    <w:link w:val="Quote"/>
    <w:uiPriority w:val="29"/>
    <w:rsid w:val="007266DA"/>
    <w:rPr>
      <w:i/>
      <w:iCs/>
      <w:color w:val="404040" w:themeColor="text1" w:themeTint="BF"/>
    </w:rPr>
  </w:style>
  <w:style w:type="paragraph" w:styleId="ListParagraph">
    <w:name w:val="List Paragraph"/>
    <w:basedOn w:val="Normal"/>
    <w:uiPriority w:val="34"/>
    <w:qFormat/>
    <w:rsid w:val="007266DA"/>
    <w:pPr>
      <w:ind w:left="720"/>
      <w:contextualSpacing/>
    </w:pPr>
  </w:style>
  <w:style w:type="character" w:styleId="IntenseEmphasis">
    <w:name w:val="Intense Emphasis"/>
    <w:basedOn w:val="DefaultParagraphFont"/>
    <w:uiPriority w:val="21"/>
    <w:qFormat/>
    <w:rsid w:val="007266DA"/>
    <w:rPr>
      <w:i/>
      <w:iCs/>
      <w:color w:val="0F4761" w:themeColor="accent1" w:themeShade="BF"/>
    </w:rPr>
  </w:style>
  <w:style w:type="paragraph" w:styleId="IntenseQuote">
    <w:name w:val="Intense Quote"/>
    <w:basedOn w:val="Normal"/>
    <w:next w:val="Normal"/>
    <w:link w:val="IntenseQuoteChar"/>
    <w:uiPriority w:val="30"/>
    <w:qFormat/>
    <w:rsid w:val="00726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6DA"/>
    <w:rPr>
      <w:i/>
      <w:iCs/>
      <w:color w:val="0F4761" w:themeColor="accent1" w:themeShade="BF"/>
    </w:rPr>
  </w:style>
  <w:style w:type="character" w:styleId="IntenseReference">
    <w:name w:val="Intense Reference"/>
    <w:basedOn w:val="DefaultParagraphFont"/>
    <w:uiPriority w:val="32"/>
    <w:qFormat/>
    <w:rsid w:val="007266DA"/>
    <w:rPr>
      <w:b/>
      <w:bCs/>
      <w:smallCaps/>
      <w:color w:val="0F4761" w:themeColor="accent1" w:themeShade="BF"/>
      <w:spacing w:val="5"/>
    </w:rPr>
  </w:style>
  <w:style w:type="paragraph" w:styleId="NoSpacing">
    <w:name w:val="No Spacing"/>
    <w:link w:val="NoSpacingChar"/>
    <w:uiPriority w:val="1"/>
    <w:qFormat/>
    <w:rsid w:val="00E1786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7862"/>
    <w:rPr>
      <w:rFonts w:eastAsiaTheme="minorEastAsia"/>
      <w:kern w:val="0"/>
      <w:lang w:val="en-US"/>
      <w14:ligatures w14:val="none"/>
    </w:rPr>
  </w:style>
  <w:style w:type="paragraph" w:styleId="TOCHeading">
    <w:name w:val="TOC Heading"/>
    <w:basedOn w:val="Heading1"/>
    <w:next w:val="Normal"/>
    <w:uiPriority w:val="39"/>
    <w:unhideWhenUsed/>
    <w:qFormat/>
    <w:rsid w:val="005A5C09"/>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E80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97"/>
  </w:style>
  <w:style w:type="paragraph" w:styleId="Footer">
    <w:name w:val="footer"/>
    <w:basedOn w:val="Normal"/>
    <w:link w:val="FooterChar"/>
    <w:uiPriority w:val="99"/>
    <w:unhideWhenUsed/>
    <w:rsid w:val="00E80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97"/>
  </w:style>
  <w:style w:type="paragraph" w:customStyle="1" w:styleId="font-claude-response-body">
    <w:name w:val="font-claude-response-body"/>
    <w:basedOn w:val="Normal"/>
    <w:rsid w:val="004343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343A8"/>
    <w:rPr>
      <w:i/>
      <w:iCs/>
    </w:rPr>
  </w:style>
  <w:style w:type="character" w:styleId="Hyperlink">
    <w:name w:val="Hyperlink"/>
    <w:basedOn w:val="DefaultParagraphFont"/>
    <w:uiPriority w:val="99"/>
    <w:unhideWhenUsed/>
    <w:rsid w:val="004343A8"/>
    <w:rPr>
      <w:color w:val="0000FF"/>
      <w:u w:val="single"/>
    </w:rPr>
  </w:style>
  <w:style w:type="character" w:styleId="UnresolvedMention">
    <w:name w:val="Unresolved Mention"/>
    <w:basedOn w:val="DefaultParagraphFont"/>
    <w:uiPriority w:val="99"/>
    <w:semiHidden/>
    <w:unhideWhenUsed/>
    <w:rsid w:val="000C1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usingevidence.ac.uk/wp-content/uploads/2024/01/13091_CaCHE_Leasehold_Reform_Report-updated.pdf" TargetMode="External"/><Relationship Id="rId18" Type="http://schemas.openxmlformats.org/officeDocument/2006/relationships/hyperlink" Target="https://doi.org/10.1016/j.cptl.2018.03.019" TargetMode="External"/><Relationship Id="rId26" Type="http://schemas.openxmlformats.org/officeDocument/2006/relationships/hyperlink" Target="https://cdn.websitebuilder.service.justice.gov.uk/uploads/sites/54/2025/12/Residential-Leases-Event-fees-progress-report.pdf" TargetMode="External"/><Relationship Id="rId39" Type="http://schemas.openxmlformats.org/officeDocument/2006/relationships/footer" Target="footer2.xml"/><Relationship Id="rId21" Type="http://schemas.openxmlformats.org/officeDocument/2006/relationships/hyperlink" Target="https://www.fpra.org.uk/wp-content/uploads/BW-Leasehold-A-Guide-For-Owner-Occupiers-4th-Edition.pdf" TargetMode="External"/><Relationship Id="rId34" Type="http://schemas.openxmlformats.org/officeDocument/2006/relationships/hyperlink" Target="https://doi.org/10.1186/s12889-020-09224-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040/9781509963690.ch-009" TargetMode="External"/><Relationship Id="rId20" Type="http://schemas.openxmlformats.org/officeDocument/2006/relationships/hyperlink" Target="https://doi.org/10.1111/1467-954X.00088" TargetMode="External"/><Relationship Id="rId29" Type="http://schemas.openxmlformats.org/officeDocument/2006/relationships/hyperlink" Target="https://doi.org/10.1007/978-3-031-66014-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eing-better.org.uk/blogs/effects-financial-security-and-housing-tenure-enjoying-later-life" TargetMode="External"/><Relationship Id="rId24" Type="http://schemas.openxmlformats.org/officeDocument/2006/relationships/hyperlink" Target="https://hoa.org.uk/wp-content/uploads/2021/02/HomesHeldHostage.pdf" TargetMode="External"/><Relationship Id="rId32" Type="http://schemas.openxmlformats.org/officeDocument/2006/relationships/hyperlink" Target="https://doi.org/10.1177/1609406917733847" TargetMode="External"/><Relationship Id="rId37" Type="http://schemas.openxmlformats.org/officeDocument/2006/relationships/hyperlink" Target="https://www.gov.wales/sites/default/files/publications/2019-07/independent-review-of-residential-leasehold-report_1.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ps.org.uk/guideline/code-human-research-ethics" TargetMode="External"/><Relationship Id="rId23" Type="http://schemas.openxmlformats.org/officeDocument/2006/relationships/hyperlink" Target="https://publications.parliament.uk/pa/bills/cbill/58-04/0013/LeaseholdandFreeholdReformBillImpactAssessment.pdf" TargetMode="External"/><Relationship Id="rId28" Type="http://schemas.openxmlformats.org/officeDocument/2006/relationships/hyperlink" Target="https://consult.communities.gov.uk/leasehold-and-private-rented-sector/strengthening-leaseholder-protections-consultation/" TargetMode="External"/><Relationship Id="rId36" Type="http://schemas.openxmlformats.org/officeDocument/2006/relationships/hyperlink" Target="https://doi.org/10.17169/fqs-20.3.3376" TargetMode="External"/><Relationship Id="rId10" Type="http://schemas.openxmlformats.org/officeDocument/2006/relationships/footer" Target="footer1.xml"/><Relationship Id="rId19" Type="http://schemas.openxmlformats.org/officeDocument/2006/relationships/hyperlink" Target="https://doi.org/10.1080/17439760.2016.1262613" TargetMode="External"/><Relationship Id="rId31" Type="http://schemas.openxmlformats.org/officeDocument/2006/relationships/hyperlink" Target="https://iea.org.uk/publications/grounds-for-concern-leasehold-reform-and-the-future-of-home-ownership/"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1016/j.jphys.2021.11.002" TargetMode="External"/><Relationship Id="rId22" Type="http://schemas.openxmlformats.org/officeDocument/2006/relationships/hyperlink" Target="https://doi.org/10.1080/14036090120617" TargetMode="External"/><Relationship Id="rId27" Type="http://schemas.openxmlformats.org/officeDocument/2006/relationships/hyperlink" Target="https://www.londonforum.org.uk/reports/Too_little_too_late__Retirement_housing_-_June_2020.pdf" TargetMode="External"/><Relationship Id="rId30" Type="http://schemas.openxmlformats.org/officeDocument/2006/relationships/hyperlink" Target="https://doi.org/10.1177/16094069251333886" TargetMode="External"/><Relationship Id="rId35" Type="http://schemas.openxmlformats.org/officeDocument/2006/relationships/hyperlink" Target="https://doi.org/10.1136/bmj-2022-074256" TargetMode="External"/><Relationship Id="rId8" Type="http://schemas.openxmlformats.org/officeDocument/2006/relationships/image" Target="media/image1.wmf"/><Relationship Id="rId3" Type="http://schemas.openxmlformats.org/officeDocument/2006/relationships/styles" Target="styles.xml"/><Relationship Id="rId12" Type="http://schemas.openxmlformats.org/officeDocument/2006/relationships/hyperlink" Target="https://doi.org/10.1016/j.glmedi.2025.100198" TargetMode="External"/><Relationship Id="rId17" Type="http://schemas.openxmlformats.org/officeDocument/2006/relationships/hyperlink" Target="https://www.gov.wales/sites/default/files/statistics-and-research/2021-03/research-into-the-sale-and-use-of-leaseholds-in-wales.pdf" TargetMode="External"/><Relationship Id="rId25" Type="http://schemas.openxmlformats.org/officeDocument/2006/relationships/hyperlink" Target="https://assets.publishing.service.gov.uk/media/61b9f26f8fa8f50382035014/RTM-Report-final-N5.pdf" TargetMode="External"/><Relationship Id="rId33" Type="http://schemas.openxmlformats.org/officeDocument/2006/relationships/hyperlink" Target="https://doi.org/10.1177/16094069251372835" TargetMode="External"/><Relationship Id="rId38" Type="http://schemas.openxmlformats.org/officeDocument/2006/relationships/hyperlink" Target="https://www.gov.wales/research-sale-and-use-leaseholds-wales-summa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662D26-8D2A-4ED4-962C-01A8C25F8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2049</TotalTime>
  <Pages>47</Pages>
  <Words>15420</Words>
  <Characters>87895</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103109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Author:       Violeta Alina Moros</dc:subject>
  <dc:creator>alina moros</dc:creator>
  <cp:keywords/>
  <dc:description/>
  <cp:lastModifiedBy>alina moros</cp:lastModifiedBy>
  <cp:revision>479</cp:revision>
  <cp:lastPrinted>2026-07-09T07:59:00Z</cp:lastPrinted>
  <dcterms:created xsi:type="dcterms:W3CDTF">2026-04-27T17:57:00Z</dcterms:created>
  <dcterms:modified xsi:type="dcterms:W3CDTF">2026-07-10T08:39:00Z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0bf66b23-5d26-46d5-ae6f-654aa74b5e15</vt:lpwstr>
  </property>
</Properties>
</file>