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46AB" w:rsidRDefault="00B246AB"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‘Critically Consider How Accurate the Notion is that Rome’s Indian Ocean Trade Harmed the Empire’s Economy.’</w:t>
      </w:r>
    </w:p>
    <w:p w:rsidR="00B246AB" w:rsidRDefault="002025F9"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The notion that Roman</w:t>
      </w:r>
      <w:r w:rsidR="00B246AB">
        <w:rPr>
          <w:rFonts w:ascii="Times New Roman" w:hAnsi="Times New Roman" w:cs="Times New Roman"/>
          <w:sz w:val="24"/>
          <w:szCs w:val="24"/>
        </w:rPr>
        <w:t xml:space="preserve"> trade during the imperial period had a negative impact on the Empire’s economy is one </w:t>
      </w:r>
      <w:r w:rsidR="00EE1C3C">
        <w:rPr>
          <w:rFonts w:ascii="Times New Roman" w:hAnsi="Times New Roman" w:cs="Times New Roman"/>
          <w:sz w:val="24"/>
          <w:szCs w:val="24"/>
        </w:rPr>
        <w:t>which has been debated</w:t>
      </w:r>
      <w:r w:rsidR="00B246AB">
        <w:rPr>
          <w:rFonts w:ascii="Times New Roman" w:hAnsi="Times New Roman" w:cs="Times New Roman"/>
          <w:sz w:val="24"/>
          <w:szCs w:val="24"/>
        </w:rPr>
        <w:t xml:space="preserve"> by modern scholarship and remains a key issue when considering Rome’s economic activity in the Indian Ocean.</w:t>
      </w:r>
      <w:r w:rsidR="00B246AB">
        <w:rPr>
          <w:rStyle w:val="FootnoteReference"/>
          <w:rFonts w:ascii="Times New Roman" w:hAnsi="Times New Roman" w:cs="Times New Roman"/>
          <w:sz w:val="24"/>
          <w:szCs w:val="24"/>
        </w:rPr>
        <w:footnoteReference w:id="1"/>
      </w:r>
      <w:r w:rsidR="00B246AB">
        <w:rPr>
          <w:rFonts w:ascii="Times New Roman" w:hAnsi="Times New Roman" w:cs="Times New Roman"/>
          <w:sz w:val="24"/>
          <w:szCs w:val="24"/>
        </w:rPr>
        <w:t xml:space="preserve"> The crux of this debate fo</w:t>
      </w:r>
      <w:r w:rsidR="00EE1C3C">
        <w:rPr>
          <w:rFonts w:ascii="Times New Roman" w:hAnsi="Times New Roman" w:cs="Times New Roman"/>
          <w:sz w:val="24"/>
          <w:szCs w:val="24"/>
        </w:rPr>
        <w:t>cuses</w:t>
      </w:r>
      <w:r w:rsidR="00B246AB">
        <w:rPr>
          <w:rFonts w:ascii="Times New Roman" w:hAnsi="Times New Roman" w:cs="Times New Roman"/>
          <w:sz w:val="24"/>
          <w:szCs w:val="24"/>
        </w:rPr>
        <w:t xml:space="preserve"> on the possibility of th</w:t>
      </w:r>
      <w:bookmarkStart w:id="0" w:name="_GoBack"/>
      <w:bookmarkEnd w:id="0"/>
      <w:r w:rsidR="00B246AB">
        <w:rPr>
          <w:rFonts w:ascii="Times New Roman" w:hAnsi="Times New Roman" w:cs="Times New Roman"/>
          <w:sz w:val="24"/>
          <w:szCs w:val="24"/>
        </w:rPr>
        <w:t xml:space="preserve">e Indian Ocean trade having extracted large quantities of valuable metal coinage from the Roman Empire due to a lack of </w:t>
      </w:r>
      <w:r w:rsidR="00EE1C3C">
        <w:rPr>
          <w:rFonts w:ascii="Times New Roman" w:hAnsi="Times New Roman" w:cs="Times New Roman"/>
          <w:sz w:val="24"/>
          <w:szCs w:val="24"/>
        </w:rPr>
        <w:t>desired in-kind exports,</w:t>
      </w:r>
      <w:r w:rsidR="00D147C6">
        <w:rPr>
          <w:rFonts w:ascii="Times New Roman" w:hAnsi="Times New Roman" w:cs="Times New Roman"/>
          <w:sz w:val="24"/>
          <w:szCs w:val="24"/>
        </w:rPr>
        <w:t xml:space="preserve"> therefore,</w:t>
      </w:r>
      <w:r w:rsidR="00B246AB">
        <w:rPr>
          <w:rFonts w:ascii="Times New Roman" w:hAnsi="Times New Roman" w:cs="Times New Roman"/>
          <w:sz w:val="24"/>
          <w:szCs w:val="24"/>
        </w:rPr>
        <w:t xml:space="preserve"> causing a trade imbalance.</w:t>
      </w:r>
      <w:r w:rsidR="00B246AB">
        <w:rPr>
          <w:rStyle w:val="FootnoteReference"/>
          <w:rFonts w:ascii="Times New Roman" w:hAnsi="Times New Roman" w:cs="Times New Roman"/>
          <w:sz w:val="24"/>
          <w:szCs w:val="24"/>
        </w:rPr>
        <w:footnoteReference w:id="2"/>
      </w:r>
      <w:r w:rsidR="00B246AB">
        <w:rPr>
          <w:rFonts w:ascii="Times New Roman" w:hAnsi="Times New Roman" w:cs="Times New Roman"/>
          <w:sz w:val="24"/>
          <w:szCs w:val="24"/>
        </w:rPr>
        <w:t xml:space="preserve">  Notable modern s</w:t>
      </w:r>
      <w:r w:rsidR="009C010A">
        <w:rPr>
          <w:rFonts w:ascii="Times New Roman" w:hAnsi="Times New Roman" w:cs="Times New Roman"/>
          <w:sz w:val="24"/>
          <w:szCs w:val="24"/>
        </w:rPr>
        <w:t>cholars who argue in favour of this</w:t>
      </w:r>
      <w:r w:rsidR="00B246AB">
        <w:rPr>
          <w:rFonts w:ascii="Times New Roman" w:hAnsi="Times New Roman" w:cs="Times New Roman"/>
          <w:sz w:val="24"/>
          <w:szCs w:val="24"/>
        </w:rPr>
        <w:t xml:space="preserve"> include </w:t>
      </w:r>
      <w:proofErr w:type="spellStart"/>
      <w:r w:rsidR="00B246AB">
        <w:rPr>
          <w:rFonts w:ascii="Times New Roman" w:hAnsi="Times New Roman" w:cs="Times New Roman"/>
          <w:sz w:val="24"/>
          <w:szCs w:val="24"/>
        </w:rPr>
        <w:t>Warmington</w:t>
      </w:r>
      <w:proofErr w:type="spellEnd"/>
      <w:r w:rsidR="00B246AB">
        <w:rPr>
          <w:rFonts w:ascii="Times New Roman" w:hAnsi="Times New Roman" w:cs="Times New Roman"/>
          <w:sz w:val="24"/>
          <w:szCs w:val="24"/>
        </w:rPr>
        <w:t xml:space="preserve"> as early as the 1920s and </w:t>
      </w:r>
      <w:proofErr w:type="spellStart"/>
      <w:r w:rsidR="00B246AB">
        <w:rPr>
          <w:rFonts w:ascii="Times New Roman" w:hAnsi="Times New Roman" w:cs="Times New Roman"/>
          <w:sz w:val="24"/>
          <w:szCs w:val="24"/>
        </w:rPr>
        <w:t>Mclaughlin</w:t>
      </w:r>
      <w:proofErr w:type="spellEnd"/>
      <w:r w:rsidR="00B246AB">
        <w:rPr>
          <w:rFonts w:ascii="Times New Roman" w:hAnsi="Times New Roman" w:cs="Times New Roman"/>
          <w:sz w:val="24"/>
          <w:szCs w:val="24"/>
        </w:rPr>
        <w:t xml:space="preserve"> as recently as 2014 who suggest that this was the case primarily based on figures from Pliny the Elder, supported by Roman numismatic evidence discovered in India.</w:t>
      </w:r>
      <w:r w:rsidR="00B246AB">
        <w:rPr>
          <w:rStyle w:val="FootnoteReference"/>
          <w:rFonts w:ascii="Times New Roman" w:hAnsi="Times New Roman" w:cs="Times New Roman"/>
          <w:sz w:val="24"/>
          <w:szCs w:val="24"/>
        </w:rPr>
        <w:footnoteReference w:id="3"/>
      </w:r>
      <w:r w:rsidR="00B246AB">
        <w:rPr>
          <w:rFonts w:ascii="Times New Roman" w:hAnsi="Times New Roman" w:cs="Times New Roman"/>
          <w:sz w:val="24"/>
          <w:szCs w:val="24"/>
        </w:rPr>
        <w:t xml:space="preserve"> On the ot</w:t>
      </w:r>
      <w:r w:rsidR="00EE1C3C">
        <w:rPr>
          <w:rFonts w:ascii="Times New Roman" w:hAnsi="Times New Roman" w:cs="Times New Roman"/>
          <w:sz w:val="24"/>
          <w:szCs w:val="24"/>
        </w:rPr>
        <w:t>her hand,</w:t>
      </w:r>
      <w:r w:rsidR="00B246AB">
        <w:rPr>
          <w:rFonts w:ascii="Times New Roman" w:hAnsi="Times New Roman" w:cs="Times New Roman"/>
          <w:sz w:val="24"/>
          <w:szCs w:val="24"/>
        </w:rPr>
        <w:t xml:space="preserve"> modern scholars such </w:t>
      </w:r>
      <w:r>
        <w:rPr>
          <w:rFonts w:ascii="Times New Roman" w:hAnsi="Times New Roman" w:cs="Times New Roman"/>
          <w:sz w:val="24"/>
          <w:szCs w:val="24"/>
        </w:rPr>
        <w:t>as Young, Parker, and Turner have</w:t>
      </w:r>
      <w:r w:rsidR="00B246AB">
        <w:rPr>
          <w:rFonts w:ascii="Times New Roman" w:hAnsi="Times New Roman" w:cs="Times New Roman"/>
          <w:sz w:val="24"/>
          <w:szCs w:val="24"/>
        </w:rPr>
        <w:t xml:space="preserve"> argued against such a proposition</w:t>
      </w:r>
      <w:r w:rsidR="00EE1C3C">
        <w:rPr>
          <w:rFonts w:ascii="Times New Roman" w:hAnsi="Times New Roman" w:cs="Times New Roman"/>
          <w:sz w:val="24"/>
          <w:szCs w:val="24"/>
        </w:rPr>
        <w:t xml:space="preserve"> for a number</w:t>
      </w:r>
      <w:r w:rsidR="009C010A">
        <w:rPr>
          <w:rFonts w:ascii="Times New Roman" w:hAnsi="Times New Roman" w:cs="Times New Roman"/>
          <w:sz w:val="24"/>
          <w:szCs w:val="24"/>
        </w:rPr>
        <w:t xml:space="preserve"> of reasons.</w:t>
      </w:r>
      <w:r w:rsidR="009C010A">
        <w:rPr>
          <w:rStyle w:val="FootnoteReference"/>
          <w:rFonts w:ascii="Times New Roman" w:hAnsi="Times New Roman" w:cs="Times New Roman"/>
          <w:sz w:val="24"/>
          <w:szCs w:val="24"/>
        </w:rPr>
        <w:footnoteReference w:id="4"/>
      </w:r>
      <w:r w:rsidR="009C010A">
        <w:rPr>
          <w:rFonts w:ascii="Times New Roman" w:hAnsi="Times New Roman" w:cs="Times New Roman"/>
          <w:sz w:val="24"/>
          <w:szCs w:val="24"/>
        </w:rPr>
        <w:t xml:space="preserve"> Nevertheless, further evidence from sources such as the anonymous author of the </w:t>
      </w:r>
      <w:r w:rsidR="009C010A">
        <w:rPr>
          <w:rFonts w:ascii="Times New Roman" w:hAnsi="Times New Roman" w:cs="Times New Roman"/>
          <w:i/>
          <w:sz w:val="24"/>
          <w:szCs w:val="24"/>
        </w:rPr>
        <w:t xml:space="preserve">Periplus </w:t>
      </w:r>
      <w:r w:rsidR="009C010A">
        <w:rPr>
          <w:rFonts w:ascii="Times New Roman" w:hAnsi="Times New Roman" w:cs="Times New Roman"/>
          <w:sz w:val="24"/>
          <w:szCs w:val="24"/>
        </w:rPr>
        <w:t>and apparent concern amongst the Roman elite about the drain of wealth to pay for long-distance</w:t>
      </w:r>
      <w:r w:rsidR="004A3616">
        <w:rPr>
          <w:rFonts w:ascii="Times New Roman" w:hAnsi="Times New Roman" w:cs="Times New Roman"/>
          <w:sz w:val="24"/>
          <w:szCs w:val="24"/>
        </w:rPr>
        <w:t xml:space="preserve"> trade</w:t>
      </w:r>
      <w:r w:rsidR="009C010A">
        <w:rPr>
          <w:rFonts w:ascii="Times New Roman" w:hAnsi="Times New Roman" w:cs="Times New Roman"/>
          <w:sz w:val="24"/>
          <w:szCs w:val="24"/>
        </w:rPr>
        <w:t xml:space="preserve"> make this a particularly complex and important question to resolve.</w:t>
      </w:r>
      <w:r w:rsidR="009C010A">
        <w:rPr>
          <w:rStyle w:val="FootnoteReference"/>
          <w:rFonts w:ascii="Times New Roman" w:hAnsi="Times New Roman" w:cs="Times New Roman"/>
          <w:sz w:val="24"/>
          <w:szCs w:val="24"/>
        </w:rPr>
        <w:footnoteReference w:id="5"/>
      </w:r>
      <w:r w:rsidR="009C010A">
        <w:rPr>
          <w:rFonts w:ascii="Times New Roman" w:hAnsi="Times New Roman" w:cs="Times New Roman"/>
          <w:sz w:val="24"/>
          <w:szCs w:val="24"/>
        </w:rPr>
        <w:t xml:space="preserve">  </w:t>
      </w:r>
    </w:p>
    <w:p w:rsidR="009C010A" w:rsidRDefault="009671C1"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The primary source which has led</w:t>
      </w:r>
      <w:r w:rsidR="0037338B">
        <w:rPr>
          <w:rFonts w:ascii="Times New Roman" w:hAnsi="Times New Roman" w:cs="Times New Roman"/>
          <w:sz w:val="24"/>
          <w:szCs w:val="24"/>
        </w:rPr>
        <w:t xml:space="preserve"> modern scholars</w:t>
      </w:r>
      <w:r>
        <w:rPr>
          <w:rFonts w:ascii="Times New Roman" w:hAnsi="Times New Roman" w:cs="Times New Roman"/>
          <w:sz w:val="24"/>
          <w:szCs w:val="24"/>
        </w:rPr>
        <w:t xml:space="preserve"> to notions of the trade doing harm to the Roman economy is a series of controversial figures contained in books 6 and 12 of Pliny the Elder’s </w:t>
      </w:r>
      <w:r w:rsidRPr="0037338B">
        <w:rPr>
          <w:rFonts w:ascii="Times New Roman" w:hAnsi="Times New Roman" w:cs="Times New Roman"/>
          <w:i/>
          <w:sz w:val="24"/>
          <w:szCs w:val="24"/>
        </w:rPr>
        <w:t>Natural History</w:t>
      </w:r>
      <w:r w:rsidR="0037338B">
        <w:rPr>
          <w:rFonts w:ascii="Times New Roman" w:hAnsi="Times New Roman" w:cs="Times New Roman"/>
          <w:sz w:val="24"/>
          <w:szCs w:val="24"/>
        </w:rPr>
        <w:t>:</w:t>
      </w:r>
    </w:p>
    <w:p w:rsidR="0037338B" w:rsidRDefault="00EA3B7A" w:rsidP="009C010A">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“And it will not be inappropriate to set out the entire route from Egypt, now that reliable information is available for the first time. It is an important topic, given that in no year does India drain off less than fifty million sesterces of our empire’s wealth, sending back goods to be sold amongst us at a hundred times the original cost.”</w:t>
      </w:r>
      <w:r>
        <w:rPr>
          <w:rStyle w:val="FootnoteReference"/>
          <w:rFonts w:ascii="Times New Roman" w:hAnsi="Times New Roman" w:cs="Times New Roman"/>
          <w:sz w:val="24"/>
          <w:szCs w:val="24"/>
        </w:rPr>
        <w:footnoteReference w:id="6"/>
      </w:r>
    </w:p>
    <w:p w:rsidR="00EA3B7A" w:rsidRDefault="00EA3B7A" w:rsidP="009C010A">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“But the title ‘happy’ is still more appropriate to the Arabian Sea, for it is the source of the pearls which that country sends us. And by the lowest count India, China and the Arabian Peninsula remove 100 million sesterces from our empire each year – that is what our luxuries </w:t>
      </w:r>
      <w:r w:rsidRPr="00AE4881">
        <w:rPr>
          <w:rFonts w:ascii="Times New Roman" w:hAnsi="Times New Roman" w:cs="Times New Roman"/>
          <w:sz w:val="24"/>
          <w:szCs w:val="24"/>
        </w:rPr>
        <w:lastRenderedPageBreak/>
        <w:t>and our women cost us. For what fraction of these, I ask you, now goes to the gods or too the underworld deities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p>
    <w:p w:rsidR="00C7109A" w:rsidRDefault="00EA3B7A"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Warmington</w:t>
      </w:r>
      <w:proofErr w:type="spellEnd"/>
      <w:r>
        <w:rPr>
          <w:rFonts w:ascii="Times New Roman" w:hAnsi="Times New Roman" w:cs="Times New Roman"/>
          <w:sz w:val="24"/>
          <w:szCs w:val="24"/>
        </w:rPr>
        <w:t>, based on these figures, argues that, since the focus of Roman exports seems to be on the weight and the size of the items then they (the Romans) appear to be importing less than they are exporting.</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Therefore, he argues that the figure of 50 million sesterces recorded by Pliny represent</w:t>
      </w:r>
      <w:r w:rsidR="00D147C6">
        <w:rPr>
          <w:rFonts w:ascii="Times New Roman" w:hAnsi="Times New Roman" w:cs="Times New Roman"/>
          <w:sz w:val="24"/>
          <w:szCs w:val="24"/>
        </w:rPr>
        <w:t>s</w:t>
      </w:r>
      <w:r>
        <w:rPr>
          <w:rFonts w:ascii="Times New Roman" w:hAnsi="Times New Roman" w:cs="Times New Roman"/>
          <w:sz w:val="24"/>
          <w:szCs w:val="24"/>
        </w:rPr>
        <w:t xml:space="preserve"> an export of imperial coinage to pay for expensive Indian products that less valuable goods in kind could not pay for.</w:t>
      </w:r>
      <w:r>
        <w:rPr>
          <w:rStyle w:val="FootnoteReference"/>
          <w:rFonts w:ascii="Times New Roman" w:hAnsi="Times New Roman" w:cs="Times New Roman"/>
          <w:sz w:val="24"/>
          <w:szCs w:val="24"/>
        </w:rPr>
        <w:footnoteReference w:id="9"/>
      </w:r>
      <w:r w:rsidR="00B477F8">
        <w:rPr>
          <w:rFonts w:ascii="Times New Roman" w:hAnsi="Times New Roman" w:cs="Times New Roman"/>
          <w:sz w:val="24"/>
          <w:szCs w:val="24"/>
        </w:rPr>
        <w:t xml:space="preserve"> </w:t>
      </w:r>
      <w:r w:rsidR="00EA78CB">
        <w:rPr>
          <w:rFonts w:ascii="Times New Roman" w:hAnsi="Times New Roman" w:cs="Times New Roman"/>
          <w:sz w:val="24"/>
          <w:szCs w:val="24"/>
        </w:rPr>
        <w:t xml:space="preserve">Similarly, </w:t>
      </w:r>
      <w:proofErr w:type="spellStart"/>
      <w:r w:rsidR="00EA78CB">
        <w:rPr>
          <w:rFonts w:ascii="Times New Roman" w:hAnsi="Times New Roman" w:cs="Times New Roman"/>
          <w:sz w:val="24"/>
          <w:szCs w:val="24"/>
        </w:rPr>
        <w:t>Mclaughlin</w:t>
      </w:r>
      <w:proofErr w:type="spellEnd"/>
      <w:r w:rsidR="00EA78CB">
        <w:rPr>
          <w:rFonts w:ascii="Times New Roman" w:hAnsi="Times New Roman" w:cs="Times New Roman"/>
          <w:sz w:val="24"/>
          <w:szCs w:val="24"/>
        </w:rPr>
        <w:t xml:space="preserve"> appears to v</w:t>
      </w:r>
      <w:r w:rsidR="00EE1C3C">
        <w:rPr>
          <w:rFonts w:ascii="Times New Roman" w:hAnsi="Times New Roman" w:cs="Times New Roman"/>
          <w:sz w:val="24"/>
          <w:szCs w:val="24"/>
        </w:rPr>
        <w:t>iew Pliny’s figures as references</w:t>
      </w:r>
      <w:r w:rsidR="00EA78CB">
        <w:rPr>
          <w:rFonts w:ascii="Times New Roman" w:hAnsi="Times New Roman" w:cs="Times New Roman"/>
          <w:sz w:val="24"/>
          <w:szCs w:val="24"/>
        </w:rPr>
        <w:t xml:space="preserve"> to the amount of </w:t>
      </w:r>
      <w:r w:rsidR="00B55107">
        <w:rPr>
          <w:rFonts w:ascii="Times New Roman" w:hAnsi="Times New Roman" w:cs="Times New Roman"/>
          <w:sz w:val="24"/>
          <w:szCs w:val="24"/>
        </w:rPr>
        <w:t xml:space="preserve"> gold and </w:t>
      </w:r>
      <w:r w:rsidR="00EA78CB">
        <w:rPr>
          <w:rFonts w:ascii="Times New Roman" w:hAnsi="Times New Roman" w:cs="Times New Roman"/>
          <w:sz w:val="24"/>
          <w:szCs w:val="24"/>
        </w:rPr>
        <w:t>silver that was removed from the empire via the</w:t>
      </w:r>
      <w:r w:rsidR="004A3616">
        <w:rPr>
          <w:rFonts w:ascii="Times New Roman" w:hAnsi="Times New Roman" w:cs="Times New Roman"/>
          <w:sz w:val="24"/>
          <w:szCs w:val="24"/>
        </w:rPr>
        <w:t xml:space="preserve"> Indian Ocean</w:t>
      </w:r>
      <w:r w:rsidR="00EA78CB">
        <w:rPr>
          <w:rFonts w:ascii="Times New Roman" w:hAnsi="Times New Roman" w:cs="Times New Roman"/>
          <w:sz w:val="24"/>
          <w:szCs w:val="24"/>
        </w:rPr>
        <w:t xml:space="preserve"> trade each year.</w:t>
      </w:r>
      <w:r w:rsidR="00EA78CB">
        <w:rPr>
          <w:rStyle w:val="FootnoteReference"/>
          <w:rFonts w:ascii="Times New Roman" w:hAnsi="Times New Roman" w:cs="Times New Roman"/>
          <w:sz w:val="24"/>
          <w:szCs w:val="24"/>
        </w:rPr>
        <w:footnoteReference w:id="10"/>
      </w:r>
      <w:r w:rsidR="00EA78CB">
        <w:rPr>
          <w:rFonts w:ascii="Times New Roman" w:hAnsi="Times New Roman" w:cs="Times New Roman"/>
          <w:sz w:val="24"/>
          <w:szCs w:val="24"/>
        </w:rPr>
        <w:t xml:space="preserve"> Indeed, for </w:t>
      </w:r>
      <w:proofErr w:type="spellStart"/>
      <w:r w:rsidR="00EA78CB">
        <w:rPr>
          <w:rFonts w:ascii="Times New Roman" w:hAnsi="Times New Roman" w:cs="Times New Roman"/>
          <w:sz w:val="24"/>
          <w:szCs w:val="24"/>
        </w:rPr>
        <w:t>Mclaughlin</w:t>
      </w:r>
      <w:proofErr w:type="spellEnd"/>
      <w:r w:rsidR="00EA78CB">
        <w:rPr>
          <w:rFonts w:ascii="Times New Roman" w:hAnsi="Times New Roman" w:cs="Times New Roman"/>
          <w:sz w:val="24"/>
          <w:szCs w:val="24"/>
        </w:rPr>
        <w:t>, as long as precious metal was continually produced then this deficit was manageable.</w:t>
      </w:r>
      <w:r w:rsidR="00EA78CB">
        <w:rPr>
          <w:rStyle w:val="FootnoteReference"/>
          <w:rFonts w:ascii="Times New Roman" w:hAnsi="Times New Roman" w:cs="Times New Roman"/>
          <w:sz w:val="24"/>
          <w:szCs w:val="24"/>
        </w:rPr>
        <w:footnoteReference w:id="11"/>
      </w:r>
      <w:r w:rsidR="00EA78CB">
        <w:rPr>
          <w:rFonts w:ascii="Times New Roman" w:hAnsi="Times New Roman" w:cs="Times New Roman"/>
          <w:sz w:val="24"/>
          <w:szCs w:val="24"/>
        </w:rPr>
        <w:t xml:space="preserve"> However, he argues that along with the rising cost of the military during the imperial period then this loss of coinage had a profoundly negative impact on the Roman economy.</w:t>
      </w:r>
      <w:r w:rsidR="00EA78CB">
        <w:rPr>
          <w:rStyle w:val="FootnoteReference"/>
          <w:rFonts w:ascii="Times New Roman" w:hAnsi="Times New Roman" w:cs="Times New Roman"/>
          <w:sz w:val="24"/>
          <w:szCs w:val="24"/>
        </w:rPr>
        <w:footnoteReference w:id="12"/>
      </w:r>
      <w:r w:rsidR="00EA78CB">
        <w:rPr>
          <w:rFonts w:ascii="Times New Roman" w:hAnsi="Times New Roman" w:cs="Times New Roman"/>
          <w:sz w:val="24"/>
          <w:szCs w:val="24"/>
        </w:rPr>
        <w:t xml:space="preserve"> </w:t>
      </w:r>
    </w:p>
    <w:p w:rsidR="00B246AB" w:rsidRDefault="00EA78CB"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while Pliny does not directly mention that this loss was one of precious metal coinage </w:t>
      </w:r>
      <w:proofErr w:type="spellStart"/>
      <w:r>
        <w:rPr>
          <w:rFonts w:ascii="Times New Roman" w:hAnsi="Times New Roman" w:cs="Times New Roman"/>
          <w:sz w:val="24"/>
          <w:szCs w:val="24"/>
        </w:rPr>
        <w:t>Warmington</w:t>
      </w:r>
      <w:proofErr w:type="spellEnd"/>
      <w:r>
        <w:rPr>
          <w:rFonts w:ascii="Times New Roman" w:hAnsi="Times New Roman" w:cs="Times New Roman"/>
          <w:sz w:val="24"/>
          <w:szCs w:val="24"/>
        </w:rPr>
        <w:t xml:space="preserve"> has argued that this seems likely based on the numismatic evidence of coins discovered in India.</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Additionally, the 1</w:t>
      </w:r>
      <w:r w:rsidRPr="00EA78C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AD merchant’s guide known as the </w:t>
      </w:r>
      <w:r>
        <w:rPr>
          <w:rFonts w:ascii="Times New Roman" w:hAnsi="Times New Roman" w:cs="Times New Roman"/>
          <w:i/>
          <w:sz w:val="24"/>
          <w:szCs w:val="24"/>
        </w:rPr>
        <w:t xml:space="preserve">Periplus </w:t>
      </w:r>
      <w:r w:rsidR="000C7C83">
        <w:rPr>
          <w:rFonts w:ascii="Times New Roman" w:hAnsi="Times New Roman" w:cs="Times New Roman"/>
          <w:sz w:val="24"/>
          <w:szCs w:val="24"/>
        </w:rPr>
        <w:t>highlights the exchange of coined money</w:t>
      </w:r>
      <w:r>
        <w:rPr>
          <w:rFonts w:ascii="Times New Roman" w:hAnsi="Times New Roman" w:cs="Times New Roman"/>
          <w:sz w:val="24"/>
          <w:szCs w:val="24"/>
        </w:rPr>
        <w:t xml:space="preserve"> for pepper, further supporting this notion of a potential loss of precious metal coinage.</w:t>
      </w:r>
      <w:r>
        <w:rPr>
          <w:rStyle w:val="FootnoteReference"/>
          <w:rFonts w:ascii="Times New Roman" w:hAnsi="Times New Roman" w:cs="Times New Roman"/>
          <w:sz w:val="24"/>
          <w:szCs w:val="24"/>
        </w:rPr>
        <w:footnoteReference w:id="14"/>
      </w:r>
      <w:r w:rsidR="00D64C4A">
        <w:rPr>
          <w:rFonts w:ascii="Times New Roman" w:hAnsi="Times New Roman" w:cs="Times New Roman"/>
          <w:sz w:val="24"/>
          <w:szCs w:val="24"/>
        </w:rPr>
        <w:t xml:space="preserve"> It is with this evidence from the </w:t>
      </w:r>
      <w:r w:rsidR="00D64C4A">
        <w:rPr>
          <w:rFonts w:ascii="Times New Roman" w:hAnsi="Times New Roman" w:cs="Times New Roman"/>
          <w:i/>
          <w:sz w:val="24"/>
          <w:szCs w:val="24"/>
        </w:rPr>
        <w:t>Periplus</w:t>
      </w:r>
      <w:r w:rsidR="00D64C4A">
        <w:rPr>
          <w:rFonts w:ascii="Times New Roman" w:hAnsi="Times New Roman" w:cs="Times New Roman"/>
          <w:sz w:val="24"/>
          <w:szCs w:val="24"/>
        </w:rPr>
        <w:t>, along with a further mention of coin-exchange in chapter 49 that Fitzpatrick suggests that the majority of trade was conducted in pr</w:t>
      </w:r>
      <w:r w:rsidR="00D147C6">
        <w:rPr>
          <w:rFonts w:ascii="Times New Roman" w:hAnsi="Times New Roman" w:cs="Times New Roman"/>
          <w:sz w:val="24"/>
          <w:szCs w:val="24"/>
        </w:rPr>
        <w:t>ecious metal</w:t>
      </w:r>
      <w:r w:rsidR="00D64C4A">
        <w:rPr>
          <w:rFonts w:ascii="Times New Roman" w:hAnsi="Times New Roman" w:cs="Times New Roman"/>
          <w:sz w:val="24"/>
          <w:szCs w:val="24"/>
        </w:rPr>
        <w:t>.</w:t>
      </w:r>
      <w:r w:rsidR="00D64C4A">
        <w:rPr>
          <w:rStyle w:val="FootnoteReference"/>
          <w:rFonts w:ascii="Times New Roman" w:hAnsi="Times New Roman" w:cs="Times New Roman"/>
          <w:sz w:val="24"/>
          <w:szCs w:val="24"/>
        </w:rPr>
        <w:footnoteReference w:id="15"/>
      </w:r>
      <w:r w:rsidR="00D64C4A">
        <w:rPr>
          <w:rFonts w:ascii="Times New Roman" w:hAnsi="Times New Roman" w:cs="Times New Roman"/>
          <w:sz w:val="24"/>
          <w:szCs w:val="24"/>
        </w:rPr>
        <w:t xml:space="preserve"> On the other hand, while this</w:t>
      </w:r>
      <w:r w:rsidR="00CE5356">
        <w:rPr>
          <w:rFonts w:ascii="Times New Roman" w:hAnsi="Times New Roman" w:cs="Times New Roman"/>
          <w:sz w:val="24"/>
          <w:szCs w:val="24"/>
        </w:rPr>
        <w:t xml:space="preserve"> along with </w:t>
      </w:r>
      <w:proofErr w:type="spellStart"/>
      <w:r w:rsidR="00CE5356">
        <w:rPr>
          <w:rFonts w:ascii="Times New Roman" w:hAnsi="Times New Roman" w:cs="Times New Roman"/>
          <w:sz w:val="24"/>
          <w:szCs w:val="24"/>
        </w:rPr>
        <w:t>Nappo’s</w:t>
      </w:r>
      <w:proofErr w:type="spellEnd"/>
      <w:r w:rsidR="00CE5356">
        <w:rPr>
          <w:rFonts w:ascii="Times New Roman" w:hAnsi="Times New Roman" w:cs="Times New Roman"/>
          <w:sz w:val="24"/>
          <w:szCs w:val="24"/>
        </w:rPr>
        <w:t xml:space="preserve"> recent suggestion that coins were brought to India in standardised packets </w:t>
      </w:r>
      <w:r w:rsidR="00D64C4A">
        <w:rPr>
          <w:rFonts w:ascii="Times New Roman" w:hAnsi="Times New Roman" w:cs="Times New Roman"/>
          <w:sz w:val="24"/>
          <w:szCs w:val="24"/>
        </w:rPr>
        <w:t xml:space="preserve"> shows that coinage</w:t>
      </w:r>
      <w:r w:rsidR="00CE5356">
        <w:rPr>
          <w:rFonts w:ascii="Times New Roman" w:hAnsi="Times New Roman" w:cs="Times New Roman"/>
          <w:sz w:val="24"/>
          <w:szCs w:val="24"/>
        </w:rPr>
        <w:t xml:space="preserve"> was certainly important to the trade, this and two references alone, considering the</w:t>
      </w:r>
      <w:r w:rsidR="00D64C4A">
        <w:rPr>
          <w:rFonts w:ascii="Times New Roman" w:hAnsi="Times New Roman" w:cs="Times New Roman"/>
          <w:sz w:val="24"/>
          <w:szCs w:val="24"/>
        </w:rPr>
        <w:t xml:space="preserve"> archaeological evidence for Roman trade of in-kind items</w:t>
      </w:r>
      <w:r w:rsidR="00CE5356">
        <w:rPr>
          <w:rFonts w:ascii="Times New Roman" w:hAnsi="Times New Roman" w:cs="Times New Roman"/>
          <w:sz w:val="24"/>
          <w:szCs w:val="24"/>
        </w:rPr>
        <w:t xml:space="preserve"> suggests that it is unreasonable to visualise</w:t>
      </w:r>
      <w:r w:rsidR="002025F9">
        <w:rPr>
          <w:rFonts w:ascii="Times New Roman" w:hAnsi="Times New Roman" w:cs="Times New Roman"/>
          <w:sz w:val="24"/>
          <w:szCs w:val="24"/>
        </w:rPr>
        <w:t xml:space="preserve"> trade as operating primarily</w:t>
      </w:r>
      <w:r w:rsidR="00D64C4A">
        <w:rPr>
          <w:rFonts w:ascii="Times New Roman" w:hAnsi="Times New Roman" w:cs="Times New Roman"/>
          <w:sz w:val="24"/>
          <w:szCs w:val="24"/>
        </w:rPr>
        <w:t xml:space="preserve"> with coin.</w:t>
      </w:r>
      <w:r w:rsidR="00D64C4A">
        <w:rPr>
          <w:rStyle w:val="FootnoteReference"/>
          <w:rFonts w:ascii="Times New Roman" w:hAnsi="Times New Roman" w:cs="Times New Roman"/>
          <w:sz w:val="24"/>
          <w:szCs w:val="24"/>
        </w:rPr>
        <w:footnoteReference w:id="16"/>
      </w:r>
      <w:r w:rsidR="00D64C4A">
        <w:rPr>
          <w:rFonts w:ascii="Times New Roman" w:hAnsi="Times New Roman" w:cs="Times New Roman"/>
          <w:sz w:val="24"/>
          <w:szCs w:val="24"/>
        </w:rPr>
        <w:t xml:space="preserve"> Nevertheless, these references</w:t>
      </w:r>
      <w:r w:rsidR="00F662D4">
        <w:rPr>
          <w:rFonts w:ascii="Times New Roman" w:hAnsi="Times New Roman" w:cs="Times New Roman"/>
          <w:sz w:val="24"/>
          <w:szCs w:val="24"/>
        </w:rPr>
        <w:t xml:space="preserve"> from the </w:t>
      </w:r>
      <w:r w:rsidR="00B55107">
        <w:rPr>
          <w:rFonts w:ascii="Times New Roman" w:hAnsi="Times New Roman" w:cs="Times New Roman"/>
          <w:i/>
          <w:sz w:val="24"/>
          <w:szCs w:val="24"/>
        </w:rPr>
        <w:t>P</w:t>
      </w:r>
      <w:r w:rsidR="00F662D4">
        <w:rPr>
          <w:rFonts w:ascii="Times New Roman" w:hAnsi="Times New Roman" w:cs="Times New Roman"/>
          <w:i/>
          <w:sz w:val="24"/>
          <w:szCs w:val="24"/>
        </w:rPr>
        <w:t>eriplus</w:t>
      </w:r>
      <w:r w:rsidR="00D64C4A">
        <w:rPr>
          <w:rFonts w:ascii="Times New Roman" w:hAnsi="Times New Roman" w:cs="Times New Roman"/>
          <w:sz w:val="24"/>
          <w:szCs w:val="24"/>
        </w:rPr>
        <w:t xml:space="preserve"> are </w:t>
      </w:r>
      <w:r w:rsidR="00D12020">
        <w:rPr>
          <w:rFonts w:ascii="Times New Roman" w:hAnsi="Times New Roman" w:cs="Times New Roman"/>
          <w:sz w:val="24"/>
          <w:szCs w:val="24"/>
        </w:rPr>
        <w:t xml:space="preserve">perhaps, </w:t>
      </w:r>
      <w:r w:rsidR="00D64C4A">
        <w:rPr>
          <w:rFonts w:ascii="Times New Roman" w:hAnsi="Times New Roman" w:cs="Times New Roman"/>
          <w:sz w:val="24"/>
          <w:szCs w:val="24"/>
        </w:rPr>
        <w:t>some of the most concrete literary evidence</w:t>
      </w:r>
      <w:r w:rsidR="00D12020">
        <w:rPr>
          <w:rFonts w:ascii="Times New Roman" w:hAnsi="Times New Roman" w:cs="Times New Roman"/>
          <w:sz w:val="24"/>
          <w:szCs w:val="24"/>
        </w:rPr>
        <w:t>, gi</w:t>
      </w:r>
      <w:r w:rsidR="00D147C6">
        <w:rPr>
          <w:rFonts w:ascii="Times New Roman" w:hAnsi="Times New Roman" w:cs="Times New Roman"/>
          <w:sz w:val="24"/>
          <w:szCs w:val="24"/>
        </w:rPr>
        <w:t>ven the author’s apparent first</w:t>
      </w:r>
      <w:r w:rsidR="00D12020">
        <w:rPr>
          <w:rFonts w:ascii="Times New Roman" w:hAnsi="Times New Roman" w:cs="Times New Roman"/>
          <w:sz w:val="24"/>
          <w:szCs w:val="24"/>
        </w:rPr>
        <w:t>-hand knowledge of the routes</w:t>
      </w:r>
      <w:r w:rsidR="00D64C4A">
        <w:rPr>
          <w:rFonts w:ascii="Times New Roman" w:hAnsi="Times New Roman" w:cs="Times New Roman"/>
          <w:sz w:val="24"/>
          <w:szCs w:val="24"/>
        </w:rPr>
        <w:t xml:space="preserve"> for the use of coined money </w:t>
      </w:r>
      <w:r w:rsidR="00D12020">
        <w:rPr>
          <w:rFonts w:ascii="Times New Roman" w:hAnsi="Times New Roman" w:cs="Times New Roman"/>
          <w:sz w:val="24"/>
          <w:szCs w:val="24"/>
        </w:rPr>
        <w:t>in the trade.</w:t>
      </w:r>
      <w:r w:rsidR="00D12020">
        <w:rPr>
          <w:rStyle w:val="FootnoteReference"/>
          <w:rFonts w:ascii="Times New Roman" w:hAnsi="Times New Roman" w:cs="Times New Roman"/>
          <w:sz w:val="24"/>
          <w:szCs w:val="24"/>
        </w:rPr>
        <w:footnoteReference w:id="17"/>
      </w:r>
    </w:p>
    <w:p w:rsidR="00E539D3" w:rsidRDefault="00EA78CB"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contrast, </w:t>
      </w:r>
      <w:r w:rsidR="00002E12">
        <w:rPr>
          <w:rFonts w:ascii="Times New Roman" w:hAnsi="Times New Roman" w:cs="Times New Roman"/>
          <w:sz w:val="24"/>
          <w:szCs w:val="24"/>
        </w:rPr>
        <w:t>many</w:t>
      </w:r>
      <w:r>
        <w:rPr>
          <w:rFonts w:ascii="Times New Roman" w:hAnsi="Times New Roman" w:cs="Times New Roman"/>
          <w:sz w:val="24"/>
          <w:szCs w:val="24"/>
        </w:rPr>
        <w:t xml:space="preserve"> modern scholars, have rightly highlighted the problematic nature and the very specific context of Pliny’s figures in terms of representing a notion of the Indian Ocean trade having</w:t>
      </w:r>
      <w:r w:rsidR="00771C4F">
        <w:rPr>
          <w:rFonts w:ascii="Times New Roman" w:hAnsi="Times New Roman" w:cs="Times New Roman"/>
          <w:sz w:val="24"/>
          <w:szCs w:val="24"/>
        </w:rPr>
        <w:t xml:space="preserve"> had</w:t>
      </w:r>
      <w:r>
        <w:rPr>
          <w:rFonts w:ascii="Times New Roman" w:hAnsi="Times New Roman" w:cs="Times New Roman"/>
          <w:sz w:val="24"/>
          <w:szCs w:val="24"/>
        </w:rPr>
        <w:t xml:space="preserve"> a negative impact on the economy.</w:t>
      </w:r>
      <w:r w:rsidR="00002E12">
        <w:rPr>
          <w:rStyle w:val="FootnoteReference"/>
          <w:rFonts w:ascii="Times New Roman" w:hAnsi="Times New Roman" w:cs="Times New Roman"/>
          <w:sz w:val="24"/>
          <w:szCs w:val="24"/>
        </w:rPr>
        <w:footnoteReference w:id="18"/>
      </w:r>
      <w:r w:rsidR="00002E12">
        <w:rPr>
          <w:rFonts w:ascii="Times New Roman" w:hAnsi="Times New Roman" w:cs="Times New Roman"/>
          <w:sz w:val="24"/>
          <w:szCs w:val="24"/>
        </w:rPr>
        <w:t xml:space="preserve"> Amongst these, Young and Fitzpatrick both rightly highlight that frequent outbreaks of concern at the moral and social impact of goods such as those bro</w:t>
      </w:r>
      <w:r w:rsidR="00771C4F">
        <w:rPr>
          <w:rFonts w:ascii="Times New Roman" w:hAnsi="Times New Roman" w:cs="Times New Roman"/>
          <w:sz w:val="24"/>
          <w:szCs w:val="24"/>
        </w:rPr>
        <w:t>ught in via the Indian Ocean were</w:t>
      </w:r>
      <w:r w:rsidR="00002E12">
        <w:rPr>
          <w:rFonts w:ascii="Times New Roman" w:hAnsi="Times New Roman" w:cs="Times New Roman"/>
          <w:sz w:val="24"/>
          <w:szCs w:val="24"/>
        </w:rPr>
        <w:t xml:space="preserve"> a common occurrence amongst the elite of Roman society when faced with luxuries such as those represented by Indo-Roman trade.</w:t>
      </w:r>
      <w:r w:rsidR="00002E12">
        <w:rPr>
          <w:rStyle w:val="FootnoteReference"/>
          <w:rFonts w:ascii="Times New Roman" w:hAnsi="Times New Roman" w:cs="Times New Roman"/>
          <w:sz w:val="24"/>
          <w:szCs w:val="24"/>
        </w:rPr>
        <w:footnoteReference w:id="19"/>
      </w:r>
      <w:r w:rsidR="00002E12">
        <w:rPr>
          <w:rFonts w:ascii="Times New Roman" w:hAnsi="Times New Roman" w:cs="Times New Roman"/>
          <w:sz w:val="24"/>
          <w:szCs w:val="24"/>
        </w:rPr>
        <w:t xml:space="preserve"> Indeed, while others such as Cobb have persuasively shown that the trade was comprised of items other than just the ‘luxur</w:t>
      </w:r>
      <w:r w:rsidR="00780CAC">
        <w:rPr>
          <w:rFonts w:ascii="Times New Roman" w:hAnsi="Times New Roman" w:cs="Times New Roman"/>
          <w:sz w:val="24"/>
          <w:szCs w:val="24"/>
        </w:rPr>
        <w:t>ies’ recorded by authors like</w:t>
      </w:r>
      <w:r w:rsidR="00002E12">
        <w:rPr>
          <w:rFonts w:ascii="Times New Roman" w:hAnsi="Times New Roman" w:cs="Times New Roman"/>
          <w:sz w:val="24"/>
          <w:szCs w:val="24"/>
        </w:rPr>
        <w:t xml:space="preserve"> Pliny, such as, black pepper we</w:t>
      </w:r>
      <w:r w:rsidR="0017718D">
        <w:rPr>
          <w:rFonts w:ascii="Times New Roman" w:hAnsi="Times New Roman" w:cs="Times New Roman"/>
          <w:sz w:val="24"/>
          <w:szCs w:val="24"/>
        </w:rPr>
        <w:t>,</w:t>
      </w:r>
      <w:r w:rsidR="00002E12">
        <w:rPr>
          <w:rFonts w:ascii="Times New Roman" w:hAnsi="Times New Roman" w:cs="Times New Roman"/>
          <w:sz w:val="24"/>
          <w:szCs w:val="24"/>
        </w:rPr>
        <w:t xml:space="preserve"> hav</w:t>
      </w:r>
      <w:r w:rsidR="0017718D">
        <w:rPr>
          <w:rFonts w:ascii="Times New Roman" w:hAnsi="Times New Roman" w:cs="Times New Roman"/>
          <w:sz w:val="24"/>
          <w:szCs w:val="24"/>
        </w:rPr>
        <w:t xml:space="preserve">e numerous other social commentators, such as, Seneca and Juvenal </w:t>
      </w:r>
      <w:r w:rsidR="00002E12">
        <w:rPr>
          <w:rFonts w:ascii="Times New Roman" w:hAnsi="Times New Roman" w:cs="Times New Roman"/>
          <w:sz w:val="24"/>
          <w:szCs w:val="24"/>
        </w:rPr>
        <w:t xml:space="preserve"> who similarly</w:t>
      </w:r>
      <w:r w:rsidR="0017718D">
        <w:rPr>
          <w:rFonts w:ascii="Times New Roman" w:hAnsi="Times New Roman" w:cs="Times New Roman"/>
          <w:sz w:val="24"/>
          <w:szCs w:val="24"/>
        </w:rPr>
        <w:t>,</w:t>
      </w:r>
      <w:r w:rsidR="00002E12">
        <w:rPr>
          <w:rFonts w:ascii="Times New Roman" w:hAnsi="Times New Roman" w:cs="Times New Roman"/>
          <w:sz w:val="24"/>
          <w:szCs w:val="24"/>
        </w:rPr>
        <w:t xml:space="preserve"> display concern regarding the kind of conspicuous consumption which the Indian Ocean trade, in part, represented.</w:t>
      </w:r>
      <w:r w:rsidR="00002E12">
        <w:rPr>
          <w:rStyle w:val="FootnoteReference"/>
          <w:rFonts w:ascii="Times New Roman" w:hAnsi="Times New Roman" w:cs="Times New Roman"/>
          <w:sz w:val="24"/>
          <w:szCs w:val="24"/>
        </w:rPr>
        <w:footnoteReference w:id="20"/>
      </w:r>
      <w:r w:rsidR="006878F8">
        <w:rPr>
          <w:rFonts w:ascii="Times New Roman" w:hAnsi="Times New Roman" w:cs="Times New Roman"/>
          <w:sz w:val="24"/>
          <w:szCs w:val="24"/>
        </w:rPr>
        <w:t xml:space="preserve"> Moreover, in the case of Seneca (the Younger) his education within stoic philosophy likely helps explain his </w:t>
      </w:r>
      <w:r w:rsidR="002025F9">
        <w:rPr>
          <w:rFonts w:ascii="Times New Roman" w:hAnsi="Times New Roman" w:cs="Times New Roman"/>
          <w:sz w:val="24"/>
          <w:szCs w:val="24"/>
        </w:rPr>
        <w:t>concern</w:t>
      </w:r>
      <w:r w:rsidR="006878F8">
        <w:rPr>
          <w:rFonts w:ascii="Times New Roman" w:hAnsi="Times New Roman" w:cs="Times New Roman"/>
          <w:sz w:val="24"/>
          <w:szCs w:val="24"/>
        </w:rPr>
        <w:t xml:space="preserve"> at the i</w:t>
      </w:r>
      <w:r w:rsidR="002025F9">
        <w:rPr>
          <w:rFonts w:ascii="Times New Roman" w:hAnsi="Times New Roman" w:cs="Times New Roman"/>
          <w:sz w:val="24"/>
          <w:szCs w:val="24"/>
        </w:rPr>
        <w:t>mportation of goods such as those from the Indian Ocean</w:t>
      </w:r>
      <w:r w:rsidR="006878F8">
        <w:rPr>
          <w:rFonts w:ascii="Times New Roman" w:hAnsi="Times New Roman" w:cs="Times New Roman"/>
          <w:sz w:val="24"/>
          <w:szCs w:val="24"/>
        </w:rPr>
        <w:t>.</w:t>
      </w:r>
      <w:r w:rsidR="006878F8">
        <w:rPr>
          <w:rStyle w:val="FootnoteReference"/>
          <w:rFonts w:ascii="Times New Roman" w:hAnsi="Times New Roman" w:cs="Times New Roman"/>
          <w:sz w:val="24"/>
          <w:szCs w:val="24"/>
        </w:rPr>
        <w:footnoteReference w:id="21"/>
      </w:r>
      <w:r w:rsidR="006878F8">
        <w:rPr>
          <w:rFonts w:ascii="Times New Roman" w:hAnsi="Times New Roman" w:cs="Times New Roman"/>
          <w:sz w:val="24"/>
          <w:szCs w:val="24"/>
        </w:rPr>
        <w:t xml:space="preserve"> Similarly, a significant theme in </w:t>
      </w:r>
      <w:proofErr w:type="spellStart"/>
      <w:r w:rsidR="006878F8">
        <w:rPr>
          <w:rFonts w:ascii="Times New Roman" w:hAnsi="Times New Roman" w:cs="Times New Roman"/>
          <w:sz w:val="24"/>
          <w:szCs w:val="24"/>
        </w:rPr>
        <w:t>Juvenal’s</w:t>
      </w:r>
      <w:proofErr w:type="spellEnd"/>
      <w:r w:rsidR="006878F8">
        <w:rPr>
          <w:rFonts w:ascii="Times New Roman" w:hAnsi="Times New Roman" w:cs="Times New Roman"/>
          <w:sz w:val="24"/>
          <w:szCs w:val="24"/>
        </w:rPr>
        <w:t xml:space="preserve"> 16 satires is an attack on the immorality of Roman society during the imperial period.</w:t>
      </w:r>
      <w:r w:rsidR="006878F8">
        <w:rPr>
          <w:rStyle w:val="FootnoteReference"/>
          <w:rFonts w:ascii="Times New Roman" w:hAnsi="Times New Roman" w:cs="Times New Roman"/>
          <w:sz w:val="24"/>
          <w:szCs w:val="24"/>
        </w:rPr>
        <w:footnoteReference w:id="22"/>
      </w:r>
      <w:r w:rsidR="006878F8">
        <w:rPr>
          <w:rFonts w:ascii="Times New Roman" w:hAnsi="Times New Roman" w:cs="Times New Roman"/>
          <w:sz w:val="24"/>
          <w:szCs w:val="24"/>
        </w:rPr>
        <w:t xml:space="preserve"> Similar statements from a range of 1</w:t>
      </w:r>
      <w:r w:rsidR="006878F8" w:rsidRPr="006878F8">
        <w:rPr>
          <w:rFonts w:ascii="Times New Roman" w:hAnsi="Times New Roman" w:cs="Times New Roman"/>
          <w:sz w:val="24"/>
          <w:szCs w:val="24"/>
          <w:vertAlign w:val="superscript"/>
        </w:rPr>
        <w:t>st</w:t>
      </w:r>
      <w:r w:rsidR="006878F8">
        <w:rPr>
          <w:rFonts w:ascii="Times New Roman" w:hAnsi="Times New Roman" w:cs="Times New Roman"/>
          <w:sz w:val="24"/>
          <w:szCs w:val="24"/>
        </w:rPr>
        <w:t xml:space="preserve"> century AD authors further demonstrates that a literary </w:t>
      </w:r>
      <w:proofErr w:type="spellStart"/>
      <w:r w:rsidR="006878F8">
        <w:rPr>
          <w:rFonts w:ascii="Times New Roman" w:hAnsi="Times New Roman" w:cs="Times New Roman"/>
          <w:i/>
          <w:sz w:val="24"/>
          <w:szCs w:val="24"/>
        </w:rPr>
        <w:t>topos</w:t>
      </w:r>
      <w:proofErr w:type="spellEnd"/>
      <w:r w:rsidR="006878F8">
        <w:rPr>
          <w:rFonts w:ascii="Times New Roman" w:hAnsi="Times New Roman" w:cs="Times New Roman"/>
          <w:sz w:val="24"/>
          <w:szCs w:val="24"/>
        </w:rPr>
        <w:t xml:space="preserve"> concerning luxury was in place and thus, this should rightly impact our understanding of the context of such statements.</w:t>
      </w:r>
    </w:p>
    <w:p w:rsidR="00EA78CB" w:rsidRDefault="006878F8" w:rsidP="009C010A">
      <w:pPr>
        <w:spacing w:line="360" w:lineRule="auto"/>
        <w:jc w:val="both"/>
        <w:rPr>
          <w:rFonts w:ascii="Times New Roman" w:hAnsi="Times New Roman" w:cs="Times New Roman"/>
          <w:sz w:val="24"/>
          <w:szCs w:val="24"/>
        </w:rPr>
      </w:pPr>
      <w:r>
        <w:rPr>
          <w:rFonts w:ascii="Times New Roman" w:hAnsi="Times New Roman" w:cs="Times New Roman"/>
          <w:i/>
          <w:sz w:val="24"/>
          <w:szCs w:val="24"/>
        </w:rPr>
        <w:t xml:space="preserve"> </w:t>
      </w:r>
      <w:r w:rsidR="0017718D">
        <w:rPr>
          <w:rFonts w:ascii="Times New Roman" w:hAnsi="Times New Roman" w:cs="Times New Roman"/>
          <w:sz w:val="24"/>
          <w:szCs w:val="24"/>
        </w:rPr>
        <w:t>Indeed, while the crucial figure of 50 million is not specifically placed in a moral context the latter figure of 100 million is place</w:t>
      </w:r>
      <w:r w:rsidR="00B55107">
        <w:rPr>
          <w:rFonts w:ascii="Times New Roman" w:hAnsi="Times New Roman" w:cs="Times New Roman"/>
          <w:sz w:val="24"/>
          <w:szCs w:val="24"/>
        </w:rPr>
        <w:t xml:space="preserve">d strongly within such a perspective </w:t>
      </w:r>
      <w:r w:rsidR="0017718D">
        <w:rPr>
          <w:rFonts w:ascii="Times New Roman" w:hAnsi="Times New Roman" w:cs="Times New Roman"/>
          <w:sz w:val="24"/>
          <w:szCs w:val="24"/>
        </w:rPr>
        <w:t>of luxury and the expense caused by women.</w:t>
      </w:r>
      <w:r w:rsidR="0017718D">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Such a complaint fits in with other rhetorical comments </w:t>
      </w:r>
      <w:r w:rsidR="0017718D">
        <w:rPr>
          <w:rFonts w:ascii="Times New Roman" w:hAnsi="Times New Roman" w:cs="Times New Roman"/>
          <w:sz w:val="24"/>
          <w:szCs w:val="24"/>
        </w:rPr>
        <w:t xml:space="preserve"> a</w:t>
      </w:r>
      <w:r>
        <w:rPr>
          <w:rFonts w:ascii="Times New Roman" w:hAnsi="Times New Roman" w:cs="Times New Roman"/>
          <w:sz w:val="24"/>
          <w:szCs w:val="24"/>
        </w:rPr>
        <w:t>nd reinforces a common moral outcry</w:t>
      </w:r>
      <w:r w:rsidR="0017718D">
        <w:rPr>
          <w:rFonts w:ascii="Times New Roman" w:hAnsi="Times New Roman" w:cs="Times New Roman"/>
          <w:sz w:val="24"/>
          <w:szCs w:val="24"/>
        </w:rPr>
        <w:t xml:space="preserve"> on the part of writers during the imperial</w:t>
      </w:r>
      <w:r w:rsidR="007A1B9D">
        <w:rPr>
          <w:rFonts w:ascii="Times New Roman" w:hAnsi="Times New Roman" w:cs="Times New Roman"/>
          <w:sz w:val="24"/>
          <w:szCs w:val="24"/>
        </w:rPr>
        <w:t>, which, when seen in the context of philosophical development</w:t>
      </w:r>
      <w:r w:rsidR="00DC65B8">
        <w:rPr>
          <w:rFonts w:ascii="Times New Roman" w:hAnsi="Times New Roman" w:cs="Times New Roman"/>
          <w:sz w:val="24"/>
          <w:szCs w:val="24"/>
        </w:rPr>
        <w:t>s</w:t>
      </w:r>
      <w:r w:rsidR="0017718D">
        <w:rPr>
          <w:rFonts w:ascii="Times New Roman" w:hAnsi="Times New Roman" w:cs="Times New Roman"/>
          <w:sz w:val="24"/>
          <w:szCs w:val="24"/>
        </w:rPr>
        <w:t xml:space="preserve"> indicates that these figures are not strictly economic in nature.</w:t>
      </w:r>
      <w:r w:rsidR="0017718D">
        <w:rPr>
          <w:rStyle w:val="FootnoteReference"/>
          <w:rFonts w:ascii="Times New Roman" w:hAnsi="Times New Roman" w:cs="Times New Roman"/>
          <w:sz w:val="24"/>
          <w:szCs w:val="24"/>
        </w:rPr>
        <w:footnoteReference w:id="24"/>
      </w:r>
      <w:r w:rsidR="001F4993">
        <w:rPr>
          <w:rFonts w:ascii="Times New Roman" w:hAnsi="Times New Roman" w:cs="Times New Roman"/>
          <w:sz w:val="24"/>
          <w:szCs w:val="24"/>
        </w:rPr>
        <w:t xml:space="preserve"> As a result it is</w:t>
      </w:r>
      <w:r w:rsidR="0017718D">
        <w:rPr>
          <w:rFonts w:ascii="Times New Roman" w:hAnsi="Times New Roman" w:cs="Times New Roman"/>
          <w:sz w:val="24"/>
          <w:szCs w:val="24"/>
        </w:rPr>
        <w:t xml:space="preserve"> wise to question the validity of the notion of the Indian Ocean trade having a harmful impact on the Roman economy.</w:t>
      </w:r>
      <w:r w:rsidR="00002E12">
        <w:rPr>
          <w:rFonts w:ascii="Times New Roman" w:hAnsi="Times New Roman" w:cs="Times New Roman"/>
          <w:sz w:val="24"/>
          <w:szCs w:val="24"/>
        </w:rPr>
        <w:t xml:space="preserve">  </w:t>
      </w:r>
    </w:p>
    <w:p w:rsidR="002C7629" w:rsidRDefault="002C7629"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while it is unclear if Pliny is referring to a monetary deficit in his comments, as mentioned above </w:t>
      </w:r>
      <w:proofErr w:type="spellStart"/>
      <w:r>
        <w:rPr>
          <w:rFonts w:ascii="Times New Roman" w:hAnsi="Times New Roman" w:cs="Times New Roman"/>
          <w:sz w:val="24"/>
          <w:szCs w:val="24"/>
        </w:rPr>
        <w:t>Warmington</w:t>
      </w:r>
      <w:proofErr w:type="spellEnd"/>
      <w:r>
        <w:rPr>
          <w:rFonts w:ascii="Times New Roman" w:hAnsi="Times New Roman" w:cs="Times New Roman"/>
          <w:sz w:val="24"/>
          <w:szCs w:val="24"/>
        </w:rPr>
        <w:t xml:space="preserve"> has </w:t>
      </w:r>
      <w:r w:rsidR="0028673E">
        <w:rPr>
          <w:rFonts w:ascii="Times New Roman" w:hAnsi="Times New Roman" w:cs="Times New Roman"/>
          <w:sz w:val="24"/>
          <w:szCs w:val="24"/>
        </w:rPr>
        <w:t>seen the presence of many Roman coins discovered in India as support for reading Pliny’s figures as referring to a coinage drain.</w:t>
      </w:r>
      <w:r w:rsidR="0028673E">
        <w:rPr>
          <w:rStyle w:val="FootnoteReference"/>
          <w:rFonts w:ascii="Times New Roman" w:hAnsi="Times New Roman" w:cs="Times New Roman"/>
          <w:sz w:val="24"/>
          <w:szCs w:val="24"/>
        </w:rPr>
        <w:footnoteReference w:id="25"/>
      </w:r>
      <w:r w:rsidR="0028673E">
        <w:rPr>
          <w:rFonts w:ascii="Times New Roman" w:hAnsi="Times New Roman" w:cs="Times New Roman"/>
          <w:sz w:val="24"/>
          <w:szCs w:val="24"/>
        </w:rPr>
        <w:t xml:space="preserve"> Indeed, approximately 6,000 coins</w:t>
      </w:r>
      <w:r w:rsidR="00305E41">
        <w:rPr>
          <w:rFonts w:ascii="Times New Roman" w:hAnsi="Times New Roman" w:cs="Times New Roman"/>
          <w:sz w:val="24"/>
          <w:szCs w:val="24"/>
        </w:rPr>
        <w:t xml:space="preserve"> (7,000 according to </w:t>
      </w:r>
      <w:proofErr w:type="spellStart"/>
      <w:r w:rsidR="00305E41">
        <w:rPr>
          <w:rFonts w:ascii="Times New Roman" w:hAnsi="Times New Roman" w:cs="Times New Roman"/>
          <w:sz w:val="24"/>
          <w:szCs w:val="24"/>
        </w:rPr>
        <w:t>Nappo</w:t>
      </w:r>
      <w:proofErr w:type="spellEnd"/>
      <w:r w:rsidR="00305E41">
        <w:rPr>
          <w:rFonts w:ascii="Times New Roman" w:hAnsi="Times New Roman" w:cs="Times New Roman"/>
          <w:sz w:val="24"/>
          <w:szCs w:val="24"/>
        </w:rPr>
        <w:t>)</w:t>
      </w:r>
      <w:r w:rsidR="0028673E">
        <w:rPr>
          <w:rFonts w:ascii="Times New Roman" w:hAnsi="Times New Roman" w:cs="Times New Roman"/>
          <w:sz w:val="24"/>
          <w:szCs w:val="24"/>
        </w:rPr>
        <w:t xml:space="preserve"> have been discovered in India with th</w:t>
      </w:r>
      <w:r w:rsidR="00EC1A7E">
        <w:rPr>
          <w:rFonts w:ascii="Times New Roman" w:hAnsi="Times New Roman" w:cs="Times New Roman"/>
          <w:sz w:val="24"/>
          <w:szCs w:val="24"/>
        </w:rPr>
        <w:t xml:space="preserve">e </w:t>
      </w:r>
      <w:r w:rsidR="00EC1A7E">
        <w:rPr>
          <w:rFonts w:ascii="Times New Roman" w:hAnsi="Times New Roman" w:cs="Times New Roman"/>
          <w:sz w:val="24"/>
          <w:szCs w:val="24"/>
        </w:rPr>
        <w:lastRenderedPageBreak/>
        <w:t xml:space="preserve">potential for a further </w:t>
      </w:r>
      <w:r w:rsidR="00EC1A7E">
        <w:rPr>
          <w:rFonts w:ascii="Times New Roman" w:hAnsi="Times New Roman" w:cs="Times New Roman"/>
          <w:i/>
          <w:sz w:val="24"/>
          <w:szCs w:val="24"/>
        </w:rPr>
        <w:t>c</w:t>
      </w:r>
      <w:r w:rsidR="00EC1A7E">
        <w:rPr>
          <w:rFonts w:ascii="Times New Roman" w:hAnsi="Times New Roman" w:cs="Times New Roman"/>
          <w:sz w:val="24"/>
          <w:szCs w:val="24"/>
        </w:rPr>
        <w:t>.8,000 aurei from the Kottayam hoard</w:t>
      </w:r>
      <w:r w:rsidR="0028673E">
        <w:rPr>
          <w:rFonts w:ascii="Times New Roman" w:hAnsi="Times New Roman" w:cs="Times New Roman"/>
          <w:sz w:val="24"/>
          <w:szCs w:val="24"/>
        </w:rPr>
        <w:t>.</w:t>
      </w:r>
      <w:r w:rsidR="0028673E">
        <w:rPr>
          <w:rStyle w:val="FootnoteReference"/>
          <w:rFonts w:ascii="Times New Roman" w:hAnsi="Times New Roman" w:cs="Times New Roman"/>
          <w:sz w:val="24"/>
          <w:szCs w:val="24"/>
        </w:rPr>
        <w:footnoteReference w:id="26"/>
      </w:r>
      <w:r w:rsidR="00EC1A7E">
        <w:rPr>
          <w:rFonts w:ascii="Times New Roman" w:hAnsi="Times New Roman" w:cs="Times New Roman"/>
          <w:sz w:val="24"/>
          <w:szCs w:val="24"/>
        </w:rPr>
        <w:t xml:space="preserve"> On the other hand, the exact composition of this</w:t>
      </w:r>
      <w:r w:rsidR="009D7F43">
        <w:rPr>
          <w:rFonts w:ascii="Times New Roman" w:hAnsi="Times New Roman" w:cs="Times New Roman"/>
          <w:sz w:val="24"/>
          <w:szCs w:val="24"/>
        </w:rPr>
        <w:t xml:space="preserve"> particular</w:t>
      </w:r>
      <w:r w:rsidR="00EC1A7E">
        <w:rPr>
          <w:rFonts w:ascii="Times New Roman" w:hAnsi="Times New Roman" w:cs="Times New Roman"/>
          <w:sz w:val="24"/>
          <w:szCs w:val="24"/>
        </w:rPr>
        <w:t xml:space="preserve"> hoard is unknown</w:t>
      </w:r>
      <w:r w:rsidR="009D7F43">
        <w:rPr>
          <w:rFonts w:ascii="Times New Roman" w:hAnsi="Times New Roman" w:cs="Times New Roman"/>
          <w:sz w:val="24"/>
          <w:szCs w:val="24"/>
        </w:rPr>
        <w:t xml:space="preserve"> due to this</w:t>
      </w:r>
      <w:r w:rsidR="00EC1A7E">
        <w:rPr>
          <w:rFonts w:ascii="Times New Roman" w:hAnsi="Times New Roman" w:cs="Times New Roman"/>
          <w:sz w:val="24"/>
          <w:szCs w:val="24"/>
        </w:rPr>
        <w:t>, most modern scholars do not include it in estimates of coinage from India.</w:t>
      </w:r>
      <w:r w:rsidR="00EC1A7E">
        <w:rPr>
          <w:rStyle w:val="FootnoteReference"/>
          <w:rFonts w:ascii="Times New Roman" w:hAnsi="Times New Roman" w:cs="Times New Roman"/>
          <w:sz w:val="24"/>
          <w:szCs w:val="24"/>
        </w:rPr>
        <w:footnoteReference w:id="27"/>
      </w:r>
      <w:r w:rsidR="00BF6B0D">
        <w:rPr>
          <w:rFonts w:ascii="Times New Roman" w:hAnsi="Times New Roman" w:cs="Times New Roman"/>
          <w:sz w:val="24"/>
          <w:szCs w:val="24"/>
        </w:rPr>
        <w:t xml:space="preserve"> </w:t>
      </w:r>
      <w:r w:rsidR="0028673E">
        <w:rPr>
          <w:rFonts w:ascii="Times New Roman" w:hAnsi="Times New Roman" w:cs="Times New Roman"/>
          <w:sz w:val="24"/>
          <w:szCs w:val="24"/>
        </w:rPr>
        <w:t xml:space="preserve">Moreover, the </w:t>
      </w:r>
      <w:r w:rsidR="0028673E">
        <w:rPr>
          <w:rFonts w:ascii="Times New Roman" w:hAnsi="Times New Roman" w:cs="Times New Roman"/>
          <w:i/>
          <w:sz w:val="24"/>
          <w:szCs w:val="24"/>
        </w:rPr>
        <w:t xml:space="preserve">Periplus </w:t>
      </w:r>
      <w:r w:rsidR="0028673E">
        <w:rPr>
          <w:rFonts w:ascii="Times New Roman" w:hAnsi="Times New Roman" w:cs="Times New Roman"/>
          <w:sz w:val="24"/>
          <w:szCs w:val="24"/>
        </w:rPr>
        <w:t>does mention gold bein</w:t>
      </w:r>
      <w:r w:rsidR="00BF6B0D">
        <w:rPr>
          <w:rFonts w:ascii="Times New Roman" w:hAnsi="Times New Roman" w:cs="Times New Roman"/>
          <w:sz w:val="24"/>
          <w:szCs w:val="24"/>
        </w:rPr>
        <w:t xml:space="preserve">g used in exchange and while </w:t>
      </w:r>
      <w:proofErr w:type="spellStart"/>
      <w:r w:rsidR="00BF6B0D">
        <w:rPr>
          <w:rFonts w:ascii="Times New Roman" w:hAnsi="Times New Roman" w:cs="Times New Roman"/>
          <w:sz w:val="24"/>
          <w:szCs w:val="24"/>
        </w:rPr>
        <w:t>Se</w:t>
      </w:r>
      <w:r w:rsidR="00742CC7">
        <w:rPr>
          <w:rFonts w:ascii="Times New Roman" w:hAnsi="Times New Roman" w:cs="Times New Roman"/>
          <w:sz w:val="24"/>
          <w:szCs w:val="24"/>
        </w:rPr>
        <w:t>l</w:t>
      </w:r>
      <w:r w:rsidR="00B55107">
        <w:rPr>
          <w:rFonts w:ascii="Times New Roman" w:hAnsi="Times New Roman" w:cs="Times New Roman"/>
          <w:sz w:val="24"/>
          <w:szCs w:val="24"/>
        </w:rPr>
        <w:t>a</w:t>
      </w:r>
      <w:r w:rsidR="00742CC7">
        <w:rPr>
          <w:rFonts w:ascii="Times New Roman" w:hAnsi="Times New Roman" w:cs="Times New Roman"/>
          <w:sz w:val="24"/>
          <w:szCs w:val="24"/>
        </w:rPr>
        <w:t>nd</w:t>
      </w:r>
      <w:proofErr w:type="spellEnd"/>
      <w:r w:rsidR="00742CC7">
        <w:rPr>
          <w:rFonts w:ascii="Times New Roman" w:hAnsi="Times New Roman" w:cs="Times New Roman"/>
          <w:sz w:val="24"/>
          <w:szCs w:val="24"/>
        </w:rPr>
        <w:t xml:space="preserve"> highlights that although, this</w:t>
      </w:r>
      <w:r w:rsidR="0028673E">
        <w:rPr>
          <w:rFonts w:ascii="Times New Roman" w:hAnsi="Times New Roman" w:cs="Times New Roman"/>
          <w:sz w:val="24"/>
          <w:szCs w:val="24"/>
        </w:rPr>
        <w:t xml:space="preserve"> is a personal account of the trade there are some </w:t>
      </w:r>
      <w:r w:rsidR="00780CAC">
        <w:rPr>
          <w:rFonts w:ascii="Times New Roman" w:hAnsi="Times New Roman" w:cs="Times New Roman"/>
          <w:sz w:val="24"/>
          <w:szCs w:val="24"/>
        </w:rPr>
        <w:t>regions</w:t>
      </w:r>
      <w:r w:rsidR="0028673E">
        <w:rPr>
          <w:rFonts w:ascii="Times New Roman" w:hAnsi="Times New Roman" w:cs="Times New Roman"/>
          <w:sz w:val="24"/>
          <w:szCs w:val="24"/>
        </w:rPr>
        <w:t xml:space="preserve"> that the author does not seem to have visited</w:t>
      </w:r>
      <w:r w:rsidR="00B55107">
        <w:rPr>
          <w:rFonts w:ascii="Times New Roman" w:hAnsi="Times New Roman" w:cs="Times New Roman"/>
          <w:sz w:val="24"/>
          <w:szCs w:val="24"/>
        </w:rPr>
        <w:t>, and</w:t>
      </w:r>
      <w:r w:rsidR="0028673E">
        <w:rPr>
          <w:rFonts w:ascii="Times New Roman" w:hAnsi="Times New Roman" w:cs="Times New Roman"/>
          <w:sz w:val="24"/>
          <w:szCs w:val="24"/>
        </w:rPr>
        <w:t xml:space="preserve"> there a</w:t>
      </w:r>
      <w:r w:rsidR="00742CC7">
        <w:rPr>
          <w:rFonts w:ascii="Times New Roman" w:hAnsi="Times New Roman" w:cs="Times New Roman"/>
          <w:sz w:val="24"/>
          <w:szCs w:val="24"/>
        </w:rPr>
        <w:t>re others where they do</w:t>
      </w:r>
      <w:r w:rsidR="0028673E">
        <w:rPr>
          <w:rFonts w:ascii="Times New Roman" w:hAnsi="Times New Roman" w:cs="Times New Roman"/>
          <w:sz w:val="24"/>
          <w:szCs w:val="24"/>
        </w:rPr>
        <w:t>, thus making this an invaluable source on the op</w:t>
      </w:r>
      <w:r w:rsidR="00742CC7">
        <w:rPr>
          <w:rFonts w:ascii="Times New Roman" w:hAnsi="Times New Roman" w:cs="Times New Roman"/>
          <w:sz w:val="24"/>
          <w:szCs w:val="24"/>
        </w:rPr>
        <w:t>eration and nature of the trade which shows that coined money was used.</w:t>
      </w:r>
      <w:r w:rsidR="00742CC7">
        <w:rPr>
          <w:rStyle w:val="FootnoteReference"/>
          <w:rFonts w:ascii="Times New Roman" w:hAnsi="Times New Roman" w:cs="Times New Roman"/>
          <w:sz w:val="24"/>
          <w:szCs w:val="24"/>
        </w:rPr>
        <w:footnoteReference w:id="28"/>
      </w:r>
      <w:r w:rsidR="00742CC7">
        <w:rPr>
          <w:rFonts w:ascii="Times New Roman" w:hAnsi="Times New Roman" w:cs="Times New Roman"/>
          <w:sz w:val="24"/>
          <w:szCs w:val="24"/>
        </w:rPr>
        <w:t xml:space="preserve"> Despite this evidence that coinage at least comprised a part of Indo-Roman exchange the extent of its dominance as the primary trade item, thus causing a harmful deficit</w:t>
      </w:r>
      <w:r w:rsidR="00BF6B0D">
        <w:rPr>
          <w:rFonts w:ascii="Times New Roman" w:hAnsi="Times New Roman" w:cs="Times New Roman"/>
          <w:sz w:val="24"/>
          <w:szCs w:val="24"/>
        </w:rPr>
        <w:t>,</w:t>
      </w:r>
      <w:r w:rsidR="00742CC7">
        <w:rPr>
          <w:rFonts w:ascii="Times New Roman" w:hAnsi="Times New Roman" w:cs="Times New Roman"/>
          <w:sz w:val="24"/>
          <w:szCs w:val="24"/>
        </w:rPr>
        <w:t xml:space="preserve"> has</w:t>
      </w:r>
      <w:r w:rsidR="001F4993">
        <w:rPr>
          <w:rFonts w:ascii="Times New Roman" w:hAnsi="Times New Roman" w:cs="Times New Roman"/>
          <w:sz w:val="24"/>
          <w:szCs w:val="24"/>
        </w:rPr>
        <w:t xml:space="preserve"> rightly</w:t>
      </w:r>
      <w:r w:rsidR="00742CC7">
        <w:rPr>
          <w:rFonts w:ascii="Times New Roman" w:hAnsi="Times New Roman" w:cs="Times New Roman"/>
          <w:sz w:val="24"/>
          <w:szCs w:val="24"/>
        </w:rPr>
        <w:t xml:space="preserve"> been challenged.</w:t>
      </w:r>
      <w:r w:rsidR="00742CC7">
        <w:rPr>
          <w:rStyle w:val="FootnoteReference"/>
          <w:rFonts w:ascii="Times New Roman" w:hAnsi="Times New Roman" w:cs="Times New Roman"/>
          <w:sz w:val="24"/>
          <w:szCs w:val="24"/>
        </w:rPr>
        <w:footnoteReference w:id="29"/>
      </w:r>
      <w:r w:rsidR="00742CC7">
        <w:rPr>
          <w:rFonts w:ascii="Times New Roman" w:hAnsi="Times New Roman" w:cs="Times New Roman"/>
          <w:sz w:val="24"/>
          <w:szCs w:val="24"/>
        </w:rPr>
        <w:t xml:space="preserve"> Indeed, both Turner and Parker, in contrast, to </w:t>
      </w:r>
      <w:proofErr w:type="spellStart"/>
      <w:r w:rsidR="00742CC7">
        <w:rPr>
          <w:rFonts w:ascii="Times New Roman" w:hAnsi="Times New Roman" w:cs="Times New Roman"/>
          <w:sz w:val="24"/>
          <w:szCs w:val="24"/>
        </w:rPr>
        <w:t>Warmington</w:t>
      </w:r>
      <w:proofErr w:type="spellEnd"/>
      <w:r w:rsidR="00742CC7">
        <w:rPr>
          <w:rFonts w:ascii="Times New Roman" w:hAnsi="Times New Roman" w:cs="Times New Roman"/>
          <w:sz w:val="24"/>
          <w:szCs w:val="24"/>
        </w:rPr>
        <w:t xml:space="preserve"> who argues that fine quality Roman coinage was imported to create a Roman currency system in India, rightly</w:t>
      </w:r>
      <w:r w:rsidR="00777178">
        <w:rPr>
          <w:rFonts w:ascii="Times New Roman" w:hAnsi="Times New Roman" w:cs="Times New Roman"/>
          <w:sz w:val="24"/>
          <w:szCs w:val="24"/>
        </w:rPr>
        <w:t xml:space="preserve"> suggest that 6,000 coins is unlikely to be</w:t>
      </w:r>
      <w:r w:rsidR="00742CC7">
        <w:rPr>
          <w:rFonts w:ascii="Times New Roman" w:hAnsi="Times New Roman" w:cs="Times New Roman"/>
          <w:sz w:val="24"/>
          <w:szCs w:val="24"/>
        </w:rPr>
        <w:t xml:space="preserve"> enough, even accounting for reworking to support Pliny’s potential figure which would equate to some 12.5 million denarii being imported to India each year.</w:t>
      </w:r>
      <w:r w:rsidR="00742CC7">
        <w:rPr>
          <w:rStyle w:val="FootnoteReference"/>
          <w:rFonts w:ascii="Times New Roman" w:hAnsi="Times New Roman" w:cs="Times New Roman"/>
          <w:sz w:val="24"/>
          <w:szCs w:val="24"/>
        </w:rPr>
        <w:footnoteReference w:id="30"/>
      </w:r>
      <w:r w:rsidR="004E5B6D">
        <w:rPr>
          <w:rFonts w:ascii="Times New Roman" w:hAnsi="Times New Roman" w:cs="Times New Roman"/>
          <w:sz w:val="24"/>
          <w:szCs w:val="24"/>
        </w:rPr>
        <w:t xml:space="preserve"> Nevertheless, the exact quantities are almost impossible to assess accurately.</w:t>
      </w:r>
      <w:r w:rsidR="00742CC7">
        <w:rPr>
          <w:rFonts w:ascii="Times New Roman" w:hAnsi="Times New Roman" w:cs="Times New Roman"/>
          <w:sz w:val="24"/>
          <w:szCs w:val="24"/>
        </w:rPr>
        <w:t xml:space="preserve"> </w:t>
      </w:r>
      <w:r w:rsidR="00470996">
        <w:rPr>
          <w:rFonts w:ascii="Times New Roman" w:hAnsi="Times New Roman" w:cs="Times New Roman"/>
          <w:sz w:val="24"/>
          <w:szCs w:val="24"/>
        </w:rPr>
        <w:t xml:space="preserve">Additionally, as Young observes if the figure of 6,000 coins spread across mainly southern India is compared to hoards found in northern Europe, which in the case of </w:t>
      </w:r>
      <w:proofErr w:type="spellStart"/>
      <w:r w:rsidR="00470996">
        <w:rPr>
          <w:rFonts w:ascii="Times New Roman" w:hAnsi="Times New Roman" w:cs="Times New Roman"/>
          <w:sz w:val="24"/>
          <w:szCs w:val="24"/>
        </w:rPr>
        <w:t>Reka</w:t>
      </w:r>
      <w:proofErr w:type="spellEnd"/>
      <w:r w:rsidR="00470996">
        <w:rPr>
          <w:rFonts w:ascii="Times New Roman" w:hAnsi="Times New Roman" w:cs="Times New Roman"/>
          <w:sz w:val="24"/>
          <w:szCs w:val="24"/>
        </w:rPr>
        <w:t xml:space="preserve"> </w:t>
      </w:r>
      <w:proofErr w:type="spellStart"/>
      <w:r w:rsidR="00470996">
        <w:rPr>
          <w:rFonts w:ascii="Times New Roman" w:hAnsi="Times New Roman" w:cs="Times New Roman"/>
          <w:sz w:val="24"/>
          <w:szCs w:val="24"/>
        </w:rPr>
        <w:t>Devina</w:t>
      </w:r>
      <w:proofErr w:type="spellEnd"/>
      <w:r w:rsidR="00470996">
        <w:rPr>
          <w:rFonts w:ascii="Times New Roman" w:hAnsi="Times New Roman" w:cs="Times New Roman"/>
          <w:sz w:val="24"/>
          <w:szCs w:val="24"/>
        </w:rPr>
        <w:t xml:space="preserve"> exceeds 100,000 coins then this highlights the disparity between the two locations and casts serious doubt on the notion of </w:t>
      </w:r>
      <w:r w:rsidR="00606023">
        <w:rPr>
          <w:rFonts w:ascii="Times New Roman" w:hAnsi="Times New Roman" w:cs="Times New Roman"/>
          <w:sz w:val="24"/>
          <w:szCs w:val="24"/>
        </w:rPr>
        <w:t>the Indo-Roman trade having a negative impact.</w:t>
      </w:r>
      <w:r w:rsidR="00606023">
        <w:rPr>
          <w:rStyle w:val="FootnoteReference"/>
          <w:rFonts w:ascii="Times New Roman" w:hAnsi="Times New Roman" w:cs="Times New Roman"/>
          <w:sz w:val="24"/>
          <w:szCs w:val="24"/>
        </w:rPr>
        <w:footnoteReference w:id="31"/>
      </w:r>
      <w:r w:rsidR="00470996">
        <w:rPr>
          <w:rFonts w:ascii="Times New Roman" w:hAnsi="Times New Roman" w:cs="Times New Roman"/>
          <w:sz w:val="24"/>
          <w:szCs w:val="24"/>
        </w:rPr>
        <w:t xml:space="preserve"> </w:t>
      </w:r>
      <w:r w:rsidR="00742CC7">
        <w:rPr>
          <w:rFonts w:ascii="Times New Roman" w:hAnsi="Times New Roman" w:cs="Times New Roman"/>
          <w:sz w:val="24"/>
          <w:szCs w:val="24"/>
        </w:rPr>
        <w:t xml:space="preserve"> </w:t>
      </w:r>
      <w:r w:rsidR="0028673E">
        <w:rPr>
          <w:rFonts w:ascii="Times New Roman" w:hAnsi="Times New Roman" w:cs="Times New Roman"/>
          <w:sz w:val="24"/>
          <w:szCs w:val="24"/>
        </w:rPr>
        <w:t xml:space="preserve"> </w:t>
      </w:r>
    </w:p>
    <w:p w:rsidR="00606023" w:rsidRDefault="00EF450C"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while </w:t>
      </w:r>
      <w:proofErr w:type="spellStart"/>
      <w:r>
        <w:rPr>
          <w:rFonts w:ascii="Times New Roman" w:hAnsi="Times New Roman" w:cs="Times New Roman"/>
          <w:sz w:val="24"/>
          <w:szCs w:val="24"/>
        </w:rPr>
        <w:t>Warmington</w:t>
      </w:r>
      <w:proofErr w:type="spellEnd"/>
      <w:r>
        <w:rPr>
          <w:rFonts w:ascii="Times New Roman" w:hAnsi="Times New Roman" w:cs="Times New Roman"/>
          <w:sz w:val="24"/>
          <w:szCs w:val="24"/>
        </w:rPr>
        <w:t xml:space="preserve"> has highlighted the paucity of Roman exports, leading to the need to export coinage to pay for the trade with India, Cobb has rightly observed that not only were items such as Roman wine highly valued in India but that given the minimal space needed to transport even as much coinage as Pliny’s 50 million on an average Roman ship then extensive quantities of goods were needed to ensure the necessary ballast for a safe voyage.</w:t>
      </w:r>
      <w:r>
        <w:rPr>
          <w:rStyle w:val="FootnoteReference"/>
          <w:rFonts w:ascii="Times New Roman" w:hAnsi="Times New Roman" w:cs="Times New Roman"/>
          <w:sz w:val="24"/>
          <w:szCs w:val="24"/>
        </w:rPr>
        <w:footnoteReference w:id="32"/>
      </w:r>
      <w:r>
        <w:rPr>
          <w:rFonts w:ascii="Times New Roman" w:hAnsi="Times New Roman" w:cs="Times New Roman"/>
          <w:sz w:val="24"/>
          <w:szCs w:val="24"/>
        </w:rPr>
        <w:t xml:space="preserve"> Moreover, he also notes the wide distribution of various Roman goods preserved across India in the archaeological record which suggests that even if precious metal was exported</w:t>
      </w:r>
      <w:r w:rsidR="00606023">
        <w:rPr>
          <w:rFonts w:ascii="Times New Roman" w:hAnsi="Times New Roman" w:cs="Times New Roman"/>
          <w:sz w:val="24"/>
          <w:szCs w:val="24"/>
        </w:rPr>
        <w:t xml:space="preserve"> and formed an importa</w:t>
      </w:r>
      <w:r w:rsidR="004E5B6D">
        <w:rPr>
          <w:rFonts w:ascii="Times New Roman" w:hAnsi="Times New Roman" w:cs="Times New Roman"/>
          <w:sz w:val="24"/>
          <w:szCs w:val="24"/>
        </w:rPr>
        <w:t>nt part of the trade, which both</w:t>
      </w:r>
      <w:r w:rsidR="00606023">
        <w:rPr>
          <w:rFonts w:ascii="Times New Roman" w:hAnsi="Times New Roman" w:cs="Times New Roman"/>
          <w:sz w:val="24"/>
          <w:szCs w:val="24"/>
        </w:rPr>
        <w:t xml:space="preserve"> Young and Turner also admit,</w:t>
      </w:r>
      <w:r>
        <w:rPr>
          <w:rFonts w:ascii="Times New Roman" w:hAnsi="Times New Roman" w:cs="Times New Roman"/>
          <w:sz w:val="24"/>
          <w:szCs w:val="24"/>
        </w:rPr>
        <w:t xml:space="preserve"> the primary items</w:t>
      </w:r>
      <w:r w:rsidR="006A62D7">
        <w:rPr>
          <w:rFonts w:ascii="Times New Roman" w:hAnsi="Times New Roman" w:cs="Times New Roman"/>
          <w:sz w:val="24"/>
          <w:szCs w:val="24"/>
        </w:rPr>
        <w:t xml:space="preserve"> sent</w:t>
      </w:r>
      <w:r w:rsidR="00606023">
        <w:rPr>
          <w:rFonts w:ascii="Times New Roman" w:hAnsi="Times New Roman" w:cs="Times New Roman"/>
          <w:sz w:val="24"/>
          <w:szCs w:val="24"/>
        </w:rPr>
        <w:t xml:space="preserve"> by Rome</w:t>
      </w:r>
      <w:r w:rsidR="006A62D7">
        <w:rPr>
          <w:rFonts w:ascii="Times New Roman" w:hAnsi="Times New Roman" w:cs="Times New Roman"/>
          <w:sz w:val="24"/>
          <w:szCs w:val="24"/>
        </w:rPr>
        <w:t xml:space="preserve"> to India</w:t>
      </w:r>
      <w:r>
        <w:rPr>
          <w:rFonts w:ascii="Times New Roman" w:hAnsi="Times New Roman" w:cs="Times New Roman"/>
          <w:sz w:val="24"/>
          <w:szCs w:val="24"/>
        </w:rPr>
        <w:t xml:space="preserve"> were those in kind</w:t>
      </w:r>
      <w:r w:rsidR="004E5B6D">
        <w:rPr>
          <w:rFonts w:ascii="Times New Roman" w:hAnsi="Times New Roman" w:cs="Times New Roman"/>
          <w:sz w:val="24"/>
          <w:szCs w:val="24"/>
        </w:rPr>
        <w:t xml:space="preserve">, while </w:t>
      </w:r>
      <w:proofErr w:type="spellStart"/>
      <w:r w:rsidR="004E5B6D">
        <w:rPr>
          <w:rFonts w:ascii="Times New Roman" w:hAnsi="Times New Roman" w:cs="Times New Roman"/>
          <w:sz w:val="24"/>
          <w:szCs w:val="24"/>
        </w:rPr>
        <w:t>Sidebotham</w:t>
      </w:r>
      <w:proofErr w:type="spellEnd"/>
      <w:r w:rsidR="004E5B6D">
        <w:rPr>
          <w:rFonts w:ascii="Times New Roman" w:hAnsi="Times New Roman" w:cs="Times New Roman"/>
          <w:sz w:val="24"/>
          <w:szCs w:val="24"/>
        </w:rPr>
        <w:t xml:space="preserve"> argues that trade was </w:t>
      </w:r>
      <w:r w:rsidR="004E5B6D">
        <w:rPr>
          <w:rFonts w:ascii="Times New Roman" w:hAnsi="Times New Roman" w:cs="Times New Roman"/>
          <w:sz w:val="24"/>
          <w:szCs w:val="24"/>
        </w:rPr>
        <w:lastRenderedPageBreak/>
        <w:t>conducted via barter</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3"/>
      </w:r>
      <w:r w:rsidR="00606023">
        <w:rPr>
          <w:rFonts w:ascii="Times New Roman" w:hAnsi="Times New Roman" w:cs="Times New Roman"/>
          <w:sz w:val="24"/>
          <w:szCs w:val="24"/>
        </w:rPr>
        <w:t xml:space="preserve"> </w:t>
      </w:r>
      <w:r w:rsidR="004E5B6D">
        <w:rPr>
          <w:rFonts w:ascii="Times New Roman" w:hAnsi="Times New Roman" w:cs="Times New Roman"/>
          <w:sz w:val="24"/>
          <w:szCs w:val="24"/>
        </w:rPr>
        <w:t xml:space="preserve">Additionally, </w:t>
      </w:r>
      <w:r w:rsidR="003C21C6">
        <w:rPr>
          <w:rFonts w:ascii="Times New Roman" w:hAnsi="Times New Roman" w:cs="Times New Roman"/>
          <w:sz w:val="24"/>
          <w:szCs w:val="24"/>
        </w:rPr>
        <w:t>i</w:t>
      </w:r>
      <w:r w:rsidR="00AF143F">
        <w:rPr>
          <w:rFonts w:ascii="Times New Roman" w:hAnsi="Times New Roman" w:cs="Times New Roman"/>
          <w:sz w:val="24"/>
          <w:szCs w:val="24"/>
        </w:rPr>
        <w:t>t appe</w:t>
      </w:r>
      <w:r w:rsidR="00D550FA">
        <w:rPr>
          <w:rFonts w:ascii="Times New Roman" w:hAnsi="Times New Roman" w:cs="Times New Roman"/>
          <w:sz w:val="24"/>
          <w:szCs w:val="24"/>
        </w:rPr>
        <w:t>ars that</w:t>
      </w:r>
      <w:r w:rsidR="00E3288C">
        <w:rPr>
          <w:rFonts w:ascii="Times New Roman" w:hAnsi="Times New Roman" w:cs="Times New Roman"/>
          <w:sz w:val="24"/>
          <w:szCs w:val="24"/>
        </w:rPr>
        <w:t xml:space="preserve"> the</w:t>
      </w:r>
      <w:r w:rsidR="00D550FA">
        <w:rPr>
          <w:rFonts w:ascii="Times New Roman" w:hAnsi="Times New Roman" w:cs="Times New Roman"/>
          <w:sz w:val="24"/>
          <w:szCs w:val="24"/>
        </w:rPr>
        <w:t xml:space="preserve"> Romans</w:t>
      </w:r>
      <w:r w:rsidR="00E3288C">
        <w:rPr>
          <w:rFonts w:ascii="Times New Roman" w:hAnsi="Times New Roman" w:cs="Times New Roman"/>
          <w:sz w:val="24"/>
          <w:szCs w:val="24"/>
        </w:rPr>
        <w:t xml:space="preserve"> in som</w:t>
      </w:r>
      <w:r w:rsidR="00780CAC">
        <w:rPr>
          <w:rFonts w:ascii="Times New Roman" w:hAnsi="Times New Roman" w:cs="Times New Roman"/>
          <w:sz w:val="24"/>
          <w:szCs w:val="24"/>
        </w:rPr>
        <w:t>e instances were aware of the potential for</w:t>
      </w:r>
      <w:r w:rsidR="00E3288C">
        <w:rPr>
          <w:rFonts w:ascii="Times New Roman" w:hAnsi="Times New Roman" w:cs="Times New Roman"/>
          <w:sz w:val="24"/>
          <w:szCs w:val="24"/>
        </w:rPr>
        <w:t xml:space="preserve"> unbalanced trade</w:t>
      </w:r>
      <w:r w:rsidR="00D550FA">
        <w:rPr>
          <w:rFonts w:ascii="Times New Roman" w:hAnsi="Times New Roman" w:cs="Times New Roman"/>
          <w:sz w:val="24"/>
          <w:szCs w:val="24"/>
        </w:rPr>
        <w:t xml:space="preserve"> </w:t>
      </w:r>
      <w:r w:rsidR="003C21C6">
        <w:rPr>
          <w:rFonts w:ascii="Times New Roman" w:hAnsi="Times New Roman" w:cs="Times New Roman"/>
          <w:sz w:val="24"/>
          <w:szCs w:val="24"/>
        </w:rPr>
        <w:t>as</w:t>
      </w:r>
      <w:r w:rsidR="00E3288C">
        <w:rPr>
          <w:rFonts w:ascii="Times New Roman" w:hAnsi="Times New Roman" w:cs="Times New Roman"/>
          <w:sz w:val="24"/>
          <w:szCs w:val="24"/>
        </w:rPr>
        <w:t xml:space="preserve"> is</w:t>
      </w:r>
      <w:r w:rsidR="003C21C6">
        <w:rPr>
          <w:rFonts w:ascii="Times New Roman" w:hAnsi="Times New Roman" w:cs="Times New Roman"/>
          <w:sz w:val="24"/>
          <w:szCs w:val="24"/>
        </w:rPr>
        <w:t xml:space="preserve"> shown by the case of Britain, from which they appreciated that they obtained mo</w:t>
      </w:r>
      <w:r w:rsidR="00780CAC">
        <w:rPr>
          <w:rFonts w:ascii="Times New Roman" w:hAnsi="Times New Roman" w:cs="Times New Roman"/>
          <w:sz w:val="24"/>
          <w:szCs w:val="24"/>
        </w:rPr>
        <w:t>re via trade than they would through</w:t>
      </w:r>
      <w:r w:rsidR="003C21C6">
        <w:rPr>
          <w:rFonts w:ascii="Times New Roman" w:hAnsi="Times New Roman" w:cs="Times New Roman"/>
          <w:sz w:val="24"/>
          <w:szCs w:val="24"/>
        </w:rPr>
        <w:t xml:space="preserve"> direct control.</w:t>
      </w:r>
      <w:r w:rsidR="00556E2C">
        <w:rPr>
          <w:rStyle w:val="FootnoteReference"/>
          <w:rFonts w:ascii="Times New Roman" w:hAnsi="Times New Roman" w:cs="Times New Roman"/>
          <w:sz w:val="24"/>
          <w:szCs w:val="24"/>
        </w:rPr>
        <w:footnoteReference w:id="34"/>
      </w:r>
      <w:r w:rsidR="003C21C6">
        <w:rPr>
          <w:rFonts w:ascii="Times New Roman" w:hAnsi="Times New Roman" w:cs="Times New Roman"/>
          <w:sz w:val="24"/>
          <w:szCs w:val="24"/>
        </w:rPr>
        <w:t xml:space="preserve"> This makes it unlikely that the trade would have contin</w:t>
      </w:r>
      <w:r w:rsidR="00556E2C">
        <w:rPr>
          <w:rFonts w:ascii="Times New Roman" w:hAnsi="Times New Roman" w:cs="Times New Roman"/>
          <w:sz w:val="24"/>
          <w:szCs w:val="24"/>
        </w:rPr>
        <w:t>ued to operate</w:t>
      </w:r>
      <w:r w:rsidR="009D7F43">
        <w:rPr>
          <w:rFonts w:ascii="Times New Roman" w:hAnsi="Times New Roman" w:cs="Times New Roman"/>
          <w:sz w:val="24"/>
          <w:szCs w:val="24"/>
        </w:rPr>
        <w:t>, at least to the extent that it did,</w:t>
      </w:r>
      <w:r w:rsidR="00E3288C">
        <w:rPr>
          <w:rFonts w:ascii="Times New Roman" w:hAnsi="Times New Roman" w:cs="Times New Roman"/>
          <w:sz w:val="24"/>
          <w:szCs w:val="24"/>
        </w:rPr>
        <w:t xml:space="preserve"> on the appreciation</w:t>
      </w:r>
      <w:r w:rsidR="00556E2C">
        <w:rPr>
          <w:rFonts w:ascii="Times New Roman" w:hAnsi="Times New Roman" w:cs="Times New Roman"/>
          <w:sz w:val="24"/>
          <w:szCs w:val="24"/>
        </w:rPr>
        <w:t xml:space="preserve"> of such a large imbalance. </w:t>
      </w:r>
    </w:p>
    <w:p w:rsidR="00EF450C" w:rsidRDefault="00606023"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Finally, when considering the validity of the notion that the Indian Ocean trade harmed the Empire’s economy it is vital to at least highlight the financial return which our evidence indicat</w:t>
      </w:r>
      <w:r w:rsidR="005664E4">
        <w:rPr>
          <w:rFonts w:ascii="Times New Roman" w:hAnsi="Times New Roman" w:cs="Times New Roman"/>
          <w:sz w:val="24"/>
          <w:szCs w:val="24"/>
        </w:rPr>
        <w:t>es the state could derive from</w:t>
      </w:r>
      <w:r>
        <w:rPr>
          <w:rFonts w:ascii="Times New Roman" w:hAnsi="Times New Roman" w:cs="Times New Roman"/>
          <w:sz w:val="24"/>
          <w:szCs w:val="24"/>
        </w:rPr>
        <w:t xml:space="preserve"> trade.</w:t>
      </w:r>
      <w:r>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Moreover, the apparent lack of political action, despite some mention in our sources to prevent any significant loss of coinage, but rather the seeming state investment in the trade should be noted.</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The fact that the state could claim a substantial portion of the imported Indian Ocean products in taxation is clearly demonstrated by documents such as the </w:t>
      </w:r>
      <w:proofErr w:type="spellStart"/>
      <w:r>
        <w:rPr>
          <w:rFonts w:ascii="Times New Roman" w:hAnsi="Times New Roman" w:cs="Times New Roman"/>
          <w:sz w:val="24"/>
          <w:szCs w:val="24"/>
        </w:rPr>
        <w:t>Muziris</w:t>
      </w:r>
      <w:proofErr w:type="spellEnd"/>
      <w:r>
        <w:rPr>
          <w:rFonts w:ascii="Times New Roman" w:hAnsi="Times New Roman" w:cs="Times New Roman"/>
          <w:sz w:val="24"/>
          <w:szCs w:val="24"/>
        </w:rPr>
        <w:t xml:space="preserve"> papyrus, a mid-</w:t>
      </w:r>
      <w:r w:rsidR="004F0594">
        <w:rPr>
          <w:rFonts w:ascii="Times New Roman" w:hAnsi="Times New Roman" w:cs="Times New Roman"/>
          <w:sz w:val="24"/>
          <w:szCs w:val="24"/>
        </w:rPr>
        <w:t xml:space="preserve">second century </w:t>
      </w:r>
      <w:r>
        <w:rPr>
          <w:rFonts w:ascii="Times New Roman" w:hAnsi="Times New Roman" w:cs="Times New Roman"/>
          <w:sz w:val="24"/>
          <w:szCs w:val="24"/>
        </w:rPr>
        <w:t xml:space="preserve">imperial loan contract which references the payment of a </w:t>
      </w:r>
      <w:proofErr w:type="spellStart"/>
      <w:r>
        <w:rPr>
          <w:rFonts w:ascii="Times New Roman" w:hAnsi="Times New Roman" w:cs="Times New Roman"/>
          <w:i/>
          <w:sz w:val="24"/>
          <w:szCs w:val="24"/>
        </w:rPr>
        <w:t>tetrate</w:t>
      </w:r>
      <w:proofErr w:type="spellEnd"/>
      <w:r>
        <w:rPr>
          <w:rFonts w:ascii="Times New Roman" w:hAnsi="Times New Roman" w:cs="Times New Roman"/>
          <w:i/>
          <w:sz w:val="24"/>
          <w:szCs w:val="24"/>
        </w:rPr>
        <w:t xml:space="preserve"> </w:t>
      </w:r>
      <w:r>
        <w:rPr>
          <w:rFonts w:ascii="Times New Roman" w:hAnsi="Times New Roman" w:cs="Times New Roman"/>
          <w:sz w:val="24"/>
          <w:szCs w:val="24"/>
        </w:rPr>
        <w:t>of one-quarter of the goods.</w:t>
      </w:r>
      <w:r>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Since the papyrus also records the value of the cargo being imported this has</w:t>
      </w:r>
      <w:r w:rsidR="004B5CDB">
        <w:rPr>
          <w:rFonts w:ascii="Times New Roman" w:hAnsi="Times New Roman" w:cs="Times New Roman"/>
          <w:sz w:val="24"/>
          <w:szCs w:val="24"/>
        </w:rPr>
        <w:t xml:space="preserve">, as </w:t>
      </w:r>
      <w:proofErr w:type="spellStart"/>
      <w:r w:rsidR="004B5CDB">
        <w:rPr>
          <w:rFonts w:ascii="Times New Roman" w:hAnsi="Times New Roman" w:cs="Times New Roman"/>
          <w:sz w:val="24"/>
          <w:szCs w:val="24"/>
        </w:rPr>
        <w:t>Gurrukkal</w:t>
      </w:r>
      <w:proofErr w:type="spellEnd"/>
      <w:r w:rsidR="004B5CDB">
        <w:rPr>
          <w:rFonts w:ascii="Times New Roman" w:hAnsi="Times New Roman" w:cs="Times New Roman"/>
          <w:sz w:val="24"/>
          <w:szCs w:val="24"/>
        </w:rPr>
        <w:t xml:space="preserve"> rightly notes,</w:t>
      </w:r>
      <w:r>
        <w:rPr>
          <w:rFonts w:ascii="Times New Roman" w:hAnsi="Times New Roman" w:cs="Times New Roman"/>
          <w:sz w:val="24"/>
          <w:szCs w:val="24"/>
        </w:rPr>
        <w:t xml:space="preserve"> enabled modern scholars</w:t>
      </w:r>
      <w:r w:rsidR="004B5CDB">
        <w:rPr>
          <w:rFonts w:ascii="Times New Roman" w:hAnsi="Times New Roman" w:cs="Times New Roman"/>
          <w:sz w:val="24"/>
          <w:szCs w:val="24"/>
        </w:rPr>
        <w:t xml:space="preserve"> to appreciate the potential value and size of the trade.</w:t>
      </w:r>
      <w:r w:rsidR="004B5CDB">
        <w:rPr>
          <w:rStyle w:val="FootnoteReference"/>
          <w:rFonts w:ascii="Times New Roman" w:hAnsi="Times New Roman" w:cs="Times New Roman"/>
          <w:sz w:val="24"/>
          <w:szCs w:val="24"/>
        </w:rPr>
        <w:footnoteReference w:id="38"/>
      </w:r>
      <w:r w:rsidR="004B5CDB">
        <w:rPr>
          <w:rFonts w:ascii="Times New Roman" w:hAnsi="Times New Roman" w:cs="Times New Roman"/>
          <w:sz w:val="24"/>
          <w:szCs w:val="24"/>
        </w:rPr>
        <w:t xml:space="preserve"> Furthermore, in combination with references to the </w:t>
      </w:r>
      <w:r w:rsidR="00E370D1">
        <w:rPr>
          <w:rFonts w:ascii="Times New Roman" w:hAnsi="Times New Roman" w:cs="Times New Roman"/>
          <w:sz w:val="24"/>
          <w:szCs w:val="24"/>
        </w:rPr>
        <w:t>possible</w:t>
      </w:r>
      <w:r w:rsidR="004B5CDB">
        <w:rPr>
          <w:rFonts w:ascii="Times New Roman" w:hAnsi="Times New Roman" w:cs="Times New Roman"/>
          <w:sz w:val="24"/>
          <w:szCs w:val="24"/>
        </w:rPr>
        <w:t xml:space="preserve"> number of trading ships in Strabo it has enabled others,</w:t>
      </w:r>
      <w:r>
        <w:rPr>
          <w:rFonts w:ascii="Times New Roman" w:hAnsi="Times New Roman" w:cs="Times New Roman"/>
          <w:sz w:val="24"/>
          <w:szCs w:val="24"/>
        </w:rPr>
        <w:t xml:space="preserve"> such as</w:t>
      </w:r>
      <w:r w:rsidR="004B5CDB">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Mclaughl</w:t>
      </w:r>
      <w:r w:rsidR="004B5CDB">
        <w:rPr>
          <w:rFonts w:ascii="Times New Roman" w:hAnsi="Times New Roman" w:cs="Times New Roman"/>
          <w:sz w:val="24"/>
          <w:szCs w:val="24"/>
        </w:rPr>
        <w:t>in</w:t>
      </w:r>
      <w:proofErr w:type="spellEnd"/>
      <w:r w:rsidR="004B5CDB">
        <w:rPr>
          <w:rFonts w:ascii="Times New Roman" w:hAnsi="Times New Roman" w:cs="Times New Roman"/>
          <w:sz w:val="24"/>
          <w:szCs w:val="24"/>
        </w:rPr>
        <w:t xml:space="preserve">, Wilson and </w:t>
      </w:r>
      <w:proofErr w:type="spellStart"/>
      <w:r w:rsidR="004B5CDB">
        <w:rPr>
          <w:rFonts w:ascii="Times New Roman" w:hAnsi="Times New Roman" w:cs="Times New Roman"/>
          <w:sz w:val="24"/>
          <w:szCs w:val="24"/>
        </w:rPr>
        <w:t>Sidebotham</w:t>
      </w:r>
      <w:proofErr w:type="spellEnd"/>
      <w:r w:rsidR="004B5CDB">
        <w:rPr>
          <w:rFonts w:ascii="Times New Roman" w:hAnsi="Times New Roman" w:cs="Times New Roman"/>
          <w:sz w:val="24"/>
          <w:szCs w:val="24"/>
        </w:rPr>
        <w:t xml:space="preserve"> to attempt to estimate the likely state revenue from this taxation.</w:t>
      </w:r>
      <w:r w:rsidR="004B5CDB">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004B5CDB">
        <w:rPr>
          <w:rFonts w:ascii="Times New Roman" w:hAnsi="Times New Roman" w:cs="Times New Roman"/>
          <w:sz w:val="24"/>
          <w:szCs w:val="24"/>
        </w:rPr>
        <w:t>While their estimates have bee</w:t>
      </w:r>
      <w:r w:rsidR="009D7F43">
        <w:rPr>
          <w:rFonts w:ascii="Times New Roman" w:hAnsi="Times New Roman" w:cs="Times New Roman"/>
          <w:sz w:val="24"/>
          <w:szCs w:val="24"/>
        </w:rPr>
        <w:t xml:space="preserve">n contested by Young and </w:t>
      </w:r>
      <w:proofErr w:type="spellStart"/>
      <w:r w:rsidR="009D7F43">
        <w:rPr>
          <w:rFonts w:ascii="Times New Roman" w:hAnsi="Times New Roman" w:cs="Times New Roman"/>
          <w:sz w:val="24"/>
          <w:szCs w:val="24"/>
        </w:rPr>
        <w:t>Mcleister</w:t>
      </w:r>
      <w:proofErr w:type="spellEnd"/>
      <w:r w:rsidR="004B5CDB">
        <w:rPr>
          <w:rFonts w:ascii="Times New Roman" w:hAnsi="Times New Roman" w:cs="Times New Roman"/>
          <w:sz w:val="24"/>
          <w:szCs w:val="24"/>
        </w:rPr>
        <w:t xml:space="preserve"> who base their estimates on the figures of Pliny mentioned above and Cobb has highlighted that in comparison to estimates of Roman GDP by </w:t>
      </w:r>
      <w:proofErr w:type="spellStart"/>
      <w:r w:rsidR="004B5CDB">
        <w:rPr>
          <w:rFonts w:ascii="Times New Roman" w:hAnsi="Times New Roman" w:cs="Times New Roman"/>
          <w:sz w:val="24"/>
          <w:szCs w:val="24"/>
        </w:rPr>
        <w:t>Schidel</w:t>
      </w:r>
      <w:proofErr w:type="spellEnd"/>
      <w:r w:rsidR="004B5CDB">
        <w:rPr>
          <w:rFonts w:ascii="Times New Roman" w:hAnsi="Times New Roman" w:cs="Times New Roman"/>
          <w:sz w:val="24"/>
          <w:szCs w:val="24"/>
        </w:rPr>
        <w:t xml:space="preserve"> and </w:t>
      </w:r>
      <w:proofErr w:type="spellStart"/>
      <w:r w:rsidR="004B5CDB">
        <w:rPr>
          <w:rFonts w:ascii="Times New Roman" w:hAnsi="Times New Roman" w:cs="Times New Roman"/>
          <w:sz w:val="24"/>
          <w:szCs w:val="24"/>
        </w:rPr>
        <w:t>Frisen</w:t>
      </w:r>
      <w:proofErr w:type="spellEnd"/>
      <w:r w:rsidR="004B5CDB">
        <w:rPr>
          <w:rFonts w:ascii="Times New Roman" w:hAnsi="Times New Roman" w:cs="Times New Roman"/>
          <w:sz w:val="24"/>
          <w:szCs w:val="24"/>
        </w:rPr>
        <w:t xml:space="preserve">, </w:t>
      </w:r>
      <w:proofErr w:type="spellStart"/>
      <w:r w:rsidR="004B5CDB">
        <w:rPr>
          <w:rFonts w:ascii="Times New Roman" w:hAnsi="Times New Roman" w:cs="Times New Roman"/>
          <w:sz w:val="24"/>
          <w:szCs w:val="24"/>
        </w:rPr>
        <w:t>Sideb</w:t>
      </w:r>
      <w:r w:rsidR="007579CC">
        <w:rPr>
          <w:rFonts w:ascii="Times New Roman" w:hAnsi="Times New Roman" w:cs="Times New Roman"/>
          <w:sz w:val="24"/>
          <w:szCs w:val="24"/>
        </w:rPr>
        <w:t>otham’s</w:t>
      </w:r>
      <w:proofErr w:type="spellEnd"/>
      <w:r w:rsidR="007579CC">
        <w:rPr>
          <w:rFonts w:ascii="Times New Roman" w:hAnsi="Times New Roman" w:cs="Times New Roman"/>
          <w:sz w:val="24"/>
          <w:szCs w:val="24"/>
        </w:rPr>
        <w:t xml:space="preserve"> number is likely excessive</w:t>
      </w:r>
      <w:r w:rsidR="004B5CDB">
        <w:rPr>
          <w:rFonts w:ascii="Times New Roman" w:hAnsi="Times New Roman" w:cs="Times New Roman"/>
          <w:sz w:val="24"/>
          <w:szCs w:val="24"/>
        </w:rPr>
        <w:t>, it appears that the trade could have generated anywhere between 10-270 million sesterces per year for the state.</w:t>
      </w:r>
      <w:r w:rsidR="004B5CDB">
        <w:rPr>
          <w:rStyle w:val="FootnoteReference"/>
          <w:rFonts w:ascii="Times New Roman" w:hAnsi="Times New Roman" w:cs="Times New Roman"/>
          <w:sz w:val="24"/>
          <w:szCs w:val="24"/>
        </w:rPr>
        <w:footnoteReference w:id="40"/>
      </w:r>
      <w:r>
        <w:rPr>
          <w:rFonts w:ascii="Times New Roman" w:hAnsi="Times New Roman" w:cs="Times New Roman"/>
          <w:sz w:val="24"/>
          <w:szCs w:val="24"/>
        </w:rPr>
        <w:t xml:space="preserve"> </w:t>
      </w:r>
      <w:r w:rsidR="006A62D7">
        <w:rPr>
          <w:rFonts w:ascii="Times New Roman" w:hAnsi="Times New Roman" w:cs="Times New Roman"/>
          <w:sz w:val="24"/>
          <w:szCs w:val="24"/>
        </w:rPr>
        <w:t xml:space="preserve"> </w:t>
      </w:r>
      <w:r w:rsidR="00EF450C">
        <w:rPr>
          <w:rFonts w:ascii="Times New Roman" w:hAnsi="Times New Roman" w:cs="Times New Roman"/>
          <w:sz w:val="24"/>
          <w:szCs w:val="24"/>
        </w:rPr>
        <w:t xml:space="preserve"> </w:t>
      </w:r>
    </w:p>
    <w:p w:rsidR="004B5CDB" w:rsidRDefault="004B5CDB"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Despite uncertainty as to the exact figure, when compared to the 40 million sesterces</w:t>
      </w:r>
      <w:r w:rsidR="008F1076">
        <w:rPr>
          <w:rFonts w:ascii="Times New Roman" w:hAnsi="Times New Roman" w:cs="Times New Roman"/>
          <w:sz w:val="24"/>
          <w:szCs w:val="24"/>
        </w:rPr>
        <w:t xml:space="preserve"> which Suetonius, given his inner knowledge of the imperial household</w:t>
      </w:r>
      <w:r w:rsidR="009D7F43">
        <w:rPr>
          <w:rFonts w:ascii="Times New Roman" w:hAnsi="Times New Roman" w:cs="Times New Roman"/>
          <w:sz w:val="24"/>
          <w:szCs w:val="24"/>
        </w:rPr>
        <w:t xml:space="preserve"> likely accurately</w:t>
      </w:r>
      <w:r w:rsidR="008F1076">
        <w:rPr>
          <w:rFonts w:ascii="Times New Roman" w:hAnsi="Times New Roman" w:cs="Times New Roman"/>
          <w:sz w:val="24"/>
          <w:szCs w:val="24"/>
        </w:rPr>
        <w:t xml:space="preserve"> says</w:t>
      </w:r>
      <w:r w:rsidR="009D7F43">
        <w:rPr>
          <w:rFonts w:ascii="Times New Roman" w:hAnsi="Times New Roman" w:cs="Times New Roman"/>
          <w:sz w:val="24"/>
          <w:szCs w:val="24"/>
        </w:rPr>
        <w:t>,</w:t>
      </w:r>
      <w:r w:rsidR="008F1076">
        <w:rPr>
          <w:rFonts w:ascii="Times New Roman" w:hAnsi="Times New Roman" w:cs="Times New Roman"/>
          <w:sz w:val="24"/>
          <w:szCs w:val="24"/>
        </w:rPr>
        <w:t xml:space="preserve"> was</w:t>
      </w:r>
      <w:r>
        <w:rPr>
          <w:rFonts w:ascii="Times New Roman" w:hAnsi="Times New Roman" w:cs="Times New Roman"/>
          <w:sz w:val="24"/>
          <w:szCs w:val="24"/>
        </w:rPr>
        <w:t xml:space="preserve"> provided in tax by Gaul then either end of the range would have been immensely valuable to the Roman state.</w:t>
      </w:r>
      <w:r>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w:t>
      </w:r>
      <w:r w:rsidR="0071092E">
        <w:rPr>
          <w:rFonts w:ascii="Times New Roman" w:hAnsi="Times New Roman" w:cs="Times New Roman"/>
          <w:sz w:val="24"/>
          <w:szCs w:val="24"/>
        </w:rPr>
        <w:t xml:space="preserve">Moreover, while literary sources such as Livy describe a prohibition on </w:t>
      </w:r>
      <w:r w:rsidR="0071092E">
        <w:rPr>
          <w:rFonts w:ascii="Times New Roman" w:hAnsi="Times New Roman" w:cs="Times New Roman"/>
          <w:sz w:val="24"/>
          <w:szCs w:val="24"/>
        </w:rPr>
        <w:lastRenderedPageBreak/>
        <w:t>senators engaging in maritime trade dating to 219/18 BC which is similar to that of  Tacitus record of a speech of Tiberius during the early 1</w:t>
      </w:r>
      <w:r w:rsidR="0071092E" w:rsidRPr="0071092E">
        <w:rPr>
          <w:rFonts w:ascii="Times New Roman" w:hAnsi="Times New Roman" w:cs="Times New Roman"/>
          <w:sz w:val="24"/>
          <w:szCs w:val="24"/>
          <w:vertAlign w:val="superscript"/>
        </w:rPr>
        <w:t>st</w:t>
      </w:r>
      <w:r w:rsidR="0071092E">
        <w:rPr>
          <w:rFonts w:ascii="Times New Roman" w:hAnsi="Times New Roman" w:cs="Times New Roman"/>
          <w:sz w:val="24"/>
          <w:szCs w:val="24"/>
        </w:rPr>
        <w:t xml:space="preserve"> century AD </w:t>
      </w:r>
      <w:proofErr w:type="spellStart"/>
      <w:r w:rsidR="0071092E">
        <w:rPr>
          <w:rFonts w:ascii="Times New Roman" w:hAnsi="Times New Roman" w:cs="Times New Roman"/>
          <w:sz w:val="24"/>
          <w:szCs w:val="24"/>
        </w:rPr>
        <w:t>Mcleister</w:t>
      </w:r>
      <w:proofErr w:type="spellEnd"/>
      <w:r w:rsidR="0071092E">
        <w:rPr>
          <w:rFonts w:ascii="Times New Roman" w:hAnsi="Times New Roman" w:cs="Times New Roman"/>
          <w:sz w:val="24"/>
          <w:szCs w:val="24"/>
        </w:rPr>
        <w:t xml:space="preserve"> is right to suggest that this is evidence for senators regularly engaging in such activity, thus, demonstrating its value.</w:t>
      </w:r>
      <w:r w:rsidR="0071092E">
        <w:rPr>
          <w:rStyle w:val="FootnoteReference"/>
          <w:rFonts w:ascii="Times New Roman" w:hAnsi="Times New Roman" w:cs="Times New Roman"/>
          <w:sz w:val="24"/>
          <w:szCs w:val="24"/>
        </w:rPr>
        <w:footnoteReference w:id="42"/>
      </w:r>
      <w:r w:rsidR="0071092E">
        <w:rPr>
          <w:rFonts w:ascii="Times New Roman" w:hAnsi="Times New Roman" w:cs="Times New Roman"/>
          <w:sz w:val="24"/>
          <w:szCs w:val="24"/>
        </w:rPr>
        <w:t xml:space="preserve"> Indeed, Young reads the comments in Tacitus in a similar light to those of Pliny and rightly argues that they do not represent a genuine concern on the part of the state.</w:t>
      </w:r>
      <w:r w:rsidR="0071092E">
        <w:rPr>
          <w:rStyle w:val="FootnoteReference"/>
          <w:rFonts w:ascii="Times New Roman" w:hAnsi="Times New Roman" w:cs="Times New Roman"/>
          <w:sz w:val="24"/>
          <w:szCs w:val="24"/>
        </w:rPr>
        <w:footnoteReference w:id="43"/>
      </w:r>
      <w:r w:rsidR="0071092E">
        <w:rPr>
          <w:rFonts w:ascii="Times New Roman" w:hAnsi="Times New Roman" w:cs="Times New Roman"/>
          <w:sz w:val="24"/>
          <w:szCs w:val="24"/>
        </w:rPr>
        <w:t xml:space="preserve"> Indeed, modern scholars such as </w:t>
      </w:r>
      <w:proofErr w:type="spellStart"/>
      <w:r w:rsidR="0071092E">
        <w:rPr>
          <w:rFonts w:ascii="Times New Roman" w:hAnsi="Times New Roman" w:cs="Times New Roman"/>
          <w:sz w:val="24"/>
          <w:szCs w:val="24"/>
        </w:rPr>
        <w:t>Sidebotham</w:t>
      </w:r>
      <w:proofErr w:type="spellEnd"/>
      <w:r w:rsidR="0071092E">
        <w:rPr>
          <w:rFonts w:ascii="Times New Roman" w:hAnsi="Times New Roman" w:cs="Times New Roman"/>
          <w:sz w:val="24"/>
          <w:szCs w:val="24"/>
        </w:rPr>
        <w:t xml:space="preserve">, Young and Cobb have all demonstrated that the state undertook fairly extensive measures to support the trade with the earlier Ptolemaic infrastructure undergoing </w:t>
      </w:r>
      <w:r w:rsidR="005726B7">
        <w:rPr>
          <w:rFonts w:ascii="Times New Roman" w:hAnsi="Times New Roman" w:cs="Times New Roman"/>
          <w:sz w:val="24"/>
          <w:szCs w:val="24"/>
        </w:rPr>
        <w:t>substantial improvement and expansion throughout the imperial period with renovations of numerous harbours and way-stations.</w:t>
      </w:r>
      <w:r w:rsidR="005726B7">
        <w:rPr>
          <w:rStyle w:val="FootnoteReference"/>
          <w:rFonts w:ascii="Times New Roman" w:hAnsi="Times New Roman" w:cs="Times New Roman"/>
          <w:sz w:val="24"/>
          <w:szCs w:val="24"/>
        </w:rPr>
        <w:footnoteReference w:id="44"/>
      </w:r>
      <w:r w:rsidR="005726B7">
        <w:rPr>
          <w:rFonts w:ascii="Times New Roman" w:hAnsi="Times New Roman" w:cs="Times New Roman"/>
          <w:sz w:val="24"/>
          <w:szCs w:val="24"/>
        </w:rPr>
        <w:t xml:space="preserve"> This further suggests that considering the </w:t>
      </w:r>
      <w:proofErr w:type="spellStart"/>
      <w:r w:rsidR="005726B7">
        <w:rPr>
          <w:rFonts w:ascii="Times New Roman" w:hAnsi="Times New Roman" w:cs="Times New Roman"/>
          <w:i/>
          <w:sz w:val="24"/>
          <w:szCs w:val="24"/>
        </w:rPr>
        <w:t>tetrate</w:t>
      </w:r>
      <w:proofErr w:type="spellEnd"/>
      <w:r w:rsidR="005726B7">
        <w:rPr>
          <w:rFonts w:ascii="Times New Roman" w:hAnsi="Times New Roman" w:cs="Times New Roman"/>
          <w:sz w:val="24"/>
          <w:szCs w:val="24"/>
        </w:rPr>
        <w:t xml:space="preserve">, the trade was more likely a major benefit  to the Roman economy even if there was an indeterminate amount of coinage lost. Moreover, this state support also suggests that the alleged concern by Tiberius is likely, the opinion of Tacitus, who, at the top of Roman society would appear to be placing himself within a common </w:t>
      </w:r>
      <w:proofErr w:type="spellStart"/>
      <w:r w:rsidR="005726B7">
        <w:rPr>
          <w:rFonts w:ascii="Times New Roman" w:hAnsi="Times New Roman" w:cs="Times New Roman"/>
          <w:i/>
          <w:sz w:val="24"/>
          <w:szCs w:val="24"/>
        </w:rPr>
        <w:t>topos</w:t>
      </w:r>
      <w:proofErr w:type="spellEnd"/>
      <w:r w:rsidR="005726B7">
        <w:rPr>
          <w:rFonts w:ascii="Times New Roman" w:hAnsi="Times New Roman" w:cs="Times New Roman"/>
          <w:i/>
          <w:sz w:val="24"/>
          <w:szCs w:val="24"/>
        </w:rPr>
        <w:t xml:space="preserve"> </w:t>
      </w:r>
      <w:r w:rsidR="005726B7">
        <w:rPr>
          <w:rFonts w:ascii="Times New Roman" w:hAnsi="Times New Roman" w:cs="Times New Roman"/>
          <w:sz w:val="24"/>
          <w:szCs w:val="24"/>
        </w:rPr>
        <w:t>of displaying mor</w:t>
      </w:r>
      <w:r w:rsidR="006C714F">
        <w:rPr>
          <w:rFonts w:ascii="Times New Roman" w:hAnsi="Times New Roman" w:cs="Times New Roman"/>
          <w:sz w:val="24"/>
          <w:szCs w:val="24"/>
        </w:rPr>
        <w:t>al concern at such things as</w:t>
      </w:r>
      <w:r w:rsidR="005726B7">
        <w:rPr>
          <w:rFonts w:ascii="Times New Roman" w:hAnsi="Times New Roman" w:cs="Times New Roman"/>
          <w:sz w:val="24"/>
          <w:szCs w:val="24"/>
        </w:rPr>
        <w:t xml:space="preserve"> Indian Ocean imports.</w:t>
      </w:r>
      <w:r w:rsidR="005726B7">
        <w:rPr>
          <w:rStyle w:val="FootnoteReference"/>
          <w:rFonts w:ascii="Times New Roman" w:hAnsi="Times New Roman" w:cs="Times New Roman"/>
          <w:sz w:val="24"/>
          <w:szCs w:val="24"/>
        </w:rPr>
        <w:footnoteReference w:id="45"/>
      </w:r>
    </w:p>
    <w:p w:rsidR="00E63814" w:rsidRDefault="00D27285"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while modern</w:t>
      </w:r>
      <w:r w:rsidR="008F1076">
        <w:rPr>
          <w:rFonts w:ascii="Times New Roman" w:hAnsi="Times New Roman" w:cs="Times New Roman"/>
          <w:sz w:val="24"/>
          <w:szCs w:val="24"/>
        </w:rPr>
        <w:t xml:space="preserve"> scholars such as </w:t>
      </w:r>
      <w:proofErr w:type="spellStart"/>
      <w:r w:rsidR="008F1076">
        <w:rPr>
          <w:rFonts w:ascii="Times New Roman" w:hAnsi="Times New Roman" w:cs="Times New Roman"/>
          <w:sz w:val="24"/>
          <w:szCs w:val="24"/>
        </w:rPr>
        <w:t>Warmington</w:t>
      </w:r>
      <w:proofErr w:type="spellEnd"/>
      <w:r w:rsidR="008F1076">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Mclaughlin</w:t>
      </w:r>
      <w:proofErr w:type="spellEnd"/>
      <w:r w:rsidR="008F1076">
        <w:rPr>
          <w:rFonts w:ascii="Times New Roman" w:hAnsi="Times New Roman" w:cs="Times New Roman"/>
          <w:sz w:val="24"/>
          <w:szCs w:val="24"/>
        </w:rPr>
        <w:t xml:space="preserve"> and </w:t>
      </w:r>
      <w:proofErr w:type="spellStart"/>
      <w:r w:rsidR="008F1076">
        <w:rPr>
          <w:rFonts w:ascii="Times New Roman" w:hAnsi="Times New Roman" w:cs="Times New Roman"/>
          <w:sz w:val="24"/>
          <w:szCs w:val="24"/>
        </w:rPr>
        <w:t>Fitzpartick</w:t>
      </w:r>
      <w:proofErr w:type="spellEnd"/>
      <w:r>
        <w:rPr>
          <w:rFonts w:ascii="Times New Roman" w:hAnsi="Times New Roman" w:cs="Times New Roman"/>
          <w:sz w:val="24"/>
          <w:szCs w:val="24"/>
        </w:rPr>
        <w:t xml:space="preserve"> have argued for the notion that Rome’s Indian Ocean trade had a harmful impact on the Roman economy, mainly through the long-term loss of coinage to pay for th</w:t>
      </w:r>
      <w:r w:rsidR="009D7F43">
        <w:rPr>
          <w:rFonts w:ascii="Times New Roman" w:hAnsi="Times New Roman" w:cs="Times New Roman"/>
          <w:sz w:val="24"/>
          <w:szCs w:val="24"/>
        </w:rPr>
        <w:t>e trade this has been debated and,</w:t>
      </w:r>
      <w:r>
        <w:rPr>
          <w:rFonts w:ascii="Times New Roman" w:hAnsi="Times New Roman" w:cs="Times New Roman"/>
          <w:sz w:val="24"/>
          <w:szCs w:val="24"/>
        </w:rPr>
        <w:t xml:space="preserve"> considering the evidence</w:t>
      </w:r>
      <w:r w:rsidR="009D7F43">
        <w:rPr>
          <w:rFonts w:ascii="Times New Roman" w:hAnsi="Times New Roman" w:cs="Times New Roman"/>
          <w:sz w:val="24"/>
          <w:szCs w:val="24"/>
        </w:rPr>
        <w:t>,</w:t>
      </w:r>
      <w:r>
        <w:rPr>
          <w:rFonts w:ascii="Times New Roman" w:hAnsi="Times New Roman" w:cs="Times New Roman"/>
          <w:sz w:val="24"/>
          <w:szCs w:val="24"/>
        </w:rPr>
        <w:t xml:space="preserve"> does not seem likely. Firstly, the primary evidence for the trade’s negative impact comes from Pliny</w:t>
      </w:r>
      <w:r w:rsidR="00081FDE">
        <w:rPr>
          <w:rFonts w:ascii="Times New Roman" w:hAnsi="Times New Roman" w:cs="Times New Roman"/>
          <w:sz w:val="24"/>
          <w:szCs w:val="24"/>
        </w:rPr>
        <w:t xml:space="preserve"> whose comments come in</w:t>
      </w:r>
      <w:r w:rsidR="00E3288C">
        <w:rPr>
          <w:rFonts w:ascii="Times New Roman" w:hAnsi="Times New Roman" w:cs="Times New Roman"/>
          <w:sz w:val="24"/>
          <w:szCs w:val="24"/>
        </w:rPr>
        <w:t xml:space="preserve"> variously</w:t>
      </w:r>
      <w:r>
        <w:rPr>
          <w:rFonts w:ascii="Times New Roman" w:hAnsi="Times New Roman" w:cs="Times New Roman"/>
          <w:sz w:val="24"/>
          <w:szCs w:val="24"/>
        </w:rPr>
        <w:t xml:space="preserve"> moralistic context</w:t>
      </w:r>
      <w:r w:rsidR="00081FDE">
        <w:rPr>
          <w:rFonts w:ascii="Times New Roman" w:hAnsi="Times New Roman" w:cs="Times New Roman"/>
          <w:sz w:val="24"/>
          <w:szCs w:val="24"/>
        </w:rPr>
        <w:t>s</w:t>
      </w:r>
      <w:r w:rsidR="00906FA9">
        <w:rPr>
          <w:rFonts w:ascii="Times New Roman" w:hAnsi="Times New Roman" w:cs="Times New Roman"/>
          <w:sz w:val="24"/>
          <w:szCs w:val="24"/>
        </w:rPr>
        <w:t>,</w:t>
      </w:r>
      <w:r>
        <w:rPr>
          <w:rFonts w:ascii="Times New Roman" w:hAnsi="Times New Roman" w:cs="Times New Roman"/>
          <w:sz w:val="24"/>
          <w:szCs w:val="24"/>
        </w:rPr>
        <w:t xml:space="preserve"> and indeed, do not strictly indicate that the loss of 50 million sesterces was one of coinage. This makes their validity for indicating a harmful impact difficult to ascertain. </w:t>
      </w:r>
      <w:r w:rsidR="0063327A">
        <w:rPr>
          <w:rFonts w:ascii="Times New Roman" w:hAnsi="Times New Roman" w:cs="Times New Roman"/>
          <w:sz w:val="24"/>
          <w:szCs w:val="24"/>
        </w:rPr>
        <w:t>Secondly, while the</w:t>
      </w:r>
      <w:r>
        <w:rPr>
          <w:rFonts w:ascii="Times New Roman" w:hAnsi="Times New Roman" w:cs="Times New Roman"/>
          <w:sz w:val="24"/>
          <w:szCs w:val="24"/>
        </w:rPr>
        <w:t xml:space="preserve"> number of </w:t>
      </w:r>
      <w:r w:rsidR="0063327A">
        <w:rPr>
          <w:rFonts w:ascii="Times New Roman" w:hAnsi="Times New Roman" w:cs="Times New Roman"/>
          <w:sz w:val="24"/>
          <w:szCs w:val="24"/>
        </w:rPr>
        <w:t xml:space="preserve">coins that </w:t>
      </w:r>
      <w:r>
        <w:rPr>
          <w:rFonts w:ascii="Times New Roman" w:hAnsi="Times New Roman" w:cs="Times New Roman"/>
          <w:sz w:val="24"/>
          <w:szCs w:val="24"/>
        </w:rPr>
        <w:t>have been found in India</w:t>
      </w:r>
      <w:r w:rsidR="0063327A">
        <w:rPr>
          <w:rFonts w:ascii="Times New Roman" w:hAnsi="Times New Roman" w:cs="Times New Roman"/>
          <w:sz w:val="24"/>
          <w:szCs w:val="24"/>
        </w:rPr>
        <w:t xml:space="preserve"> may support Pliny, modern scholars are right to argue</w:t>
      </w:r>
      <w:r>
        <w:rPr>
          <w:rFonts w:ascii="Times New Roman" w:hAnsi="Times New Roman" w:cs="Times New Roman"/>
          <w:sz w:val="24"/>
          <w:szCs w:val="24"/>
        </w:rPr>
        <w:t xml:space="preserve"> they </w:t>
      </w:r>
      <w:r w:rsidR="0063327A">
        <w:rPr>
          <w:rFonts w:ascii="Times New Roman" w:hAnsi="Times New Roman" w:cs="Times New Roman"/>
          <w:sz w:val="24"/>
          <w:szCs w:val="24"/>
        </w:rPr>
        <w:t>are neither</w:t>
      </w:r>
      <w:r>
        <w:rPr>
          <w:rFonts w:ascii="Times New Roman" w:hAnsi="Times New Roman" w:cs="Times New Roman"/>
          <w:sz w:val="24"/>
          <w:szCs w:val="24"/>
        </w:rPr>
        <w:t xml:space="preserve"> present in sufficient</w:t>
      </w:r>
      <w:r w:rsidR="00081FDE">
        <w:rPr>
          <w:rFonts w:ascii="Times New Roman" w:hAnsi="Times New Roman" w:cs="Times New Roman"/>
          <w:sz w:val="24"/>
          <w:szCs w:val="24"/>
        </w:rPr>
        <w:t xml:space="preserve"> quantities</w:t>
      </w:r>
      <w:r w:rsidR="0063327A">
        <w:rPr>
          <w:rFonts w:ascii="Times New Roman" w:hAnsi="Times New Roman" w:cs="Times New Roman"/>
          <w:sz w:val="24"/>
          <w:szCs w:val="24"/>
        </w:rPr>
        <w:t xml:space="preserve">, nor do they compare with hoards found within the empire. Moreover, while it is undeniable based on the numismatic evidence and the testimony of the </w:t>
      </w:r>
      <w:r w:rsidR="009D7F43">
        <w:rPr>
          <w:rFonts w:ascii="Times New Roman" w:hAnsi="Times New Roman" w:cs="Times New Roman"/>
          <w:i/>
          <w:sz w:val="24"/>
          <w:szCs w:val="24"/>
        </w:rPr>
        <w:t>P</w:t>
      </w:r>
      <w:r w:rsidR="0063327A">
        <w:rPr>
          <w:rFonts w:ascii="Times New Roman" w:hAnsi="Times New Roman" w:cs="Times New Roman"/>
          <w:i/>
          <w:sz w:val="24"/>
          <w:szCs w:val="24"/>
        </w:rPr>
        <w:t xml:space="preserve">eriplus </w:t>
      </w:r>
      <w:r w:rsidR="0063327A">
        <w:rPr>
          <w:rFonts w:ascii="Times New Roman" w:hAnsi="Times New Roman" w:cs="Times New Roman"/>
          <w:sz w:val="24"/>
          <w:szCs w:val="24"/>
        </w:rPr>
        <w:t xml:space="preserve">that coins formed some part of the trade process, Cobb has successfully demonstrated that even if they were exported in quantities approaching those of Pliny, by necessity they were secondary to products in kind which archaeologically have been shown to have been in high demand in India. Lastly, the potential revenue which the trade represented for the state in the form of the </w:t>
      </w:r>
      <w:proofErr w:type="spellStart"/>
      <w:r w:rsidR="0063327A">
        <w:rPr>
          <w:rFonts w:ascii="Times New Roman" w:hAnsi="Times New Roman" w:cs="Times New Roman"/>
          <w:i/>
          <w:sz w:val="24"/>
          <w:szCs w:val="24"/>
        </w:rPr>
        <w:t>tetrate</w:t>
      </w:r>
      <w:proofErr w:type="spellEnd"/>
      <w:r w:rsidR="0063327A">
        <w:rPr>
          <w:rFonts w:ascii="Times New Roman" w:hAnsi="Times New Roman" w:cs="Times New Roman"/>
          <w:i/>
          <w:sz w:val="24"/>
          <w:szCs w:val="24"/>
        </w:rPr>
        <w:t xml:space="preserve"> </w:t>
      </w:r>
      <w:r w:rsidR="0063327A">
        <w:rPr>
          <w:rFonts w:ascii="Times New Roman" w:hAnsi="Times New Roman" w:cs="Times New Roman"/>
          <w:sz w:val="24"/>
          <w:szCs w:val="24"/>
        </w:rPr>
        <w:t xml:space="preserve">indicates that the trade was conversely, immensely beneficial for the Roman economy. Moreover, the </w:t>
      </w:r>
      <w:r w:rsidR="00906FA9">
        <w:rPr>
          <w:rFonts w:ascii="Times New Roman" w:hAnsi="Times New Roman" w:cs="Times New Roman"/>
          <w:sz w:val="24"/>
          <w:szCs w:val="24"/>
        </w:rPr>
        <w:t>significant</w:t>
      </w:r>
      <w:r w:rsidR="0063327A">
        <w:rPr>
          <w:rFonts w:ascii="Times New Roman" w:hAnsi="Times New Roman" w:cs="Times New Roman"/>
          <w:sz w:val="24"/>
          <w:szCs w:val="24"/>
        </w:rPr>
        <w:t xml:space="preserve"> investment around </w:t>
      </w:r>
      <w:r w:rsidR="0063327A">
        <w:rPr>
          <w:rFonts w:ascii="Times New Roman" w:hAnsi="Times New Roman" w:cs="Times New Roman"/>
          <w:sz w:val="24"/>
          <w:szCs w:val="24"/>
        </w:rPr>
        <w:lastRenderedPageBreak/>
        <w:t>the ports from which the trade departed on the Red Sea, supported by the state</w:t>
      </w:r>
      <w:r w:rsidR="00906FA9">
        <w:rPr>
          <w:rFonts w:ascii="Times New Roman" w:hAnsi="Times New Roman" w:cs="Times New Roman"/>
          <w:sz w:val="24"/>
          <w:szCs w:val="24"/>
        </w:rPr>
        <w:t>,</w:t>
      </w:r>
      <w:r w:rsidR="0063327A">
        <w:rPr>
          <w:rFonts w:ascii="Times New Roman" w:hAnsi="Times New Roman" w:cs="Times New Roman"/>
          <w:sz w:val="24"/>
          <w:szCs w:val="24"/>
        </w:rPr>
        <w:t xml:space="preserve"> indicates that it </w:t>
      </w:r>
      <w:r w:rsidR="00906FA9">
        <w:rPr>
          <w:rFonts w:ascii="Times New Roman" w:hAnsi="Times New Roman" w:cs="Times New Roman"/>
          <w:sz w:val="24"/>
          <w:szCs w:val="24"/>
        </w:rPr>
        <w:t>was,</w:t>
      </w:r>
      <w:r w:rsidR="0063327A">
        <w:rPr>
          <w:rFonts w:ascii="Times New Roman" w:hAnsi="Times New Roman" w:cs="Times New Roman"/>
          <w:sz w:val="24"/>
          <w:szCs w:val="24"/>
        </w:rPr>
        <w:t xml:space="preserve"> even considering some loss of coinage</w:t>
      </w:r>
      <w:r w:rsidR="00906FA9">
        <w:rPr>
          <w:rFonts w:ascii="Times New Roman" w:hAnsi="Times New Roman" w:cs="Times New Roman"/>
          <w:sz w:val="24"/>
          <w:szCs w:val="24"/>
        </w:rPr>
        <w:t>,</w:t>
      </w:r>
      <w:r w:rsidR="0063327A">
        <w:rPr>
          <w:rFonts w:ascii="Times New Roman" w:hAnsi="Times New Roman" w:cs="Times New Roman"/>
          <w:sz w:val="24"/>
          <w:szCs w:val="24"/>
        </w:rPr>
        <w:t xml:space="preserve"> a benefit for the economy. Indeed, while there appears to be some mention of prohibitions of maritime trade by our liter</w:t>
      </w:r>
      <w:r w:rsidR="009D7F43">
        <w:rPr>
          <w:rFonts w:ascii="Times New Roman" w:hAnsi="Times New Roman" w:cs="Times New Roman"/>
          <w:sz w:val="24"/>
          <w:szCs w:val="24"/>
        </w:rPr>
        <w:t>ary sources these appear to</w:t>
      </w:r>
      <w:r w:rsidR="000C7A0D">
        <w:rPr>
          <w:rFonts w:ascii="Times New Roman" w:hAnsi="Times New Roman" w:cs="Times New Roman"/>
          <w:sz w:val="24"/>
          <w:szCs w:val="24"/>
        </w:rPr>
        <w:t xml:space="preserve"> reflect</w:t>
      </w:r>
      <w:r w:rsidR="0063327A">
        <w:rPr>
          <w:rFonts w:ascii="Times New Roman" w:hAnsi="Times New Roman" w:cs="Times New Roman"/>
          <w:sz w:val="24"/>
          <w:szCs w:val="24"/>
        </w:rPr>
        <w:t xml:space="preserve"> the moral view of their authors rather than a genuine concern. Therefore, after a critical consideration of the evidence the notion does no</w:t>
      </w:r>
      <w:r w:rsidR="000C7A0D">
        <w:rPr>
          <w:rFonts w:ascii="Times New Roman" w:hAnsi="Times New Roman" w:cs="Times New Roman"/>
          <w:sz w:val="24"/>
          <w:szCs w:val="24"/>
        </w:rPr>
        <w:t>t appear to be accurate that Rome’s Indian Ocean</w:t>
      </w:r>
      <w:r w:rsidR="0063327A">
        <w:rPr>
          <w:rFonts w:ascii="Times New Roman" w:hAnsi="Times New Roman" w:cs="Times New Roman"/>
          <w:sz w:val="24"/>
          <w:szCs w:val="24"/>
        </w:rPr>
        <w:t xml:space="preserve"> trade harmed the Roman economy but instead greatly enhanced it and added greater diversity to Roman society and established lasting conne</w:t>
      </w:r>
      <w:r w:rsidR="006C714F">
        <w:rPr>
          <w:rFonts w:ascii="Times New Roman" w:hAnsi="Times New Roman" w:cs="Times New Roman"/>
          <w:sz w:val="24"/>
          <w:szCs w:val="24"/>
        </w:rPr>
        <w:t>ctivity between west and</w:t>
      </w:r>
      <w:r w:rsidR="0063327A">
        <w:rPr>
          <w:rFonts w:ascii="Times New Roman" w:hAnsi="Times New Roman" w:cs="Times New Roman"/>
          <w:sz w:val="24"/>
          <w:szCs w:val="24"/>
        </w:rPr>
        <w:t xml:space="preserve"> east.   </w:t>
      </w:r>
      <w:r>
        <w:rPr>
          <w:rFonts w:ascii="Times New Roman" w:hAnsi="Times New Roman" w:cs="Times New Roman"/>
          <w:sz w:val="24"/>
          <w:szCs w:val="24"/>
        </w:rPr>
        <w:t xml:space="preserve"> </w:t>
      </w:r>
    </w:p>
    <w:p w:rsidR="00E63814" w:rsidRDefault="00E63814">
      <w:pPr>
        <w:rPr>
          <w:rFonts w:ascii="Times New Roman" w:hAnsi="Times New Roman" w:cs="Times New Roman"/>
          <w:sz w:val="24"/>
          <w:szCs w:val="24"/>
        </w:rPr>
      </w:pPr>
      <w:r>
        <w:rPr>
          <w:rFonts w:ascii="Times New Roman" w:hAnsi="Times New Roman" w:cs="Times New Roman"/>
          <w:sz w:val="24"/>
          <w:szCs w:val="24"/>
        </w:rPr>
        <w:br w:type="page"/>
      </w:r>
    </w:p>
    <w:p w:rsidR="00F775E8" w:rsidRDefault="00E63814"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rsidR="00F775E8" w:rsidRDefault="00F775E8"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Ancient Sources: </w:t>
      </w:r>
    </w:p>
    <w:p w:rsidR="007F319F" w:rsidRPr="00AE4881" w:rsidRDefault="007F319F" w:rsidP="00F775E8">
      <w:pPr>
        <w:spacing w:line="360" w:lineRule="auto"/>
        <w:jc w:val="both"/>
        <w:rPr>
          <w:rFonts w:ascii="Times New Roman" w:hAnsi="Times New Roman" w:cs="Times New Roman"/>
          <w:color w:val="000000"/>
          <w:sz w:val="24"/>
          <w:szCs w:val="24"/>
          <w:shd w:val="clear" w:color="auto" w:fill="FFFFFF"/>
        </w:rPr>
      </w:pPr>
      <w:proofErr w:type="spellStart"/>
      <w:r w:rsidRPr="00AE4881">
        <w:rPr>
          <w:rFonts w:ascii="Times New Roman" w:hAnsi="Times New Roman" w:cs="Times New Roman"/>
          <w:color w:val="000000"/>
          <w:sz w:val="24"/>
          <w:szCs w:val="24"/>
          <w:shd w:val="clear" w:color="auto" w:fill="FFFFFF"/>
        </w:rPr>
        <w:t>Casson</w:t>
      </w:r>
      <w:proofErr w:type="spellEnd"/>
      <w:r w:rsidRPr="00AE4881">
        <w:rPr>
          <w:rFonts w:ascii="Times New Roman" w:hAnsi="Times New Roman" w:cs="Times New Roman"/>
          <w:color w:val="000000"/>
          <w:sz w:val="24"/>
          <w:szCs w:val="24"/>
          <w:shd w:val="clear" w:color="auto" w:fill="FFFFFF"/>
        </w:rPr>
        <w:t>, L 2012. </w:t>
      </w:r>
      <w:r w:rsidRPr="00AE4881">
        <w:rPr>
          <w:rFonts w:ascii="Times New Roman" w:hAnsi="Times New Roman" w:cs="Times New Roman"/>
          <w:i/>
          <w:iCs/>
          <w:color w:val="000000"/>
          <w:sz w:val="24"/>
          <w:szCs w:val="24"/>
          <w:bdr w:val="none" w:sz="0" w:space="0" w:color="auto" w:frame="1"/>
          <w:shd w:val="clear" w:color="auto" w:fill="FFFFFF"/>
        </w:rPr>
        <w:t xml:space="preserve">Periplus Maris </w:t>
      </w:r>
      <w:proofErr w:type="spellStart"/>
      <w:r w:rsidRPr="00AE4881">
        <w:rPr>
          <w:rFonts w:ascii="Times New Roman" w:hAnsi="Times New Roman" w:cs="Times New Roman"/>
          <w:i/>
          <w:iCs/>
          <w:color w:val="000000"/>
          <w:sz w:val="24"/>
          <w:szCs w:val="24"/>
          <w:bdr w:val="none" w:sz="0" w:space="0" w:color="auto" w:frame="1"/>
          <w:shd w:val="clear" w:color="auto" w:fill="FFFFFF"/>
        </w:rPr>
        <w:t>Erythraei</w:t>
      </w:r>
      <w:proofErr w:type="spellEnd"/>
      <w:r w:rsidRPr="00AE4881">
        <w:rPr>
          <w:rFonts w:ascii="Times New Roman" w:hAnsi="Times New Roman" w:cs="Times New Roman"/>
          <w:i/>
          <w:iCs/>
          <w:color w:val="000000"/>
          <w:sz w:val="24"/>
          <w:szCs w:val="24"/>
          <w:bdr w:val="none" w:sz="0" w:space="0" w:color="auto" w:frame="1"/>
          <w:shd w:val="clear" w:color="auto" w:fill="FFFFFF"/>
        </w:rPr>
        <w:t xml:space="preserve"> Text with Introduction, Translation and Commentary</w:t>
      </w:r>
      <w:r w:rsidRPr="00AE4881">
        <w:rPr>
          <w:rFonts w:ascii="Times New Roman" w:hAnsi="Times New Roman" w:cs="Times New Roman"/>
          <w:color w:val="000000"/>
          <w:sz w:val="24"/>
          <w:szCs w:val="24"/>
          <w:shd w:val="clear" w:color="auto" w:fill="FFFFFF"/>
        </w:rPr>
        <w:t xml:space="preserve">. Princeton: Princeton University Press. </w:t>
      </w:r>
    </w:p>
    <w:p w:rsidR="007F319F" w:rsidRDefault="007F319F"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Clarke, J 1910. </w:t>
      </w:r>
      <w:r>
        <w:rPr>
          <w:rFonts w:ascii="Times New Roman" w:hAnsi="Times New Roman" w:cs="Times New Roman"/>
          <w:i/>
          <w:sz w:val="24"/>
          <w:szCs w:val="24"/>
        </w:rPr>
        <w:t xml:space="preserve">Physical Science in the Time of Nero Being a Translation of the </w:t>
      </w:r>
      <w:proofErr w:type="spellStart"/>
      <w:r>
        <w:rPr>
          <w:rFonts w:ascii="Times New Roman" w:hAnsi="Times New Roman" w:cs="Times New Roman"/>
          <w:i/>
          <w:sz w:val="24"/>
          <w:szCs w:val="24"/>
        </w:rPr>
        <w:t>Quaestiones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Naturales</w:t>
      </w:r>
      <w:proofErr w:type="spellEnd"/>
      <w:r>
        <w:rPr>
          <w:rFonts w:ascii="Times New Roman" w:hAnsi="Times New Roman" w:cs="Times New Roman"/>
          <w:i/>
          <w:sz w:val="24"/>
          <w:szCs w:val="24"/>
        </w:rPr>
        <w:t xml:space="preserve"> of Seneca</w:t>
      </w:r>
      <w:r>
        <w:rPr>
          <w:rFonts w:ascii="Times New Roman" w:hAnsi="Times New Roman" w:cs="Times New Roman"/>
          <w:sz w:val="24"/>
          <w:szCs w:val="24"/>
        </w:rPr>
        <w:t>. London: McMillan and Co Limited.</w:t>
      </w:r>
    </w:p>
    <w:p w:rsidR="007F319F" w:rsidRDefault="007F319F"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Juvenal, </w:t>
      </w:r>
      <w:r>
        <w:rPr>
          <w:rFonts w:ascii="Times New Roman" w:hAnsi="Times New Roman" w:cs="Times New Roman"/>
          <w:i/>
          <w:sz w:val="24"/>
          <w:szCs w:val="24"/>
        </w:rPr>
        <w:t>Satires</w:t>
      </w:r>
      <w:r>
        <w:rPr>
          <w:rFonts w:ascii="Times New Roman" w:hAnsi="Times New Roman" w:cs="Times New Roman"/>
          <w:sz w:val="24"/>
          <w:szCs w:val="24"/>
        </w:rPr>
        <w:t xml:space="preserve">. </w:t>
      </w:r>
      <w:proofErr w:type="spellStart"/>
      <w:r>
        <w:rPr>
          <w:rFonts w:ascii="Times New Roman" w:hAnsi="Times New Roman" w:cs="Times New Roman"/>
          <w:sz w:val="24"/>
          <w:szCs w:val="24"/>
        </w:rPr>
        <w:t>Bruand</w:t>
      </w:r>
      <w:proofErr w:type="spellEnd"/>
      <w:r>
        <w:rPr>
          <w:rFonts w:ascii="Times New Roman" w:hAnsi="Times New Roman" w:cs="Times New Roman"/>
          <w:sz w:val="24"/>
          <w:szCs w:val="24"/>
        </w:rPr>
        <w:t xml:space="preserve">, M. S (trans.) 2004. Cambridge Mass: Harvard University Press.  </w:t>
      </w:r>
    </w:p>
    <w:p w:rsidR="007F319F" w:rsidRPr="00AE4881" w:rsidRDefault="007F319F" w:rsidP="00F775E8">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Pliny the Elder, the </w:t>
      </w:r>
      <w:r w:rsidRPr="00AE4881">
        <w:rPr>
          <w:rFonts w:ascii="Times New Roman" w:hAnsi="Times New Roman" w:cs="Times New Roman"/>
          <w:i/>
          <w:sz w:val="24"/>
          <w:szCs w:val="24"/>
        </w:rPr>
        <w:t>Natural History</w:t>
      </w:r>
      <w:r w:rsidRPr="00AE4881">
        <w:rPr>
          <w:rFonts w:ascii="Times New Roman" w:hAnsi="Times New Roman" w:cs="Times New Roman"/>
          <w:sz w:val="24"/>
          <w:szCs w:val="24"/>
        </w:rPr>
        <w:t>. Bostock, J. (trans.). 1855. London: Taylor and Francis.</w:t>
      </w:r>
      <w:r w:rsidRPr="00AE4881">
        <w:rPr>
          <w:rFonts w:ascii="Times New Roman" w:hAnsi="Times New Roman" w:cs="Times New Roman"/>
          <w:i/>
          <w:sz w:val="24"/>
          <w:szCs w:val="24"/>
        </w:rPr>
        <w:t xml:space="preserve"> </w:t>
      </w:r>
    </w:p>
    <w:p w:rsidR="007F319F" w:rsidRPr="00A95CC4" w:rsidRDefault="007F319F" w:rsidP="009C010A">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Seneca,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Beneficiis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Basore</w:t>
      </w:r>
      <w:proofErr w:type="spellEnd"/>
      <w:r>
        <w:rPr>
          <w:rFonts w:ascii="Times New Roman" w:hAnsi="Times New Roman" w:cs="Times New Roman"/>
          <w:sz w:val="24"/>
          <w:szCs w:val="24"/>
        </w:rPr>
        <w:t xml:space="preserve">, W. J (trans.) 1935. Cambridge Mass: Harvard University Press. </w:t>
      </w:r>
      <w:r>
        <w:rPr>
          <w:rFonts w:ascii="Times New Roman" w:hAnsi="Times New Roman" w:cs="Times New Roman"/>
          <w:i/>
          <w:sz w:val="24"/>
          <w:szCs w:val="24"/>
        </w:rPr>
        <w:t xml:space="preserve"> </w:t>
      </w:r>
    </w:p>
    <w:p w:rsidR="007F319F" w:rsidRPr="00AE4881" w:rsidRDefault="007F319F" w:rsidP="00F775E8">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Strabo, </w:t>
      </w:r>
      <w:r w:rsidRPr="00AE4881">
        <w:rPr>
          <w:rFonts w:ascii="Times New Roman" w:hAnsi="Times New Roman" w:cs="Times New Roman"/>
          <w:i/>
          <w:sz w:val="24"/>
          <w:szCs w:val="24"/>
        </w:rPr>
        <w:t>Geography</w:t>
      </w:r>
      <w:r w:rsidRPr="00AE4881">
        <w:rPr>
          <w:rFonts w:ascii="Times New Roman" w:hAnsi="Times New Roman" w:cs="Times New Roman"/>
          <w:sz w:val="24"/>
          <w:szCs w:val="24"/>
        </w:rPr>
        <w:t xml:space="preserve">. Jones, L. H (trans.). 1897. Cambridge Mass: Harvard University Press. </w:t>
      </w:r>
    </w:p>
    <w:p w:rsidR="007F319F" w:rsidRPr="00AE4881" w:rsidRDefault="007F319F" w:rsidP="00F775E8">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Suetonius, </w:t>
      </w:r>
      <w:r w:rsidRPr="00AE4881">
        <w:rPr>
          <w:rFonts w:ascii="Times New Roman" w:hAnsi="Times New Roman" w:cs="Times New Roman"/>
          <w:i/>
          <w:sz w:val="24"/>
          <w:szCs w:val="24"/>
        </w:rPr>
        <w:t>The Twelve Caesars</w:t>
      </w:r>
      <w:r w:rsidRPr="00AE4881">
        <w:rPr>
          <w:rFonts w:ascii="Times New Roman" w:hAnsi="Times New Roman" w:cs="Times New Roman"/>
          <w:sz w:val="24"/>
          <w:szCs w:val="24"/>
        </w:rPr>
        <w:t xml:space="preserve">. Graves, R. (trans). 1957. London: Penguin Group. </w:t>
      </w:r>
    </w:p>
    <w:p w:rsidR="007F319F" w:rsidRPr="00AE4881" w:rsidRDefault="007F319F" w:rsidP="00F775E8">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Tacitus, </w:t>
      </w:r>
      <w:r w:rsidRPr="00AE4881">
        <w:rPr>
          <w:rFonts w:ascii="Times New Roman" w:hAnsi="Times New Roman" w:cs="Times New Roman"/>
          <w:i/>
          <w:iCs/>
          <w:sz w:val="24"/>
          <w:szCs w:val="24"/>
        </w:rPr>
        <w:t>The Annals of Imperial Rome</w:t>
      </w:r>
      <w:r w:rsidRPr="00AE4881">
        <w:rPr>
          <w:rFonts w:ascii="Times New Roman" w:hAnsi="Times New Roman" w:cs="Times New Roman"/>
          <w:sz w:val="24"/>
          <w:szCs w:val="24"/>
        </w:rPr>
        <w:t xml:space="preserve">. Grant, M. (trans). 1956. London: Penguin Group. </w:t>
      </w:r>
    </w:p>
    <w:p w:rsidR="00E63814" w:rsidRDefault="00E63814"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Modern Scholarship: </w:t>
      </w:r>
    </w:p>
    <w:p w:rsidR="007F319F" w:rsidRDefault="007F319F" w:rsidP="00043AB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Ahbel-Rappe</w:t>
      </w:r>
      <w:proofErr w:type="spellEnd"/>
      <w:r>
        <w:rPr>
          <w:rFonts w:ascii="Times New Roman" w:hAnsi="Times New Roman" w:cs="Times New Roman"/>
          <w:sz w:val="24"/>
          <w:szCs w:val="24"/>
        </w:rPr>
        <w:t xml:space="preserve">, S 2006. ‘Philosophy in the Roman Empire.’ In </w:t>
      </w:r>
      <w:r w:rsidRPr="00AE4881">
        <w:rPr>
          <w:rFonts w:ascii="Times New Roman" w:hAnsi="Times New Roman" w:cs="Times New Roman"/>
          <w:sz w:val="24"/>
          <w:szCs w:val="24"/>
        </w:rPr>
        <w:t xml:space="preserve">Potter, S. D (ed.) </w:t>
      </w:r>
      <w:r w:rsidRPr="00AE4881">
        <w:rPr>
          <w:rFonts w:ascii="Times New Roman" w:hAnsi="Times New Roman" w:cs="Times New Roman"/>
          <w:i/>
          <w:sz w:val="24"/>
          <w:szCs w:val="24"/>
        </w:rPr>
        <w:t>A Companion to the Roman Empire</w:t>
      </w:r>
      <w:r w:rsidRPr="00AE4881">
        <w:rPr>
          <w:rFonts w:ascii="Times New Roman" w:hAnsi="Times New Roman" w:cs="Times New Roman"/>
          <w:sz w:val="24"/>
          <w:szCs w:val="24"/>
        </w:rPr>
        <w:t xml:space="preserve">. Oxford: Blackwell Publishing. </w:t>
      </w:r>
      <w:r>
        <w:rPr>
          <w:rFonts w:ascii="Times New Roman" w:hAnsi="Times New Roman" w:cs="Times New Roman"/>
          <w:sz w:val="24"/>
          <w:szCs w:val="24"/>
        </w:rPr>
        <w:t xml:space="preserve">524-540. </w:t>
      </w:r>
    </w:p>
    <w:p w:rsidR="007F319F" w:rsidRPr="00AE4881" w:rsidRDefault="007F319F" w:rsidP="00E63814">
      <w:pPr>
        <w:spacing w:line="360" w:lineRule="auto"/>
        <w:jc w:val="both"/>
        <w:rPr>
          <w:rFonts w:ascii="Times New Roman" w:hAnsi="Times New Roman" w:cs="Times New Roman"/>
          <w:color w:val="000000"/>
          <w:sz w:val="24"/>
          <w:szCs w:val="24"/>
          <w:shd w:val="clear" w:color="auto" w:fill="FFFFFF"/>
        </w:rPr>
      </w:pPr>
      <w:proofErr w:type="spellStart"/>
      <w:r w:rsidRPr="00AE4881">
        <w:rPr>
          <w:rFonts w:ascii="Times New Roman" w:hAnsi="Times New Roman" w:cs="Times New Roman"/>
          <w:color w:val="000000"/>
          <w:sz w:val="24"/>
          <w:szCs w:val="24"/>
          <w:shd w:val="clear" w:color="auto" w:fill="FFFFFF"/>
        </w:rPr>
        <w:t>Benario</w:t>
      </w:r>
      <w:proofErr w:type="spellEnd"/>
      <w:r w:rsidRPr="00AE4881">
        <w:rPr>
          <w:rFonts w:ascii="Times New Roman" w:hAnsi="Times New Roman" w:cs="Times New Roman"/>
          <w:color w:val="000000"/>
          <w:sz w:val="24"/>
          <w:szCs w:val="24"/>
          <w:shd w:val="clear" w:color="auto" w:fill="FFFFFF"/>
        </w:rPr>
        <w:t xml:space="preserve">, W. H 2011. ‘The Annals.’ In Pagan, E. V (ed.) </w:t>
      </w:r>
      <w:r w:rsidRPr="00AE4881">
        <w:rPr>
          <w:rFonts w:ascii="Times New Roman" w:hAnsi="Times New Roman" w:cs="Times New Roman"/>
          <w:i/>
          <w:color w:val="000000"/>
          <w:sz w:val="24"/>
          <w:szCs w:val="24"/>
          <w:shd w:val="clear" w:color="auto" w:fill="FFFFFF"/>
        </w:rPr>
        <w:t>A Companion to Tacitus</w:t>
      </w:r>
      <w:r w:rsidRPr="00AE4881">
        <w:rPr>
          <w:rFonts w:ascii="Times New Roman" w:hAnsi="Times New Roman" w:cs="Times New Roman"/>
          <w:color w:val="000000"/>
          <w:sz w:val="24"/>
          <w:szCs w:val="24"/>
          <w:shd w:val="clear" w:color="auto" w:fill="FFFFFF"/>
        </w:rPr>
        <w:t xml:space="preserve">. Oxford: Blackwell Publishing. 101-122. </w:t>
      </w:r>
    </w:p>
    <w:p w:rsidR="007F319F" w:rsidRPr="00AE4881" w:rsidRDefault="003348FC" w:rsidP="00E63814">
      <w:pPr>
        <w:spacing w:line="360" w:lineRule="auto"/>
        <w:jc w:val="both"/>
        <w:rPr>
          <w:rFonts w:ascii="Times New Roman" w:hAnsi="Times New Roman" w:cs="Times New Roman"/>
          <w:i/>
          <w:sz w:val="24"/>
          <w:szCs w:val="24"/>
        </w:rPr>
      </w:pPr>
      <w:r>
        <w:rPr>
          <w:rFonts w:ascii="Times New Roman" w:hAnsi="Times New Roman" w:cs="Times New Roman"/>
          <w:sz w:val="24"/>
          <w:szCs w:val="24"/>
        </w:rPr>
        <w:t>Cobb, M. A</w:t>
      </w:r>
      <w:r w:rsidR="007F319F" w:rsidRPr="00AE4881">
        <w:rPr>
          <w:rFonts w:ascii="Times New Roman" w:hAnsi="Times New Roman" w:cs="Times New Roman"/>
          <w:sz w:val="24"/>
          <w:szCs w:val="24"/>
        </w:rPr>
        <w:t xml:space="preserve"> 2013. ‘The Reception and Consumption of Eastern Goods in Roman Society’. </w:t>
      </w:r>
      <w:r w:rsidR="007F319F" w:rsidRPr="00AE4881">
        <w:rPr>
          <w:rFonts w:ascii="Times New Roman" w:hAnsi="Times New Roman" w:cs="Times New Roman"/>
          <w:i/>
          <w:sz w:val="24"/>
          <w:szCs w:val="24"/>
        </w:rPr>
        <w:t>Greece and Rome</w:t>
      </w:r>
      <w:r w:rsidR="007F319F" w:rsidRPr="00AE4881">
        <w:rPr>
          <w:rFonts w:ascii="Times New Roman" w:hAnsi="Times New Roman" w:cs="Times New Roman"/>
          <w:sz w:val="24"/>
          <w:szCs w:val="24"/>
        </w:rPr>
        <w:t xml:space="preserve">. Vol 60. April. 136-152. </w:t>
      </w:r>
      <w:r w:rsidR="007F319F" w:rsidRPr="00AE4881">
        <w:rPr>
          <w:rFonts w:ascii="Times New Roman" w:hAnsi="Times New Roman" w:cs="Times New Roman"/>
          <w:i/>
          <w:sz w:val="24"/>
          <w:szCs w:val="24"/>
        </w:rPr>
        <w:t xml:space="preserve"> </w:t>
      </w:r>
    </w:p>
    <w:p w:rsidR="007F319F" w:rsidRPr="00AE4881" w:rsidRDefault="007F319F" w:rsidP="00043ABF">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Cobb, M. A 2015. ‘Balancing the Trade: Roman Cargo Shipments to India.’ </w:t>
      </w:r>
      <w:r w:rsidRPr="00AE4881">
        <w:rPr>
          <w:rFonts w:ascii="Times New Roman" w:hAnsi="Times New Roman" w:cs="Times New Roman"/>
          <w:i/>
          <w:sz w:val="24"/>
          <w:szCs w:val="24"/>
        </w:rPr>
        <w:t>Oxford Journal of Archaeology</w:t>
      </w:r>
      <w:r w:rsidRPr="00AE4881">
        <w:rPr>
          <w:rFonts w:ascii="Times New Roman" w:hAnsi="Times New Roman" w:cs="Times New Roman"/>
          <w:sz w:val="24"/>
          <w:szCs w:val="24"/>
        </w:rPr>
        <w:t xml:space="preserve">. Vol 34. 185-203. </w:t>
      </w:r>
    </w:p>
    <w:p w:rsidR="007F319F" w:rsidRDefault="007F319F" w:rsidP="00043ABF">
      <w:pPr>
        <w:spacing w:line="360" w:lineRule="auto"/>
        <w:jc w:val="both"/>
        <w:rPr>
          <w:rFonts w:ascii="Times New Roman" w:hAnsi="Times New Roman" w:cs="Times New Roman"/>
          <w:color w:val="000000"/>
          <w:sz w:val="24"/>
          <w:szCs w:val="24"/>
          <w:shd w:val="clear" w:color="auto" w:fill="FFFFFF"/>
        </w:rPr>
      </w:pPr>
      <w:r w:rsidRPr="00AE4881">
        <w:rPr>
          <w:rFonts w:ascii="Times New Roman" w:hAnsi="Times New Roman" w:cs="Times New Roman"/>
          <w:color w:val="000000"/>
          <w:sz w:val="24"/>
          <w:szCs w:val="24"/>
          <w:shd w:val="clear" w:color="auto" w:fill="FFFFFF"/>
        </w:rPr>
        <w:t xml:space="preserve">Cobb, M. A 2015. ‘The Chronology of Roman Trade in the Indian Ocean from Augustus to Early Third Century CE’. </w:t>
      </w:r>
      <w:r w:rsidRPr="00AE4881">
        <w:rPr>
          <w:rFonts w:ascii="Times New Roman" w:hAnsi="Times New Roman" w:cs="Times New Roman"/>
          <w:i/>
          <w:color w:val="000000"/>
          <w:sz w:val="24"/>
          <w:szCs w:val="24"/>
          <w:shd w:val="clear" w:color="auto" w:fill="FFFFFF"/>
        </w:rPr>
        <w:t>Journal of the Economic and Social History of the Orient</w:t>
      </w:r>
      <w:r w:rsidRPr="00AE4881">
        <w:rPr>
          <w:rFonts w:ascii="Times New Roman" w:hAnsi="Times New Roman" w:cs="Times New Roman"/>
          <w:color w:val="000000"/>
          <w:sz w:val="24"/>
          <w:szCs w:val="24"/>
          <w:shd w:val="clear" w:color="auto" w:fill="FFFFFF"/>
        </w:rPr>
        <w:t>. Vol 58. 362-418.</w:t>
      </w:r>
    </w:p>
    <w:p w:rsidR="007F319F" w:rsidRPr="00AE4881" w:rsidRDefault="007F319F" w:rsidP="00043ABF">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Fitzpatrick, P. M 2011. ‘Provincializing Rome: The Indian Ocean Trade Network and Roman Imperialism.’ </w:t>
      </w:r>
      <w:r w:rsidRPr="00AE4881">
        <w:rPr>
          <w:rFonts w:ascii="Times New Roman" w:hAnsi="Times New Roman" w:cs="Times New Roman"/>
          <w:i/>
          <w:sz w:val="24"/>
          <w:szCs w:val="24"/>
        </w:rPr>
        <w:t>Journal of World History</w:t>
      </w:r>
      <w:r w:rsidRPr="00AE4881">
        <w:rPr>
          <w:rFonts w:ascii="Times New Roman" w:hAnsi="Times New Roman" w:cs="Times New Roman"/>
          <w:sz w:val="24"/>
          <w:szCs w:val="24"/>
        </w:rPr>
        <w:t xml:space="preserve">. Vol 22. March. 27-54. </w:t>
      </w:r>
    </w:p>
    <w:p w:rsidR="007F319F" w:rsidRDefault="007F319F" w:rsidP="00043ABF">
      <w:pPr>
        <w:spacing w:line="360" w:lineRule="auto"/>
        <w:jc w:val="both"/>
        <w:rPr>
          <w:rFonts w:ascii="Times New Roman" w:hAnsi="Times New Roman" w:cs="Times New Roman"/>
          <w:sz w:val="24"/>
          <w:szCs w:val="24"/>
        </w:rPr>
      </w:pPr>
      <w:proofErr w:type="spellStart"/>
      <w:r w:rsidRPr="00AE4881">
        <w:rPr>
          <w:rFonts w:ascii="Times New Roman" w:hAnsi="Times New Roman" w:cs="Times New Roman"/>
          <w:sz w:val="24"/>
          <w:szCs w:val="24"/>
        </w:rPr>
        <w:lastRenderedPageBreak/>
        <w:t>Gurukkal</w:t>
      </w:r>
      <w:proofErr w:type="spellEnd"/>
      <w:r w:rsidRPr="00AE4881">
        <w:rPr>
          <w:rFonts w:ascii="Times New Roman" w:hAnsi="Times New Roman" w:cs="Times New Roman"/>
          <w:sz w:val="24"/>
          <w:szCs w:val="24"/>
        </w:rPr>
        <w:t xml:space="preserve">, R 2013. ‘Classical Indo-Roman Trade: A Historiographical Reconsideration.’ </w:t>
      </w:r>
      <w:r w:rsidRPr="00AE4881">
        <w:rPr>
          <w:rFonts w:ascii="Times New Roman" w:hAnsi="Times New Roman" w:cs="Times New Roman"/>
          <w:i/>
          <w:sz w:val="24"/>
          <w:szCs w:val="24"/>
        </w:rPr>
        <w:t>Indian Historical Review</w:t>
      </w:r>
      <w:r w:rsidRPr="00AE4881">
        <w:rPr>
          <w:rFonts w:ascii="Times New Roman" w:hAnsi="Times New Roman" w:cs="Times New Roman"/>
          <w:sz w:val="24"/>
          <w:szCs w:val="24"/>
        </w:rPr>
        <w:t xml:space="preserve">. Vol 40. 181-206. </w:t>
      </w:r>
    </w:p>
    <w:p w:rsidR="007F319F" w:rsidRPr="00AE4881" w:rsidRDefault="007F319F" w:rsidP="00043ABF">
      <w:pPr>
        <w:spacing w:line="360" w:lineRule="auto"/>
        <w:jc w:val="both"/>
        <w:rPr>
          <w:rFonts w:ascii="Times New Roman" w:hAnsi="Times New Roman" w:cs="Times New Roman"/>
          <w:sz w:val="24"/>
          <w:szCs w:val="24"/>
        </w:rPr>
      </w:pPr>
      <w:proofErr w:type="spellStart"/>
      <w:r w:rsidRPr="00AE4881">
        <w:rPr>
          <w:rFonts w:ascii="Times New Roman" w:hAnsi="Times New Roman" w:cs="Times New Roman"/>
          <w:sz w:val="24"/>
          <w:szCs w:val="24"/>
        </w:rPr>
        <w:t>Mclaghlin</w:t>
      </w:r>
      <w:proofErr w:type="spellEnd"/>
      <w:r w:rsidRPr="00AE4881">
        <w:rPr>
          <w:rFonts w:ascii="Times New Roman" w:hAnsi="Times New Roman" w:cs="Times New Roman"/>
          <w:sz w:val="24"/>
          <w:szCs w:val="24"/>
        </w:rPr>
        <w:t xml:space="preserve">, R 2010. </w:t>
      </w:r>
      <w:r w:rsidRPr="00AE4881">
        <w:rPr>
          <w:rFonts w:ascii="Times New Roman" w:hAnsi="Times New Roman" w:cs="Times New Roman"/>
          <w:i/>
          <w:sz w:val="24"/>
          <w:szCs w:val="24"/>
        </w:rPr>
        <w:t>Rome and the Distant East Trade Routes to the Ancient Lands of Arabia, India and China</w:t>
      </w:r>
      <w:r w:rsidRPr="00AE4881">
        <w:rPr>
          <w:rFonts w:ascii="Times New Roman" w:hAnsi="Times New Roman" w:cs="Times New Roman"/>
          <w:sz w:val="24"/>
          <w:szCs w:val="24"/>
        </w:rPr>
        <w:t xml:space="preserve">. New York: Continuum. </w:t>
      </w:r>
    </w:p>
    <w:p w:rsidR="007F319F" w:rsidRPr="00AE4881" w:rsidRDefault="007F319F" w:rsidP="00043ABF">
      <w:pPr>
        <w:spacing w:line="360" w:lineRule="auto"/>
        <w:jc w:val="both"/>
        <w:rPr>
          <w:rFonts w:ascii="Times New Roman" w:hAnsi="Times New Roman" w:cs="Times New Roman"/>
          <w:sz w:val="24"/>
          <w:szCs w:val="24"/>
        </w:rPr>
      </w:pPr>
      <w:proofErr w:type="spellStart"/>
      <w:r w:rsidRPr="00AE4881">
        <w:rPr>
          <w:rFonts w:ascii="Times New Roman" w:hAnsi="Times New Roman" w:cs="Times New Roman"/>
          <w:sz w:val="24"/>
          <w:szCs w:val="24"/>
        </w:rPr>
        <w:t>Mclaughlin</w:t>
      </w:r>
      <w:proofErr w:type="spellEnd"/>
      <w:r w:rsidRPr="00AE4881">
        <w:rPr>
          <w:rFonts w:ascii="Times New Roman" w:hAnsi="Times New Roman" w:cs="Times New Roman"/>
          <w:sz w:val="24"/>
          <w:szCs w:val="24"/>
        </w:rPr>
        <w:t xml:space="preserve">, R 2014. </w:t>
      </w:r>
      <w:r w:rsidRPr="00AE4881">
        <w:rPr>
          <w:rFonts w:ascii="Times New Roman" w:hAnsi="Times New Roman" w:cs="Times New Roman"/>
          <w:i/>
          <w:sz w:val="24"/>
          <w:szCs w:val="24"/>
        </w:rPr>
        <w:t>The Roman Empire and the Indian Ocean the Ancient World Economy and the Kingdoms of Africa, Arabia and India</w:t>
      </w:r>
      <w:r w:rsidRPr="00AE4881">
        <w:rPr>
          <w:rFonts w:ascii="Times New Roman" w:hAnsi="Times New Roman" w:cs="Times New Roman"/>
          <w:sz w:val="24"/>
          <w:szCs w:val="24"/>
        </w:rPr>
        <w:t>. Barnsley: Pen and Sword.</w:t>
      </w:r>
    </w:p>
    <w:p w:rsidR="007F319F" w:rsidRPr="00AE4881" w:rsidRDefault="007F319F" w:rsidP="00043ABF">
      <w:pPr>
        <w:spacing w:line="360" w:lineRule="auto"/>
        <w:jc w:val="both"/>
        <w:rPr>
          <w:rFonts w:ascii="Times New Roman" w:hAnsi="Times New Roman" w:cs="Times New Roman"/>
          <w:sz w:val="24"/>
          <w:szCs w:val="24"/>
        </w:rPr>
      </w:pPr>
      <w:proofErr w:type="spellStart"/>
      <w:r w:rsidRPr="00AE4881">
        <w:rPr>
          <w:rFonts w:ascii="Times New Roman" w:hAnsi="Times New Roman" w:cs="Times New Roman"/>
          <w:sz w:val="24"/>
          <w:szCs w:val="24"/>
        </w:rPr>
        <w:t>Mcleister</w:t>
      </w:r>
      <w:proofErr w:type="spellEnd"/>
      <w:r w:rsidRPr="00AE4881">
        <w:rPr>
          <w:rFonts w:ascii="Times New Roman" w:hAnsi="Times New Roman" w:cs="Times New Roman"/>
          <w:sz w:val="24"/>
          <w:szCs w:val="24"/>
        </w:rPr>
        <w:t xml:space="preserve">, K 2011. </w:t>
      </w:r>
      <w:r w:rsidRPr="00AE4881">
        <w:rPr>
          <w:rFonts w:ascii="Times New Roman" w:hAnsi="Times New Roman" w:cs="Times New Roman"/>
          <w:i/>
          <w:sz w:val="24"/>
          <w:szCs w:val="24"/>
        </w:rPr>
        <w:t>The Trader’s in Rome’s Eastern Commerce</w:t>
      </w:r>
      <w:r w:rsidRPr="00AE4881">
        <w:rPr>
          <w:rFonts w:ascii="Times New Roman" w:hAnsi="Times New Roman" w:cs="Times New Roman"/>
          <w:sz w:val="24"/>
          <w:szCs w:val="24"/>
        </w:rPr>
        <w:t xml:space="preserve">. MA Thesis. McMaster University. Ontario. </w:t>
      </w:r>
    </w:p>
    <w:p w:rsidR="007F319F" w:rsidRPr="007F319F" w:rsidRDefault="007F319F" w:rsidP="00043AB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Nappo</w:t>
      </w:r>
      <w:proofErr w:type="spellEnd"/>
      <w:r>
        <w:rPr>
          <w:rFonts w:ascii="Times New Roman" w:hAnsi="Times New Roman" w:cs="Times New Roman"/>
          <w:sz w:val="24"/>
          <w:szCs w:val="24"/>
        </w:rPr>
        <w:t xml:space="preserve">, D 2017. ‘Money and Flows of Coinage in the Red Sea Trade.’ In Wilson, A and Bowman, A (eds.) </w:t>
      </w:r>
      <w:r>
        <w:rPr>
          <w:rFonts w:ascii="Times New Roman" w:hAnsi="Times New Roman" w:cs="Times New Roman"/>
          <w:i/>
          <w:sz w:val="24"/>
          <w:szCs w:val="24"/>
        </w:rPr>
        <w:t>Trade, Commerce and the State in the Roman World</w:t>
      </w:r>
      <w:r>
        <w:rPr>
          <w:rFonts w:ascii="Times New Roman" w:hAnsi="Times New Roman" w:cs="Times New Roman"/>
          <w:sz w:val="24"/>
          <w:szCs w:val="24"/>
        </w:rPr>
        <w:t xml:space="preserve">. Oxford: Oxford University Press. </w:t>
      </w:r>
    </w:p>
    <w:p w:rsidR="007F319F" w:rsidRDefault="007F319F" w:rsidP="00043ABF">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Parker, G 2008. </w:t>
      </w:r>
      <w:r w:rsidRPr="00AE4881">
        <w:rPr>
          <w:rFonts w:ascii="Times New Roman" w:hAnsi="Times New Roman" w:cs="Times New Roman"/>
          <w:i/>
          <w:sz w:val="24"/>
          <w:szCs w:val="24"/>
        </w:rPr>
        <w:t>The Making of Roman India</w:t>
      </w:r>
      <w:r w:rsidRPr="00AE4881">
        <w:rPr>
          <w:rFonts w:ascii="Times New Roman" w:hAnsi="Times New Roman" w:cs="Times New Roman"/>
          <w:sz w:val="24"/>
          <w:szCs w:val="24"/>
        </w:rPr>
        <w:t xml:space="preserve">. Cambridge: Cambridge University Press. </w:t>
      </w:r>
    </w:p>
    <w:p w:rsidR="007F319F" w:rsidRPr="00AE4881" w:rsidRDefault="007F319F" w:rsidP="00043ABF">
      <w:pPr>
        <w:spacing w:line="360" w:lineRule="auto"/>
        <w:jc w:val="both"/>
        <w:rPr>
          <w:rFonts w:ascii="Times New Roman" w:hAnsi="Times New Roman" w:cs="Times New Roman"/>
          <w:color w:val="000000"/>
          <w:sz w:val="24"/>
          <w:szCs w:val="24"/>
          <w:shd w:val="clear" w:color="auto" w:fill="FFFFFF"/>
        </w:rPr>
      </w:pPr>
      <w:proofErr w:type="spellStart"/>
      <w:r w:rsidRPr="00AE4881">
        <w:rPr>
          <w:rFonts w:ascii="Times New Roman" w:hAnsi="Times New Roman" w:cs="Times New Roman"/>
          <w:color w:val="000000"/>
          <w:sz w:val="24"/>
          <w:szCs w:val="24"/>
          <w:shd w:val="clear" w:color="auto" w:fill="FFFFFF"/>
        </w:rPr>
        <w:t>Scheidel</w:t>
      </w:r>
      <w:proofErr w:type="spellEnd"/>
      <w:r w:rsidRPr="00AE4881">
        <w:rPr>
          <w:rFonts w:ascii="Times New Roman" w:hAnsi="Times New Roman" w:cs="Times New Roman"/>
          <w:color w:val="000000"/>
          <w:sz w:val="24"/>
          <w:szCs w:val="24"/>
          <w:shd w:val="clear" w:color="auto" w:fill="FFFFFF"/>
        </w:rPr>
        <w:t xml:space="preserve">, W and </w:t>
      </w:r>
      <w:proofErr w:type="spellStart"/>
      <w:r w:rsidRPr="00AE4881">
        <w:rPr>
          <w:rFonts w:ascii="Times New Roman" w:hAnsi="Times New Roman" w:cs="Times New Roman"/>
          <w:color w:val="000000"/>
          <w:sz w:val="24"/>
          <w:szCs w:val="24"/>
          <w:shd w:val="clear" w:color="auto" w:fill="FFFFFF"/>
        </w:rPr>
        <w:t>Frisen</w:t>
      </w:r>
      <w:proofErr w:type="spellEnd"/>
      <w:r w:rsidRPr="00AE4881">
        <w:rPr>
          <w:rFonts w:ascii="Times New Roman" w:hAnsi="Times New Roman" w:cs="Times New Roman"/>
          <w:color w:val="000000"/>
          <w:sz w:val="24"/>
          <w:szCs w:val="24"/>
          <w:shd w:val="clear" w:color="auto" w:fill="FFFFFF"/>
        </w:rPr>
        <w:t xml:space="preserve">, J. S 2009. ‘The Size of the Economy and the Distribution of Income in the Roman Empire. </w:t>
      </w:r>
      <w:r w:rsidRPr="00AE4881">
        <w:rPr>
          <w:rFonts w:ascii="Times New Roman" w:hAnsi="Times New Roman" w:cs="Times New Roman"/>
          <w:i/>
          <w:color w:val="000000"/>
          <w:sz w:val="24"/>
          <w:szCs w:val="24"/>
          <w:shd w:val="clear" w:color="auto" w:fill="FFFFFF"/>
        </w:rPr>
        <w:t>The Journal of Roman Studies</w:t>
      </w:r>
      <w:r w:rsidRPr="00AE4881">
        <w:rPr>
          <w:rFonts w:ascii="Times New Roman" w:hAnsi="Times New Roman" w:cs="Times New Roman"/>
          <w:color w:val="000000"/>
          <w:sz w:val="24"/>
          <w:szCs w:val="24"/>
          <w:shd w:val="clear" w:color="auto" w:fill="FFFFFF"/>
        </w:rPr>
        <w:t xml:space="preserve">. Vol 99. 61-91.  </w:t>
      </w:r>
    </w:p>
    <w:p w:rsidR="007F319F" w:rsidRPr="00AE4881" w:rsidRDefault="007F319F" w:rsidP="00043ABF">
      <w:pPr>
        <w:spacing w:line="360" w:lineRule="auto"/>
        <w:jc w:val="both"/>
        <w:rPr>
          <w:rFonts w:ascii="Times New Roman" w:hAnsi="Times New Roman" w:cs="Times New Roman"/>
          <w:i/>
          <w:sz w:val="24"/>
          <w:szCs w:val="24"/>
        </w:rPr>
      </w:pPr>
      <w:proofErr w:type="spellStart"/>
      <w:r w:rsidRPr="00AE4881">
        <w:rPr>
          <w:rFonts w:ascii="Times New Roman" w:hAnsi="Times New Roman" w:cs="Times New Roman"/>
          <w:sz w:val="24"/>
          <w:szCs w:val="24"/>
        </w:rPr>
        <w:t>Sidebotham</w:t>
      </w:r>
      <w:proofErr w:type="spellEnd"/>
      <w:r w:rsidRPr="00AE4881">
        <w:rPr>
          <w:rFonts w:ascii="Times New Roman" w:hAnsi="Times New Roman" w:cs="Times New Roman"/>
          <w:sz w:val="24"/>
          <w:szCs w:val="24"/>
        </w:rPr>
        <w:t xml:space="preserve">, E. S 1986. </w:t>
      </w:r>
      <w:r w:rsidRPr="00AE4881">
        <w:rPr>
          <w:rFonts w:ascii="Times New Roman" w:hAnsi="Times New Roman" w:cs="Times New Roman"/>
          <w:i/>
          <w:sz w:val="24"/>
          <w:szCs w:val="24"/>
        </w:rPr>
        <w:t xml:space="preserve">Roman Economic Policy in the </w:t>
      </w:r>
      <w:proofErr w:type="spellStart"/>
      <w:r w:rsidRPr="00AE4881">
        <w:rPr>
          <w:rFonts w:ascii="Times New Roman" w:hAnsi="Times New Roman" w:cs="Times New Roman"/>
          <w:i/>
          <w:sz w:val="24"/>
          <w:szCs w:val="24"/>
        </w:rPr>
        <w:t>Erythra</w:t>
      </w:r>
      <w:proofErr w:type="spellEnd"/>
      <w:r w:rsidRPr="00AE4881">
        <w:rPr>
          <w:rFonts w:ascii="Times New Roman" w:hAnsi="Times New Roman" w:cs="Times New Roman"/>
          <w:i/>
          <w:sz w:val="24"/>
          <w:szCs w:val="24"/>
        </w:rPr>
        <w:t xml:space="preserve"> Thalassa 30 BC – AD 217. </w:t>
      </w:r>
      <w:r w:rsidRPr="00AE4881">
        <w:rPr>
          <w:rFonts w:ascii="Times New Roman" w:hAnsi="Times New Roman" w:cs="Times New Roman"/>
          <w:sz w:val="24"/>
          <w:szCs w:val="24"/>
        </w:rPr>
        <w:t>Leiden: Brill.</w:t>
      </w:r>
      <w:r w:rsidRPr="00AE4881">
        <w:rPr>
          <w:rFonts w:ascii="Times New Roman" w:hAnsi="Times New Roman" w:cs="Times New Roman"/>
          <w:i/>
          <w:sz w:val="24"/>
          <w:szCs w:val="24"/>
        </w:rPr>
        <w:t xml:space="preserve"> </w:t>
      </w:r>
    </w:p>
    <w:p w:rsidR="007F319F" w:rsidRPr="00AE4881" w:rsidRDefault="007F319F" w:rsidP="00043ABF">
      <w:pPr>
        <w:spacing w:line="360" w:lineRule="auto"/>
        <w:jc w:val="both"/>
        <w:rPr>
          <w:rFonts w:ascii="Times New Roman" w:hAnsi="Times New Roman" w:cs="Times New Roman"/>
          <w:sz w:val="24"/>
          <w:szCs w:val="24"/>
        </w:rPr>
      </w:pPr>
      <w:proofErr w:type="spellStart"/>
      <w:r w:rsidRPr="00AE4881">
        <w:rPr>
          <w:rFonts w:ascii="Times New Roman" w:hAnsi="Times New Roman" w:cs="Times New Roman"/>
          <w:sz w:val="24"/>
          <w:szCs w:val="24"/>
        </w:rPr>
        <w:t>Sidebotham</w:t>
      </w:r>
      <w:proofErr w:type="spellEnd"/>
      <w:r w:rsidRPr="00AE4881">
        <w:rPr>
          <w:rFonts w:ascii="Times New Roman" w:hAnsi="Times New Roman" w:cs="Times New Roman"/>
          <w:sz w:val="24"/>
          <w:szCs w:val="24"/>
        </w:rPr>
        <w:t xml:space="preserve">, E. S 2011. </w:t>
      </w:r>
      <w:proofErr w:type="spellStart"/>
      <w:r w:rsidRPr="00AE4881">
        <w:rPr>
          <w:rFonts w:ascii="Times New Roman" w:hAnsi="Times New Roman" w:cs="Times New Roman"/>
          <w:i/>
          <w:sz w:val="24"/>
          <w:szCs w:val="24"/>
        </w:rPr>
        <w:t>Berenike</w:t>
      </w:r>
      <w:proofErr w:type="spellEnd"/>
      <w:r w:rsidRPr="00AE4881">
        <w:rPr>
          <w:rFonts w:ascii="Times New Roman" w:hAnsi="Times New Roman" w:cs="Times New Roman"/>
          <w:i/>
          <w:sz w:val="24"/>
          <w:szCs w:val="24"/>
        </w:rPr>
        <w:t xml:space="preserve"> and the Ancient Maritime Spice Route</w:t>
      </w:r>
      <w:r w:rsidRPr="00AE4881">
        <w:rPr>
          <w:rFonts w:ascii="Times New Roman" w:hAnsi="Times New Roman" w:cs="Times New Roman"/>
          <w:sz w:val="24"/>
          <w:szCs w:val="24"/>
        </w:rPr>
        <w:t xml:space="preserve">. Oakland: University of California Press. </w:t>
      </w:r>
    </w:p>
    <w:p w:rsidR="007F319F" w:rsidRPr="00AE4881" w:rsidRDefault="007F319F" w:rsidP="00043ABF">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Wilson, A 2015. ‘Red Sea Trade and the State’. In </w:t>
      </w:r>
      <w:proofErr w:type="spellStart"/>
      <w:r w:rsidRPr="00AE4881">
        <w:rPr>
          <w:rFonts w:ascii="Times New Roman" w:hAnsi="Times New Roman" w:cs="Times New Roman"/>
          <w:sz w:val="24"/>
          <w:szCs w:val="24"/>
        </w:rPr>
        <w:t>Romanis</w:t>
      </w:r>
      <w:proofErr w:type="spellEnd"/>
      <w:r w:rsidRPr="00AE4881">
        <w:rPr>
          <w:rFonts w:ascii="Times New Roman" w:hAnsi="Times New Roman" w:cs="Times New Roman"/>
          <w:sz w:val="24"/>
          <w:szCs w:val="24"/>
        </w:rPr>
        <w:t xml:space="preserve">, F and </w:t>
      </w:r>
      <w:proofErr w:type="spellStart"/>
      <w:r w:rsidRPr="00AE4881">
        <w:rPr>
          <w:rFonts w:ascii="Times New Roman" w:hAnsi="Times New Roman" w:cs="Times New Roman"/>
          <w:sz w:val="24"/>
          <w:szCs w:val="24"/>
        </w:rPr>
        <w:t>Maiuro</w:t>
      </w:r>
      <w:proofErr w:type="spellEnd"/>
      <w:r w:rsidRPr="00AE4881">
        <w:rPr>
          <w:rFonts w:ascii="Times New Roman" w:hAnsi="Times New Roman" w:cs="Times New Roman"/>
          <w:sz w:val="24"/>
          <w:szCs w:val="24"/>
        </w:rPr>
        <w:t xml:space="preserve">, M (eds.) </w:t>
      </w:r>
      <w:r w:rsidRPr="00AE4881">
        <w:rPr>
          <w:rFonts w:ascii="Times New Roman" w:hAnsi="Times New Roman" w:cs="Times New Roman"/>
          <w:i/>
          <w:sz w:val="24"/>
          <w:szCs w:val="24"/>
        </w:rPr>
        <w:t>Across the Ocean Nine Essays on Indo-Mediterranean Trade</w:t>
      </w:r>
      <w:r w:rsidRPr="00AE4881">
        <w:rPr>
          <w:rFonts w:ascii="Times New Roman" w:hAnsi="Times New Roman" w:cs="Times New Roman"/>
          <w:sz w:val="24"/>
          <w:szCs w:val="24"/>
        </w:rPr>
        <w:t xml:space="preserve">. Leiden: Brill. 11-32. </w:t>
      </w:r>
    </w:p>
    <w:p w:rsidR="007F319F" w:rsidRDefault="007F319F" w:rsidP="00043ABF">
      <w:pPr>
        <w:spacing w:line="360" w:lineRule="auto"/>
        <w:jc w:val="both"/>
        <w:rPr>
          <w:rFonts w:ascii="Times New Roman" w:hAnsi="Times New Roman" w:cs="Times New Roman"/>
          <w:sz w:val="24"/>
          <w:szCs w:val="24"/>
        </w:rPr>
      </w:pPr>
      <w:r w:rsidRPr="00AE4881">
        <w:rPr>
          <w:rFonts w:ascii="Times New Roman" w:hAnsi="Times New Roman" w:cs="Times New Roman"/>
          <w:sz w:val="24"/>
          <w:szCs w:val="24"/>
        </w:rPr>
        <w:t xml:space="preserve">Young, K. G 2011. </w:t>
      </w:r>
      <w:r w:rsidRPr="00AE4881">
        <w:rPr>
          <w:rFonts w:ascii="Times New Roman" w:hAnsi="Times New Roman" w:cs="Times New Roman"/>
          <w:i/>
          <w:sz w:val="24"/>
          <w:szCs w:val="24"/>
        </w:rPr>
        <w:t>Rome’s Eastern Trade International Commerce and Imperial Policy 31 BC – AD 305</w:t>
      </w:r>
      <w:r w:rsidRPr="00AE4881">
        <w:rPr>
          <w:rFonts w:ascii="Times New Roman" w:hAnsi="Times New Roman" w:cs="Times New Roman"/>
          <w:sz w:val="24"/>
          <w:szCs w:val="24"/>
        </w:rPr>
        <w:t xml:space="preserve">. London: Routledge. </w:t>
      </w:r>
    </w:p>
    <w:p w:rsidR="007F4974" w:rsidRDefault="007F4974" w:rsidP="00043A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Websites: </w:t>
      </w:r>
    </w:p>
    <w:p w:rsidR="007F4974" w:rsidRDefault="00771974" w:rsidP="00043A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Bradley, R. K 2012. ‘Suetonius.’ In </w:t>
      </w:r>
      <w:proofErr w:type="spellStart"/>
      <w:r>
        <w:rPr>
          <w:rFonts w:ascii="Times New Roman" w:hAnsi="Times New Roman" w:cs="Times New Roman"/>
          <w:sz w:val="24"/>
          <w:szCs w:val="24"/>
        </w:rPr>
        <w:t>Hornblower</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Spaworth</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Eidinow</w:t>
      </w:r>
      <w:proofErr w:type="spellEnd"/>
      <w:r>
        <w:rPr>
          <w:rFonts w:ascii="Times New Roman" w:hAnsi="Times New Roman" w:cs="Times New Roman"/>
          <w:sz w:val="24"/>
          <w:szCs w:val="24"/>
        </w:rPr>
        <w:t xml:space="preserve">, E (eds.) </w:t>
      </w:r>
      <w:r w:rsidR="007F4974">
        <w:rPr>
          <w:rFonts w:ascii="Times New Roman" w:hAnsi="Times New Roman" w:cs="Times New Roman"/>
          <w:i/>
          <w:sz w:val="24"/>
          <w:szCs w:val="24"/>
        </w:rPr>
        <w:t>The Oxford Classical Dictionary</w:t>
      </w:r>
      <w:r w:rsidR="007F4974">
        <w:rPr>
          <w:rFonts w:ascii="Times New Roman" w:hAnsi="Times New Roman" w:cs="Times New Roman"/>
          <w:sz w:val="24"/>
          <w:szCs w:val="24"/>
        </w:rPr>
        <w:t xml:space="preserve">. Oxford: Oxford University Press.  </w:t>
      </w:r>
    </w:p>
    <w:p w:rsidR="007F4974" w:rsidRDefault="0019788E" w:rsidP="00043ABF">
      <w:pPr>
        <w:spacing w:line="360" w:lineRule="auto"/>
        <w:jc w:val="both"/>
        <w:rPr>
          <w:rFonts w:ascii="Times New Roman" w:hAnsi="Times New Roman" w:cs="Times New Roman"/>
          <w:sz w:val="24"/>
          <w:szCs w:val="24"/>
        </w:rPr>
      </w:pPr>
      <w:hyperlink r:id="rId7" w:history="1">
        <w:r w:rsidR="007F4974" w:rsidRPr="003A49C1">
          <w:rPr>
            <w:rStyle w:val="Hyperlink"/>
            <w:rFonts w:ascii="Times New Roman" w:hAnsi="Times New Roman" w:cs="Times New Roman"/>
            <w:sz w:val="24"/>
            <w:szCs w:val="24"/>
          </w:rPr>
          <w:t>http://www.oxfordreference.com.ezproxy.uwtsd.ac.uk/view/10.1093/acref/9780199545568.001.0001/acref-9780199545568-e-6117?rskey=r55QFq&amp;result=1</w:t>
        </w:r>
      </w:hyperlink>
      <w:r w:rsidR="00DA4492">
        <w:rPr>
          <w:rFonts w:ascii="Times New Roman" w:hAnsi="Times New Roman" w:cs="Times New Roman"/>
          <w:sz w:val="24"/>
          <w:szCs w:val="24"/>
        </w:rPr>
        <w:t xml:space="preserve"> </w:t>
      </w:r>
      <w:r w:rsidR="007F4974">
        <w:rPr>
          <w:rFonts w:ascii="Times New Roman" w:hAnsi="Times New Roman" w:cs="Times New Roman"/>
          <w:sz w:val="24"/>
          <w:szCs w:val="24"/>
        </w:rPr>
        <w:t xml:space="preserve">(Accessed 7/11/2017) </w:t>
      </w:r>
    </w:p>
    <w:p w:rsidR="007F4974" w:rsidRDefault="007F4974" w:rsidP="00043A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Oxford Reference. ‘Juvenal.’ 2017.  </w:t>
      </w:r>
    </w:p>
    <w:p w:rsidR="007F4974" w:rsidRDefault="0019788E" w:rsidP="00043ABF">
      <w:pPr>
        <w:spacing w:line="360" w:lineRule="auto"/>
        <w:jc w:val="both"/>
        <w:rPr>
          <w:rFonts w:ascii="Times New Roman" w:hAnsi="Times New Roman" w:cs="Times New Roman"/>
          <w:sz w:val="24"/>
          <w:szCs w:val="24"/>
        </w:rPr>
      </w:pPr>
      <w:hyperlink r:id="rId8" w:history="1">
        <w:r w:rsidR="007F4974" w:rsidRPr="003A49C1">
          <w:rPr>
            <w:rStyle w:val="Hyperlink"/>
            <w:rFonts w:ascii="Times New Roman" w:hAnsi="Times New Roman" w:cs="Times New Roman"/>
            <w:sz w:val="24"/>
            <w:szCs w:val="24"/>
          </w:rPr>
          <w:t>http://www.oxfordreference.com.ezproxy.uwtsd.ac.uk/view/10.1093/oi/authority.20110803100027795</w:t>
        </w:r>
      </w:hyperlink>
      <w:r w:rsidR="007F4974">
        <w:rPr>
          <w:rFonts w:ascii="Times New Roman" w:hAnsi="Times New Roman" w:cs="Times New Roman"/>
          <w:sz w:val="24"/>
          <w:szCs w:val="24"/>
        </w:rPr>
        <w:t xml:space="preserve"> (Accessed 7/11/2017). </w:t>
      </w:r>
    </w:p>
    <w:p w:rsidR="007F4974" w:rsidRDefault="007F4974" w:rsidP="00043A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Oxford Reference. ‘Seneca (the Younger).’ 2017. </w:t>
      </w:r>
    </w:p>
    <w:p w:rsidR="007F4974" w:rsidRDefault="0019788E" w:rsidP="00043ABF">
      <w:pPr>
        <w:spacing w:line="360" w:lineRule="auto"/>
        <w:jc w:val="both"/>
        <w:rPr>
          <w:rFonts w:ascii="Times New Roman" w:hAnsi="Times New Roman" w:cs="Times New Roman"/>
          <w:sz w:val="24"/>
          <w:szCs w:val="24"/>
        </w:rPr>
      </w:pPr>
      <w:hyperlink r:id="rId9" w:history="1">
        <w:r w:rsidR="007F4974" w:rsidRPr="003A49C1">
          <w:rPr>
            <w:rStyle w:val="Hyperlink"/>
            <w:rFonts w:ascii="Times New Roman" w:hAnsi="Times New Roman" w:cs="Times New Roman"/>
            <w:sz w:val="24"/>
            <w:szCs w:val="24"/>
          </w:rPr>
          <w:t>http://www.oxfordreference.com.ezproxy.uwtsd.ac.uk/view/10.1093/acref/9780198706779.001.0001/acref-9780198706779-e-578?rskey=lvqtGs&amp;result=6</w:t>
        </w:r>
      </w:hyperlink>
      <w:r w:rsidR="007F4974">
        <w:rPr>
          <w:rFonts w:ascii="Times New Roman" w:hAnsi="Times New Roman" w:cs="Times New Roman"/>
          <w:sz w:val="24"/>
          <w:szCs w:val="24"/>
        </w:rPr>
        <w:t xml:space="preserve"> (Accessed 7/11/2017)  </w:t>
      </w:r>
    </w:p>
    <w:p w:rsidR="007F4974" w:rsidRPr="00AE4881" w:rsidRDefault="007F4974" w:rsidP="00043ABF">
      <w:pPr>
        <w:spacing w:line="360" w:lineRule="auto"/>
        <w:jc w:val="both"/>
        <w:rPr>
          <w:rFonts w:ascii="Times New Roman" w:hAnsi="Times New Roman" w:cs="Times New Roman"/>
          <w:sz w:val="24"/>
          <w:szCs w:val="24"/>
        </w:rPr>
      </w:pPr>
    </w:p>
    <w:p w:rsidR="00043ABF" w:rsidRPr="00AE4881" w:rsidRDefault="00043ABF" w:rsidP="00043ABF">
      <w:pPr>
        <w:spacing w:line="360" w:lineRule="auto"/>
        <w:jc w:val="both"/>
        <w:rPr>
          <w:rFonts w:ascii="Times New Roman" w:hAnsi="Times New Roman" w:cs="Times New Roman"/>
          <w:sz w:val="24"/>
          <w:szCs w:val="24"/>
        </w:rPr>
      </w:pPr>
    </w:p>
    <w:p w:rsidR="00E63814" w:rsidRPr="005726B7" w:rsidRDefault="00E63814" w:rsidP="009C010A">
      <w:pPr>
        <w:spacing w:line="360" w:lineRule="auto"/>
        <w:jc w:val="both"/>
        <w:rPr>
          <w:rFonts w:ascii="Times New Roman" w:hAnsi="Times New Roman" w:cs="Times New Roman"/>
          <w:sz w:val="24"/>
          <w:szCs w:val="24"/>
        </w:rPr>
      </w:pPr>
    </w:p>
    <w:p w:rsidR="00632999" w:rsidRPr="00B246AB" w:rsidRDefault="00B246AB" w:rsidP="009C0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632999" w:rsidRPr="00B246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788E" w:rsidRDefault="0019788E" w:rsidP="00B246AB">
      <w:pPr>
        <w:spacing w:after="0" w:line="240" w:lineRule="auto"/>
      </w:pPr>
      <w:r>
        <w:separator/>
      </w:r>
    </w:p>
  </w:endnote>
  <w:endnote w:type="continuationSeparator" w:id="0">
    <w:p w:rsidR="0019788E" w:rsidRDefault="0019788E" w:rsidP="00B24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788E" w:rsidRDefault="0019788E" w:rsidP="00B246AB">
      <w:pPr>
        <w:spacing w:after="0" w:line="240" w:lineRule="auto"/>
      </w:pPr>
      <w:r>
        <w:separator/>
      </w:r>
    </w:p>
  </w:footnote>
  <w:footnote w:type="continuationSeparator" w:id="0">
    <w:p w:rsidR="0019788E" w:rsidRDefault="0019788E" w:rsidP="00B246AB">
      <w:pPr>
        <w:spacing w:after="0" w:line="240" w:lineRule="auto"/>
      </w:pPr>
      <w:r>
        <w:continuationSeparator/>
      </w:r>
    </w:p>
  </w:footnote>
  <w:footnote w:id="1">
    <w:p w:rsidR="00B246AB" w:rsidRDefault="00B246AB">
      <w:pPr>
        <w:pStyle w:val="FootnoteText"/>
      </w:pPr>
      <w:r>
        <w:rPr>
          <w:rStyle w:val="FootnoteReference"/>
        </w:rPr>
        <w:footnoteRef/>
      </w:r>
      <w:r>
        <w:t xml:space="preserve"> </w:t>
      </w:r>
      <w:proofErr w:type="spellStart"/>
      <w:r w:rsidR="00266E57">
        <w:t>Warmington</w:t>
      </w:r>
      <w:proofErr w:type="spellEnd"/>
      <w:r w:rsidR="00266E57">
        <w:t xml:space="preserve"> 1928: 272-276; Turner 1989: 22-24; Young 2001: 183-186; </w:t>
      </w:r>
      <w:proofErr w:type="spellStart"/>
      <w:r w:rsidR="00266E57">
        <w:t>Mclaughlin</w:t>
      </w:r>
      <w:proofErr w:type="spellEnd"/>
      <w:r w:rsidR="00266E57">
        <w:t xml:space="preserve"> 2010:159-161; 2014: 89; Fitzpatrick 2011: 47. </w:t>
      </w:r>
    </w:p>
  </w:footnote>
  <w:footnote w:id="2">
    <w:p w:rsidR="00B246AB" w:rsidRDefault="00B246AB">
      <w:pPr>
        <w:pStyle w:val="FootnoteText"/>
      </w:pPr>
      <w:r>
        <w:rPr>
          <w:rStyle w:val="FootnoteReference"/>
        </w:rPr>
        <w:footnoteRef/>
      </w:r>
      <w:r>
        <w:t xml:space="preserve"> </w:t>
      </w:r>
      <w:proofErr w:type="spellStart"/>
      <w:r w:rsidR="00266E57">
        <w:t>Warmington</w:t>
      </w:r>
      <w:proofErr w:type="spellEnd"/>
      <w:r w:rsidR="00266E57">
        <w:t xml:space="preserve"> 1928: 272-276; </w:t>
      </w:r>
      <w:proofErr w:type="spellStart"/>
      <w:r w:rsidR="00266E57">
        <w:t>Mclaughlin</w:t>
      </w:r>
      <w:proofErr w:type="spellEnd"/>
      <w:r w:rsidR="00266E57">
        <w:t xml:space="preserve"> 2010:159-161; 2014: 89; Fitzpatrick 2011: 47.  </w:t>
      </w:r>
    </w:p>
  </w:footnote>
  <w:footnote w:id="3">
    <w:p w:rsidR="00B246AB" w:rsidRDefault="00B246AB">
      <w:pPr>
        <w:pStyle w:val="FootnoteText"/>
      </w:pPr>
      <w:r>
        <w:rPr>
          <w:rStyle w:val="FootnoteReference"/>
        </w:rPr>
        <w:footnoteRef/>
      </w:r>
      <w:r>
        <w:t xml:space="preserve"> </w:t>
      </w:r>
      <w:proofErr w:type="spellStart"/>
      <w:r w:rsidR="00147BBE">
        <w:t>Warmington</w:t>
      </w:r>
      <w:proofErr w:type="spellEnd"/>
      <w:r w:rsidR="00147BBE">
        <w:t xml:space="preserve"> 1928: 275; </w:t>
      </w:r>
      <w:proofErr w:type="spellStart"/>
      <w:r w:rsidR="00147BBE">
        <w:t>Mclaughlin</w:t>
      </w:r>
      <w:proofErr w:type="spellEnd"/>
      <w:r w:rsidR="00147BBE">
        <w:t xml:space="preserve"> 2014: 47; plin.</w:t>
      </w:r>
      <w:r w:rsidR="00147BBE">
        <w:rPr>
          <w:i/>
        </w:rPr>
        <w:t>NH</w:t>
      </w:r>
      <w:r w:rsidR="00147BBE">
        <w:t xml:space="preserve">.6.101; 12.84; Turner 1989: 23. </w:t>
      </w:r>
    </w:p>
  </w:footnote>
  <w:footnote w:id="4">
    <w:p w:rsidR="009C010A" w:rsidRDefault="009C010A">
      <w:pPr>
        <w:pStyle w:val="FootnoteText"/>
      </w:pPr>
      <w:r>
        <w:rPr>
          <w:rStyle w:val="FootnoteReference"/>
        </w:rPr>
        <w:footnoteRef/>
      </w:r>
      <w:r>
        <w:t xml:space="preserve"> </w:t>
      </w:r>
      <w:r w:rsidR="00147BBE">
        <w:t xml:space="preserve">Young 2001: 183-186; Parker 2008: 185; Turner 1989: 23. </w:t>
      </w:r>
    </w:p>
  </w:footnote>
  <w:footnote w:id="5">
    <w:p w:rsidR="009C010A" w:rsidRPr="00147BBE" w:rsidRDefault="009C010A">
      <w:pPr>
        <w:pStyle w:val="FootnoteText"/>
      </w:pPr>
      <w:r>
        <w:rPr>
          <w:rStyle w:val="FootnoteReference"/>
        </w:rPr>
        <w:footnoteRef/>
      </w:r>
      <w:r>
        <w:t xml:space="preserve"> </w:t>
      </w:r>
      <w:r w:rsidR="00147BBE">
        <w:rPr>
          <w:i/>
        </w:rPr>
        <w:t>PME</w:t>
      </w:r>
      <w:r w:rsidR="00147BBE">
        <w:t>.49; 56; Tac.</w:t>
      </w:r>
      <w:r w:rsidR="00147BBE">
        <w:rPr>
          <w:i/>
        </w:rPr>
        <w:t>Ann</w:t>
      </w:r>
      <w:r w:rsidR="00147BBE">
        <w:t>.3.53; Plin.</w:t>
      </w:r>
      <w:r w:rsidR="00147BBE">
        <w:rPr>
          <w:i/>
        </w:rPr>
        <w:t>NH</w:t>
      </w:r>
      <w:r w:rsidR="00147BBE">
        <w:t>.6.101; 12.84; Juv.</w:t>
      </w:r>
      <w:r w:rsidR="00147BBE">
        <w:rPr>
          <w:i/>
        </w:rPr>
        <w:t>Sat</w:t>
      </w:r>
      <w:r w:rsidR="00147BBE">
        <w:t xml:space="preserve">.6.509. </w:t>
      </w:r>
    </w:p>
  </w:footnote>
  <w:footnote w:id="6">
    <w:p w:rsidR="00EA3B7A" w:rsidRDefault="00EA3B7A">
      <w:pPr>
        <w:pStyle w:val="FootnoteText"/>
      </w:pPr>
      <w:r>
        <w:rPr>
          <w:rStyle w:val="FootnoteReference"/>
        </w:rPr>
        <w:footnoteRef/>
      </w:r>
      <w:r>
        <w:t xml:space="preserve"> </w:t>
      </w:r>
      <w:r w:rsidR="00147BBE">
        <w:t>Plin.</w:t>
      </w:r>
      <w:r w:rsidR="00147BBE">
        <w:rPr>
          <w:i/>
        </w:rPr>
        <w:t>NH</w:t>
      </w:r>
      <w:r w:rsidR="004B7DF7">
        <w:t>.6.101.</w:t>
      </w:r>
    </w:p>
  </w:footnote>
  <w:footnote w:id="7">
    <w:p w:rsidR="00EA3B7A" w:rsidRPr="004B7DF7" w:rsidRDefault="00EA3B7A">
      <w:pPr>
        <w:pStyle w:val="FootnoteText"/>
      </w:pPr>
      <w:r>
        <w:rPr>
          <w:rStyle w:val="FootnoteReference"/>
        </w:rPr>
        <w:footnoteRef/>
      </w:r>
      <w:r>
        <w:t xml:space="preserve"> </w:t>
      </w:r>
      <w:r w:rsidR="004B7DF7">
        <w:t>Plin.</w:t>
      </w:r>
      <w:r w:rsidR="004B7DF7">
        <w:rPr>
          <w:i/>
        </w:rPr>
        <w:t>NH.</w:t>
      </w:r>
      <w:r w:rsidR="004B7DF7">
        <w:t xml:space="preserve">12.84. </w:t>
      </w:r>
    </w:p>
  </w:footnote>
  <w:footnote w:id="8">
    <w:p w:rsidR="00EA3B7A" w:rsidRDefault="00EA3B7A">
      <w:pPr>
        <w:pStyle w:val="FootnoteText"/>
      </w:pPr>
      <w:r>
        <w:rPr>
          <w:rStyle w:val="FootnoteReference"/>
        </w:rPr>
        <w:footnoteRef/>
      </w:r>
      <w:r>
        <w:t xml:space="preserve"> </w:t>
      </w:r>
      <w:proofErr w:type="spellStart"/>
      <w:r w:rsidR="00D67F60">
        <w:t>Warmington</w:t>
      </w:r>
      <w:proofErr w:type="spellEnd"/>
      <w:r w:rsidR="00D67F60">
        <w:t xml:space="preserve"> 1928: 273. </w:t>
      </w:r>
    </w:p>
  </w:footnote>
  <w:footnote w:id="9">
    <w:p w:rsidR="00EA3B7A" w:rsidRDefault="00EA3B7A">
      <w:pPr>
        <w:pStyle w:val="FootnoteText"/>
      </w:pPr>
      <w:r>
        <w:rPr>
          <w:rStyle w:val="FootnoteReference"/>
        </w:rPr>
        <w:footnoteRef/>
      </w:r>
      <w:r>
        <w:t xml:space="preserve"> </w:t>
      </w:r>
      <w:proofErr w:type="spellStart"/>
      <w:r w:rsidR="00D67F60">
        <w:t>Warmington</w:t>
      </w:r>
      <w:proofErr w:type="spellEnd"/>
      <w:r w:rsidR="00D67F60">
        <w:t xml:space="preserve"> 1928: 274.</w:t>
      </w:r>
    </w:p>
  </w:footnote>
  <w:footnote w:id="10">
    <w:p w:rsidR="00EA78CB" w:rsidRDefault="00EA78CB">
      <w:pPr>
        <w:pStyle w:val="FootnoteText"/>
      </w:pPr>
      <w:r>
        <w:rPr>
          <w:rStyle w:val="FootnoteReference"/>
        </w:rPr>
        <w:footnoteRef/>
      </w:r>
      <w:r>
        <w:t xml:space="preserve"> </w:t>
      </w:r>
      <w:proofErr w:type="spellStart"/>
      <w:r w:rsidR="00D67F60">
        <w:t>Mclaughlin</w:t>
      </w:r>
      <w:proofErr w:type="spellEnd"/>
      <w:r w:rsidR="00D67F60">
        <w:t xml:space="preserve"> 2010: 168.</w:t>
      </w:r>
    </w:p>
  </w:footnote>
  <w:footnote w:id="11">
    <w:p w:rsidR="00EA78CB" w:rsidRDefault="00EA78CB">
      <w:pPr>
        <w:pStyle w:val="FootnoteText"/>
      </w:pPr>
      <w:r>
        <w:rPr>
          <w:rStyle w:val="FootnoteReference"/>
        </w:rPr>
        <w:footnoteRef/>
      </w:r>
      <w:r>
        <w:t xml:space="preserve"> </w:t>
      </w:r>
      <w:proofErr w:type="spellStart"/>
      <w:r w:rsidR="00D67F60">
        <w:t>Mclaughlin</w:t>
      </w:r>
      <w:proofErr w:type="spellEnd"/>
      <w:r w:rsidR="00D67F60">
        <w:t xml:space="preserve"> 2010: 168.</w:t>
      </w:r>
    </w:p>
  </w:footnote>
  <w:footnote w:id="12">
    <w:p w:rsidR="00EA78CB" w:rsidRDefault="00EA78CB">
      <w:pPr>
        <w:pStyle w:val="FootnoteText"/>
      </w:pPr>
      <w:r>
        <w:rPr>
          <w:rStyle w:val="FootnoteReference"/>
        </w:rPr>
        <w:footnoteRef/>
      </w:r>
      <w:r>
        <w:t xml:space="preserve"> </w:t>
      </w:r>
      <w:proofErr w:type="spellStart"/>
      <w:r w:rsidR="00D67F60">
        <w:t>Mclaughlin</w:t>
      </w:r>
      <w:proofErr w:type="spellEnd"/>
      <w:r w:rsidR="00D67F60">
        <w:t xml:space="preserve"> 2010: 168.</w:t>
      </w:r>
    </w:p>
  </w:footnote>
  <w:footnote w:id="13">
    <w:p w:rsidR="00EA78CB" w:rsidRPr="00D67F60" w:rsidRDefault="00EA78CB">
      <w:pPr>
        <w:pStyle w:val="FootnoteText"/>
      </w:pPr>
      <w:r>
        <w:rPr>
          <w:rStyle w:val="FootnoteReference"/>
        </w:rPr>
        <w:footnoteRef/>
      </w:r>
      <w:r>
        <w:t xml:space="preserve"> </w:t>
      </w:r>
      <w:r w:rsidR="00D67F60">
        <w:t>Plin.</w:t>
      </w:r>
      <w:r w:rsidR="00D67F60">
        <w:rPr>
          <w:i/>
        </w:rPr>
        <w:t>NH</w:t>
      </w:r>
      <w:r w:rsidR="00D67F60">
        <w:t xml:space="preserve">.6.101; 12.84; </w:t>
      </w:r>
      <w:proofErr w:type="spellStart"/>
      <w:r w:rsidR="00D67F60">
        <w:t>Warmington</w:t>
      </w:r>
      <w:proofErr w:type="spellEnd"/>
      <w:r w:rsidR="00D67F60">
        <w:t xml:space="preserve"> 1989: 275. </w:t>
      </w:r>
    </w:p>
  </w:footnote>
  <w:footnote w:id="14">
    <w:p w:rsidR="00EA78CB" w:rsidRPr="000C7C83" w:rsidRDefault="00EA78CB">
      <w:pPr>
        <w:pStyle w:val="FootnoteText"/>
      </w:pPr>
      <w:r>
        <w:rPr>
          <w:rStyle w:val="FootnoteReference"/>
        </w:rPr>
        <w:footnoteRef/>
      </w:r>
      <w:r>
        <w:t xml:space="preserve"> </w:t>
      </w:r>
      <w:proofErr w:type="spellStart"/>
      <w:r w:rsidR="00D67F60">
        <w:t>Seland</w:t>
      </w:r>
      <w:proofErr w:type="spellEnd"/>
      <w:r w:rsidR="00D67F60">
        <w:t xml:space="preserve"> 2010: 15; </w:t>
      </w:r>
      <w:r w:rsidR="000C7C83">
        <w:rPr>
          <w:i/>
        </w:rPr>
        <w:t>PME</w:t>
      </w:r>
      <w:r w:rsidR="000C7C83">
        <w:t>.56.</w:t>
      </w:r>
    </w:p>
  </w:footnote>
  <w:footnote w:id="15">
    <w:p w:rsidR="00D64C4A" w:rsidRDefault="00D64C4A">
      <w:pPr>
        <w:pStyle w:val="FootnoteText"/>
      </w:pPr>
      <w:r>
        <w:rPr>
          <w:rStyle w:val="FootnoteReference"/>
        </w:rPr>
        <w:footnoteRef/>
      </w:r>
      <w:r>
        <w:t xml:space="preserve"> Fitzpatrick 2011: 47.</w:t>
      </w:r>
    </w:p>
  </w:footnote>
  <w:footnote w:id="16">
    <w:p w:rsidR="00D64C4A" w:rsidRPr="00D64C4A" w:rsidRDefault="00D64C4A">
      <w:pPr>
        <w:pStyle w:val="FootnoteText"/>
      </w:pPr>
      <w:r>
        <w:rPr>
          <w:rStyle w:val="FootnoteReference"/>
        </w:rPr>
        <w:footnoteRef/>
      </w:r>
      <w:r>
        <w:t xml:space="preserve"> </w:t>
      </w:r>
      <w:r>
        <w:rPr>
          <w:i/>
        </w:rPr>
        <w:t>PME</w:t>
      </w:r>
      <w:r>
        <w:t>.49; 56;</w:t>
      </w:r>
      <w:r w:rsidR="00771C4F">
        <w:t xml:space="preserve"> </w:t>
      </w:r>
      <w:proofErr w:type="spellStart"/>
      <w:r w:rsidR="00771C4F">
        <w:t>Nappo</w:t>
      </w:r>
      <w:proofErr w:type="spellEnd"/>
      <w:r w:rsidR="00771C4F">
        <w:t xml:space="preserve"> 2017: 563-565; </w:t>
      </w:r>
      <w:proofErr w:type="spellStart"/>
      <w:proofErr w:type="gramStart"/>
      <w:r w:rsidR="00771C4F">
        <w:rPr>
          <w:i/>
        </w:rPr>
        <w:t>O.Berinike</w:t>
      </w:r>
      <w:proofErr w:type="spellEnd"/>
      <w:proofErr w:type="gramEnd"/>
      <w:r w:rsidR="00771C4F">
        <w:rPr>
          <w:i/>
        </w:rPr>
        <w:t xml:space="preserve"> 162</w:t>
      </w:r>
      <w:r w:rsidR="00771C4F">
        <w:t>;</w:t>
      </w:r>
      <w:r>
        <w:t xml:space="preserve"> Cobb 2015: 199. </w:t>
      </w:r>
    </w:p>
  </w:footnote>
  <w:footnote w:id="17">
    <w:p w:rsidR="00D12020" w:rsidRDefault="00D12020">
      <w:pPr>
        <w:pStyle w:val="FootnoteText"/>
      </w:pPr>
      <w:r>
        <w:rPr>
          <w:rStyle w:val="FootnoteReference"/>
        </w:rPr>
        <w:footnoteRef/>
      </w:r>
      <w:r>
        <w:t xml:space="preserve"> </w:t>
      </w:r>
      <w:proofErr w:type="spellStart"/>
      <w:r>
        <w:t>Seland</w:t>
      </w:r>
      <w:proofErr w:type="spellEnd"/>
      <w:r>
        <w:t xml:space="preserve"> 2010: 15. </w:t>
      </w:r>
    </w:p>
  </w:footnote>
  <w:footnote w:id="18">
    <w:p w:rsidR="00002E12" w:rsidRDefault="00002E12">
      <w:pPr>
        <w:pStyle w:val="FootnoteText"/>
      </w:pPr>
      <w:r>
        <w:rPr>
          <w:rStyle w:val="FootnoteReference"/>
        </w:rPr>
        <w:footnoteRef/>
      </w:r>
      <w:r>
        <w:t xml:space="preserve"> </w:t>
      </w:r>
      <w:r w:rsidR="000C7C83">
        <w:t xml:space="preserve">Young 2001: 183-186; Parker 2008: 185; Turner 1989: 23; Cobb 2015: 190-191. </w:t>
      </w:r>
    </w:p>
  </w:footnote>
  <w:footnote w:id="19">
    <w:p w:rsidR="00002E12" w:rsidRDefault="00002E12">
      <w:pPr>
        <w:pStyle w:val="FootnoteText"/>
      </w:pPr>
      <w:r>
        <w:rPr>
          <w:rStyle w:val="FootnoteReference"/>
        </w:rPr>
        <w:footnoteRef/>
      </w:r>
      <w:r>
        <w:t xml:space="preserve"> </w:t>
      </w:r>
      <w:r w:rsidR="000C7C83">
        <w:t xml:space="preserve">Young 2001: 182-183; Fitzpatrick 2011: 32-33. </w:t>
      </w:r>
    </w:p>
  </w:footnote>
  <w:footnote w:id="20">
    <w:p w:rsidR="00002E12" w:rsidRPr="00C14A6A" w:rsidRDefault="00002E12">
      <w:pPr>
        <w:pStyle w:val="FootnoteText"/>
      </w:pPr>
      <w:r>
        <w:rPr>
          <w:rStyle w:val="FootnoteReference"/>
        </w:rPr>
        <w:footnoteRef/>
      </w:r>
      <w:r>
        <w:t xml:space="preserve"> </w:t>
      </w:r>
      <w:r w:rsidR="00C14A6A">
        <w:t>Cobb 2015: 199; Sen.</w:t>
      </w:r>
      <w:r w:rsidR="00C14A6A">
        <w:rPr>
          <w:i/>
        </w:rPr>
        <w:t>NQ</w:t>
      </w:r>
      <w:r w:rsidR="00C14A6A">
        <w:t xml:space="preserve">.1.17.8-9; </w:t>
      </w:r>
      <w:r w:rsidR="00C14A6A">
        <w:rPr>
          <w:i/>
        </w:rPr>
        <w:t>Ben</w:t>
      </w:r>
      <w:r w:rsidR="00C14A6A">
        <w:t>.7.9.4</w:t>
      </w:r>
      <w:r w:rsidR="00A95CC4">
        <w:t>; Juv.</w:t>
      </w:r>
      <w:r w:rsidR="00A95CC4">
        <w:rPr>
          <w:i/>
        </w:rPr>
        <w:t>Sat</w:t>
      </w:r>
      <w:r w:rsidR="00A95CC4">
        <w:t>.6.509</w:t>
      </w:r>
      <w:r w:rsidR="00C14A6A">
        <w:t xml:space="preserve">. </w:t>
      </w:r>
    </w:p>
  </w:footnote>
  <w:footnote w:id="21">
    <w:p w:rsidR="006878F8" w:rsidRDefault="006878F8">
      <w:pPr>
        <w:pStyle w:val="FootnoteText"/>
      </w:pPr>
      <w:r>
        <w:rPr>
          <w:rStyle w:val="FootnoteReference"/>
        </w:rPr>
        <w:footnoteRef/>
      </w:r>
      <w:r>
        <w:t xml:space="preserve"> Oxford Reference 2017. </w:t>
      </w:r>
    </w:p>
  </w:footnote>
  <w:footnote w:id="22">
    <w:p w:rsidR="006878F8" w:rsidRDefault="006878F8">
      <w:pPr>
        <w:pStyle w:val="FootnoteText"/>
      </w:pPr>
      <w:r>
        <w:rPr>
          <w:rStyle w:val="FootnoteReference"/>
        </w:rPr>
        <w:footnoteRef/>
      </w:r>
      <w:r>
        <w:t xml:space="preserve"> Oxford Reference 2017. </w:t>
      </w:r>
    </w:p>
  </w:footnote>
  <w:footnote w:id="23">
    <w:p w:rsidR="0017718D" w:rsidRPr="00C14A6A" w:rsidRDefault="0017718D">
      <w:pPr>
        <w:pStyle w:val="FootnoteText"/>
      </w:pPr>
      <w:r>
        <w:rPr>
          <w:rStyle w:val="FootnoteReference"/>
        </w:rPr>
        <w:footnoteRef/>
      </w:r>
      <w:r>
        <w:t xml:space="preserve"> </w:t>
      </w:r>
      <w:r w:rsidR="00C14A6A">
        <w:t>Plin.</w:t>
      </w:r>
      <w:r w:rsidR="00C14A6A">
        <w:rPr>
          <w:i/>
        </w:rPr>
        <w:t>NH.</w:t>
      </w:r>
      <w:r w:rsidR="00C14A6A">
        <w:t xml:space="preserve">6.101; 12.84. </w:t>
      </w:r>
    </w:p>
  </w:footnote>
  <w:footnote w:id="24">
    <w:p w:rsidR="0017718D" w:rsidRPr="00C14A6A" w:rsidRDefault="0017718D">
      <w:pPr>
        <w:pStyle w:val="FootnoteText"/>
        <w:rPr>
          <w:b/>
        </w:rPr>
      </w:pPr>
      <w:r>
        <w:rPr>
          <w:rStyle w:val="FootnoteReference"/>
        </w:rPr>
        <w:footnoteRef/>
      </w:r>
      <w:r>
        <w:t xml:space="preserve"> </w:t>
      </w:r>
      <w:proofErr w:type="spellStart"/>
      <w:r w:rsidR="007A1B9D">
        <w:t>Ahbel-Rappe</w:t>
      </w:r>
      <w:proofErr w:type="spellEnd"/>
      <w:r w:rsidR="007A1B9D">
        <w:t xml:space="preserve"> 2010: 530; Fitzpatrick 2011: 32. </w:t>
      </w:r>
      <w:r w:rsidR="00C14A6A">
        <w:rPr>
          <w:b/>
        </w:rPr>
        <w:t xml:space="preserve"> </w:t>
      </w:r>
    </w:p>
  </w:footnote>
  <w:footnote w:id="25">
    <w:p w:rsidR="0028673E" w:rsidRDefault="0028673E">
      <w:pPr>
        <w:pStyle w:val="FootnoteText"/>
      </w:pPr>
      <w:r>
        <w:rPr>
          <w:rStyle w:val="FootnoteReference"/>
        </w:rPr>
        <w:footnoteRef/>
      </w:r>
      <w:r>
        <w:t xml:space="preserve"> </w:t>
      </w:r>
      <w:proofErr w:type="spellStart"/>
      <w:r w:rsidR="006B283E">
        <w:t>Warmington</w:t>
      </w:r>
      <w:proofErr w:type="spellEnd"/>
      <w:r w:rsidR="006B283E">
        <w:t xml:space="preserve"> 1928: 275. </w:t>
      </w:r>
    </w:p>
  </w:footnote>
  <w:footnote w:id="26">
    <w:p w:rsidR="0028673E" w:rsidRDefault="0028673E">
      <w:pPr>
        <w:pStyle w:val="FootnoteText"/>
      </w:pPr>
      <w:r>
        <w:rPr>
          <w:rStyle w:val="FootnoteReference"/>
        </w:rPr>
        <w:footnoteRef/>
      </w:r>
      <w:r w:rsidR="00EC1A7E">
        <w:t xml:space="preserve"> Turner 1989: 23; </w:t>
      </w:r>
      <w:proofErr w:type="spellStart"/>
      <w:r w:rsidR="00EC1A7E">
        <w:t>Mclaughlin</w:t>
      </w:r>
      <w:proofErr w:type="spellEnd"/>
      <w:r w:rsidR="00EC1A7E">
        <w:t xml:space="preserve"> 2010: 161</w:t>
      </w:r>
      <w:r w:rsidR="00305E41">
        <w:t xml:space="preserve">; </w:t>
      </w:r>
      <w:proofErr w:type="spellStart"/>
      <w:r w:rsidR="00305E41">
        <w:t>Nappo</w:t>
      </w:r>
      <w:proofErr w:type="spellEnd"/>
      <w:r w:rsidR="00305E41">
        <w:t xml:space="preserve"> 2017: 568</w:t>
      </w:r>
      <w:r w:rsidR="00EC1A7E">
        <w:t xml:space="preserve">.  </w:t>
      </w:r>
    </w:p>
  </w:footnote>
  <w:footnote w:id="27">
    <w:p w:rsidR="00EC1A7E" w:rsidRDefault="00EC1A7E">
      <w:pPr>
        <w:pStyle w:val="FootnoteText"/>
      </w:pPr>
      <w:r>
        <w:rPr>
          <w:rStyle w:val="FootnoteReference"/>
        </w:rPr>
        <w:footnoteRef/>
      </w:r>
      <w:r w:rsidR="009364F8">
        <w:t xml:space="preserve"> Turner 1989: 62; </w:t>
      </w:r>
      <w:proofErr w:type="spellStart"/>
      <w:r w:rsidR="00AF143F">
        <w:t>Nappo</w:t>
      </w:r>
      <w:proofErr w:type="spellEnd"/>
      <w:r w:rsidR="00AF143F">
        <w:t xml:space="preserve"> 2017</w:t>
      </w:r>
      <w:r w:rsidR="009364F8">
        <w:t xml:space="preserve">: 568. </w:t>
      </w:r>
    </w:p>
  </w:footnote>
  <w:footnote w:id="28">
    <w:p w:rsidR="00742CC7" w:rsidRPr="006B283E" w:rsidRDefault="00742CC7">
      <w:pPr>
        <w:pStyle w:val="FootnoteText"/>
      </w:pPr>
      <w:r>
        <w:rPr>
          <w:rStyle w:val="FootnoteReference"/>
        </w:rPr>
        <w:footnoteRef/>
      </w:r>
      <w:r>
        <w:t xml:space="preserve"> </w:t>
      </w:r>
      <w:r w:rsidR="006B283E">
        <w:rPr>
          <w:i/>
        </w:rPr>
        <w:t>PME</w:t>
      </w:r>
      <w:r w:rsidR="006B283E">
        <w:t xml:space="preserve">.56; </w:t>
      </w:r>
      <w:proofErr w:type="spellStart"/>
      <w:r w:rsidR="006B283E">
        <w:t>Seland</w:t>
      </w:r>
      <w:proofErr w:type="spellEnd"/>
      <w:r w:rsidR="006B283E">
        <w:t xml:space="preserve"> 2010: 15. </w:t>
      </w:r>
    </w:p>
  </w:footnote>
  <w:footnote w:id="29">
    <w:p w:rsidR="00742CC7" w:rsidRDefault="00742CC7">
      <w:pPr>
        <w:pStyle w:val="FootnoteText"/>
      </w:pPr>
      <w:r>
        <w:rPr>
          <w:rStyle w:val="FootnoteReference"/>
        </w:rPr>
        <w:footnoteRef/>
      </w:r>
      <w:r>
        <w:t xml:space="preserve"> </w:t>
      </w:r>
      <w:r w:rsidR="006B283E">
        <w:t xml:space="preserve">Cobb 2015: 199. </w:t>
      </w:r>
    </w:p>
  </w:footnote>
  <w:footnote w:id="30">
    <w:p w:rsidR="00742CC7" w:rsidRDefault="00742CC7">
      <w:pPr>
        <w:pStyle w:val="FootnoteText"/>
      </w:pPr>
      <w:r>
        <w:rPr>
          <w:rStyle w:val="FootnoteReference"/>
        </w:rPr>
        <w:footnoteRef/>
      </w:r>
      <w:r>
        <w:t xml:space="preserve"> </w:t>
      </w:r>
      <w:r w:rsidR="006B283E">
        <w:t xml:space="preserve">Turner 1989: 23; Parker 2008: 185; </w:t>
      </w:r>
      <w:proofErr w:type="spellStart"/>
      <w:r w:rsidR="006B283E">
        <w:t>Warmington</w:t>
      </w:r>
      <w:proofErr w:type="spellEnd"/>
      <w:r w:rsidR="006B283E">
        <w:t xml:space="preserve"> 1928: 278-279; Cobb 2015: 191-192. </w:t>
      </w:r>
    </w:p>
  </w:footnote>
  <w:footnote w:id="31">
    <w:p w:rsidR="00606023" w:rsidRDefault="00606023">
      <w:pPr>
        <w:pStyle w:val="FootnoteText"/>
      </w:pPr>
      <w:r>
        <w:rPr>
          <w:rStyle w:val="FootnoteReference"/>
        </w:rPr>
        <w:footnoteRef/>
      </w:r>
      <w:r>
        <w:t xml:space="preserve"> </w:t>
      </w:r>
      <w:r w:rsidR="00A17DC6">
        <w:t xml:space="preserve">Young 2001: 183-184; Oxford University 2017. </w:t>
      </w:r>
    </w:p>
  </w:footnote>
  <w:footnote w:id="32">
    <w:p w:rsidR="00EF450C" w:rsidRDefault="00EF450C">
      <w:pPr>
        <w:pStyle w:val="FootnoteText"/>
      </w:pPr>
      <w:r>
        <w:rPr>
          <w:rStyle w:val="FootnoteReference"/>
        </w:rPr>
        <w:footnoteRef/>
      </w:r>
      <w:r>
        <w:t xml:space="preserve"> </w:t>
      </w:r>
      <w:proofErr w:type="spellStart"/>
      <w:r w:rsidR="002C033A">
        <w:t>Warmington</w:t>
      </w:r>
      <w:proofErr w:type="spellEnd"/>
      <w:r w:rsidR="002C033A">
        <w:t xml:space="preserve"> 1928: 272-273; Cobb 2015: 192; Plin.</w:t>
      </w:r>
      <w:r w:rsidR="002C033A">
        <w:rPr>
          <w:i/>
        </w:rPr>
        <w:t>NH</w:t>
      </w:r>
      <w:r w:rsidR="002C033A">
        <w:t xml:space="preserve">.6.101. </w:t>
      </w:r>
    </w:p>
  </w:footnote>
  <w:footnote w:id="33">
    <w:p w:rsidR="00EF450C" w:rsidRDefault="00EF450C">
      <w:pPr>
        <w:pStyle w:val="FootnoteText"/>
      </w:pPr>
      <w:r>
        <w:rPr>
          <w:rStyle w:val="FootnoteReference"/>
        </w:rPr>
        <w:footnoteRef/>
      </w:r>
      <w:r>
        <w:t xml:space="preserve"> </w:t>
      </w:r>
      <w:r w:rsidR="002C033A">
        <w:t>Cobb 2015: 199; Young 2001: 183; Turner 1989: 24</w:t>
      </w:r>
      <w:r w:rsidR="004E5B6D">
        <w:t xml:space="preserve">; </w:t>
      </w:r>
      <w:proofErr w:type="spellStart"/>
      <w:r w:rsidR="004E5B6D">
        <w:t>Sidebotham</w:t>
      </w:r>
      <w:proofErr w:type="spellEnd"/>
      <w:r w:rsidR="004E5B6D">
        <w:t xml:space="preserve"> 1986: 35</w:t>
      </w:r>
      <w:r w:rsidR="002C033A">
        <w:t xml:space="preserve">. </w:t>
      </w:r>
    </w:p>
  </w:footnote>
  <w:footnote w:id="34">
    <w:p w:rsidR="00556E2C" w:rsidRPr="00AF143F" w:rsidRDefault="00556E2C">
      <w:pPr>
        <w:pStyle w:val="FootnoteText"/>
      </w:pPr>
      <w:r>
        <w:rPr>
          <w:rStyle w:val="FootnoteReference"/>
        </w:rPr>
        <w:footnoteRef/>
      </w:r>
      <w:r>
        <w:t xml:space="preserve"> </w:t>
      </w:r>
      <w:r w:rsidR="00AF143F">
        <w:t>Strab.</w:t>
      </w:r>
      <w:r w:rsidR="00AF143F">
        <w:rPr>
          <w:i/>
        </w:rPr>
        <w:t>Geog</w:t>
      </w:r>
      <w:r w:rsidR="00AF143F">
        <w:t xml:space="preserve">.4.5. </w:t>
      </w:r>
    </w:p>
  </w:footnote>
  <w:footnote w:id="35">
    <w:p w:rsidR="00606023" w:rsidRDefault="00606023">
      <w:pPr>
        <w:pStyle w:val="FootnoteText"/>
      </w:pPr>
      <w:r>
        <w:rPr>
          <w:rStyle w:val="FootnoteReference"/>
        </w:rPr>
        <w:footnoteRef/>
      </w:r>
      <w:r>
        <w:t xml:space="preserve"> </w:t>
      </w:r>
      <w:r w:rsidR="002C033A">
        <w:t xml:space="preserve">P. Vindob.40822. </w:t>
      </w:r>
    </w:p>
  </w:footnote>
  <w:footnote w:id="36">
    <w:p w:rsidR="00606023" w:rsidRDefault="00606023">
      <w:pPr>
        <w:pStyle w:val="FootnoteText"/>
      </w:pPr>
      <w:r>
        <w:rPr>
          <w:rStyle w:val="FootnoteReference"/>
        </w:rPr>
        <w:footnoteRef/>
      </w:r>
      <w:r>
        <w:t xml:space="preserve"> </w:t>
      </w:r>
      <w:r w:rsidR="002C033A">
        <w:t xml:space="preserve">Young 2001: 184. </w:t>
      </w:r>
    </w:p>
  </w:footnote>
  <w:footnote w:id="37">
    <w:p w:rsidR="00606023" w:rsidRDefault="00606023">
      <w:pPr>
        <w:pStyle w:val="FootnoteText"/>
      </w:pPr>
      <w:r>
        <w:rPr>
          <w:rStyle w:val="FootnoteReference"/>
        </w:rPr>
        <w:footnoteRef/>
      </w:r>
      <w:r>
        <w:t xml:space="preserve"> </w:t>
      </w:r>
      <w:r w:rsidR="006A02DC">
        <w:t>P. Vindob.40822.</w:t>
      </w:r>
    </w:p>
  </w:footnote>
  <w:footnote w:id="38">
    <w:p w:rsidR="004B5CDB" w:rsidRDefault="004B5CDB">
      <w:pPr>
        <w:pStyle w:val="FootnoteText"/>
      </w:pPr>
      <w:r>
        <w:rPr>
          <w:rStyle w:val="FootnoteReference"/>
        </w:rPr>
        <w:footnoteRef/>
      </w:r>
      <w:r>
        <w:t xml:space="preserve"> </w:t>
      </w:r>
      <w:proofErr w:type="spellStart"/>
      <w:r w:rsidR="006A02DC">
        <w:t>Guruukkal</w:t>
      </w:r>
      <w:proofErr w:type="spellEnd"/>
      <w:r w:rsidR="006A02DC">
        <w:t xml:space="preserve"> 2013: 186. </w:t>
      </w:r>
    </w:p>
  </w:footnote>
  <w:footnote w:id="39">
    <w:p w:rsidR="004B5CDB" w:rsidRDefault="004B5CDB">
      <w:pPr>
        <w:pStyle w:val="FootnoteText"/>
      </w:pPr>
      <w:r>
        <w:rPr>
          <w:rStyle w:val="FootnoteReference"/>
        </w:rPr>
        <w:footnoteRef/>
      </w:r>
      <w:r>
        <w:t xml:space="preserve"> </w:t>
      </w:r>
      <w:r w:rsidR="006A02DC">
        <w:t>Strab.</w:t>
      </w:r>
      <w:r w:rsidR="006A02DC">
        <w:rPr>
          <w:i/>
        </w:rPr>
        <w:t>Geog</w:t>
      </w:r>
      <w:r w:rsidR="006A02DC">
        <w:t xml:space="preserve">.2.5.12; </w:t>
      </w:r>
      <w:proofErr w:type="spellStart"/>
      <w:r w:rsidR="006A02DC">
        <w:t>Mclaughlin</w:t>
      </w:r>
      <w:proofErr w:type="spellEnd"/>
      <w:r w:rsidR="006A02DC">
        <w:t xml:space="preserve"> 2010: 164; Wilson 2015: 23; </w:t>
      </w:r>
      <w:proofErr w:type="spellStart"/>
      <w:r w:rsidR="006A02DC">
        <w:t>Sidebotham</w:t>
      </w:r>
      <w:proofErr w:type="spellEnd"/>
      <w:r w:rsidR="006A02DC">
        <w:t xml:space="preserve"> 2011:217.</w:t>
      </w:r>
    </w:p>
  </w:footnote>
  <w:footnote w:id="40">
    <w:p w:rsidR="004B5CDB" w:rsidRDefault="004B5CDB">
      <w:pPr>
        <w:pStyle w:val="FootnoteText"/>
      </w:pPr>
      <w:r>
        <w:rPr>
          <w:rStyle w:val="FootnoteReference"/>
        </w:rPr>
        <w:footnoteRef/>
      </w:r>
      <w:r>
        <w:t xml:space="preserve"> </w:t>
      </w:r>
      <w:r w:rsidR="006A02DC">
        <w:t xml:space="preserve">Young 2011:189; </w:t>
      </w:r>
      <w:proofErr w:type="spellStart"/>
      <w:r w:rsidR="006A02DC">
        <w:t>Mclesiter</w:t>
      </w:r>
      <w:proofErr w:type="spellEnd"/>
      <w:r w:rsidR="006A02DC">
        <w:t xml:space="preserve"> 2011:41; Cobb 2015: 186. </w:t>
      </w:r>
    </w:p>
  </w:footnote>
  <w:footnote w:id="41">
    <w:p w:rsidR="004B5CDB" w:rsidRPr="00815C88" w:rsidRDefault="004B5CDB">
      <w:pPr>
        <w:pStyle w:val="FootnoteText"/>
      </w:pPr>
      <w:r>
        <w:rPr>
          <w:rStyle w:val="FootnoteReference"/>
        </w:rPr>
        <w:footnoteRef/>
      </w:r>
      <w:r>
        <w:t xml:space="preserve"> </w:t>
      </w:r>
      <w:r w:rsidR="00815C88">
        <w:t>Suet.</w:t>
      </w:r>
      <w:r w:rsidR="00815C88">
        <w:rPr>
          <w:i/>
        </w:rPr>
        <w:t>Iul</w:t>
      </w:r>
      <w:r w:rsidR="00815C88">
        <w:t>.25.1</w:t>
      </w:r>
      <w:r w:rsidR="008F1076">
        <w:t>; Bradley 2012</w:t>
      </w:r>
      <w:r w:rsidR="00815C88">
        <w:t xml:space="preserve">. </w:t>
      </w:r>
    </w:p>
  </w:footnote>
  <w:footnote w:id="42">
    <w:p w:rsidR="0071092E" w:rsidRPr="00815C88" w:rsidRDefault="0071092E">
      <w:pPr>
        <w:pStyle w:val="FootnoteText"/>
      </w:pPr>
      <w:r>
        <w:rPr>
          <w:rStyle w:val="FootnoteReference"/>
        </w:rPr>
        <w:footnoteRef/>
      </w:r>
      <w:r>
        <w:t xml:space="preserve"> </w:t>
      </w:r>
      <w:r w:rsidR="00815C88">
        <w:t>Liv.21.63; Tac.</w:t>
      </w:r>
      <w:r w:rsidR="00815C88">
        <w:rPr>
          <w:i/>
        </w:rPr>
        <w:t>Ann</w:t>
      </w:r>
      <w:r w:rsidR="00815C88">
        <w:t xml:space="preserve">.3.53; </w:t>
      </w:r>
      <w:proofErr w:type="spellStart"/>
      <w:r w:rsidR="00815C88">
        <w:t>Mcleister</w:t>
      </w:r>
      <w:proofErr w:type="spellEnd"/>
      <w:r w:rsidR="00815C88">
        <w:t xml:space="preserve"> 2011: 19. </w:t>
      </w:r>
    </w:p>
  </w:footnote>
  <w:footnote w:id="43">
    <w:p w:rsidR="0071092E" w:rsidRDefault="0071092E">
      <w:pPr>
        <w:pStyle w:val="FootnoteText"/>
      </w:pPr>
      <w:r>
        <w:rPr>
          <w:rStyle w:val="FootnoteReference"/>
        </w:rPr>
        <w:footnoteRef/>
      </w:r>
      <w:r>
        <w:t xml:space="preserve"> </w:t>
      </w:r>
      <w:r w:rsidR="00815C88">
        <w:t xml:space="preserve">Young 2001: 182. </w:t>
      </w:r>
    </w:p>
  </w:footnote>
  <w:footnote w:id="44">
    <w:p w:rsidR="005726B7" w:rsidRDefault="005726B7">
      <w:pPr>
        <w:pStyle w:val="FootnoteText"/>
      </w:pPr>
      <w:r>
        <w:rPr>
          <w:rStyle w:val="FootnoteReference"/>
        </w:rPr>
        <w:footnoteRef/>
      </w:r>
      <w:r>
        <w:t xml:space="preserve"> </w:t>
      </w:r>
      <w:proofErr w:type="spellStart"/>
      <w:r w:rsidR="00815C88">
        <w:t>Sidebotham</w:t>
      </w:r>
      <w:proofErr w:type="spellEnd"/>
      <w:r w:rsidR="00815C88">
        <w:t xml:space="preserve"> 1986: 48-51;</w:t>
      </w:r>
      <w:r w:rsidR="002313F3">
        <w:t xml:space="preserve"> 2011: 28;</w:t>
      </w:r>
      <w:r w:rsidR="00815C88">
        <w:t xml:space="preserve"> Young 2001: 184; Cobb 2015: 377-379. </w:t>
      </w:r>
    </w:p>
  </w:footnote>
  <w:footnote w:id="45">
    <w:p w:rsidR="005726B7" w:rsidRPr="00FA61C8" w:rsidRDefault="005726B7">
      <w:pPr>
        <w:pStyle w:val="FootnoteText"/>
      </w:pPr>
      <w:r>
        <w:rPr>
          <w:rStyle w:val="FootnoteReference"/>
        </w:rPr>
        <w:footnoteRef/>
      </w:r>
      <w:r>
        <w:t xml:space="preserve"> </w:t>
      </w:r>
      <w:proofErr w:type="spellStart"/>
      <w:r w:rsidR="002313F3">
        <w:t>Benario</w:t>
      </w:r>
      <w:proofErr w:type="spellEnd"/>
      <w:r w:rsidR="002313F3">
        <w:t xml:space="preserve"> 2011: 101; </w:t>
      </w:r>
      <w:proofErr w:type="spellStart"/>
      <w:r w:rsidR="00B74D76">
        <w:t>Ahbel-Rappe</w:t>
      </w:r>
      <w:proofErr w:type="spellEnd"/>
      <w:r w:rsidR="00B74D76">
        <w:t xml:space="preserve"> 2010: 530.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6AB"/>
    <w:rsid w:val="00002E12"/>
    <w:rsid w:val="00043ABF"/>
    <w:rsid w:val="00081FDE"/>
    <w:rsid w:val="00086C88"/>
    <w:rsid w:val="000C7A0D"/>
    <w:rsid w:val="000C7C83"/>
    <w:rsid w:val="00147BBE"/>
    <w:rsid w:val="0017718D"/>
    <w:rsid w:val="00194CCA"/>
    <w:rsid w:val="0019788E"/>
    <w:rsid w:val="001F4993"/>
    <w:rsid w:val="002025F9"/>
    <w:rsid w:val="002313F3"/>
    <w:rsid w:val="00266E57"/>
    <w:rsid w:val="0028673E"/>
    <w:rsid w:val="002C033A"/>
    <w:rsid w:val="002C7629"/>
    <w:rsid w:val="002F0171"/>
    <w:rsid w:val="00305E41"/>
    <w:rsid w:val="003348FC"/>
    <w:rsid w:val="0037338B"/>
    <w:rsid w:val="003B2CDB"/>
    <w:rsid w:val="003C21C6"/>
    <w:rsid w:val="00470996"/>
    <w:rsid w:val="004A3616"/>
    <w:rsid w:val="004A5A06"/>
    <w:rsid w:val="004B0B31"/>
    <w:rsid w:val="004B5CDB"/>
    <w:rsid w:val="004B7DF7"/>
    <w:rsid w:val="004E5B6D"/>
    <w:rsid w:val="004F0594"/>
    <w:rsid w:val="00556E2C"/>
    <w:rsid w:val="005664E4"/>
    <w:rsid w:val="005726B7"/>
    <w:rsid w:val="00606023"/>
    <w:rsid w:val="00632999"/>
    <w:rsid w:val="0063327A"/>
    <w:rsid w:val="006878F8"/>
    <w:rsid w:val="006A02DC"/>
    <w:rsid w:val="006A62D7"/>
    <w:rsid w:val="006B159F"/>
    <w:rsid w:val="006B283E"/>
    <w:rsid w:val="006B7CB2"/>
    <w:rsid w:val="006C714F"/>
    <w:rsid w:val="0071092E"/>
    <w:rsid w:val="00742CC7"/>
    <w:rsid w:val="007579CC"/>
    <w:rsid w:val="00771974"/>
    <w:rsid w:val="00771C4F"/>
    <w:rsid w:val="00777178"/>
    <w:rsid w:val="00780CAC"/>
    <w:rsid w:val="007A1B9D"/>
    <w:rsid w:val="007F319F"/>
    <w:rsid w:val="007F4974"/>
    <w:rsid w:val="00815C88"/>
    <w:rsid w:val="008C363C"/>
    <w:rsid w:val="008F1076"/>
    <w:rsid w:val="00906FA9"/>
    <w:rsid w:val="009364F8"/>
    <w:rsid w:val="009671C1"/>
    <w:rsid w:val="009C010A"/>
    <w:rsid w:val="009D7F43"/>
    <w:rsid w:val="009E74B3"/>
    <w:rsid w:val="00A17DC6"/>
    <w:rsid w:val="00A70612"/>
    <w:rsid w:val="00A95CC4"/>
    <w:rsid w:val="00AA7DD3"/>
    <w:rsid w:val="00AF143F"/>
    <w:rsid w:val="00B246AB"/>
    <w:rsid w:val="00B477F8"/>
    <w:rsid w:val="00B55107"/>
    <w:rsid w:val="00B74D76"/>
    <w:rsid w:val="00BF6B0D"/>
    <w:rsid w:val="00C14A6A"/>
    <w:rsid w:val="00C7109A"/>
    <w:rsid w:val="00CE5356"/>
    <w:rsid w:val="00CF6901"/>
    <w:rsid w:val="00D12020"/>
    <w:rsid w:val="00D147C6"/>
    <w:rsid w:val="00D27285"/>
    <w:rsid w:val="00D550FA"/>
    <w:rsid w:val="00D64C4A"/>
    <w:rsid w:val="00D67F60"/>
    <w:rsid w:val="00D968EF"/>
    <w:rsid w:val="00DA4492"/>
    <w:rsid w:val="00DC65B8"/>
    <w:rsid w:val="00DD3272"/>
    <w:rsid w:val="00DE22C2"/>
    <w:rsid w:val="00E3288C"/>
    <w:rsid w:val="00E370D1"/>
    <w:rsid w:val="00E539D3"/>
    <w:rsid w:val="00E63814"/>
    <w:rsid w:val="00E87C51"/>
    <w:rsid w:val="00EA108F"/>
    <w:rsid w:val="00EA3B7A"/>
    <w:rsid w:val="00EA78CB"/>
    <w:rsid w:val="00EC1A7E"/>
    <w:rsid w:val="00EE1C3C"/>
    <w:rsid w:val="00EF450C"/>
    <w:rsid w:val="00F03BAD"/>
    <w:rsid w:val="00F662D4"/>
    <w:rsid w:val="00F775E8"/>
    <w:rsid w:val="00FA61C8"/>
    <w:rsid w:val="00FF2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F6B99"/>
  <w15:chartTrackingRefBased/>
  <w15:docId w15:val="{D67353CB-004B-4179-9226-58AB2C798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246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46AB"/>
    <w:rPr>
      <w:sz w:val="20"/>
      <w:szCs w:val="20"/>
    </w:rPr>
  </w:style>
  <w:style w:type="character" w:styleId="FootnoteReference">
    <w:name w:val="footnote reference"/>
    <w:basedOn w:val="DefaultParagraphFont"/>
    <w:uiPriority w:val="99"/>
    <w:semiHidden/>
    <w:unhideWhenUsed/>
    <w:rsid w:val="00B246AB"/>
    <w:rPr>
      <w:vertAlign w:val="superscript"/>
    </w:rPr>
  </w:style>
  <w:style w:type="character" w:styleId="Hyperlink">
    <w:name w:val="Hyperlink"/>
    <w:basedOn w:val="DefaultParagraphFont"/>
    <w:uiPriority w:val="99"/>
    <w:unhideWhenUsed/>
    <w:rsid w:val="007F4974"/>
    <w:rPr>
      <w:color w:val="0563C1" w:themeColor="hyperlink"/>
      <w:u w:val="single"/>
    </w:rPr>
  </w:style>
  <w:style w:type="character" w:styleId="UnresolvedMention">
    <w:name w:val="Unresolved Mention"/>
    <w:basedOn w:val="DefaultParagraphFont"/>
    <w:uiPriority w:val="99"/>
    <w:semiHidden/>
    <w:unhideWhenUsed/>
    <w:rsid w:val="007F497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oi/authority.20110803100027795" TargetMode="External"/><Relationship Id="rId3" Type="http://schemas.openxmlformats.org/officeDocument/2006/relationships/settings" Target="settings.xml"/><Relationship Id="rId7" Type="http://schemas.openxmlformats.org/officeDocument/2006/relationships/hyperlink" Target="http://www.oxfordreference.com.ezproxy.uwtsd.ac.uk/view/10.1093/acref/9780199545568.001.0001/acref-9780199545568-e-6117?rskey=r55QFq&amp;result=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xfordreference.com.ezproxy.uwtsd.ac.uk/view/10.1093/acref/9780198706779.001.0001/acref-9780198706779-e-578?rskey=lvqtGs&amp;result=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1AC1F-44AC-4FE9-AA18-5CE162A56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10</Pages>
  <Words>3032</Words>
  <Characters>16105</Characters>
  <Application>Microsoft Office Word</Application>
  <DocSecurity>0</DocSecurity>
  <Lines>240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Wilkinson</dc:creator>
  <cp:keywords/>
  <dc:description/>
  <cp:lastModifiedBy>Troy Wilkinson</cp:lastModifiedBy>
  <cp:revision>81</cp:revision>
  <dcterms:created xsi:type="dcterms:W3CDTF">2017-11-01T10:05:00Z</dcterms:created>
  <dcterms:modified xsi:type="dcterms:W3CDTF">2017-12-12T13:01:00Z</dcterms:modified>
</cp:coreProperties>
</file>