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6DC63E" w14:textId="77777777" w:rsidR="006C3B0D" w:rsidRDefault="006C3B0D" w:rsidP="006C3B0D">
      <w:pPr>
        <w:spacing w:line="480" w:lineRule="auto"/>
        <w:jc w:val="center"/>
        <w:rPr>
          <w:rFonts w:ascii="Times New Roman" w:hAnsi="Times New Roman" w:cs="Times New Roman"/>
          <w:b/>
          <w:bCs/>
          <w:sz w:val="28"/>
          <w:szCs w:val="28"/>
        </w:rPr>
      </w:pPr>
    </w:p>
    <w:p w14:paraId="743C2C3F" w14:textId="77777777" w:rsidR="006C3B0D" w:rsidRDefault="006C3B0D" w:rsidP="006C3B0D">
      <w:pPr>
        <w:spacing w:line="480" w:lineRule="auto"/>
        <w:jc w:val="center"/>
        <w:rPr>
          <w:rFonts w:ascii="Times New Roman" w:hAnsi="Times New Roman" w:cs="Times New Roman"/>
          <w:b/>
          <w:bCs/>
          <w:sz w:val="28"/>
          <w:szCs w:val="28"/>
        </w:rPr>
      </w:pPr>
    </w:p>
    <w:p w14:paraId="743DA0E2" w14:textId="77777777" w:rsidR="00E935CD" w:rsidRDefault="00E935CD" w:rsidP="006C3B0D">
      <w:pPr>
        <w:spacing w:line="480" w:lineRule="auto"/>
        <w:jc w:val="center"/>
        <w:rPr>
          <w:rFonts w:ascii="Times New Roman" w:hAnsi="Times New Roman" w:cs="Times New Roman"/>
          <w:b/>
          <w:bCs/>
          <w:sz w:val="28"/>
          <w:szCs w:val="28"/>
        </w:rPr>
      </w:pPr>
    </w:p>
    <w:p w14:paraId="14AF7B69" w14:textId="77777777" w:rsidR="00E935CD" w:rsidRDefault="00E935CD" w:rsidP="006C3B0D">
      <w:pPr>
        <w:spacing w:line="480" w:lineRule="auto"/>
        <w:jc w:val="center"/>
        <w:rPr>
          <w:rFonts w:ascii="Times New Roman" w:hAnsi="Times New Roman" w:cs="Times New Roman"/>
          <w:b/>
          <w:bCs/>
          <w:sz w:val="28"/>
          <w:szCs w:val="28"/>
        </w:rPr>
      </w:pPr>
    </w:p>
    <w:p w14:paraId="667A0AB7" w14:textId="223301B8" w:rsidR="00C924E3" w:rsidRPr="00C924E3" w:rsidRDefault="00C924E3" w:rsidP="00C924E3">
      <w:pPr>
        <w:spacing w:line="480" w:lineRule="auto"/>
        <w:rPr>
          <w:rFonts w:ascii="Times New Roman" w:hAnsi="Times New Roman" w:cs="Times New Roman"/>
          <w:sz w:val="28"/>
          <w:szCs w:val="28"/>
        </w:rPr>
      </w:pPr>
    </w:p>
    <w:p w14:paraId="72F9F175" w14:textId="77777777" w:rsidR="00C924E3" w:rsidRPr="00D45068" w:rsidRDefault="00C924E3" w:rsidP="00C924E3">
      <w:pPr>
        <w:jc w:val="center"/>
        <w:rPr>
          <w:rFonts w:ascii="Arial" w:hAnsi="Arial" w:cs="Arial"/>
          <w:b/>
          <w:bCs/>
        </w:rPr>
      </w:pPr>
      <w:r w:rsidRPr="00D45068">
        <w:rPr>
          <w:rFonts w:ascii="Arial" w:hAnsi="Arial" w:cs="Arial"/>
          <w:b/>
          <w:bCs/>
        </w:rPr>
        <w:t>HEALTH &amp; SOCIAL CARE</w:t>
      </w:r>
    </w:p>
    <w:p w14:paraId="79B113AE" w14:textId="77777777" w:rsidR="00C924E3" w:rsidRPr="00D45068" w:rsidRDefault="00C924E3" w:rsidP="00C924E3">
      <w:pPr>
        <w:jc w:val="center"/>
        <w:rPr>
          <w:rFonts w:ascii="Arial" w:hAnsi="Arial" w:cs="Arial"/>
          <w:b/>
          <w:bCs/>
        </w:rPr>
      </w:pPr>
    </w:p>
    <w:p w14:paraId="194CF5EC" w14:textId="77777777" w:rsidR="00C924E3" w:rsidRPr="00D45068" w:rsidRDefault="00C924E3" w:rsidP="00C924E3">
      <w:pPr>
        <w:jc w:val="center"/>
        <w:rPr>
          <w:rFonts w:ascii="Arial" w:hAnsi="Arial" w:cs="Arial"/>
          <w:b/>
        </w:rPr>
      </w:pPr>
    </w:p>
    <w:p w14:paraId="38830E04" w14:textId="77777777" w:rsidR="00C924E3" w:rsidRPr="00D45068" w:rsidRDefault="00C924E3" w:rsidP="00C924E3">
      <w:pPr>
        <w:jc w:val="center"/>
        <w:rPr>
          <w:rFonts w:ascii="Arial" w:hAnsi="Arial" w:cs="Arial"/>
          <w:b/>
        </w:rPr>
      </w:pPr>
    </w:p>
    <w:p w14:paraId="16BD7A89" w14:textId="77777777" w:rsidR="00C924E3" w:rsidRPr="00D45068" w:rsidRDefault="00C924E3" w:rsidP="00C924E3">
      <w:pPr>
        <w:jc w:val="center"/>
        <w:rPr>
          <w:rFonts w:ascii="Arial" w:hAnsi="Arial" w:cs="Arial"/>
          <w:b/>
        </w:rPr>
      </w:pPr>
      <w:r w:rsidRPr="00D45068">
        <w:rPr>
          <w:rFonts w:ascii="Arial" w:hAnsi="Arial" w:cs="Arial"/>
          <w:b/>
        </w:rPr>
        <w:t>Student Name: Sabia Alam</w:t>
      </w:r>
    </w:p>
    <w:p w14:paraId="7E128D64" w14:textId="77777777" w:rsidR="00C924E3" w:rsidRPr="00D45068" w:rsidRDefault="00C924E3" w:rsidP="00C924E3">
      <w:pPr>
        <w:jc w:val="center"/>
        <w:rPr>
          <w:rFonts w:ascii="Arial" w:hAnsi="Arial" w:cs="Arial"/>
          <w:b/>
        </w:rPr>
      </w:pPr>
      <w:r w:rsidRPr="00D45068">
        <w:rPr>
          <w:rFonts w:ascii="Arial" w:hAnsi="Arial" w:cs="Arial"/>
          <w:b/>
        </w:rPr>
        <w:t>Student I.D: 2507875</w:t>
      </w:r>
    </w:p>
    <w:p w14:paraId="28C73B4D" w14:textId="77777777" w:rsidR="00C924E3" w:rsidRPr="00D45068" w:rsidRDefault="00C924E3" w:rsidP="00C924E3">
      <w:pPr>
        <w:jc w:val="center"/>
        <w:rPr>
          <w:rFonts w:ascii="Arial" w:hAnsi="Arial" w:cs="Arial"/>
          <w:b/>
        </w:rPr>
      </w:pPr>
      <w:r w:rsidRPr="00D45068">
        <w:rPr>
          <w:rFonts w:ascii="Arial" w:hAnsi="Arial" w:cs="Arial"/>
          <w:b/>
        </w:rPr>
        <w:t>University of Wales</w:t>
      </w:r>
    </w:p>
    <w:p w14:paraId="7E3ACA1E" w14:textId="1151D040" w:rsidR="00C924E3" w:rsidRPr="00D45068" w:rsidRDefault="00C924E3" w:rsidP="00C924E3">
      <w:pPr>
        <w:spacing w:before="120"/>
        <w:jc w:val="center"/>
        <w:rPr>
          <w:rFonts w:ascii="Arial" w:hAnsi="Arial" w:cs="Arial"/>
          <w:b/>
          <w:bCs/>
        </w:rPr>
      </w:pPr>
      <w:r w:rsidRPr="00D45068">
        <w:rPr>
          <w:rFonts w:ascii="Arial" w:hAnsi="Arial" w:cs="Arial"/>
          <w:b/>
        </w:rPr>
        <w:t xml:space="preserve">Module Code: </w:t>
      </w:r>
      <w:r w:rsidRPr="00D45068">
        <w:rPr>
          <w:rFonts w:ascii="Arial" w:hAnsi="Arial" w:cs="Arial"/>
          <w:b/>
          <w:bCs/>
        </w:rPr>
        <w:t>LCHS400</w:t>
      </w:r>
      <w:r>
        <w:rPr>
          <w:rFonts w:ascii="Arial" w:hAnsi="Arial" w:cs="Arial"/>
          <w:b/>
          <w:bCs/>
        </w:rPr>
        <w:t>8</w:t>
      </w:r>
    </w:p>
    <w:p w14:paraId="3068D63D" w14:textId="69F80EB1" w:rsidR="00C924E3" w:rsidRPr="00D45068" w:rsidRDefault="00C924E3" w:rsidP="00C924E3">
      <w:pPr>
        <w:spacing w:before="120"/>
        <w:jc w:val="center"/>
        <w:rPr>
          <w:rFonts w:ascii="Arial" w:hAnsi="Arial" w:cs="Arial"/>
          <w:b/>
          <w:bCs/>
        </w:rPr>
      </w:pPr>
      <w:r w:rsidRPr="00D45068">
        <w:rPr>
          <w:rFonts w:ascii="Arial" w:hAnsi="Arial" w:cs="Arial"/>
          <w:b/>
        </w:rPr>
        <w:t xml:space="preserve">Module: </w:t>
      </w:r>
      <w:r w:rsidRPr="00D45068">
        <w:rPr>
          <w:rFonts w:ascii="Arial" w:hAnsi="Arial" w:cs="Arial"/>
          <w:b/>
          <w:bCs/>
        </w:rPr>
        <w:t xml:space="preserve">Introduction to </w:t>
      </w:r>
      <w:r>
        <w:rPr>
          <w:rFonts w:ascii="Arial" w:hAnsi="Arial" w:cs="Arial"/>
          <w:b/>
          <w:bCs/>
        </w:rPr>
        <w:t>Public Health</w:t>
      </w:r>
    </w:p>
    <w:p w14:paraId="40EFA705" w14:textId="269F815F" w:rsidR="00C924E3" w:rsidRPr="00D45068" w:rsidRDefault="00C924E3" w:rsidP="00C924E3">
      <w:pPr>
        <w:jc w:val="center"/>
        <w:rPr>
          <w:rFonts w:ascii="Arial" w:hAnsi="Arial" w:cs="Arial"/>
          <w:b/>
        </w:rPr>
      </w:pPr>
      <w:r w:rsidRPr="00D45068">
        <w:rPr>
          <w:rFonts w:ascii="Arial" w:hAnsi="Arial" w:cs="Arial"/>
          <w:b/>
        </w:rPr>
        <w:t>Lecturer:</w:t>
      </w:r>
      <w:r>
        <w:rPr>
          <w:rFonts w:ascii="Arial" w:hAnsi="Arial" w:cs="Arial"/>
          <w:b/>
        </w:rPr>
        <w:t xml:space="preserve"> Gillian</w:t>
      </w:r>
      <w:r w:rsidR="00A75165">
        <w:rPr>
          <w:rFonts w:ascii="Arial" w:hAnsi="Arial" w:cs="Arial"/>
          <w:b/>
        </w:rPr>
        <w:t xml:space="preserve"> Weaver</w:t>
      </w:r>
    </w:p>
    <w:p w14:paraId="44E741E2" w14:textId="77777777" w:rsidR="00C924E3" w:rsidRPr="00D45068" w:rsidRDefault="00C924E3" w:rsidP="00C924E3">
      <w:pPr>
        <w:jc w:val="center"/>
        <w:rPr>
          <w:rFonts w:ascii="Arial" w:hAnsi="Arial" w:cs="Arial"/>
          <w:b/>
        </w:rPr>
      </w:pPr>
    </w:p>
    <w:p w14:paraId="678937C0" w14:textId="42698E04" w:rsidR="006C3B0D" w:rsidRDefault="00C924E3">
      <w:pPr>
        <w:rPr>
          <w:rFonts w:ascii="Times New Roman" w:eastAsiaTheme="majorEastAsia" w:hAnsi="Times New Roman" w:cstheme="majorBidi"/>
          <w:b/>
          <w:sz w:val="26"/>
          <w:szCs w:val="40"/>
        </w:rPr>
      </w:pPr>
      <w:r>
        <w:tab/>
      </w:r>
      <w:r w:rsidR="006C3B0D">
        <w:br w:type="page"/>
      </w:r>
    </w:p>
    <w:sdt>
      <w:sdtPr>
        <w:rPr>
          <w:rFonts w:ascii="Times New Roman" w:eastAsiaTheme="minorHAnsi" w:hAnsi="Times New Roman" w:cs="Times New Roman"/>
          <w:b/>
          <w:bCs/>
          <w:color w:val="auto"/>
          <w:kern w:val="2"/>
          <w:sz w:val="24"/>
          <w:szCs w:val="24"/>
          <w14:ligatures w14:val="standardContextual"/>
        </w:rPr>
        <w:id w:val="-1479448412"/>
        <w:docPartObj>
          <w:docPartGallery w:val="Table of Contents"/>
          <w:docPartUnique/>
        </w:docPartObj>
      </w:sdtPr>
      <w:sdtEndPr>
        <w:rPr>
          <w:noProof/>
        </w:rPr>
      </w:sdtEndPr>
      <w:sdtContent>
        <w:p w14:paraId="7B36350C" w14:textId="153957C7" w:rsidR="006C3B0D" w:rsidRPr="00B975C1" w:rsidRDefault="006C3B0D" w:rsidP="00F70758">
          <w:pPr>
            <w:pStyle w:val="TOCHeading"/>
            <w:spacing w:line="360" w:lineRule="auto"/>
            <w:rPr>
              <w:rFonts w:ascii="Arial" w:hAnsi="Arial" w:cs="Arial"/>
              <w:b/>
              <w:bCs/>
              <w:color w:val="auto"/>
              <w:sz w:val="22"/>
              <w:szCs w:val="22"/>
            </w:rPr>
          </w:pPr>
          <w:r w:rsidRPr="00B975C1">
            <w:rPr>
              <w:rFonts w:ascii="Arial" w:hAnsi="Arial" w:cs="Arial"/>
              <w:b/>
              <w:bCs/>
              <w:color w:val="auto"/>
              <w:sz w:val="22"/>
              <w:szCs w:val="22"/>
            </w:rPr>
            <w:t>Table of Contents</w:t>
          </w:r>
        </w:p>
        <w:p w14:paraId="78A27CBF" w14:textId="1A5F72E5" w:rsidR="00B8610A" w:rsidRPr="00B975C1" w:rsidRDefault="006C3B0D" w:rsidP="00F70758">
          <w:pPr>
            <w:pStyle w:val="TOC1"/>
            <w:tabs>
              <w:tab w:val="right" w:leader="dot" w:pos="9350"/>
            </w:tabs>
            <w:spacing w:line="360" w:lineRule="auto"/>
            <w:rPr>
              <w:rFonts w:ascii="Arial" w:eastAsiaTheme="minorEastAsia" w:hAnsi="Arial" w:cs="Arial"/>
              <w:noProof/>
              <w:sz w:val="22"/>
              <w:szCs w:val="22"/>
            </w:rPr>
          </w:pPr>
          <w:r w:rsidRPr="00B975C1">
            <w:rPr>
              <w:rFonts w:ascii="Arial" w:hAnsi="Arial" w:cs="Arial"/>
              <w:sz w:val="22"/>
              <w:szCs w:val="22"/>
            </w:rPr>
            <w:fldChar w:fldCharType="begin"/>
          </w:r>
          <w:r w:rsidRPr="00B975C1">
            <w:rPr>
              <w:rFonts w:ascii="Arial" w:hAnsi="Arial" w:cs="Arial"/>
              <w:sz w:val="22"/>
              <w:szCs w:val="22"/>
            </w:rPr>
            <w:instrText xml:space="preserve"> TOC \o "1-3" \h \z \u </w:instrText>
          </w:r>
          <w:r w:rsidRPr="00B975C1">
            <w:rPr>
              <w:rFonts w:ascii="Arial" w:hAnsi="Arial" w:cs="Arial"/>
              <w:sz w:val="22"/>
              <w:szCs w:val="22"/>
            </w:rPr>
            <w:fldChar w:fldCharType="separate"/>
          </w:r>
          <w:hyperlink w:anchor="_Toc223522172" w:history="1">
            <w:r w:rsidR="00B8610A" w:rsidRPr="00B975C1">
              <w:rPr>
                <w:rStyle w:val="Hyperlink"/>
                <w:rFonts w:ascii="Arial" w:hAnsi="Arial" w:cs="Arial"/>
                <w:noProof/>
                <w:color w:val="auto"/>
                <w:sz w:val="22"/>
                <w:szCs w:val="22"/>
              </w:rPr>
              <w:t>Introduction</w:t>
            </w:r>
            <w:r w:rsidR="00B8610A" w:rsidRPr="00B975C1">
              <w:rPr>
                <w:rFonts w:ascii="Arial" w:hAnsi="Arial" w:cs="Arial"/>
                <w:noProof/>
                <w:webHidden/>
                <w:sz w:val="22"/>
                <w:szCs w:val="22"/>
              </w:rPr>
              <w:tab/>
            </w:r>
            <w:r w:rsidR="00B8610A" w:rsidRPr="00B975C1">
              <w:rPr>
                <w:rFonts w:ascii="Arial" w:hAnsi="Arial" w:cs="Arial"/>
                <w:noProof/>
                <w:webHidden/>
                <w:sz w:val="22"/>
                <w:szCs w:val="22"/>
              </w:rPr>
              <w:fldChar w:fldCharType="begin"/>
            </w:r>
            <w:r w:rsidR="00B8610A" w:rsidRPr="00B975C1">
              <w:rPr>
                <w:rFonts w:ascii="Arial" w:hAnsi="Arial" w:cs="Arial"/>
                <w:noProof/>
                <w:webHidden/>
                <w:sz w:val="22"/>
                <w:szCs w:val="22"/>
              </w:rPr>
              <w:instrText xml:space="preserve"> PAGEREF _Toc223522172 \h </w:instrText>
            </w:r>
            <w:r w:rsidR="00B8610A" w:rsidRPr="00B975C1">
              <w:rPr>
                <w:rFonts w:ascii="Arial" w:hAnsi="Arial" w:cs="Arial"/>
                <w:noProof/>
                <w:webHidden/>
                <w:sz w:val="22"/>
                <w:szCs w:val="22"/>
              </w:rPr>
            </w:r>
            <w:r w:rsidR="00B8610A" w:rsidRPr="00B975C1">
              <w:rPr>
                <w:rFonts w:ascii="Arial" w:hAnsi="Arial" w:cs="Arial"/>
                <w:noProof/>
                <w:webHidden/>
                <w:sz w:val="22"/>
                <w:szCs w:val="22"/>
              </w:rPr>
              <w:fldChar w:fldCharType="separate"/>
            </w:r>
            <w:r w:rsidR="00B8610A" w:rsidRPr="00B975C1">
              <w:rPr>
                <w:rFonts w:ascii="Arial" w:hAnsi="Arial" w:cs="Arial"/>
                <w:noProof/>
                <w:webHidden/>
                <w:sz w:val="22"/>
                <w:szCs w:val="22"/>
              </w:rPr>
              <w:t>1</w:t>
            </w:r>
            <w:r w:rsidR="00B8610A" w:rsidRPr="00B975C1">
              <w:rPr>
                <w:rFonts w:ascii="Arial" w:hAnsi="Arial" w:cs="Arial"/>
                <w:noProof/>
                <w:webHidden/>
                <w:sz w:val="22"/>
                <w:szCs w:val="22"/>
              </w:rPr>
              <w:fldChar w:fldCharType="end"/>
            </w:r>
          </w:hyperlink>
        </w:p>
        <w:p w14:paraId="0C98A393" w14:textId="7113FA83" w:rsidR="00B8610A" w:rsidRPr="00B975C1" w:rsidRDefault="00B8610A" w:rsidP="00F70758">
          <w:pPr>
            <w:pStyle w:val="TOC1"/>
            <w:tabs>
              <w:tab w:val="right" w:leader="dot" w:pos="9350"/>
            </w:tabs>
            <w:spacing w:line="360" w:lineRule="auto"/>
            <w:rPr>
              <w:rFonts w:ascii="Arial" w:eastAsiaTheme="minorEastAsia" w:hAnsi="Arial" w:cs="Arial"/>
              <w:noProof/>
              <w:sz w:val="22"/>
              <w:szCs w:val="22"/>
            </w:rPr>
          </w:pPr>
          <w:hyperlink w:anchor="_Toc223522173" w:history="1">
            <w:r w:rsidRPr="00B975C1">
              <w:rPr>
                <w:rStyle w:val="Hyperlink"/>
                <w:rFonts w:ascii="Arial" w:hAnsi="Arial" w:cs="Arial"/>
                <w:noProof/>
                <w:color w:val="auto"/>
                <w:sz w:val="22"/>
                <w:szCs w:val="22"/>
              </w:rPr>
              <w:t>Various approaches to the measurement and monitoring of lung cancer</w:t>
            </w:r>
            <w:r w:rsidRPr="00B975C1">
              <w:rPr>
                <w:rFonts w:ascii="Arial" w:hAnsi="Arial" w:cs="Arial"/>
                <w:noProof/>
                <w:webHidden/>
                <w:sz w:val="22"/>
                <w:szCs w:val="22"/>
              </w:rPr>
              <w:tab/>
            </w:r>
            <w:r w:rsidR="00DD0DD9">
              <w:rPr>
                <w:rFonts w:ascii="Arial" w:hAnsi="Arial" w:cs="Arial"/>
                <w:noProof/>
                <w:webHidden/>
                <w:sz w:val="22"/>
                <w:szCs w:val="22"/>
              </w:rPr>
              <w:t>1</w:t>
            </w:r>
          </w:hyperlink>
        </w:p>
        <w:p w14:paraId="56C7FF5D" w14:textId="5816B391" w:rsidR="00B8610A" w:rsidRPr="00B975C1" w:rsidRDefault="00B8610A" w:rsidP="00F70758">
          <w:pPr>
            <w:pStyle w:val="TOC1"/>
            <w:tabs>
              <w:tab w:val="right" w:leader="dot" w:pos="9350"/>
            </w:tabs>
            <w:spacing w:line="360" w:lineRule="auto"/>
            <w:rPr>
              <w:rFonts w:ascii="Arial" w:eastAsiaTheme="minorEastAsia" w:hAnsi="Arial" w:cs="Arial"/>
              <w:noProof/>
              <w:sz w:val="22"/>
              <w:szCs w:val="22"/>
            </w:rPr>
          </w:pPr>
          <w:hyperlink w:anchor="_Toc223522174" w:history="1">
            <w:r w:rsidRPr="00B975C1">
              <w:rPr>
                <w:rStyle w:val="Hyperlink"/>
                <w:rFonts w:ascii="Arial" w:hAnsi="Arial" w:cs="Arial"/>
                <w:noProof/>
                <w:color w:val="auto"/>
                <w:sz w:val="22"/>
                <w:szCs w:val="22"/>
              </w:rPr>
              <w:t>How the control of lung cancer is carried out</w:t>
            </w:r>
            <w:r w:rsidRPr="00B975C1">
              <w:rPr>
                <w:rFonts w:ascii="Arial" w:hAnsi="Arial" w:cs="Arial"/>
                <w:noProof/>
                <w:webHidden/>
                <w:sz w:val="22"/>
                <w:szCs w:val="22"/>
              </w:rPr>
              <w:tab/>
            </w:r>
            <w:r w:rsidR="00DD0DD9">
              <w:rPr>
                <w:rFonts w:ascii="Arial" w:hAnsi="Arial" w:cs="Arial"/>
                <w:noProof/>
                <w:webHidden/>
                <w:sz w:val="22"/>
                <w:szCs w:val="22"/>
              </w:rPr>
              <w:t>2</w:t>
            </w:r>
          </w:hyperlink>
        </w:p>
        <w:p w14:paraId="519C7F21" w14:textId="133176A7" w:rsidR="00B8610A" w:rsidRPr="00B975C1" w:rsidRDefault="00B8610A" w:rsidP="00F70758">
          <w:pPr>
            <w:pStyle w:val="TOC1"/>
            <w:tabs>
              <w:tab w:val="right" w:leader="dot" w:pos="9350"/>
            </w:tabs>
            <w:spacing w:line="360" w:lineRule="auto"/>
            <w:rPr>
              <w:rFonts w:ascii="Arial" w:eastAsiaTheme="minorEastAsia" w:hAnsi="Arial" w:cs="Arial"/>
              <w:noProof/>
              <w:sz w:val="22"/>
              <w:szCs w:val="22"/>
            </w:rPr>
          </w:pPr>
          <w:hyperlink w:anchor="_Toc223522175" w:history="1">
            <w:r w:rsidRPr="00B975C1">
              <w:rPr>
                <w:rStyle w:val="Hyperlink"/>
                <w:rFonts w:ascii="Arial" w:hAnsi="Arial" w:cs="Arial"/>
                <w:noProof/>
                <w:color w:val="auto"/>
                <w:sz w:val="22"/>
                <w:szCs w:val="22"/>
              </w:rPr>
              <w:t>The consequences of lung cancer to people in the community</w:t>
            </w:r>
            <w:r w:rsidRPr="00B975C1">
              <w:rPr>
                <w:rFonts w:ascii="Arial" w:hAnsi="Arial" w:cs="Arial"/>
                <w:noProof/>
                <w:webHidden/>
                <w:sz w:val="22"/>
                <w:szCs w:val="22"/>
              </w:rPr>
              <w:tab/>
            </w:r>
            <w:r w:rsidR="00DD0DD9">
              <w:rPr>
                <w:rFonts w:ascii="Arial" w:hAnsi="Arial" w:cs="Arial"/>
                <w:noProof/>
                <w:webHidden/>
                <w:sz w:val="22"/>
                <w:szCs w:val="22"/>
              </w:rPr>
              <w:t>3</w:t>
            </w:r>
          </w:hyperlink>
        </w:p>
        <w:p w14:paraId="7BC607DA" w14:textId="31ACD13C" w:rsidR="00B8610A" w:rsidRPr="00B975C1" w:rsidRDefault="00B8610A" w:rsidP="00F70758">
          <w:pPr>
            <w:pStyle w:val="TOC1"/>
            <w:tabs>
              <w:tab w:val="right" w:leader="dot" w:pos="9350"/>
            </w:tabs>
            <w:spacing w:line="360" w:lineRule="auto"/>
            <w:rPr>
              <w:rFonts w:ascii="Arial" w:eastAsiaTheme="minorEastAsia" w:hAnsi="Arial" w:cs="Arial"/>
              <w:noProof/>
              <w:sz w:val="22"/>
              <w:szCs w:val="22"/>
            </w:rPr>
          </w:pPr>
          <w:hyperlink w:anchor="_Toc223522176" w:history="1">
            <w:r w:rsidRPr="00B975C1">
              <w:rPr>
                <w:rStyle w:val="Hyperlink"/>
                <w:rFonts w:ascii="Arial" w:hAnsi="Arial" w:cs="Arial"/>
                <w:noProof/>
                <w:color w:val="auto"/>
                <w:sz w:val="22"/>
                <w:szCs w:val="22"/>
              </w:rPr>
              <w:t>Conclusion</w:t>
            </w:r>
            <w:r w:rsidRPr="00B975C1">
              <w:rPr>
                <w:rFonts w:ascii="Arial" w:hAnsi="Arial" w:cs="Arial"/>
                <w:noProof/>
                <w:webHidden/>
                <w:sz w:val="22"/>
                <w:szCs w:val="22"/>
              </w:rPr>
              <w:tab/>
            </w:r>
            <w:r w:rsidR="00DD0DD9">
              <w:rPr>
                <w:rFonts w:ascii="Arial" w:hAnsi="Arial" w:cs="Arial"/>
                <w:noProof/>
                <w:webHidden/>
                <w:sz w:val="22"/>
                <w:szCs w:val="22"/>
              </w:rPr>
              <w:t>4</w:t>
            </w:r>
          </w:hyperlink>
        </w:p>
        <w:p w14:paraId="7728217D" w14:textId="34A28268" w:rsidR="00B8610A" w:rsidRPr="00B975C1" w:rsidRDefault="00B8610A" w:rsidP="00F70758">
          <w:pPr>
            <w:pStyle w:val="TOC1"/>
            <w:tabs>
              <w:tab w:val="right" w:leader="dot" w:pos="9350"/>
            </w:tabs>
            <w:spacing w:line="360" w:lineRule="auto"/>
            <w:rPr>
              <w:rFonts w:ascii="Arial" w:eastAsiaTheme="minorEastAsia" w:hAnsi="Arial" w:cs="Arial"/>
              <w:noProof/>
              <w:sz w:val="22"/>
              <w:szCs w:val="22"/>
            </w:rPr>
          </w:pPr>
          <w:hyperlink w:anchor="_Toc223522177" w:history="1">
            <w:r w:rsidRPr="00B975C1">
              <w:rPr>
                <w:rStyle w:val="Hyperlink"/>
                <w:rFonts w:ascii="Arial" w:hAnsi="Arial" w:cs="Arial"/>
                <w:noProof/>
                <w:color w:val="auto"/>
                <w:sz w:val="22"/>
                <w:szCs w:val="22"/>
              </w:rPr>
              <w:t>References</w:t>
            </w:r>
            <w:r w:rsidRPr="00B975C1">
              <w:rPr>
                <w:rFonts w:ascii="Arial" w:hAnsi="Arial" w:cs="Arial"/>
                <w:noProof/>
                <w:webHidden/>
                <w:sz w:val="22"/>
                <w:szCs w:val="22"/>
              </w:rPr>
              <w:tab/>
            </w:r>
            <w:r w:rsidR="00DD0DD9">
              <w:rPr>
                <w:rFonts w:ascii="Arial" w:hAnsi="Arial" w:cs="Arial"/>
                <w:noProof/>
                <w:webHidden/>
                <w:sz w:val="22"/>
                <w:szCs w:val="22"/>
              </w:rPr>
              <w:t>4</w:t>
            </w:r>
          </w:hyperlink>
        </w:p>
        <w:p w14:paraId="699E12BB" w14:textId="5999BCCF" w:rsidR="006C3B0D" w:rsidRDefault="006C3B0D" w:rsidP="00F70758">
          <w:pPr>
            <w:spacing w:line="360" w:lineRule="auto"/>
          </w:pPr>
          <w:r w:rsidRPr="00B975C1">
            <w:rPr>
              <w:rFonts w:ascii="Arial" w:hAnsi="Arial" w:cs="Arial"/>
              <w:b/>
              <w:bCs/>
              <w:noProof/>
              <w:sz w:val="22"/>
              <w:szCs w:val="22"/>
            </w:rPr>
            <w:fldChar w:fldCharType="end"/>
          </w:r>
        </w:p>
      </w:sdtContent>
    </w:sdt>
    <w:p w14:paraId="3C5F1ED6" w14:textId="77777777" w:rsidR="006C3B0D" w:rsidRDefault="006C3B0D">
      <w:pPr>
        <w:rPr>
          <w:rFonts w:ascii="Times New Roman" w:eastAsiaTheme="majorEastAsia" w:hAnsi="Times New Roman" w:cstheme="majorBidi"/>
          <w:b/>
          <w:sz w:val="26"/>
          <w:szCs w:val="40"/>
        </w:rPr>
      </w:pPr>
      <w:r>
        <w:br w:type="page"/>
      </w:r>
    </w:p>
    <w:p w14:paraId="40578763" w14:textId="77777777" w:rsidR="006C3B0D" w:rsidRDefault="006C3B0D" w:rsidP="006C3B0D">
      <w:pPr>
        <w:pStyle w:val="Heading1"/>
        <w:sectPr w:rsidR="006C3B0D" w:rsidSect="00BB3551">
          <w:headerReference w:type="default" r:id="rId6"/>
          <w:footerReference w:type="default" r:id="rId7"/>
          <w:headerReference w:type="first" r:id="rId8"/>
          <w:footerReference w:type="first" r:id="rId9"/>
          <w:pgSz w:w="12240" w:h="15840"/>
          <w:pgMar w:top="1440" w:right="1440" w:bottom="1440" w:left="1440" w:header="720" w:footer="720" w:gutter="0"/>
          <w:pgNumType w:fmt="lowerRoman" w:start="1"/>
          <w:cols w:space="720"/>
          <w:docGrid w:linePitch="360"/>
        </w:sectPr>
      </w:pPr>
    </w:p>
    <w:p w14:paraId="38759CEA" w14:textId="13119474" w:rsidR="00B975C1" w:rsidRDefault="00DF4723" w:rsidP="00F70758">
      <w:pPr>
        <w:pStyle w:val="Heading1"/>
        <w:spacing w:line="360" w:lineRule="auto"/>
        <w:rPr>
          <w:rFonts w:ascii="Arial" w:hAnsi="Arial" w:cs="Arial"/>
          <w:sz w:val="24"/>
          <w:szCs w:val="24"/>
        </w:rPr>
      </w:pPr>
      <w:bookmarkStart w:id="0" w:name="_Toc223522172"/>
      <w:r w:rsidRPr="00B975C1">
        <w:rPr>
          <w:rFonts w:ascii="Arial" w:hAnsi="Arial" w:cs="Arial"/>
          <w:sz w:val="24"/>
          <w:szCs w:val="24"/>
        </w:rPr>
        <w:lastRenderedPageBreak/>
        <w:t>Introduction</w:t>
      </w:r>
      <w:bookmarkEnd w:id="0"/>
    </w:p>
    <w:p w14:paraId="4941985F" w14:textId="3D022AAB" w:rsidR="006C3B0D" w:rsidRPr="00B975C1" w:rsidRDefault="00DF4723" w:rsidP="00F70758">
      <w:pPr>
        <w:spacing w:line="360" w:lineRule="auto"/>
        <w:rPr>
          <w:rFonts w:ascii="Arial" w:hAnsi="Arial" w:cs="Arial"/>
          <w:sz w:val="22"/>
          <w:szCs w:val="22"/>
        </w:rPr>
      </w:pPr>
      <w:r w:rsidRPr="00B975C1">
        <w:rPr>
          <w:rFonts w:ascii="Arial" w:hAnsi="Arial" w:cs="Arial"/>
          <w:sz w:val="22"/>
          <w:szCs w:val="22"/>
        </w:rPr>
        <w:t xml:space="preserve">Lung cancer is a malignant tumor that starts in the lung tissue. There are two types of lung cancer: Non-Small Cell Lung Cancer, which makes up 85% of all lung cancer, and Small Cell Lung Cancer. Lung cancer is a condition that occurs when cells in the lungs become abnormal and grow uncontrollably. This abnormality usually comes about </w:t>
      </w:r>
      <w:r w:rsidR="00535797" w:rsidRPr="00B975C1">
        <w:rPr>
          <w:rFonts w:ascii="Arial" w:hAnsi="Arial" w:cs="Arial"/>
          <w:sz w:val="22"/>
          <w:szCs w:val="22"/>
        </w:rPr>
        <w:t>because of</w:t>
      </w:r>
      <w:r w:rsidRPr="00B975C1">
        <w:rPr>
          <w:rFonts w:ascii="Arial" w:hAnsi="Arial" w:cs="Arial"/>
          <w:sz w:val="22"/>
          <w:szCs w:val="22"/>
        </w:rPr>
        <w:t xml:space="preserve"> tobacco use, but there is also lung cancer that occurs in nonsmokers. This type of lung cancer occurs due to other risk factors such as air pollution and radon. Symptoms of lung cancer include a cough that does not heal, coughing blood, difficulty breathing, chest pain, hoarseness, unexplained weight loss, tiredness, and recurring infections such as bronchitis and pneumonia. In later stages, lung cancer can also affect the nerves and bones. According to the American Cancer Society, in the year 2025, lung cancer is the leading killer of people worldwide. In the year 2024, an estimated 2.5 million new cases of lung cancer were recorded. This makes lung cancer the leading killer of people in the world, with an incidence rate of 23.6 per 100,000 people. An estimated 1.8 million deaths are caused by lung cancer. </w:t>
      </w:r>
    </w:p>
    <w:p w14:paraId="75A4CCD8" w14:textId="77667102" w:rsidR="00535797" w:rsidRPr="00535797" w:rsidRDefault="00DF4723" w:rsidP="00F70758">
      <w:pPr>
        <w:spacing w:line="360" w:lineRule="auto"/>
        <w:rPr>
          <w:rFonts w:ascii="Arial" w:hAnsi="Arial" w:cs="Arial"/>
          <w:sz w:val="22"/>
          <w:szCs w:val="22"/>
        </w:rPr>
      </w:pPr>
      <w:r w:rsidRPr="00B975C1">
        <w:rPr>
          <w:rFonts w:ascii="Arial" w:hAnsi="Arial" w:cs="Arial"/>
          <w:sz w:val="22"/>
          <w:szCs w:val="22"/>
        </w:rPr>
        <w:t>In the UK, an estimated 49,000 new cases of lung cancer are recorded annually between 2021 and 2023. In the UK, the incidence rate of lung cancer is 71 per 100,000 people. In the UK, men have a higher rate of lung cancer compared to women. In the UK, the rate of lung cancer is declining due to a decline in the smoking rate. In the UK, incidence rates of lung cancer in deprived areas are 50% higher compared to incidence rates in affluent areas (Cancer Research UK, 2025a).</w:t>
      </w:r>
      <w:bookmarkStart w:id="1" w:name="_Toc223522173"/>
    </w:p>
    <w:p w14:paraId="48F283DB" w14:textId="04AECB39" w:rsidR="00DF4723" w:rsidRDefault="00DF4723" w:rsidP="00F70758">
      <w:pPr>
        <w:pStyle w:val="Heading1"/>
        <w:spacing w:line="360" w:lineRule="auto"/>
        <w:rPr>
          <w:rFonts w:ascii="Arial" w:hAnsi="Arial" w:cs="Arial"/>
          <w:sz w:val="24"/>
          <w:szCs w:val="24"/>
        </w:rPr>
      </w:pPr>
      <w:r w:rsidRPr="00B975C1">
        <w:rPr>
          <w:rFonts w:ascii="Arial" w:hAnsi="Arial" w:cs="Arial"/>
          <w:sz w:val="24"/>
          <w:szCs w:val="24"/>
        </w:rPr>
        <w:t>Various approaches to the measurement and monitoring of lung cancer</w:t>
      </w:r>
      <w:bookmarkEnd w:id="1"/>
    </w:p>
    <w:p w14:paraId="5203EE4A" w14:textId="02F9DEE5" w:rsidR="00DF4723" w:rsidRPr="00B975C1" w:rsidRDefault="00535797" w:rsidP="00F70758">
      <w:pPr>
        <w:spacing w:line="360" w:lineRule="auto"/>
        <w:rPr>
          <w:rFonts w:ascii="Arial" w:hAnsi="Arial" w:cs="Arial"/>
          <w:sz w:val="22"/>
          <w:szCs w:val="22"/>
        </w:rPr>
      </w:pPr>
      <w:r w:rsidRPr="00B975C1">
        <w:rPr>
          <w:rFonts w:ascii="Arial" w:hAnsi="Arial" w:cs="Arial"/>
          <w:sz w:val="22"/>
          <w:szCs w:val="22"/>
        </w:rPr>
        <w:t>Measuring</w:t>
      </w:r>
      <w:r w:rsidR="00DF4723" w:rsidRPr="00B975C1">
        <w:rPr>
          <w:rFonts w:ascii="Arial" w:hAnsi="Arial" w:cs="Arial"/>
          <w:sz w:val="22"/>
          <w:szCs w:val="22"/>
        </w:rPr>
        <w:t xml:space="preserve"> and </w:t>
      </w:r>
      <w:r w:rsidRPr="00B975C1">
        <w:rPr>
          <w:rFonts w:ascii="Arial" w:hAnsi="Arial" w:cs="Arial"/>
          <w:sz w:val="22"/>
          <w:szCs w:val="22"/>
        </w:rPr>
        <w:t>monitoring</w:t>
      </w:r>
      <w:r w:rsidR="00DF4723" w:rsidRPr="00B975C1">
        <w:rPr>
          <w:rFonts w:ascii="Arial" w:hAnsi="Arial" w:cs="Arial"/>
          <w:sz w:val="22"/>
          <w:szCs w:val="22"/>
        </w:rPr>
        <w:t xml:space="preserve"> lung cancer involve </w:t>
      </w:r>
      <w:r w:rsidR="00BB3551" w:rsidRPr="00B975C1">
        <w:rPr>
          <w:rFonts w:ascii="Arial" w:hAnsi="Arial" w:cs="Arial"/>
          <w:sz w:val="22"/>
          <w:szCs w:val="22"/>
        </w:rPr>
        <w:t>monitoring</w:t>
      </w:r>
      <w:r w:rsidR="00DF4723" w:rsidRPr="00B975C1">
        <w:rPr>
          <w:rFonts w:ascii="Arial" w:hAnsi="Arial" w:cs="Arial"/>
          <w:sz w:val="22"/>
          <w:szCs w:val="22"/>
        </w:rPr>
        <w:t xml:space="preserve"> cases of lung cancer, mortality, and risk factors associated with it. The measurement of lung cancer cases in the world is done through the International Agency for Research on Cancer (IARC) database, which is referred to as GLOBOCAN. This database collects information from various population-based cancer registries in over 185 countries in the world. The information obtained is based on age-standardized rates using direct standardization to the World Standard Population, notifications, histological confirmation, and mortality information obtained through vital statistics. In addition, information obtained regarding risk factors, such as smoking through the World Health Organization's (WHO) </w:t>
      </w:r>
      <w:r w:rsidR="00B975C1" w:rsidRPr="00B975C1">
        <w:rPr>
          <w:rFonts w:ascii="Arial" w:hAnsi="Arial" w:cs="Arial"/>
          <w:sz w:val="22"/>
          <w:szCs w:val="22"/>
        </w:rPr>
        <w:t>Stepwise</w:t>
      </w:r>
      <w:r w:rsidR="00DF4723" w:rsidRPr="00B975C1">
        <w:rPr>
          <w:rFonts w:ascii="Arial" w:hAnsi="Arial" w:cs="Arial"/>
          <w:sz w:val="22"/>
          <w:szCs w:val="22"/>
        </w:rPr>
        <w:t xml:space="preserve"> approach, helps in the calculation of attributable fractions (International Agency for Research on Cancer, 2025).</w:t>
      </w:r>
    </w:p>
    <w:p w14:paraId="7F9C3F75" w14:textId="618B133E" w:rsidR="00DF4723" w:rsidRPr="00B975C1" w:rsidRDefault="00DF4723" w:rsidP="00F70758">
      <w:pPr>
        <w:spacing w:line="360" w:lineRule="auto"/>
        <w:rPr>
          <w:rFonts w:ascii="Arial" w:hAnsi="Arial" w:cs="Arial"/>
          <w:sz w:val="22"/>
          <w:szCs w:val="22"/>
        </w:rPr>
      </w:pPr>
      <w:r w:rsidRPr="00B975C1">
        <w:rPr>
          <w:rFonts w:ascii="Arial" w:hAnsi="Arial" w:cs="Arial"/>
          <w:sz w:val="22"/>
          <w:szCs w:val="22"/>
        </w:rPr>
        <w:lastRenderedPageBreak/>
        <w:t>In the UK, Cancer Research UK and the National Cancer Registration and Analysis Service (NCRAS) monitor lung cancer cases through mandatory reporting to regional registries. This involves combining clinical reports, pathology reports, hospital episode statistics, and death certification. The system also uses the TNM staging system in classifying lung cancer. The data is also monitored on a yearly basis to monitor statistics such as one-year survival rates, which are 40% for lung cancer diagnosed in 2022, and net survival rates. Additionally, the Targeted Lung Health Checks (TLHC) program, which was initiated in 2019, uses low-dose CT scans to detect lung cancer among high-risk groups. Monitoring is also done on the uptake rate of the program among the target group, which is 75%, and the positivity rate, which is 2-3%. This promotes early interventions among the target group. Monitoring is also done using Cancer Waiting Times, which is a database that ensures that data is available in real-time to inform performance metrics (Cancer Research UK, 2025b; NHS England, 2024).</w:t>
      </w:r>
    </w:p>
    <w:p w14:paraId="702931BF" w14:textId="2BA40D55" w:rsidR="00535797" w:rsidRPr="00F70758" w:rsidRDefault="00DF4723" w:rsidP="00F70758">
      <w:pPr>
        <w:pStyle w:val="Heading1"/>
        <w:spacing w:line="360" w:lineRule="auto"/>
        <w:rPr>
          <w:rFonts w:ascii="Arial" w:hAnsi="Arial" w:cs="Arial"/>
          <w:sz w:val="24"/>
          <w:szCs w:val="24"/>
        </w:rPr>
      </w:pPr>
      <w:bookmarkStart w:id="2" w:name="_Toc223522174"/>
      <w:r w:rsidRPr="00B975C1">
        <w:rPr>
          <w:rFonts w:ascii="Arial" w:hAnsi="Arial" w:cs="Arial"/>
          <w:sz w:val="24"/>
          <w:szCs w:val="24"/>
        </w:rPr>
        <w:t>How the control of lung cancer is carried out</w:t>
      </w:r>
      <w:bookmarkEnd w:id="2"/>
    </w:p>
    <w:p w14:paraId="125D3114" w14:textId="135526EC" w:rsidR="006C3B0D" w:rsidRPr="00B975C1" w:rsidRDefault="00DF4723" w:rsidP="00F70758">
      <w:pPr>
        <w:spacing w:line="360" w:lineRule="auto"/>
        <w:rPr>
          <w:rFonts w:ascii="Arial" w:hAnsi="Arial" w:cs="Arial"/>
          <w:sz w:val="22"/>
          <w:szCs w:val="22"/>
        </w:rPr>
      </w:pPr>
      <w:r w:rsidRPr="00B975C1">
        <w:rPr>
          <w:rFonts w:ascii="Arial" w:hAnsi="Arial" w:cs="Arial"/>
          <w:sz w:val="22"/>
          <w:szCs w:val="22"/>
        </w:rPr>
        <w:t xml:space="preserve">The control of lung cancer is carried out through prevention, early detection, and treatment. In the prevention of lung cancer, the focus is on primary prevention, which targets modifiable risk factors. In this case, tobacco control is a key area of focus. In the UK, the Tobacco and Vapes Bill of 2024 </w:t>
      </w:r>
      <w:r w:rsidR="00B975C1" w:rsidRPr="00B975C1">
        <w:rPr>
          <w:rFonts w:ascii="Arial" w:hAnsi="Arial" w:cs="Arial"/>
          <w:sz w:val="22"/>
          <w:szCs w:val="22"/>
        </w:rPr>
        <w:t>aim</w:t>
      </w:r>
      <w:r w:rsidRPr="00B975C1">
        <w:rPr>
          <w:rFonts w:ascii="Arial" w:hAnsi="Arial" w:cs="Arial"/>
          <w:sz w:val="22"/>
          <w:szCs w:val="22"/>
        </w:rPr>
        <w:t xml:space="preserve"> to create a smoke-free generation by prohibiting the sale of tobacco products to people born after 2009. Smoking cessation is also a key strategy, and the NHS Stop Smoking Services offer support to people who wish to stop smoking. This has led to a reduction in the prevalence of smoking among adults to 12% in 2023. Environmental risk factor control is also a key strategy, and this is carried out through clean air zones and the mitigation of radon risk in homes, as directed by the Department of Health and Social Care of 2024. In the early detection of lung cancer, low-dose CT scans are used to screen people at risk, such as those aged between 55 and 74 years with a smoking history of at least 30 pack years. This is supported by the findings of the NELSON trial, which showed a mortality reduction of 24% in people who underwent CT scans. In the UK, the TLHC program, which is to be rolled out nationwide by 2025, detects lung cancer in the early stages in 70% of people who undergo the scans. </w:t>
      </w:r>
    </w:p>
    <w:p w14:paraId="2B28575E" w14:textId="39DAFF1E" w:rsidR="00DF4723" w:rsidRPr="00B975C1" w:rsidRDefault="00DF4723" w:rsidP="00F70758">
      <w:pPr>
        <w:spacing w:line="360" w:lineRule="auto"/>
        <w:rPr>
          <w:rFonts w:ascii="Arial" w:hAnsi="Arial" w:cs="Arial"/>
          <w:sz w:val="22"/>
          <w:szCs w:val="22"/>
        </w:rPr>
      </w:pPr>
      <w:r w:rsidRPr="00B975C1">
        <w:rPr>
          <w:rFonts w:ascii="Arial" w:hAnsi="Arial" w:cs="Arial"/>
          <w:sz w:val="22"/>
          <w:szCs w:val="22"/>
        </w:rPr>
        <w:t xml:space="preserve">In the treatment of NSCLC, surgery, chemotherapy, radiotherapy, and target therapy, such as EGFR inhibitors like </w:t>
      </w:r>
      <w:r w:rsidR="007A5EEC" w:rsidRPr="00B975C1">
        <w:rPr>
          <w:rFonts w:ascii="Arial" w:hAnsi="Arial" w:cs="Arial"/>
          <w:sz w:val="22"/>
          <w:szCs w:val="22"/>
        </w:rPr>
        <w:t>Osimertinib</w:t>
      </w:r>
      <w:r w:rsidRPr="00B975C1">
        <w:rPr>
          <w:rFonts w:ascii="Arial" w:hAnsi="Arial" w:cs="Arial"/>
          <w:sz w:val="22"/>
          <w:szCs w:val="22"/>
        </w:rPr>
        <w:t xml:space="preserve">, and immunotherapy, such as pembrolizumab, are used. In the treatment of small cell carcinoma, chemotherapy, such as etoposide and platinum, and radiotherapy are used. In the control of lung cancer, the HPV vaccine is used to protect people </w:t>
      </w:r>
      <w:r w:rsidRPr="00B975C1">
        <w:rPr>
          <w:rFonts w:ascii="Arial" w:hAnsi="Arial" w:cs="Arial"/>
          <w:sz w:val="22"/>
          <w:szCs w:val="22"/>
        </w:rPr>
        <w:lastRenderedPageBreak/>
        <w:t xml:space="preserve">from the risk of lung cancer, and awareness campaigns are carried out to educate people about the signs and symptoms of the disease. </w:t>
      </w:r>
    </w:p>
    <w:p w14:paraId="04D33AD0" w14:textId="77777777" w:rsidR="00DF4723" w:rsidRDefault="00DF4723" w:rsidP="00F70758">
      <w:pPr>
        <w:pStyle w:val="Heading1"/>
        <w:spacing w:line="360" w:lineRule="auto"/>
        <w:rPr>
          <w:rFonts w:ascii="Arial" w:hAnsi="Arial" w:cs="Arial"/>
          <w:sz w:val="24"/>
          <w:szCs w:val="24"/>
        </w:rPr>
      </w:pPr>
      <w:bookmarkStart w:id="3" w:name="_Toc223522175"/>
      <w:r w:rsidRPr="00B975C1">
        <w:rPr>
          <w:rFonts w:ascii="Arial" w:hAnsi="Arial" w:cs="Arial"/>
          <w:sz w:val="24"/>
          <w:szCs w:val="24"/>
        </w:rPr>
        <w:t>The consequences of lung cancer to people in the community</w:t>
      </w:r>
      <w:bookmarkEnd w:id="3"/>
    </w:p>
    <w:p w14:paraId="72D4DD21" w14:textId="3683FB3B" w:rsidR="00DF4723" w:rsidRPr="00B975C1" w:rsidRDefault="00DF4723" w:rsidP="00F70758">
      <w:pPr>
        <w:spacing w:line="360" w:lineRule="auto"/>
        <w:rPr>
          <w:rFonts w:ascii="Arial" w:hAnsi="Arial" w:cs="Arial"/>
          <w:sz w:val="22"/>
          <w:szCs w:val="22"/>
        </w:rPr>
      </w:pPr>
      <w:r w:rsidRPr="00B975C1">
        <w:rPr>
          <w:rFonts w:ascii="Arial" w:hAnsi="Arial" w:cs="Arial"/>
          <w:sz w:val="22"/>
          <w:szCs w:val="22"/>
        </w:rPr>
        <w:t>Lung cancer has severe consequences, physically, emotionally, and socioeconomically. Physically, the disease impacts people through the occurrence of severe symptoms such as pain, respiratory failure, and cachexia, which require oxygen therapy. In this case, people are unable to carry out their daily activities. In addition, the spread of the disease to other body parts, such as the bones and brain, impacts people, and 40% of people suffering from the disease experience severe fatigue and depression, as noted by the American Cancer Society of 2025.</w:t>
      </w:r>
    </w:p>
    <w:p w14:paraId="0F5EA2A2" w14:textId="77777777" w:rsidR="006C3B0D" w:rsidRPr="00B975C1" w:rsidRDefault="007938EC" w:rsidP="00F70758">
      <w:pPr>
        <w:spacing w:line="360" w:lineRule="auto"/>
        <w:rPr>
          <w:rFonts w:ascii="Arial" w:hAnsi="Arial" w:cs="Arial"/>
          <w:sz w:val="22"/>
          <w:szCs w:val="22"/>
        </w:rPr>
      </w:pPr>
      <w:r w:rsidRPr="00B975C1">
        <w:rPr>
          <w:rFonts w:ascii="Arial" w:hAnsi="Arial" w:cs="Arial"/>
          <w:sz w:val="22"/>
          <w:szCs w:val="22"/>
        </w:rPr>
        <w:t xml:space="preserve">Socially, the stigmatization of smoking history makes the patients feel alienated, which hampers diagnosis and treatment compliance. In the same way, non-smokers are stigmatized due to misconceptions. Communities are affected, and the incidence rates are 2 to 3 times higher in low socio-economic groups. Economically, the cost of treatment is £30,000 annually for a patient, and the cost of lost productivity due to 33,000 deaths annually in the UK is a burden. Families are affected, and the health and social care system is affected, with 13% of all cancers and 21% of all cancer-related deaths due to lung cancer in the UK. In migrant communities, language barriers affect health care, leading to delayed diagnosis due to the late presentation of the disease. Overall, the health and social care system is affected, with 13% of all cancers and 21% of all cancer-related deaths due to lung cancer in the UK. In migrant communities, language barriers affect health care, leading to delayed diagnosis due to the late presentation of the disease. Overall, the health and social care system is affected, with 13% of all cancers and 21% of all cancer-related deaths due to lung cancer in the UK. In migrant communities, language barriers impact the ability to gain access to healthcare, leading to delayed diagnosis of lung cancer due to the advanced stage of the disease. </w:t>
      </w:r>
    </w:p>
    <w:p w14:paraId="39215035" w14:textId="4A285BDC" w:rsidR="007938EC" w:rsidRPr="00B975C1" w:rsidRDefault="007938EC" w:rsidP="00F70758">
      <w:pPr>
        <w:spacing w:line="360" w:lineRule="auto"/>
        <w:rPr>
          <w:rFonts w:ascii="Arial" w:hAnsi="Arial" w:cs="Arial"/>
          <w:sz w:val="22"/>
          <w:szCs w:val="22"/>
        </w:rPr>
      </w:pPr>
      <w:r w:rsidRPr="00B975C1">
        <w:rPr>
          <w:rFonts w:ascii="Arial" w:hAnsi="Arial" w:cs="Arial"/>
          <w:sz w:val="22"/>
          <w:szCs w:val="22"/>
        </w:rPr>
        <w:t>Overall, the healthcare and social care system is impacted, with lung cancer contributing to 13% of all cancers and 21% of all cancer-related deaths in the UK. In migrant communities, language barriers impact the ability to gain access to healthcare, leading to delayed diagnosis of lung cancer due to the advanced stage of the disease. Overall, the healthcare and social care system is impacted, with lung cancer contributing to 13% of all cancers and 21% of all cancer-related deaths in the UK.</w:t>
      </w:r>
    </w:p>
    <w:p w14:paraId="4E0EE1FC" w14:textId="0683F434" w:rsidR="007938EC" w:rsidRPr="00B975C1" w:rsidRDefault="007938EC" w:rsidP="00F70758">
      <w:pPr>
        <w:spacing w:line="360" w:lineRule="auto"/>
        <w:rPr>
          <w:rFonts w:ascii="Arial" w:hAnsi="Arial" w:cs="Arial"/>
          <w:sz w:val="22"/>
          <w:szCs w:val="22"/>
        </w:rPr>
      </w:pPr>
      <w:r w:rsidRPr="00B975C1">
        <w:rPr>
          <w:rFonts w:ascii="Arial" w:hAnsi="Arial" w:cs="Arial"/>
          <w:sz w:val="22"/>
          <w:szCs w:val="22"/>
        </w:rPr>
        <w:lastRenderedPageBreak/>
        <w:t xml:space="preserve">The community support service includes lung cancer nurse specialists, who offer home visits, symptom management, and counseling, reaching 90% of patients diagnosed with lung cancer. Palliative care teams offer end-of-life care through hospice care and advanced care planning, while social care includes disability benefits and home adaptations, such as stair lifts. The third sector organizations include Macmillan Cancer Support, which offers financial advice and transport to </w:t>
      </w:r>
      <w:r w:rsidR="00B975C1" w:rsidRPr="00B975C1">
        <w:rPr>
          <w:rFonts w:ascii="Arial" w:hAnsi="Arial" w:cs="Arial"/>
          <w:sz w:val="22"/>
          <w:szCs w:val="22"/>
        </w:rPr>
        <w:t>hospitals</w:t>
      </w:r>
      <w:r w:rsidRPr="00B975C1">
        <w:rPr>
          <w:rFonts w:ascii="Arial" w:hAnsi="Arial" w:cs="Arial"/>
          <w:sz w:val="22"/>
          <w:szCs w:val="22"/>
        </w:rPr>
        <w:t>, improving survival and quality of life. Integrated care pathways result in a 20% reduction in hospital admissions, improving survival and quality of life. (NHS England, 2024; Schneider et al., 2020)</w:t>
      </w:r>
    </w:p>
    <w:p w14:paraId="189FBA69" w14:textId="42BF03A5" w:rsidR="00F70758" w:rsidRDefault="007938EC" w:rsidP="00F70758">
      <w:pPr>
        <w:pStyle w:val="Heading1"/>
        <w:spacing w:line="360" w:lineRule="auto"/>
        <w:rPr>
          <w:rFonts w:ascii="Arial" w:hAnsi="Arial" w:cs="Arial"/>
          <w:sz w:val="24"/>
          <w:szCs w:val="24"/>
        </w:rPr>
      </w:pPr>
      <w:bookmarkStart w:id="4" w:name="_Toc223522176"/>
      <w:r w:rsidRPr="00B975C1">
        <w:rPr>
          <w:rFonts w:ascii="Arial" w:hAnsi="Arial" w:cs="Arial"/>
          <w:sz w:val="24"/>
          <w:szCs w:val="24"/>
        </w:rPr>
        <w:t>Conclusion</w:t>
      </w:r>
      <w:bookmarkEnd w:id="4"/>
    </w:p>
    <w:p w14:paraId="7914B942" w14:textId="11A59C46" w:rsidR="00972D32" w:rsidRDefault="007938EC" w:rsidP="00972D32">
      <w:pPr>
        <w:spacing w:line="360" w:lineRule="auto"/>
        <w:rPr>
          <w:rFonts w:ascii="Arial" w:hAnsi="Arial" w:cs="Arial"/>
          <w:sz w:val="22"/>
          <w:szCs w:val="22"/>
        </w:rPr>
      </w:pPr>
      <w:r w:rsidRPr="00B975C1">
        <w:rPr>
          <w:rFonts w:ascii="Arial" w:hAnsi="Arial" w:cs="Arial"/>
          <w:sz w:val="22"/>
          <w:szCs w:val="22"/>
        </w:rPr>
        <w:t xml:space="preserve">Lung cancer is a major health issue. There are 2.5 million cases worldwide and 49,000 in the UK. This is caused by smoking and environmental factors. However, this figure is declining. Surveillance of lung cancer cases can be achieved </w:t>
      </w:r>
      <w:r w:rsidR="009E60D5" w:rsidRPr="00B975C1">
        <w:rPr>
          <w:rFonts w:ascii="Arial" w:hAnsi="Arial" w:cs="Arial"/>
          <w:sz w:val="22"/>
          <w:szCs w:val="22"/>
        </w:rPr>
        <w:t>using</w:t>
      </w:r>
      <w:r w:rsidRPr="00B975C1">
        <w:rPr>
          <w:rFonts w:ascii="Arial" w:hAnsi="Arial" w:cs="Arial"/>
          <w:sz w:val="22"/>
          <w:szCs w:val="22"/>
        </w:rPr>
        <w:t xml:space="preserve"> registers and screening. This can be achieved. Lung cancer control measures can be achieved through the banning of tobacco products, CT scans, and the use of immunotherapy. This can mitigate the risk. However, the impact of lung cancer is critical. This influences the social and economic well-being of people. This has a negative impact on people. This requires support. This can be achieved </w:t>
      </w:r>
      <w:r w:rsidR="009E60D5" w:rsidRPr="00B975C1">
        <w:rPr>
          <w:rFonts w:ascii="Arial" w:hAnsi="Arial" w:cs="Arial"/>
          <w:sz w:val="22"/>
          <w:szCs w:val="22"/>
        </w:rPr>
        <w:t>using</w:t>
      </w:r>
      <w:r w:rsidRPr="00B975C1">
        <w:rPr>
          <w:rFonts w:ascii="Arial" w:hAnsi="Arial" w:cs="Arial"/>
          <w:sz w:val="22"/>
          <w:szCs w:val="22"/>
        </w:rPr>
        <w:t xml:space="preserve"> integrated care pathways. This includes specialist nursing and palliative care. This improves the health of people. This can mitigate the risk. This can align with the NHS long-term plan. This can increase </w:t>
      </w:r>
      <w:r w:rsidR="009E60D5" w:rsidRPr="00B975C1">
        <w:rPr>
          <w:rFonts w:ascii="Arial" w:hAnsi="Arial" w:cs="Arial"/>
          <w:sz w:val="22"/>
          <w:szCs w:val="22"/>
        </w:rPr>
        <w:t>early</w:t>
      </w:r>
      <w:r w:rsidR="009E60D5">
        <w:rPr>
          <w:rFonts w:ascii="Arial" w:hAnsi="Arial" w:cs="Arial"/>
          <w:sz w:val="22"/>
          <w:szCs w:val="22"/>
        </w:rPr>
        <w:t>-stage</w:t>
      </w:r>
      <w:r w:rsidRPr="00B975C1">
        <w:rPr>
          <w:rFonts w:ascii="Arial" w:hAnsi="Arial" w:cs="Arial"/>
          <w:sz w:val="22"/>
          <w:szCs w:val="22"/>
        </w:rPr>
        <w:t xml:space="preserve"> diagnoses to 75% by 2028. (Cancer Research UK, 2025a; International Agency for Research on Cancer, 2025)</w:t>
      </w:r>
      <w:bookmarkStart w:id="5" w:name="_Toc223522177"/>
    </w:p>
    <w:p w14:paraId="6CD3D9DB" w14:textId="56CFB30C" w:rsidR="00DF4723" w:rsidRPr="00972D32" w:rsidRDefault="00DF4723" w:rsidP="00972D32">
      <w:pPr>
        <w:spacing w:line="360" w:lineRule="auto"/>
        <w:rPr>
          <w:rFonts w:ascii="Arial" w:hAnsi="Arial" w:cs="Arial"/>
          <w:sz w:val="22"/>
          <w:szCs w:val="22"/>
        </w:rPr>
      </w:pPr>
      <w:r w:rsidRPr="00B975C1">
        <w:rPr>
          <w:rFonts w:ascii="Arial" w:hAnsi="Arial" w:cs="Arial"/>
        </w:rPr>
        <w:t>References</w:t>
      </w:r>
      <w:bookmarkEnd w:id="5"/>
    </w:p>
    <w:p w14:paraId="6B830A39" w14:textId="77777777" w:rsidR="006C3B0D" w:rsidRPr="00B975C1" w:rsidRDefault="00DF4723" w:rsidP="00F70758">
      <w:pPr>
        <w:spacing w:line="360" w:lineRule="auto"/>
        <w:ind w:left="720" w:hanging="720"/>
        <w:rPr>
          <w:rFonts w:ascii="Arial" w:hAnsi="Arial" w:cs="Arial"/>
          <w:sz w:val="22"/>
          <w:szCs w:val="22"/>
        </w:rPr>
      </w:pPr>
      <w:r w:rsidRPr="00B975C1">
        <w:rPr>
          <w:rFonts w:ascii="Arial" w:hAnsi="Arial" w:cs="Arial"/>
          <w:sz w:val="22"/>
          <w:szCs w:val="22"/>
        </w:rPr>
        <w:t>American Cancer Society (2025) Cancer Facts &amp; Figures 2025. Atlanta: American Cancer Society. Available at: https://www.cancer.org/research/cancer-facts-statistics/all-cancer-facts-figures/2025-cancer-facts-figures.html (Accessed: 3 March 2026).</w:t>
      </w:r>
    </w:p>
    <w:p w14:paraId="4085CA50" w14:textId="721D5CEE" w:rsidR="00DF4723" w:rsidRPr="00B975C1" w:rsidRDefault="00DF4723" w:rsidP="00F70758">
      <w:pPr>
        <w:spacing w:line="360" w:lineRule="auto"/>
        <w:ind w:left="720" w:hanging="720"/>
        <w:rPr>
          <w:rFonts w:ascii="Arial" w:hAnsi="Arial" w:cs="Arial"/>
          <w:sz w:val="22"/>
          <w:szCs w:val="22"/>
        </w:rPr>
      </w:pPr>
      <w:r w:rsidRPr="00B975C1">
        <w:rPr>
          <w:rFonts w:ascii="Arial" w:hAnsi="Arial" w:cs="Arial"/>
          <w:sz w:val="22"/>
          <w:szCs w:val="22"/>
        </w:rPr>
        <w:t>Cancer Research UK (2025a) Lung cancer statistics. Available at: https://www.cancerresearchuk.org/health-professional/cancer-statistics/statistics-by-cancer-type/lung-cancer (Accessed: 3 March 2026).</w:t>
      </w:r>
    </w:p>
    <w:p w14:paraId="4A3A8FAA" w14:textId="2EB9FB8B" w:rsidR="00DF4723" w:rsidRPr="00B975C1" w:rsidRDefault="00DF4723" w:rsidP="00F70758">
      <w:pPr>
        <w:spacing w:line="360" w:lineRule="auto"/>
        <w:ind w:left="720" w:hanging="720"/>
        <w:rPr>
          <w:rFonts w:ascii="Arial" w:hAnsi="Arial" w:cs="Arial"/>
          <w:sz w:val="22"/>
          <w:szCs w:val="22"/>
        </w:rPr>
      </w:pPr>
      <w:r w:rsidRPr="00B975C1">
        <w:rPr>
          <w:rFonts w:ascii="Arial" w:hAnsi="Arial" w:cs="Arial"/>
          <w:sz w:val="22"/>
          <w:szCs w:val="22"/>
        </w:rPr>
        <w:t>Cancer Research UK (2025b) Lung cancer incidence statistics. Available at: https://www.cancerresearchuk.org/health-professional/cancer-statistics/statistics-by-cancer-type/lung-cancer/incidence (Accessed: 3 March 2026).</w:t>
      </w:r>
    </w:p>
    <w:p w14:paraId="5D98C59F" w14:textId="39458080" w:rsidR="00DF4723" w:rsidRPr="00B975C1" w:rsidRDefault="00DF4723" w:rsidP="00F70758">
      <w:pPr>
        <w:spacing w:line="360" w:lineRule="auto"/>
        <w:ind w:left="720" w:hanging="720"/>
        <w:rPr>
          <w:rFonts w:ascii="Arial" w:hAnsi="Arial" w:cs="Arial"/>
          <w:sz w:val="22"/>
          <w:szCs w:val="22"/>
        </w:rPr>
      </w:pPr>
      <w:r w:rsidRPr="00B975C1">
        <w:rPr>
          <w:rFonts w:ascii="Arial" w:hAnsi="Arial" w:cs="Arial"/>
          <w:sz w:val="22"/>
          <w:szCs w:val="22"/>
        </w:rPr>
        <w:lastRenderedPageBreak/>
        <w:t>de Koning, H.J. et al. (2020) 'Reduced lung-cancer mortality with volume CT screening in a randomized trial', New England Journal of Medicine, 382(6), pp. 503-513. doi:10.1056/NEJMoa1911793.</w:t>
      </w:r>
    </w:p>
    <w:p w14:paraId="2E45A08E" w14:textId="7EC77A39" w:rsidR="00DF4723" w:rsidRPr="00B975C1" w:rsidRDefault="00DF4723" w:rsidP="00F70758">
      <w:pPr>
        <w:spacing w:line="360" w:lineRule="auto"/>
        <w:ind w:left="720" w:hanging="720"/>
        <w:rPr>
          <w:rFonts w:ascii="Arial" w:hAnsi="Arial" w:cs="Arial"/>
          <w:sz w:val="22"/>
          <w:szCs w:val="22"/>
        </w:rPr>
      </w:pPr>
      <w:r w:rsidRPr="00B975C1">
        <w:rPr>
          <w:rFonts w:ascii="Arial" w:hAnsi="Arial" w:cs="Arial"/>
          <w:sz w:val="22"/>
          <w:szCs w:val="22"/>
        </w:rPr>
        <w:t>Department of Health and Social Care (2024) Tobacco and Vapes Bill: impact assessment. London: DHSC. Available at: https://www.gov.uk/government/publications/tobacco-and-vapes-bill-impact-assessment (Accessed: 3 March 2026).</w:t>
      </w:r>
    </w:p>
    <w:p w14:paraId="57B1864C" w14:textId="4372F168" w:rsidR="00DF4723" w:rsidRPr="00B975C1" w:rsidRDefault="00DF4723" w:rsidP="00F70758">
      <w:pPr>
        <w:spacing w:line="360" w:lineRule="auto"/>
        <w:ind w:left="720" w:hanging="720"/>
        <w:rPr>
          <w:rFonts w:ascii="Arial" w:hAnsi="Arial" w:cs="Arial"/>
          <w:sz w:val="22"/>
          <w:szCs w:val="22"/>
        </w:rPr>
      </w:pPr>
      <w:r w:rsidRPr="00B975C1">
        <w:rPr>
          <w:rFonts w:ascii="Arial" w:hAnsi="Arial" w:cs="Arial"/>
          <w:sz w:val="22"/>
          <w:szCs w:val="22"/>
        </w:rPr>
        <w:t>International Agency for Research on Cancer (2025) Global lung cancer incidence according to subtype. Lyon: IARC. Available at: https://www.iarc.who.int/wp-content/uploads/2025/02/pr359_E.pdf (Accessed: 3 March 2026).</w:t>
      </w:r>
    </w:p>
    <w:p w14:paraId="507A096B" w14:textId="0C4BC70B" w:rsidR="00DF4723" w:rsidRPr="00B975C1" w:rsidRDefault="00DF4723" w:rsidP="00F70758">
      <w:pPr>
        <w:spacing w:line="360" w:lineRule="auto"/>
        <w:ind w:left="720" w:hanging="720"/>
        <w:rPr>
          <w:rFonts w:ascii="Arial" w:hAnsi="Arial" w:cs="Arial"/>
          <w:sz w:val="22"/>
          <w:szCs w:val="22"/>
        </w:rPr>
      </w:pPr>
      <w:r w:rsidRPr="00B975C1">
        <w:rPr>
          <w:rFonts w:ascii="Arial" w:hAnsi="Arial" w:cs="Arial"/>
          <w:sz w:val="22"/>
          <w:szCs w:val="22"/>
        </w:rPr>
        <w:t>NHS England (2024) Targeted Lung Health Checks programme. Available at: https://www.england.nhs.uk/cancer/lung-cancer-screening/ (Accessed: 3 March 2026).</w:t>
      </w:r>
    </w:p>
    <w:p w14:paraId="4034C56F" w14:textId="22D02950" w:rsidR="00DF4723" w:rsidRPr="00B975C1" w:rsidRDefault="00DF4723" w:rsidP="00F70758">
      <w:pPr>
        <w:spacing w:line="360" w:lineRule="auto"/>
        <w:ind w:left="720" w:hanging="720"/>
        <w:rPr>
          <w:rFonts w:ascii="Arial" w:hAnsi="Arial" w:cs="Arial"/>
          <w:sz w:val="22"/>
          <w:szCs w:val="22"/>
        </w:rPr>
      </w:pPr>
      <w:r w:rsidRPr="00B975C1">
        <w:rPr>
          <w:rFonts w:ascii="Arial" w:hAnsi="Arial" w:cs="Arial"/>
          <w:sz w:val="22"/>
          <w:szCs w:val="22"/>
        </w:rPr>
        <w:t>Rivera, G.A. et al. (2023) 'Lung cancer screening: a review', JAMA, 330(5), pp. 455-466. doi:10.1001/jama.2023.12497.</w:t>
      </w:r>
    </w:p>
    <w:p w14:paraId="1A775986" w14:textId="3A24E754" w:rsidR="00424719" w:rsidRPr="00B975C1" w:rsidRDefault="00DF4723" w:rsidP="00F70758">
      <w:pPr>
        <w:spacing w:line="360" w:lineRule="auto"/>
        <w:ind w:left="720" w:hanging="720"/>
        <w:rPr>
          <w:rFonts w:ascii="Arial" w:hAnsi="Arial" w:cs="Arial"/>
          <w:sz w:val="22"/>
          <w:szCs w:val="22"/>
        </w:rPr>
      </w:pPr>
      <w:r w:rsidRPr="00B975C1">
        <w:rPr>
          <w:rFonts w:ascii="Arial" w:hAnsi="Arial" w:cs="Arial"/>
          <w:sz w:val="22"/>
          <w:szCs w:val="22"/>
        </w:rPr>
        <w:t>Schneider, B.J. et al. (2020) 'Lung cancer surveillance after definitive curative-intent therapy: ASCO guideline', Journal of Clinical Oncology, 38(7), pp. 753-766. doi:10.1200/JCO.19.02748.</w:t>
      </w:r>
    </w:p>
    <w:sectPr w:rsidR="00424719" w:rsidRPr="00B975C1" w:rsidSect="006C3B0D">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0D9CF4" w14:textId="77777777" w:rsidR="00E4663B" w:rsidRDefault="00E4663B" w:rsidP="006C3B0D">
      <w:pPr>
        <w:spacing w:after="0" w:line="240" w:lineRule="auto"/>
      </w:pPr>
      <w:r>
        <w:separator/>
      </w:r>
    </w:p>
  </w:endnote>
  <w:endnote w:type="continuationSeparator" w:id="0">
    <w:p w14:paraId="58343826" w14:textId="77777777" w:rsidR="00E4663B" w:rsidRDefault="00E4663B" w:rsidP="006C3B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4073291"/>
      <w:docPartObj>
        <w:docPartGallery w:val="Page Numbers (Bottom of Page)"/>
        <w:docPartUnique/>
      </w:docPartObj>
    </w:sdtPr>
    <w:sdtContent>
      <w:p w14:paraId="47DEF29B" w14:textId="69E3E68E" w:rsidR="007A5EEC" w:rsidRDefault="007A5EEC">
        <w:pPr>
          <w:pStyle w:val="Footer"/>
          <w:jc w:val="center"/>
        </w:pPr>
        <w:r>
          <w:fldChar w:fldCharType="begin"/>
        </w:r>
        <w:r>
          <w:instrText>PAGE   \* MERGEFORMAT</w:instrText>
        </w:r>
        <w:r>
          <w:fldChar w:fldCharType="separate"/>
        </w:r>
        <w:r>
          <w:rPr>
            <w:lang w:val="en-GB"/>
          </w:rPr>
          <w:t>2</w:t>
        </w:r>
        <w:r>
          <w:fldChar w:fldCharType="end"/>
        </w:r>
      </w:p>
    </w:sdtContent>
  </w:sdt>
  <w:p w14:paraId="5FC9092A" w14:textId="23CE9961" w:rsidR="00535797" w:rsidRDefault="005357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8217909"/>
      <w:docPartObj>
        <w:docPartGallery w:val="Page Numbers (Bottom of Page)"/>
        <w:docPartUnique/>
      </w:docPartObj>
    </w:sdtPr>
    <w:sdtContent>
      <w:p w14:paraId="74D0D8C9" w14:textId="660506CF" w:rsidR="00535797" w:rsidRDefault="00535797">
        <w:pPr>
          <w:pStyle w:val="Footer"/>
          <w:jc w:val="center"/>
        </w:pPr>
        <w:r>
          <w:t>1</w:t>
        </w:r>
      </w:p>
    </w:sdtContent>
  </w:sdt>
  <w:p w14:paraId="2119C615" w14:textId="77777777" w:rsidR="00535797" w:rsidRDefault="005357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730C3B" w14:textId="77777777" w:rsidR="00E4663B" w:rsidRDefault="00E4663B" w:rsidP="006C3B0D">
      <w:pPr>
        <w:spacing w:after="0" w:line="240" w:lineRule="auto"/>
      </w:pPr>
      <w:r>
        <w:separator/>
      </w:r>
    </w:p>
  </w:footnote>
  <w:footnote w:type="continuationSeparator" w:id="0">
    <w:p w14:paraId="1760A8C0" w14:textId="77777777" w:rsidR="00E4663B" w:rsidRDefault="00E4663B" w:rsidP="006C3B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289C89" w14:textId="5929E2F9" w:rsidR="006C3B0D" w:rsidRDefault="006C3B0D">
    <w:pPr>
      <w:pStyle w:val="Header"/>
      <w:jc w:val="right"/>
    </w:pPr>
  </w:p>
  <w:p w14:paraId="44712753" w14:textId="77777777" w:rsidR="006C3B0D" w:rsidRDefault="006C3B0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C440A" w14:textId="6B2F4D53" w:rsidR="006C3B0D" w:rsidRDefault="006C3B0D" w:rsidP="00535797">
    <w:pPr>
      <w:pStyle w:val="Header"/>
      <w:tabs>
        <w:tab w:val="left" w:pos="1176"/>
      </w:tabs>
    </w:pPr>
  </w:p>
  <w:p w14:paraId="303A7BCB" w14:textId="77777777" w:rsidR="006C3B0D" w:rsidRDefault="006C3B0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4723"/>
    <w:rsid w:val="00177D46"/>
    <w:rsid w:val="0022617D"/>
    <w:rsid w:val="002D5542"/>
    <w:rsid w:val="00310832"/>
    <w:rsid w:val="00424719"/>
    <w:rsid w:val="00457918"/>
    <w:rsid w:val="004F5059"/>
    <w:rsid w:val="00535797"/>
    <w:rsid w:val="0061146C"/>
    <w:rsid w:val="006C3B0D"/>
    <w:rsid w:val="007751D9"/>
    <w:rsid w:val="007938EC"/>
    <w:rsid w:val="007A5EEC"/>
    <w:rsid w:val="008018C5"/>
    <w:rsid w:val="008B0C94"/>
    <w:rsid w:val="00972D32"/>
    <w:rsid w:val="009E60D5"/>
    <w:rsid w:val="00A06B8C"/>
    <w:rsid w:val="00A75165"/>
    <w:rsid w:val="00B8610A"/>
    <w:rsid w:val="00B975C1"/>
    <w:rsid w:val="00BB3551"/>
    <w:rsid w:val="00C205FE"/>
    <w:rsid w:val="00C3427E"/>
    <w:rsid w:val="00C72C19"/>
    <w:rsid w:val="00C924E3"/>
    <w:rsid w:val="00D55C53"/>
    <w:rsid w:val="00DD0DD9"/>
    <w:rsid w:val="00DF3EC1"/>
    <w:rsid w:val="00DF4723"/>
    <w:rsid w:val="00E4663B"/>
    <w:rsid w:val="00E716E3"/>
    <w:rsid w:val="00E935CD"/>
    <w:rsid w:val="00F70758"/>
    <w:rsid w:val="00F97650"/>
    <w:rsid w:val="00FF37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8E45A"/>
  <w15:chartTrackingRefBased/>
  <w15:docId w15:val="{488D21EA-355E-4241-BDF6-5A25C8135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146C"/>
    <w:pPr>
      <w:keepNext/>
      <w:keepLines/>
      <w:spacing w:before="360" w:after="80"/>
      <w:outlineLvl w:val="0"/>
    </w:pPr>
    <w:rPr>
      <w:rFonts w:ascii="Times New Roman" w:eastAsiaTheme="majorEastAsia" w:hAnsi="Times New Roman" w:cstheme="majorBidi"/>
      <w:b/>
      <w:sz w:val="26"/>
      <w:szCs w:val="40"/>
    </w:rPr>
  </w:style>
  <w:style w:type="paragraph" w:styleId="Heading2">
    <w:name w:val="heading 2"/>
    <w:basedOn w:val="Normal"/>
    <w:next w:val="Normal"/>
    <w:link w:val="Heading2Char"/>
    <w:uiPriority w:val="9"/>
    <w:unhideWhenUsed/>
    <w:qFormat/>
    <w:rsid w:val="00A06B8C"/>
    <w:pPr>
      <w:keepNext/>
      <w:keepLines/>
      <w:spacing w:before="160" w:after="80"/>
      <w:outlineLvl w:val="1"/>
    </w:pPr>
    <w:rPr>
      <w:rFonts w:ascii="Times New Roman" w:eastAsiaTheme="majorEastAsia" w:hAnsi="Times New Roman" w:cstheme="majorBidi"/>
      <w:b/>
      <w:szCs w:val="32"/>
    </w:rPr>
  </w:style>
  <w:style w:type="paragraph" w:styleId="Heading3">
    <w:name w:val="heading 3"/>
    <w:basedOn w:val="Normal"/>
    <w:next w:val="Normal"/>
    <w:link w:val="Heading3Char"/>
    <w:uiPriority w:val="9"/>
    <w:unhideWhenUsed/>
    <w:qFormat/>
    <w:rsid w:val="00A06B8C"/>
    <w:pPr>
      <w:keepNext/>
      <w:keepLines/>
      <w:spacing w:before="160" w:after="80"/>
      <w:outlineLvl w:val="2"/>
    </w:pPr>
    <w:rPr>
      <w:rFonts w:ascii="Times New Roman" w:eastAsiaTheme="majorEastAsia" w:hAnsi="Times New Roman" w:cstheme="majorBidi"/>
      <w:b/>
      <w:szCs w:val="28"/>
    </w:rPr>
  </w:style>
  <w:style w:type="paragraph" w:styleId="Heading4">
    <w:name w:val="heading 4"/>
    <w:basedOn w:val="Normal"/>
    <w:next w:val="Normal"/>
    <w:link w:val="Heading4Char"/>
    <w:uiPriority w:val="9"/>
    <w:semiHidden/>
    <w:unhideWhenUsed/>
    <w:qFormat/>
    <w:rsid w:val="00DF472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F472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F472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F472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F472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F472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146C"/>
    <w:rPr>
      <w:rFonts w:ascii="Times New Roman" w:eastAsiaTheme="majorEastAsia" w:hAnsi="Times New Roman" w:cstheme="majorBidi"/>
      <w:b/>
      <w:sz w:val="26"/>
      <w:szCs w:val="40"/>
    </w:rPr>
  </w:style>
  <w:style w:type="character" w:customStyle="1" w:styleId="Heading2Char">
    <w:name w:val="Heading 2 Char"/>
    <w:basedOn w:val="DefaultParagraphFont"/>
    <w:link w:val="Heading2"/>
    <w:uiPriority w:val="9"/>
    <w:rsid w:val="00A06B8C"/>
    <w:rPr>
      <w:rFonts w:ascii="Times New Roman" w:eastAsiaTheme="majorEastAsia" w:hAnsi="Times New Roman" w:cstheme="majorBidi"/>
      <w:b/>
      <w:szCs w:val="32"/>
    </w:rPr>
  </w:style>
  <w:style w:type="character" w:customStyle="1" w:styleId="Heading3Char">
    <w:name w:val="Heading 3 Char"/>
    <w:basedOn w:val="DefaultParagraphFont"/>
    <w:link w:val="Heading3"/>
    <w:uiPriority w:val="9"/>
    <w:rsid w:val="00A06B8C"/>
    <w:rPr>
      <w:rFonts w:ascii="Times New Roman" w:eastAsiaTheme="majorEastAsia" w:hAnsi="Times New Roman" w:cstheme="majorBidi"/>
      <w:b/>
      <w:szCs w:val="28"/>
    </w:rPr>
  </w:style>
  <w:style w:type="character" w:customStyle="1" w:styleId="Heading4Char">
    <w:name w:val="Heading 4 Char"/>
    <w:basedOn w:val="DefaultParagraphFont"/>
    <w:link w:val="Heading4"/>
    <w:uiPriority w:val="9"/>
    <w:semiHidden/>
    <w:rsid w:val="00DF472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F472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F47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F47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F47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F4723"/>
    <w:rPr>
      <w:rFonts w:eastAsiaTheme="majorEastAsia" w:cstheme="majorBidi"/>
      <w:color w:val="272727" w:themeColor="text1" w:themeTint="D8"/>
    </w:rPr>
  </w:style>
  <w:style w:type="paragraph" w:styleId="Title">
    <w:name w:val="Title"/>
    <w:basedOn w:val="Normal"/>
    <w:next w:val="Normal"/>
    <w:link w:val="TitleChar"/>
    <w:uiPriority w:val="10"/>
    <w:qFormat/>
    <w:rsid w:val="00DF47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47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F472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F47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F4723"/>
    <w:pPr>
      <w:spacing w:before="160"/>
      <w:jc w:val="center"/>
    </w:pPr>
    <w:rPr>
      <w:i/>
      <w:iCs/>
      <w:color w:val="404040" w:themeColor="text1" w:themeTint="BF"/>
    </w:rPr>
  </w:style>
  <w:style w:type="character" w:customStyle="1" w:styleId="QuoteChar">
    <w:name w:val="Quote Char"/>
    <w:basedOn w:val="DefaultParagraphFont"/>
    <w:link w:val="Quote"/>
    <w:uiPriority w:val="29"/>
    <w:rsid w:val="00DF4723"/>
    <w:rPr>
      <w:i/>
      <w:iCs/>
      <w:color w:val="404040" w:themeColor="text1" w:themeTint="BF"/>
    </w:rPr>
  </w:style>
  <w:style w:type="paragraph" w:styleId="ListParagraph">
    <w:name w:val="List Paragraph"/>
    <w:basedOn w:val="Normal"/>
    <w:uiPriority w:val="34"/>
    <w:qFormat/>
    <w:rsid w:val="00DF4723"/>
    <w:pPr>
      <w:ind w:left="720"/>
      <w:contextualSpacing/>
    </w:pPr>
  </w:style>
  <w:style w:type="character" w:styleId="IntenseEmphasis">
    <w:name w:val="Intense Emphasis"/>
    <w:basedOn w:val="DefaultParagraphFont"/>
    <w:uiPriority w:val="21"/>
    <w:qFormat/>
    <w:rsid w:val="00DF4723"/>
    <w:rPr>
      <w:i/>
      <w:iCs/>
      <w:color w:val="2F5496" w:themeColor="accent1" w:themeShade="BF"/>
    </w:rPr>
  </w:style>
  <w:style w:type="paragraph" w:styleId="IntenseQuote">
    <w:name w:val="Intense Quote"/>
    <w:basedOn w:val="Normal"/>
    <w:next w:val="Normal"/>
    <w:link w:val="IntenseQuoteChar"/>
    <w:uiPriority w:val="30"/>
    <w:qFormat/>
    <w:rsid w:val="00DF472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F4723"/>
    <w:rPr>
      <w:i/>
      <w:iCs/>
      <w:color w:val="2F5496" w:themeColor="accent1" w:themeShade="BF"/>
    </w:rPr>
  </w:style>
  <w:style w:type="character" w:styleId="IntenseReference">
    <w:name w:val="Intense Reference"/>
    <w:basedOn w:val="DefaultParagraphFont"/>
    <w:uiPriority w:val="32"/>
    <w:qFormat/>
    <w:rsid w:val="00DF4723"/>
    <w:rPr>
      <w:b/>
      <w:bCs/>
      <w:smallCaps/>
      <w:color w:val="2F5496" w:themeColor="accent1" w:themeShade="BF"/>
      <w:spacing w:val="5"/>
    </w:rPr>
  </w:style>
  <w:style w:type="paragraph" w:styleId="Header">
    <w:name w:val="header"/>
    <w:basedOn w:val="Normal"/>
    <w:link w:val="HeaderChar"/>
    <w:uiPriority w:val="99"/>
    <w:unhideWhenUsed/>
    <w:rsid w:val="006C3B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C3B0D"/>
  </w:style>
  <w:style w:type="paragraph" w:styleId="Footer">
    <w:name w:val="footer"/>
    <w:basedOn w:val="Normal"/>
    <w:link w:val="FooterChar"/>
    <w:uiPriority w:val="99"/>
    <w:unhideWhenUsed/>
    <w:rsid w:val="006C3B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C3B0D"/>
  </w:style>
  <w:style w:type="paragraph" w:styleId="TOCHeading">
    <w:name w:val="TOC Heading"/>
    <w:basedOn w:val="Heading1"/>
    <w:next w:val="Normal"/>
    <w:uiPriority w:val="39"/>
    <w:unhideWhenUsed/>
    <w:qFormat/>
    <w:rsid w:val="006C3B0D"/>
    <w:pPr>
      <w:spacing w:before="240" w:after="0" w:line="259" w:lineRule="auto"/>
      <w:outlineLvl w:val="9"/>
    </w:pPr>
    <w:rPr>
      <w:rFonts w:asciiTheme="majorHAnsi" w:hAnsiTheme="majorHAnsi"/>
      <w:b w:val="0"/>
      <w:color w:val="2F5496" w:themeColor="accent1" w:themeShade="BF"/>
      <w:kern w:val="0"/>
      <w:sz w:val="32"/>
      <w:szCs w:val="32"/>
      <w14:ligatures w14:val="none"/>
    </w:rPr>
  </w:style>
  <w:style w:type="paragraph" w:styleId="TOC1">
    <w:name w:val="toc 1"/>
    <w:basedOn w:val="Normal"/>
    <w:next w:val="Normal"/>
    <w:autoRedefine/>
    <w:uiPriority w:val="39"/>
    <w:unhideWhenUsed/>
    <w:rsid w:val="006C3B0D"/>
    <w:pPr>
      <w:spacing w:after="100"/>
    </w:pPr>
  </w:style>
  <w:style w:type="character" w:styleId="Hyperlink">
    <w:name w:val="Hyperlink"/>
    <w:basedOn w:val="DefaultParagraphFont"/>
    <w:uiPriority w:val="99"/>
    <w:unhideWhenUsed/>
    <w:rsid w:val="006C3B0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7</Pages>
  <Words>1812</Words>
  <Characters>10331</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EMMANUEL OCHIENG'' - BBTEC202171890</dc:creator>
  <cp:keywords/>
  <dc:description/>
  <cp:lastModifiedBy>Sabia Alam (2507875)</cp:lastModifiedBy>
  <cp:revision>11</cp:revision>
  <dcterms:created xsi:type="dcterms:W3CDTF">2026-03-05T15:41:00Z</dcterms:created>
  <dcterms:modified xsi:type="dcterms:W3CDTF">2026-03-06T09:26:00Z</dcterms:modified>
</cp:coreProperties>
</file>