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25B26" w14:textId="77777777" w:rsidR="00373410" w:rsidRPr="00A4371E" w:rsidRDefault="00373410" w:rsidP="00A4371E">
      <w:pPr>
        <w:spacing w:line="360" w:lineRule="auto"/>
        <w:rPr>
          <w:rFonts w:ascii="Arial" w:hAnsi="Arial" w:cs="Arial"/>
          <w:sz w:val="22"/>
          <w:szCs w:val="22"/>
        </w:rPr>
      </w:pPr>
      <w:r w:rsidRPr="00A4371E">
        <w:rPr>
          <w:rFonts w:ascii="Arial" w:hAnsi="Arial" w:cs="Arial"/>
          <w:sz w:val="22"/>
          <w:szCs w:val="22"/>
        </w:rPr>
        <w:t>Name: Petrica Marin</w:t>
      </w:r>
    </w:p>
    <w:p w14:paraId="661FA8CE" w14:textId="77777777" w:rsidR="00373410" w:rsidRPr="00A4371E" w:rsidRDefault="00373410" w:rsidP="00A4371E">
      <w:pPr>
        <w:spacing w:line="360" w:lineRule="auto"/>
        <w:rPr>
          <w:rFonts w:ascii="Arial" w:hAnsi="Arial" w:cs="Arial"/>
          <w:sz w:val="22"/>
          <w:szCs w:val="22"/>
        </w:rPr>
      </w:pPr>
      <w:r w:rsidRPr="00A4371E">
        <w:rPr>
          <w:rFonts w:ascii="Arial" w:hAnsi="Arial" w:cs="Arial"/>
          <w:sz w:val="22"/>
          <w:szCs w:val="22"/>
        </w:rPr>
        <w:t>Student number: 2333794</w:t>
      </w:r>
    </w:p>
    <w:p w14:paraId="679BC52B" w14:textId="1647A2DE" w:rsidR="00373410" w:rsidRPr="00A4371E" w:rsidRDefault="00373410" w:rsidP="00A4371E">
      <w:pPr>
        <w:spacing w:line="360" w:lineRule="auto"/>
        <w:rPr>
          <w:rFonts w:ascii="Arial" w:hAnsi="Arial" w:cs="Arial"/>
          <w:sz w:val="22"/>
          <w:szCs w:val="22"/>
        </w:rPr>
      </w:pPr>
      <w:r w:rsidRPr="00A4371E">
        <w:rPr>
          <w:rFonts w:ascii="Arial" w:hAnsi="Arial" w:cs="Arial"/>
          <w:sz w:val="22"/>
          <w:szCs w:val="22"/>
        </w:rPr>
        <w:t xml:space="preserve">Module code and title: LCLM_6001 </w:t>
      </w:r>
      <w:r w:rsidRPr="00A4371E">
        <w:rPr>
          <w:rFonts w:ascii="Arial" w:hAnsi="Arial" w:cs="Arial"/>
          <w:bCs/>
          <w:sz w:val="22"/>
          <w:szCs w:val="22"/>
        </w:rPr>
        <w:t>Strategic Management for Business</w:t>
      </w:r>
    </w:p>
    <w:p w14:paraId="5DE7F6C2" w14:textId="76657038" w:rsidR="00373410" w:rsidRPr="00A4371E" w:rsidRDefault="00373410" w:rsidP="00A4371E">
      <w:pPr>
        <w:spacing w:line="360" w:lineRule="auto"/>
        <w:rPr>
          <w:rFonts w:ascii="Arial" w:hAnsi="Arial" w:cs="Arial"/>
          <w:sz w:val="22"/>
          <w:szCs w:val="22"/>
        </w:rPr>
      </w:pPr>
      <w:r w:rsidRPr="00A4371E">
        <w:rPr>
          <w:rFonts w:ascii="Arial" w:hAnsi="Arial" w:cs="Arial"/>
          <w:sz w:val="22"/>
          <w:szCs w:val="22"/>
        </w:rPr>
        <w:t xml:space="preserve">Lecturer name: </w:t>
      </w:r>
      <w:proofErr w:type="spellStart"/>
      <w:r w:rsidR="007B799C" w:rsidRPr="00A4371E">
        <w:rPr>
          <w:rFonts w:ascii="Arial" w:hAnsi="Arial" w:cs="Arial"/>
          <w:sz w:val="22"/>
          <w:szCs w:val="22"/>
        </w:rPr>
        <w:t>Munodzinesa</w:t>
      </w:r>
      <w:proofErr w:type="spellEnd"/>
      <w:r w:rsidR="007B799C" w:rsidRPr="00A4371E">
        <w:rPr>
          <w:rFonts w:ascii="Arial" w:hAnsi="Arial" w:cs="Arial"/>
          <w:sz w:val="22"/>
          <w:szCs w:val="22"/>
        </w:rPr>
        <w:t xml:space="preserve"> </w:t>
      </w:r>
      <w:proofErr w:type="spellStart"/>
      <w:r w:rsidR="00A4371E" w:rsidRPr="00A4371E">
        <w:rPr>
          <w:rFonts w:ascii="Arial" w:hAnsi="Arial" w:cs="Arial"/>
          <w:sz w:val="22"/>
          <w:szCs w:val="22"/>
        </w:rPr>
        <w:t>Zuwirai</w:t>
      </w:r>
      <w:proofErr w:type="spellEnd"/>
    </w:p>
    <w:p w14:paraId="26F25F26" w14:textId="483F3424" w:rsidR="00373410" w:rsidRPr="00A4371E" w:rsidRDefault="00373410" w:rsidP="00A4371E">
      <w:pPr>
        <w:spacing w:before="120" w:after="120" w:line="360" w:lineRule="auto"/>
        <w:jc w:val="both"/>
        <w:rPr>
          <w:rFonts w:ascii="Arial" w:hAnsi="Arial" w:cs="Arial"/>
          <w:bCs/>
          <w:sz w:val="22"/>
          <w:szCs w:val="22"/>
        </w:rPr>
      </w:pPr>
      <w:r w:rsidRPr="00A4371E">
        <w:rPr>
          <w:rFonts w:ascii="Arial" w:hAnsi="Arial" w:cs="Arial"/>
          <w:sz w:val="22"/>
          <w:szCs w:val="22"/>
        </w:rPr>
        <w:t xml:space="preserve">Assignment title: </w:t>
      </w:r>
      <w:r w:rsidRPr="00A4371E">
        <w:rPr>
          <w:rFonts w:ascii="Arial" w:hAnsi="Arial" w:cs="Arial"/>
          <w:bCs/>
          <w:sz w:val="22"/>
          <w:szCs w:val="22"/>
        </w:rPr>
        <w:t>Individual Report</w:t>
      </w:r>
    </w:p>
    <w:p w14:paraId="721B3BCE" w14:textId="77777777" w:rsidR="00373410" w:rsidRPr="00A4371E" w:rsidRDefault="00373410" w:rsidP="00A4371E">
      <w:pPr>
        <w:spacing w:before="120" w:after="120" w:line="360" w:lineRule="auto"/>
        <w:jc w:val="both"/>
        <w:rPr>
          <w:rFonts w:ascii="Arial" w:hAnsi="Arial" w:cs="Arial"/>
          <w:b/>
          <w:sz w:val="22"/>
          <w:szCs w:val="22"/>
        </w:rPr>
      </w:pPr>
    </w:p>
    <w:p w14:paraId="758D01D5" w14:textId="77777777" w:rsidR="00373410" w:rsidRPr="00A4371E" w:rsidRDefault="00373410" w:rsidP="00A4371E">
      <w:pPr>
        <w:pStyle w:val="Heading1"/>
        <w:spacing w:line="360" w:lineRule="auto"/>
        <w:jc w:val="center"/>
        <w:rPr>
          <w:rFonts w:ascii="Arial" w:hAnsi="Arial" w:cs="Arial"/>
          <w:sz w:val="22"/>
          <w:szCs w:val="22"/>
        </w:rPr>
      </w:pPr>
      <w:r w:rsidRPr="00A4371E">
        <w:rPr>
          <w:rFonts w:ascii="Arial" w:hAnsi="Arial" w:cs="Arial"/>
          <w:sz w:val="22"/>
          <w:szCs w:val="22"/>
        </w:rPr>
        <w:t>Vodafone UK in a Period of Strategic Transformation</w:t>
      </w:r>
    </w:p>
    <w:p w14:paraId="73D09876" w14:textId="77777777" w:rsidR="00373410" w:rsidRPr="00A4371E" w:rsidRDefault="00373410" w:rsidP="00A4371E">
      <w:pPr>
        <w:pStyle w:val="Heading1"/>
        <w:spacing w:before="320" w:after="200" w:line="360" w:lineRule="auto"/>
        <w:rPr>
          <w:rFonts w:ascii="Arial" w:eastAsia="Calibri" w:hAnsi="Arial" w:cs="Arial"/>
          <w:b/>
          <w:bCs/>
          <w:color w:val="1F3864"/>
          <w:sz w:val="22"/>
          <w:szCs w:val="22"/>
        </w:rPr>
      </w:pPr>
    </w:p>
    <w:p w14:paraId="0E7DF905" w14:textId="4A27CC2C" w:rsidR="00373410" w:rsidRPr="00A4371E" w:rsidRDefault="00373410" w:rsidP="00A4371E">
      <w:pPr>
        <w:pStyle w:val="Heading1"/>
        <w:spacing w:before="320" w:after="200" w:line="360" w:lineRule="auto"/>
        <w:rPr>
          <w:rFonts w:ascii="Arial" w:hAnsi="Arial" w:cs="Arial"/>
          <w:sz w:val="22"/>
          <w:szCs w:val="22"/>
        </w:rPr>
      </w:pPr>
      <w:r w:rsidRPr="00A4371E">
        <w:rPr>
          <w:rFonts w:ascii="Arial" w:eastAsia="Calibri" w:hAnsi="Arial" w:cs="Arial"/>
          <w:b/>
          <w:bCs/>
          <w:color w:val="1F3864"/>
          <w:sz w:val="22"/>
          <w:szCs w:val="22"/>
        </w:rPr>
        <w:t>1. Executive Summary</w:t>
      </w:r>
    </w:p>
    <w:p w14:paraId="11C6DDCE"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 xml:space="preserve">This report advises the Vodafone board on growth strategies for the UK business following the completion of the £16.5 billion merger between Vodafone UK and Three UK on 31 May 2025, which created </w:t>
      </w:r>
      <w:proofErr w:type="spellStart"/>
      <w:r w:rsidRPr="00A4371E">
        <w:rPr>
          <w:rFonts w:ascii="Arial" w:eastAsia="Calibri" w:hAnsi="Arial" w:cs="Arial"/>
          <w:sz w:val="22"/>
          <w:szCs w:val="22"/>
        </w:rPr>
        <w:t>VodafoneThree</w:t>
      </w:r>
      <w:proofErr w:type="spellEnd"/>
      <w:r w:rsidRPr="00A4371E">
        <w:rPr>
          <w:rFonts w:ascii="Arial" w:eastAsia="Calibri" w:hAnsi="Arial" w:cs="Arial"/>
          <w:sz w:val="22"/>
          <w:szCs w:val="22"/>
        </w:rPr>
        <w:t>, the largest mobile operator in the UK with around 27 million customers (Vodafone, 2025). The analysis of the external environment shows a market with intense rivalry, strong regulation and rapidly growing data demand: UK mobile data use rose 18% in 2025 and 5G traffic grew 53% (Ofcom, 2025). The internal analysis shows that Vodafone now holds a rare set of strengths, including scale, spectrum and a fully funded £11 billion network investment plan, but it also carries high debt and significant integration risk.</w:t>
      </w:r>
    </w:p>
    <w:p w14:paraId="1537E907"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The report recommends a combined strategy of market penetration and product development, delivered through differentiation based on network quality (Ansoff, 1957; Porter, 1985). In practice, this means using the new 5G Standalone network to win and keep customers and building new revenue from 5G-enabled products such as fixed wireless broadband, IoT and business digital services. The strategy is evaluated using the SFA framework and is found to be suitable, feasible and acceptable (Johnson et al., 2020). The report closes with a stakeholder engagement plan and an implementation plan with clear objectives and KPIs.</w:t>
      </w:r>
    </w:p>
    <w:p w14:paraId="1CF36612" w14:textId="77777777" w:rsidR="00373410" w:rsidRPr="00A4371E" w:rsidRDefault="00373410" w:rsidP="00A4371E">
      <w:pPr>
        <w:pStyle w:val="Heading1"/>
        <w:spacing w:before="320" w:after="200" w:line="360" w:lineRule="auto"/>
        <w:rPr>
          <w:rFonts w:ascii="Arial" w:hAnsi="Arial" w:cs="Arial"/>
          <w:sz w:val="22"/>
          <w:szCs w:val="22"/>
        </w:rPr>
      </w:pPr>
      <w:r w:rsidRPr="00A4371E">
        <w:rPr>
          <w:rFonts w:ascii="Arial" w:eastAsia="Calibri" w:hAnsi="Arial" w:cs="Arial"/>
          <w:b/>
          <w:bCs/>
          <w:color w:val="1F3864"/>
          <w:sz w:val="22"/>
          <w:szCs w:val="22"/>
        </w:rPr>
        <w:t>2. Introduction to Vodafone</w:t>
      </w:r>
    </w:p>
    <w:p w14:paraId="409F80AE"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 xml:space="preserve">Vodafone Group Plc is one of the leading telecommunications companies in Europe and Africa, providing mobile and fixed services to more than 340 million customers in 15 countries and partnering with mobile networks in over 40 more (Vodafone, 2025). In the UK, the group now operates through </w:t>
      </w:r>
      <w:proofErr w:type="spellStart"/>
      <w:r w:rsidRPr="00A4371E">
        <w:rPr>
          <w:rFonts w:ascii="Arial" w:eastAsia="Calibri" w:hAnsi="Arial" w:cs="Arial"/>
          <w:sz w:val="22"/>
          <w:szCs w:val="22"/>
        </w:rPr>
        <w:t>VodafoneThree</w:t>
      </w:r>
      <w:proofErr w:type="spellEnd"/>
      <w:r w:rsidRPr="00A4371E">
        <w:rPr>
          <w:rFonts w:ascii="Arial" w:eastAsia="Calibri" w:hAnsi="Arial" w:cs="Arial"/>
          <w:sz w:val="22"/>
          <w:szCs w:val="22"/>
        </w:rPr>
        <w:t xml:space="preserve">, formed when the merger of Vodafone UK and Three UK completed on 31 May 2025. The joint venture was initially owned 51% by Vodafone and 49% by CK Hutchison, and in May 2026 Vodafone agreed to buy out CK Hutchison’s stake for </w:t>
      </w:r>
      <w:r w:rsidRPr="00A4371E">
        <w:rPr>
          <w:rFonts w:ascii="Arial" w:eastAsia="Calibri" w:hAnsi="Arial" w:cs="Arial"/>
          <w:sz w:val="22"/>
          <w:szCs w:val="22"/>
        </w:rPr>
        <w:lastRenderedPageBreak/>
        <w:t xml:space="preserve">£4.3 billion to take full ownership (Vodafone, 2026b). The UK business includes the Vodafone, Three, VOXI, SMARTY and </w:t>
      </w:r>
      <w:proofErr w:type="spellStart"/>
      <w:r w:rsidRPr="00A4371E">
        <w:rPr>
          <w:rFonts w:ascii="Arial" w:eastAsia="Calibri" w:hAnsi="Arial" w:cs="Arial"/>
          <w:sz w:val="22"/>
          <w:szCs w:val="22"/>
        </w:rPr>
        <w:t>Talkmobile</w:t>
      </w:r>
      <w:proofErr w:type="spellEnd"/>
      <w:r w:rsidRPr="00A4371E">
        <w:rPr>
          <w:rFonts w:ascii="Arial" w:eastAsia="Calibri" w:hAnsi="Arial" w:cs="Arial"/>
          <w:sz w:val="22"/>
          <w:szCs w:val="22"/>
        </w:rPr>
        <w:t xml:space="preserve"> brands.</w:t>
      </w:r>
    </w:p>
    <w:p w14:paraId="42185945"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Vodafone’s purpose is simple and clear: “we connect for a better future”. The company believes connectivity is a force for good and aims to use technology to empower people, help protect the planet and maintain trust with customers (Vodafone, no date). Its vision is to become a new generation connectivity and digital services provider for Europe and Africa, enabling an inclusive and sustainable digital society. Its values are expressed through the “Spirit of Vodafone”, which encourages employees to earn customer loyalty, experiment and learn fast, create the future and get things done together. These values matter for this report because any growth strategy proposed to the board should fit them. A strategy built on network quality, wider coverage and closing digital divides supports the purpose directly, while a strategy built purely on cutting prices or cutting investment would not (Vodafone, no date; Johnson et al., 2020).</w:t>
      </w:r>
    </w:p>
    <w:p w14:paraId="3B257F8A" w14:textId="77777777" w:rsidR="00373410" w:rsidRPr="00A4371E" w:rsidRDefault="00373410" w:rsidP="00A4371E">
      <w:pPr>
        <w:pStyle w:val="Heading1"/>
        <w:spacing w:before="320" w:after="200" w:line="360" w:lineRule="auto"/>
        <w:rPr>
          <w:rFonts w:ascii="Arial" w:hAnsi="Arial" w:cs="Arial"/>
          <w:sz w:val="22"/>
          <w:szCs w:val="22"/>
        </w:rPr>
      </w:pPr>
      <w:r w:rsidRPr="00A4371E">
        <w:rPr>
          <w:rFonts w:ascii="Arial" w:eastAsia="Calibri" w:hAnsi="Arial" w:cs="Arial"/>
          <w:b/>
          <w:bCs/>
          <w:color w:val="1F3864"/>
          <w:sz w:val="22"/>
          <w:szCs w:val="22"/>
        </w:rPr>
        <w:t>3. Evaluation of the Current Market Situation</w:t>
      </w:r>
    </w:p>
    <w:p w14:paraId="289A91F3"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This section analyses Vodafone’s business environment using PESTEL, Porter’s Five Forces and SWOT. PESTEL examines the macro-environment, the Five Forces examine the industry, and SWOT brings the external and internal pictures together (Johnson et al., 2020).</w:t>
      </w:r>
    </w:p>
    <w:p w14:paraId="4CDDCF53" w14:textId="77777777" w:rsidR="00373410" w:rsidRPr="00A4371E" w:rsidRDefault="00373410" w:rsidP="00A4371E">
      <w:pPr>
        <w:pStyle w:val="Heading2"/>
        <w:spacing w:before="240" w:after="140" w:line="360" w:lineRule="auto"/>
        <w:rPr>
          <w:rFonts w:ascii="Arial" w:hAnsi="Arial" w:cs="Arial"/>
          <w:sz w:val="22"/>
          <w:szCs w:val="22"/>
        </w:rPr>
      </w:pPr>
      <w:r w:rsidRPr="00A4371E">
        <w:rPr>
          <w:rFonts w:ascii="Arial" w:eastAsia="Calibri" w:hAnsi="Arial" w:cs="Arial"/>
          <w:b/>
          <w:bCs/>
          <w:color w:val="2E5395"/>
          <w:sz w:val="22"/>
          <w:szCs w:val="22"/>
        </w:rPr>
        <w:t>3.1 PESTEL analysis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29"/>
        <w:gridCol w:w="7631"/>
      </w:tblGrid>
      <w:tr w:rsidR="00373410" w:rsidRPr="00A4371E" w14:paraId="0F2B15E4" w14:textId="77777777">
        <w:tc>
          <w:tcPr>
            <w:tcW w:w="1500"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hideMark/>
          </w:tcPr>
          <w:p w14:paraId="746777E5"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Factor</w:t>
            </w:r>
          </w:p>
        </w:tc>
        <w:tc>
          <w:tcPr>
            <w:tcW w:w="7860"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hideMark/>
          </w:tcPr>
          <w:p w14:paraId="406F76BD"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Key points for Vodafone</w:t>
            </w:r>
          </w:p>
        </w:tc>
      </w:tr>
      <w:tr w:rsidR="00373410" w:rsidRPr="00A4371E" w14:paraId="5F080EEC" w14:textId="77777777">
        <w:tc>
          <w:tcPr>
            <w:tcW w:w="15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02F38E85"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Political</w:t>
            </w:r>
          </w:p>
        </w:tc>
        <w:tc>
          <w:tcPr>
            <w:tcW w:w="78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54AF2AC1"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 xml:space="preserve">The UK government supports investment-led growth in digital infrastructure, and the merger was cleared partly because of its promised contribution to national 5G capability. However, the sector is politically sensitive: the CMA and Ofcom will oversee </w:t>
            </w:r>
            <w:proofErr w:type="spellStart"/>
            <w:r w:rsidRPr="00A4371E">
              <w:rPr>
                <w:rFonts w:ascii="Arial" w:eastAsia="Calibri" w:hAnsi="Arial" w:cs="Arial"/>
                <w:sz w:val="22"/>
                <w:szCs w:val="22"/>
              </w:rPr>
              <w:t>VodafoneThree’s</w:t>
            </w:r>
            <w:proofErr w:type="spellEnd"/>
            <w:r w:rsidRPr="00A4371E">
              <w:rPr>
                <w:rFonts w:ascii="Arial" w:eastAsia="Calibri" w:hAnsi="Arial" w:cs="Arial"/>
                <w:sz w:val="22"/>
                <w:szCs w:val="22"/>
              </w:rPr>
              <w:t xml:space="preserve"> legally binding network commitments for eight years (CMA, 2024).</w:t>
            </w:r>
          </w:p>
        </w:tc>
      </w:tr>
      <w:tr w:rsidR="00373410" w:rsidRPr="00A4371E" w14:paraId="66D222A8" w14:textId="77777777">
        <w:tc>
          <w:tcPr>
            <w:tcW w:w="15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5331584A"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Economic</w:t>
            </w:r>
          </w:p>
        </w:tc>
        <w:tc>
          <w:tcPr>
            <w:tcW w:w="78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2714DF95"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The cost-of-living pressure of recent years has made UK consumers price-sensitive and encouraged switching to low-cost brands and MVNOs. At the same time, the merger is expected to deliver £700 million of annual cost and capex synergies by year five, improving the economics of the combined business (Vodafone, 2025).</w:t>
            </w:r>
          </w:p>
        </w:tc>
      </w:tr>
      <w:tr w:rsidR="00373410" w:rsidRPr="00A4371E" w14:paraId="150219B8" w14:textId="77777777">
        <w:tc>
          <w:tcPr>
            <w:tcW w:w="15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26886478"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Social</w:t>
            </w:r>
          </w:p>
        </w:tc>
        <w:tc>
          <w:tcPr>
            <w:tcW w:w="78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5983167A"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 xml:space="preserve">Demand for connectivity keeps rising: UK mobile data use grew 18% year-on-year in 2025 to over 1.2 billion GB per month, and more than a million </w:t>
            </w:r>
            <w:r w:rsidRPr="00A4371E">
              <w:rPr>
                <w:rFonts w:ascii="Arial" w:eastAsia="Calibri" w:hAnsi="Arial" w:cs="Arial"/>
                <w:sz w:val="22"/>
                <w:szCs w:val="22"/>
              </w:rPr>
              <w:lastRenderedPageBreak/>
              <w:t>households gave up their landline (Ofcom, 2025). Consumers increasingly expect reliable coverage everywhere, and closing the digital divide is a social expectation placed on operators.</w:t>
            </w:r>
          </w:p>
        </w:tc>
      </w:tr>
      <w:tr w:rsidR="00373410" w:rsidRPr="00A4371E" w14:paraId="3A7FF2F7" w14:textId="77777777">
        <w:tc>
          <w:tcPr>
            <w:tcW w:w="15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0CA161B1"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lastRenderedPageBreak/>
              <w:t>Technological</w:t>
            </w:r>
          </w:p>
        </w:tc>
        <w:tc>
          <w:tcPr>
            <w:tcW w:w="78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262D7F78"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The industry is moving from non-standalone 5G to 5G Standalone (5G SA), which enables faster speeds, lower latency and new services such as network slicing. Ofcom (2025) reports that 5G traffic grew 53% in a year and that 83% of the UK population can now access 5G SA from at least one operator. Satellite connectivity and IoT are emerging technologies that create both opportunity and disruption.</w:t>
            </w:r>
          </w:p>
        </w:tc>
      </w:tr>
      <w:tr w:rsidR="00373410" w:rsidRPr="00A4371E" w14:paraId="7B7DEEF6" w14:textId="77777777">
        <w:tc>
          <w:tcPr>
            <w:tcW w:w="15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5998B570"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Environmental</w:t>
            </w:r>
          </w:p>
        </w:tc>
        <w:tc>
          <w:tcPr>
            <w:tcW w:w="78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52755D02"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Networks consume large amounts of energy, and Vodafone has public commitments on energy efficiency, device recycling and reducing its environmental footprint (Vodafone, no date). Decommissioning duplicate sites after the merger should reduce energy use per gigabyte carried.</w:t>
            </w:r>
          </w:p>
        </w:tc>
      </w:tr>
      <w:tr w:rsidR="00373410" w:rsidRPr="00A4371E" w14:paraId="48F26F8D" w14:textId="77777777">
        <w:tc>
          <w:tcPr>
            <w:tcW w:w="15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29456062"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Legal</w:t>
            </w:r>
          </w:p>
        </w:tc>
        <w:tc>
          <w:tcPr>
            <w:tcW w:w="78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658F63BE"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The CMA approved the merger only with legally binding remedies: the £11 billion network investment must be delivered over eight years, selected tariffs are capped for three years, and MVNOs must be offered pre-set wholesale prices and terms (CMA, 2024). Data protection (UK GDPR) and telecoms security law also constrain operations.</w:t>
            </w:r>
          </w:p>
        </w:tc>
      </w:tr>
    </w:tbl>
    <w:p w14:paraId="17AE53E9" w14:textId="77777777" w:rsidR="00373410" w:rsidRPr="00A4371E" w:rsidRDefault="00373410" w:rsidP="00A4371E">
      <w:pPr>
        <w:spacing w:after="160" w:line="360" w:lineRule="auto"/>
        <w:jc w:val="both"/>
        <w:rPr>
          <w:rFonts w:ascii="Arial" w:eastAsia="Calibri" w:hAnsi="Arial" w:cs="Arial"/>
          <w:i/>
          <w:iCs/>
          <w:color w:val="595959"/>
          <w:sz w:val="22"/>
          <w:szCs w:val="22"/>
        </w:rPr>
      </w:pPr>
    </w:p>
    <w:p w14:paraId="15D5C366"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The PESTEL analysis shows a macro-environment that is demanding but favourable to a well-funded network leader. Data demand is growing quickly, the government wants infrastructure investment, and the legal remedies, although restrictive on price, lock in the network advantage Vodafone has committed to build.</w:t>
      </w:r>
    </w:p>
    <w:p w14:paraId="44B5EAE8" w14:textId="77777777" w:rsidR="00373410" w:rsidRPr="00A4371E" w:rsidRDefault="00373410" w:rsidP="00A4371E">
      <w:pPr>
        <w:pStyle w:val="Heading2"/>
        <w:spacing w:before="240" w:after="140" w:line="360" w:lineRule="auto"/>
        <w:rPr>
          <w:rFonts w:ascii="Arial" w:hAnsi="Arial" w:cs="Arial"/>
          <w:sz w:val="22"/>
          <w:szCs w:val="22"/>
        </w:rPr>
      </w:pPr>
      <w:r w:rsidRPr="00A4371E">
        <w:rPr>
          <w:rFonts w:ascii="Arial" w:eastAsia="Calibri" w:hAnsi="Arial" w:cs="Arial"/>
          <w:b/>
          <w:bCs/>
          <w:color w:val="2E5395"/>
          <w:sz w:val="22"/>
          <w:szCs w:val="22"/>
        </w:rPr>
        <w:t>3.2 Porter’s Five Forces</w:t>
      </w:r>
    </w:p>
    <w:p w14:paraId="1201B1BB"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Porter (2008) argues that industry profitability is shaped by five competitive forces, assessed below for the UK mobile market.</w:t>
      </w:r>
    </w:p>
    <w:p w14:paraId="660C188A" w14:textId="77777777" w:rsidR="00373410" w:rsidRPr="00A4371E" w:rsidRDefault="00373410" w:rsidP="00A4371E">
      <w:pPr>
        <w:pStyle w:val="ListParagraph"/>
        <w:numPr>
          <w:ilvl w:val="0"/>
          <w:numId w:val="1"/>
        </w:numPr>
        <w:spacing w:after="100" w:line="360" w:lineRule="auto"/>
        <w:contextualSpacing w:val="0"/>
        <w:jc w:val="both"/>
        <w:rPr>
          <w:rFonts w:ascii="Arial" w:hAnsi="Arial" w:cs="Arial"/>
          <w:sz w:val="22"/>
          <w:szCs w:val="22"/>
        </w:rPr>
      </w:pPr>
      <w:r w:rsidRPr="00A4371E">
        <w:rPr>
          <w:rFonts w:ascii="Arial" w:eastAsia="Calibri" w:hAnsi="Arial" w:cs="Arial"/>
          <w:sz w:val="22"/>
          <w:szCs w:val="22"/>
        </w:rPr>
        <w:t xml:space="preserve">Competitive rivalry – High. Even after moving from four to three network operators, rivalry with BT/EE and Virgin Media O2 remains intense. </w:t>
      </w:r>
      <w:proofErr w:type="spellStart"/>
      <w:r w:rsidRPr="00A4371E">
        <w:rPr>
          <w:rFonts w:ascii="Arial" w:eastAsia="Calibri" w:hAnsi="Arial" w:cs="Arial"/>
          <w:sz w:val="22"/>
          <w:szCs w:val="22"/>
        </w:rPr>
        <w:t>VodafoneThree</w:t>
      </w:r>
      <w:proofErr w:type="spellEnd"/>
      <w:r w:rsidRPr="00A4371E">
        <w:rPr>
          <w:rFonts w:ascii="Arial" w:eastAsia="Calibri" w:hAnsi="Arial" w:cs="Arial"/>
          <w:sz w:val="22"/>
          <w:szCs w:val="22"/>
        </w:rPr>
        <w:t>, with around 27 million customers, has overtaken EE as the largest operator, so competitors are likely to respond hard on price, network claims and bundling (IG, 2025).</w:t>
      </w:r>
    </w:p>
    <w:p w14:paraId="79165C84" w14:textId="77777777" w:rsidR="00373410" w:rsidRPr="00A4371E" w:rsidRDefault="00373410" w:rsidP="00A4371E">
      <w:pPr>
        <w:pStyle w:val="ListParagraph"/>
        <w:numPr>
          <w:ilvl w:val="0"/>
          <w:numId w:val="1"/>
        </w:numPr>
        <w:spacing w:after="100" w:line="360" w:lineRule="auto"/>
        <w:contextualSpacing w:val="0"/>
        <w:jc w:val="both"/>
        <w:rPr>
          <w:rFonts w:ascii="Arial" w:hAnsi="Arial" w:cs="Arial"/>
          <w:sz w:val="22"/>
          <w:szCs w:val="22"/>
        </w:rPr>
      </w:pPr>
      <w:r w:rsidRPr="00A4371E">
        <w:rPr>
          <w:rFonts w:ascii="Arial" w:eastAsia="Calibri" w:hAnsi="Arial" w:cs="Arial"/>
          <w:sz w:val="22"/>
          <w:szCs w:val="22"/>
        </w:rPr>
        <w:t xml:space="preserve">Threat of new entrants – Low. Spectrum licences, billions in network capital and brand building create very high barriers to entry. Realistically, no new UK mobile network </w:t>
      </w:r>
      <w:r w:rsidRPr="00A4371E">
        <w:rPr>
          <w:rFonts w:ascii="Arial" w:eastAsia="Calibri" w:hAnsi="Arial" w:cs="Arial"/>
          <w:sz w:val="22"/>
          <w:szCs w:val="22"/>
        </w:rPr>
        <w:lastRenderedPageBreak/>
        <w:t>operator is expected; the CMA itself accepted a reduction from four to three operators (CMA, 2024).</w:t>
      </w:r>
    </w:p>
    <w:p w14:paraId="69E833DA" w14:textId="77777777" w:rsidR="00373410" w:rsidRPr="00A4371E" w:rsidRDefault="00373410" w:rsidP="00A4371E">
      <w:pPr>
        <w:pStyle w:val="ListParagraph"/>
        <w:numPr>
          <w:ilvl w:val="0"/>
          <w:numId w:val="1"/>
        </w:numPr>
        <w:spacing w:after="100" w:line="360" w:lineRule="auto"/>
        <w:contextualSpacing w:val="0"/>
        <w:jc w:val="both"/>
        <w:rPr>
          <w:rFonts w:ascii="Arial" w:hAnsi="Arial" w:cs="Arial"/>
          <w:sz w:val="22"/>
          <w:szCs w:val="22"/>
        </w:rPr>
      </w:pPr>
      <w:r w:rsidRPr="00A4371E">
        <w:rPr>
          <w:rFonts w:ascii="Arial" w:eastAsia="Calibri" w:hAnsi="Arial" w:cs="Arial"/>
          <w:sz w:val="22"/>
          <w:szCs w:val="22"/>
        </w:rPr>
        <w:t xml:space="preserve">Bargaining power of buyers – High. Switching costs are low, price comparison is easy, and MVNOs such as Sky Mobile and </w:t>
      </w:r>
      <w:proofErr w:type="spellStart"/>
      <w:r w:rsidRPr="00A4371E">
        <w:rPr>
          <w:rFonts w:ascii="Arial" w:eastAsia="Calibri" w:hAnsi="Arial" w:cs="Arial"/>
          <w:sz w:val="22"/>
          <w:szCs w:val="22"/>
        </w:rPr>
        <w:t>iD</w:t>
      </w:r>
      <w:proofErr w:type="spellEnd"/>
      <w:r w:rsidRPr="00A4371E">
        <w:rPr>
          <w:rFonts w:ascii="Arial" w:eastAsia="Calibri" w:hAnsi="Arial" w:cs="Arial"/>
          <w:sz w:val="22"/>
          <w:szCs w:val="22"/>
        </w:rPr>
        <w:t xml:space="preserve"> Mobile give consumers cheap alternatives. The CMA’s three-year tariff caps further strengthen the customer’s position in the short term (CMA, 2024).</w:t>
      </w:r>
    </w:p>
    <w:p w14:paraId="0C1A34CC" w14:textId="77777777" w:rsidR="00373410" w:rsidRPr="00A4371E" w:rsidRDefault="00373410" w:rsidP="00A4371E">
      <w:pPr>
        <w:pStyle w:val="ListParagraph"/>
        <w:numPr>
          <w:ilvl w:val="0"/>
          <w:numId w:val="1"/>
        </w:numPr>
        <w:spacing w:after="100" w:line="360" w:lineRule="auto"/>
        <w:contextualSpacing w:val="0"/>
        <w:jc w:val="both"/>
        <w:rPr>
          <w:rFonts w:ascii="Arial" w:hAnsi="Arial" w:cs="Arial"/>
          <w:sz w:val="22"/>
          <w:szCs w:val="22"/>
        </w:rPr>
      </w:pPr>
      <w:r w:rsidRPr="00A4371E">
        <w:rPr>
          <w:rFonts w:ascii="Arial" w:eastAsia="Calibri" w:hAnsi="Arial" w:cs="Arial"/>
          <w:sz w:val="22"/>
          <w:szCs w:val="22"/>
        </w:rPr>
        <w:t>Bargaining power of suppliers – Moderate. Network equipment comes from a small number of vendors (for example Ericsson and Nokia, particularly after the UK ban on Huawei in 5G networks), which gives suppliers some power, although the scale of an £11 billion buyer improves Vodafone’s negotiating position.</w:t>
      </w:r>
    </w:p>
    <w:p w14:paraId="64684096" w14:textId="77777777" w:rsidR="00373410" w:rsidRPr="00A4371E" w:rsidRDefault="00373410" w:rsidP="00A4371E">
      <w:pPr>
        <w:pStyle w:val="ListParagraph"/>
        <w:numPr>
          <w:ilvl w:val="0"/>
          <w:numId w:val="1"/>
        </w:numPr>
        <w:spacing w:after="100" w:line="360" w:lineRule="auto"/>
        <w:contextualSpacing w:val="0"/>
        <w:jc w:val="both"/>
        <w:rPr>
          <w:rFonts w:ascii="Arial" w:hAnsi="Arial" w:cs="Arial"/>
          <w:sz w:val="22"/>
          <w:szCs w:val="22"/>
        </w:rPr>
      </w:pPr>
      <w:r w:rsidRPr="00A4371E">
        <w:rPr>
          <w:rFonts w:ascii="Arial" w:eastAsia="Calibri" w:hAnsi="Arial" w:cs="Arial"/>
          <w:sz w:val="22"/>
          <w:szCs w:val="22"/>
        </w:rPr>
        <w:t>Threat of substitutes – Moderate and rising. Wi-Fi and full-fibre broadband (now available to 78% of UK premises) substitute for mobile data at home, and satellite services such as Starlink, with over 110,000 UK users, are an emerging substitute in rural areas (Ofcom, 2025).</w:t>
      </w:r>
    </w:p>
    <w:p w14:paraId="0E82A977"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Overall, the industry is structurally tough, which explains why scale, cost synergies and network differentiation are so important to competing profitably in it.</w:t>
      </w:r>
    </w:p>
    <w:p w14:paraId="45ABEE15" w14:textId="77777777" w:rsidR="00373410" w:rsidRPr="00A4371E" w:rsidRDefault="00373410" w:rsidP="00A4371E">
      <w:pPr>
        <w:pStyle w:val="Heading2"/>
        <w:spacing w:before="240" w:after="140" w:line="360" w:lineRule="auto"/>
        <w:rPr>
          <w:rFonts w:ascii="Arial" w:hAnsi="Arial" w:cs="Arial"/>
          <w:sz w:val="22"/>
          <w:szCs w:val="22"/>
        </w:rPr>
      </w:pPr>
      <w:r w:rsidRPr="00A4371E">
        <w:rPr>
          <w:rFonts w:ascii="Arial" w:eastAsia="Calibri" w:hAnsi="Arial" w:cs="Arial"/>
          <w:b/>
          <w:bCs/>
          <w:color w:val="2E5395"/>
          <w:sz w:val="22"/>
          <w:szCs w:val="22"/>
        </w:rPr>
        <w:t>3.3 SWOT analysis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373410" w:rsidRPr="00A4371E" w14:paraId="7CEAD94C" w14:textId="77777777">
        <w:tc>
          <w:tcPr>
            <w:tcW w:w="4680"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hideMark/>
          </w:tcPr>
          <w:p w14:paraId="6FD969C7"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Strengths</w:t>
            </w:r>
          </w:p>
        </w:tc>
        <w:tc>
          <w:tcPr>
            <w:tcW w:w="4680"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hideMark/>
          </w:tcPr>
          <w:p w14:paraId="02BBE272"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Weaknesses</w:t>
            </w:r>
          </w:p>
        </w:tc>
      </w:tr>
      <w:tr w:rsidR="00373410" w:rsidRPr="00A4371E" w14:paraId="77D0BF4B" w14:textId="77777777">
        <w:tc>
          <w:tcPr>
            <w:tcW w:w="468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589F270E"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UK market leadership: c.27m customers, largest mobile operator (Vodafone, 2025).</w:t>
            </w:r>
          </w:p>
          <w:p w14:paraId="6CAA2AF6"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Fully funded, regulator-approved £11bn ten-year network plan, targeting 99% 5G SA population coverage by 2030 (</w:t>
            </w:r>
            <w:proofErr w:type="spellStart"/>
            <w:r w:rsidRPr="00A4371E">
              <w:rPr>
                <w:rFonts w:ascii="Arial" w:eastAsia="Calibri" w:hAnsi="Arial" w:cs="Arial"/>
                <w:sz w:val="22"/>
                <w:szCs w:val="22"/>
              </w:rPr>
              <w:t>VodafoneThree</w:t>
            </w:r>
            <w:proofErr w:type="spellEnd"/>
            <w:r w:rsidRPr="00A4371E">
              <w:rPr>
                <w:rFonts w:ascii="Arial" w:eastAsia="Calibri" w:hAnsi="Arial" w:cs="Arial"/>
                <w:sz w:val="22"/>
                <w:szCs w:val="22"/>
              </w:rPr>
              <w:t>, 2025).</w:t>
            </w:r>
          </w:p>
          <w:p w14:paraId="573F0844"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xml:space="preserve">• Combined spectrum and site portfolio; early merger benefits already visible – network sharing removed 16,500 </w:t>
            </w:r>
            <w:proofErr w:type="spellStart"/>
            <w:r w:rsidRPr="00A4371E">
              <w:rPr>
                <w:rFonts w:ascii="Arial" w:eastAsia="Calibri" w:hAnsi="Arial" w:cs="Arial"/>
                <w:sz w:val="22"/>
                <w:szCs w:val="22"/>
              </w:rPr>
              <w:t>sq</w:t>
            </w:r>
            <w:proofErr w:type="spellEnd"/>
            <w:r w:rsidRPr="00A4371E">
              <w:rPr>
                <w:rFonts w:ascii="Arial" w:eastAsia="Calibri" w:hAnsi="Arial" w:cs="Arial"/>
                <w:sz w:val="22"/>
                <w:szCs w:val="22"/>
              </w:rPr>
              <w:t xml:space="preserve"> km of “not spots” by the end of 2025 (Vodafone, 2025).</w:t>
            </w:r>
          </w:p>
          <w:p w14:paraId="282CFDEF"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£700m annual synergies expected by year five; Group FY26 revenue up 8.0% to €40.5bn with operating profit of €2.8bn (Vodafone, 2026a).</w:t>
            </w:r>
          </w:p>
          <w:p w14:paraId="61167C82"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lastRenderedPageBreak/>
              <w:t xml:space="preserve">• Strong multi-brand portfolio (Vodafone, Three, VOXI, SMARTY, </w:t>
            </w:r>
            <w:proofErr w:type="spellStart"/>
            <w:r w:rsidRPr="00A4371E">
              <w:rPr>
                <w:rFonts w:ascii="Arial" w:eastAsia="Calibri" w:hAnsi="Arial" w:cs="Arial"/>
                <w:sz w:val="22"/>
                <w:szCs w:val="22"/>
              </w:rPr>
              <w:t>Talkmobile</w:t>
            </w:r>
            <w:proofErr w:type="spellEnd"/>
            <w:r w:rsidRPr="00A4371E">
              <w:rPr>
                <w:rFonts w:ascii="Arial" w:eastAsia="Calibri" w:hAnsi="Arial" w:cs="Arial"/>
                <w:sz w:val="22"/>
                <w:szCs w:val="22"/>
              </w:rPr>
              <w:t>) covering premium and value segments.</w:t>
            </w:r>
          </w:p>
        </w:tc>
        <w:tc>
          <w:tcPr>
            <w:tcW w:w="468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36B37A64"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lastRenderedPageBreak/>
              <w:t xml:space="preserve">• High leverage: Group net debt rose to €25.4bn in FY26, partly due to consolidating </w:t>
            </w:r>
            <w:proofErr w:type="spellStart"/>
            <w:r w:rsidRPr="00A4371E">
              <w:rPr>
                <w:rFonts w:ascii="Arial" w:eastAsia="Calibri" w:hAnsi="Arial" w:cs="Arial"/>
                <w:sz w:val="22"/>
                <w:szCs w:val="22"/>
              </w:rPr>
              <w:t>VodafoneThree</w:t>
            </w:r>
            <w:proofErr w:type="spellEnd"/>
            <w:r w:rsidRPr="00A4371E">
              <w:rPr>
                <w:rFonts w:ascii="Arial" w:eastAsia="Calibri" w:hAnsi="Arial" w:cs="Arial"/>
                <w:sz w:val="22"/>
                <w:szCs w:val="22"/>
              </w:rPr>
              <w:t xml:space="preserve"> debt (Vodafone, 2026a).</w:t>
            </w:r>
          </w:p>
          <w:p w14:paraId="1E6B2F23"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Large, complex integration of two networks, IT systems and cultures, with execution risk over several years.</w:t>
            </w:r>
          </w:p>
          <w:p w14:paraId="10FC1F45"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CMA price caps limit short-term pricing freedom on selected tariffs (CMA, 2024).</w:t>
            </w:r>
          </w:p>
          <w:p w14:paraId="33484D78"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Vodafone’s UK brand has historically trailed EE on perceived network quality, which takes time to change.</w:t>
            </w:r>
          </w:p>
        </w:tc>
      </w:tr>
      <w:tr w:rsidR="00373410" w:rsidRPr="00A4371E" w14:paraId="0DCDB2D0" w14:textId="77777777">
        <w:tc>
          <w:tcPr>
            <w:tcW w:w="4680"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hideMark/>
          </w:tcPr>
          <w:p w14:paraId="1E47A41F"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Opportunities</w:t>
            </w:r>
          </w:p>
        </w:tc>
        <w:tc>
          <w:tcPr>
            <w:tcW w:w="4680"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hideMark/>
          </w:tcPr>
          <w:p w14:paraId="3D70071D"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Threats</w:t>
            </w:r>
          </w:p>
        </w:tc>
      </w:tr>
      <w:tr w:rsidR="00373410" w:rsidRPr="00A4371E" w14:paraId="15C1DA51" w14:textId="77777777">
        <w:tc>
          <w:tcPr>
            <w:tcW w:w="468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27518FC9"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Booming data demand (+18% p.a.) and the 5G SA transition create room for premium connectivity products (Ofcom, 2025).</w:t>
            </w:r>
          </w:p>
          <w:p w14:paraId="7F05CAA9"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New 5G-enabled revenue: fixed wireless access broadband, IoT, private networks, smart cities and business digital services.</w:t>
            </w:r>
          </w:p>
          <w:p w14:paraId="1C3CC1E3"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Cross-selling and upselling across a 27m customer base to lift ARPU (IG, 2025).</w:t>
            </w:r>
          </w:p>
          <w:p w14:paraId="61E6EB1E"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xml:space="preserve">• Full ownership of </w:t>
            </w:r>
            <w:proofErr w:type="spellStart"/>
            <w:r w:rsidRPr="00A4371E">
              <w:rPr>
                <w:rFonts w:ascii="Arial" w:eastAsia="Calibri" w:hAnsi="Arial" w:cs="Arial"/>
                <w:sz w:val="22"/>
                <w:szCs w:val="22"/>
              </w:rPr>
              <w:t>VodafoneThree</w:t>
            </w:r>
            <w:proofErr w:type="spellEnd"/>
            <w:r w:rsidRPr="00A4371E">
              <w:rPr>
                <w:rFonts w:ascii="Arial" w:eastAsia="Calibri" w:hAnsi="Arial" w:cs="Arial"/>
                <w:sz w:val="22"/>
                <w:szCs w:val="22"/>
              </w:rPr>
              <w:t xml:space="preserve"> from 2026 simplifies governance and captures all synergies (Vodafone, 2026b).</w:t>
            </w:r>
          </w:p>
        </w:tc>
        <w:tc>
          <w:tcPr>
            <w:tcW w:w="468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72D6CCF0"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Aggressive competitive response from BT/EE and Virgin Media O2, including price wars.</w:t>
            </w:r>
          </w:p>
          <w:p w14:paraId="35811ABC"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Regulatory intervention if network commitments slip – the CMA and Ofcom monitor delivery annually (CMA, 2024).</w:t>
            </w:r>
          </w:p>
          <w:p w14:paraId="34EB6867"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Substitutes: expanding full fibre and satellite broadband eroding mobile data revenue (Ofcom, 2025).</w:t>
            </w:r>
          </w:p>
          <w:p w14:paraId="4611038C"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Integration failure or delay, which would postpone synergies and damage customer experience.</w:t>
            </w:r>
          </w:p>
        </w:tc>
      </w:tr>
    </w:tbl>
    <w:p w14:paraId="48E121B4" w14:textId="77777777" w:rsidR="00373410" w:rsidRPr="00A4371E" w:rsidRDefault="00373410" w:rsidP="00A4371E">
      <w:pPr>
        <w:spacing w:after="160" w:line="360" w:lineRule="auto"/>
        <w:jc w:val="both"/>
        <w:rPr>
          <w:rFonts w:ascii="Arial" w:eastAsia="Calibri" w:hAnsi="Arial" w:cs="Arial"/>
          <w:i/>
          <w:iCs/>
          <w:color w:val="595959"/>
          <w:sz w:val="22"/>
          <w:szCs w:val="22"/>
        </w:rPr>
      </w:pPr>
    </w:p>
    <w:p w14:paraId="7FD6CCC8"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The overall position is promising. Vodafone’s key strengths (scale, spectrum, a funded network plan) match directly onto the biggest opportunities (data growth and 5G SA services), which is exactly the alignment a growth strategy should exploit. The main constraints are debt, integration risk and regulation, and the proposed strategy must respect all three.</w:t>
      </w:r>
    </w:p>
    <w:p w14:paraId="6E7AFF0D" w14:textId="77777777" w:rsidR="00373410" w:rsidRPr="00A4371E" w:rsidRDefault="00373410" w:rsidP="00A4371E">
      <w:pPr>
        <w:pStyle w:val="Heading1"/>
        <w:spacing w:before="320" w:after="200" w:line="360" w:lineRule="auto"/>
        <w:rPr>
          <w:rFonts w:ascii="Arial" w:hAnsi="Arial" w:cs="Arial"/>
          <w:sz w:val="22"/>
          <w:szCs w:val="22"/>
        </w:rPr>
      </w:pPr>
      <w:r w:rsidRPr="00A4371E">
        <w:rPr>
          <w:rFonts w:ascii="Arial" w:eastAsia="Calibri" w:hAnsi="Arial" w:cs="Arial"/>
          <w:b/>
          <w:bCs/>
          <w:color w:val="1F3864"/>
          <w:sz w:val="22"/>
          <w:szCs w:val="22"/>
        </w:rPr>
        <w:t>4. Strategic Growth Options and Proposed Strategy</w:t>
      </w:r>
    </w:p>
    <w:p w14:paraId="7F979339" w14:textId="77777777" w:rsidR="00373410" w:rsidRPr="00A4371E" w:rsidRDefault="00373410" w:rsidP="00A4371E">
      <w:pPr>
        <w:pStyle w:val="Heading2"/>
        <w:spacing w:before="240" w:after="140" w:line="360" w:lineRule="auto"/>
        <w:rPr>
          <w:rFonts w:ascii="Arial" w:hAnsi="Arial" w:cs="Arial"/>
          <w:sz w:val="22"/>
          <w:szCs w:val="22"/>
        </w:rPr>
      </w:pPr>
      <w:r w:rsidRPr="00A4371E">
        <w:rPr>
          <w:rFonts w:ascii="Arial" w:eastAsia="Calibri" w:hAnsi="Arial" w:cs="Arial"/>
          <w:b/>
          <w:bCs/>
          <w:color w:val="2E5395"/>
          <w:sz w:val="22"/>
          <w:szCs w:val="22"/>
        </w:rPr>
        <w:t>4.1 Options using the Ansoff Matrix</w:t>
      </w:r>
    </w:p>
    <w:p w14:paraId="74F7FB7F"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The Ansoff Matrix identifies four growth directions based on products and markets (Ansoff, 1957):</w:t>
      </w:r>
    </w:p>
    <w:p w14:paraId="687838D6" w14:textId="77777777" w:rsidR="00373410" w:rsidRPr="00A4371E" w:rsidRDefault="00373410" w:rsidP="00A4371E">
      <w:pPr>
        <w:pStyle w:val="ListParagraph"/>
        <w:numPr>
          <w:ilvl w:val="0"/>
          <w:numId w:val="1"/>
        </w:numPr>
        <w:spacing w:after="100" w:line="360" w:lineRule="auto"/>
        <w:contextualSpacing w:val="0"/>
        <w:jc w:val="both"/>
        <w:rPr>
          <w:rFonts w:ascii="Arial" w:hAnsi="Arial" w:cs="Arial"/>
          <w:sz w:val="22"/>
          <w:szCs w:val="22"/>
        </w:rPr>
      </w:pPr>
      <w:r w:rsidRPr="00A4371E">
        <w:rPr>
          <w:rFonts w:ascii="Arial" w:eastAsia="Calibri" w:hAnsi="Arial" w:cs="Arial"/>
          <w:sz w:val="22"/>
          <w:szCs w:val="22"/>
        </w:rPr>
        <w:t>Market penetration (existing products, existing markets): grow share and reduce churn in UK mobile by converting the new network advantage into customer wins, migrating customers onto 5G plans and cross-selling across the five brands. This is the lowest-risk option and uses assets Vodafone already has.</w:t>
      </w:r>
    </w:p>
    <w:p w14:paraId="672953C3" w14:textId="77777777" w:rsidR="00373410" w:rsidRPr="00A4371E" w:rsidRDefault="00373410" w:rsidP="00A4371E">
      <w:pPr>
        <w:pStyle w:val="ListParagraph"/>
        <w:numPr>
          <w:ilvl w:val="0"/>
          <w:numId w:val="1"/>
        </w:numPr>
        <w:spacing w:after="100" w:line="360" w:lineRule="auto"/>
        <w:contextualSpacing w:val="0"/>
        <w:jc w:val="both"/>
        <w:rPr>
          <w:rFonts w:ascii="Arial" w:hAnsi="Arial" w:cs="Arial"/>
          <w:sz w:val="22"/>
          <w:szCs w:val="22"/>
        </w:rPr>
      </w:pPr>
      <w:r w:rsidRPr="00A4371E">
        <w:rPr>
          <w:rFonts w:ascii="Arial" w:eastAsia="Calibri" w:hAnsi="Arial" w:cs="Arial"/>
          <w:sz w:val="22"/>
          <w:szCs w:val="22"/>
        </w:rPr>
        <w:t xml:space="preserve">Product development (new products, existing markets): launch 5G SA-enabled products for existing UK customers, such as fixed wireless access (FWA) home broadband, IoT </w:t>
      </w:r>
      <w:r w:rsidRPr="00A4371E">
        <w:rPr>
          <w:rFonts w:ascii="Arial" w:eastAsia="Calibri" w:hAnsi="Arial" w:cs="Arial"/>
          <w:sz w:val="22"/>
          <w:szCs w:val="22"/>
        </w:rPr>
        <w:lastRenderedPageBreak/>
        <w:t>connectivity, private 5G networks for businesses and network slicing services. Ofcom (2025) data showing 53% growth in 5G traffic suggests real demand for these products.</w:t>
      </w:r>
    </w:p>
    <w:p w14:paraId="377F60DE" w14:textId="77777777" w:rsidR="00373410" w:rsidRPr="00A4371E" w:rsidRDefault="00373410" w:rsidP="00A4371E">
      <w:pPr>
        <w:pStyle w:val="ListParagraph"/>
        <w:numPr>
          <w:ilvl w:val="0"/>
          <w:numId w:val="1"/>
        </w:numPr>
        <w:spacing w:after="100" w:line="360" w:lineRule="auto"/>
        <w:contextualSpacing w:val="0"/>
        <w:jc w:val="both"/>
        <w:rPr>
          <w:rFonts w:ascii="Arial" w:hAnsi="Arial" w:cs="Arial"/>
          <w:sz w:val="22"/>
          <w:szCs w:val="22"/>
        </w:rPr>
      </w:pPr>
      <w:r w:rsidRPr="00A4371E">
        <w:rPr>
          <w:rFonts w:ascii="Arial" w:eastAsia="Calibri" w:hAnsi="Arial" w:cs="Arial"/>
          <w:sz w:val="22"/>
          <w:szCs w:val="22"/>
        </w:rPr>
        <w:t>Market development (existing products, new markets): geographic expansion is not realistic for a UK-licensed operator, but Vodafone could push existing services into under-served segments, such as rural areas newly covered by the merged network, or grow wholesale supply to MVNOs.</w:t>
      </w:r>
    </w:p>
    <w:p w14:paraId="2CB3F63F" w14:textId="77777777" w:rsidR="00373410" w:rsidRPr="00A4371E" w:rsidRDefault="00373410" w:rsidP="00A4371E">
      <w:pPr>
        <w:pStyle w:val="ListParagraph"/>
        <w:numPr>
          <w:ilvl w:val="0"/>
          <w:numId w:val="1"/>
        </w:numPr>
        <w:spacing w:after="100" w:line="360" w:lineRule="auto"/>
        <w:contextualSpacing w:val="0"/>
        <w:jc w:val="both"/>
        <w:rPr>
          <w:rFonts w:ascii="Arial" w:hAnsi="Arial" w:cs="Arial"/>
          <w:sz w:val="22"/>
          <w:szCs w:val="22"/>
        </w:rPr>
      </w:pPr>
      <w:r w:rsidRPr="00A4371E">
        <w:rPr>
          <w:rFonts w:ascii="Arial" w:eastAsia="Calibri" w:hAnsi="Arial" w:cs="Arial"/>
          <w:sz w:val="22"/>
          <w:szCs w:val="22"/>
        </w:rPr>
        <w:t>Diversification (new products, new markets): moving into areas such as financial services or media content. This is the highest-risk quadrant, and given Vodafone’s debt and integration workload, it would stretch management attention at exactly the wrong time.</w:t>
      </w:r>
    </w:p>
    <w:p w14:paraId="0EFAA150" w14:textId="77777777" w:rsidR="00373410" w:rsidRPr="00A4371E" w:rsidRDefault="00373410" w:rsidP="00A4371E">
      <w:pPr>
        <w:pStyle w:val="Heading2"/>
        <w:spacing w:before="240" w:after="140" w:line="360" w:lineRule="auto"/>
        <w:rPr>
          <w:rFonts w:ascii="Arial" w:hAnsi="Arial" w:cs="Arial"/>
          <w:sz w:val="22"/>
          <w:szCs w:val="22"/>
        </w:rPr>
      </w:pPr>
      <w:r w:rsidRPr="00A4371E">
        <w:rPr>
          <w:rFonts w:ascii="Arial" w:eastAsia="Calibri" w:hAnsi="Arial" w:cs="Arial"/>
          <w:b/>
          <w:bCs/>
          <w:color w:val="2E5395"/>
          <w:sz w:val="22"/>
          <w:szCs w:val="22"/>
        </w:rPr>
        <w:t>4.2 Proposed strategy and justification</w:t>
      </w:r>
    </w:p>
    <w:p w14:paraId="400B260C"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The recommended strategy is a combined market penetration and product development strategy, delivered through a differentiation positioning based on network quality (Porter, 1985). It can be summarised as: “Build the UK’s best network, use it to win and keep customers, and monetise it through new 5G services.”</w:t>
      </w:r>
    </w:p>
    <w:p w14:paraId="06BF65BE"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 xml:space="preserve">In Porter’s (1985) terms, Vodafone should compete as a differentiator, not a cost leader. Cost leadership would mean competing mainly on price, but the CMA’s tariff caps already constrain pricing, a price war would destroy the value of the £11 billion investment, and the value segment is already served by SMARTY, VOXI and </w:t>
      </w:r>
      <w:proofErr w:type="spellStart"/>
      <w:r w:rsidRPr="00A4371E">
        <w:rPr>
          <w:rFonts w:ascii="Arial" w:eastAsia="Calibri" w:hAnsi="Arial" w:cs="Arial"/>
          <w:sz w:val="22"/>
          <w:szCs w:val="22"/>
        </w:rPr>
        <w:t>Talkmobile</w:t>
      </w:r>
      <w:proofErr w:type="spellEnd"/>
      <w:r w:rsidRPr="00A4371E">
        <w:rPr>
          <w:rFonts w:ascii="Arial" w:eastAsia="Calibri" w:hAnsi="Arial" w:cs="Arial"/>
          <w:sz w:val="22"/>
          <w:szCs w:val="22"/>
        </w:rPr>
        <w:t xml:space="preserve">. Differentiation on coverage, speed and reliability is more defensible because the £11 billion, regulator-guaranteed network plan is genuinely hard for rivals to copy: </w:t>
      </w:r>
      <w:proofErr w:type="spellStart"/>
      <w:r w:rsidRPr="00A4371E">
        <w:rPr>
          <w:rFonts w:ascii="Arial" w:eastAsia="Calibri" w:hAnsi="Arial" w:cs="Arial"/>
          <w:sz w:val="22"/>
          <w:szCs w:val="22"/>
        </w:rPr>
        <w:t>VodafoneThree</w:t>
      </w:r>
      <w:proofErr w:type="spellEnd"/>
      <w:r w:rsidRPr="00A4371E">
        <w:rPr>
          <w:rFonts w:ascii="Arial" w:eastAsia="Calibri" w:hAnsi="Arial" w:cs="Arial"/>
          <w:sz w:val="22"/>
          <w:szCs w:val="22"/>
        </w:rPr>
        <w:t xml:space="preserve"> describes itself as the only UK operator with a fully funded and regulated network build plan, targeting 99% 5G SA population coverage by 2030 (</w:t>
      </w:r>
      <w:proofErr w:type="spellStart"/>
      <w:r w:rsidRPr="00A4371E">
        <w:rPr>
          <w:rFonts w:ascii="Arial" w:eastAsia="Calibri" w:hAnsi="Arial" w:cs="Arial"/>
          <w:sz w:val="22"/>
          <w:szCs w:val="22"/>
        </w:rPr>
        <w:t>VodafoneThree</w:t>
      </w:r>
      <w:proofErr w:type="spellEnd"/>
      <w:r w:rsidRPr="00A4371E">
        <w:rPr>
          <w:rFonts w:ascii="Arial" w:eastAsia="Calibri" w:hAnsi="Arial" w:cs="Arial"/>
          <w:sz w:val="22"/>
          <w:szCs w:val="22"/>
        </w:rPr>
        <w:t>, 2025). Early evidence supports the logic, since network sharing has already improved speeds and removed thousands of square kilometres of not spots (Vodafone, 2025).</w:t>
      </w:r>
    </w:p>
    <w:p w14:paraId="77AED328"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The penetration element grows the core: winning share from EE and O2, cutting churn through better customer experience, and upselling the 27 million customer base. The product development element builds the future: FWA broadband attacks the fixed market without needing to dig fibre everywhere, and business products such as IoT and private networks ride demand that Vodafone Group is already seeing, with double-digit growth in digital services revenue in FY26 (Vodafone, 2026a).</w:t>
      </w:r>
    </w:p>
    <w:p w14:paraId="08E79B06"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Finally, the strategy fits Vodafone’s purpose and values. “We connect for a better future” is directly served by wider coverage and closing digital divides, and the CMA-monitored build plan turns that purpose into a measurable public commitment (CMA, 2024). A growth strategy based on connecting more people, better, is one the board can defend to every stakeholder.</w:t>
      </w:r>
    </w:p>
    <w:p w14:paraId="3832E177" w14:textId="77777777" w:rsidR="00373410" w:rsidRPr="00A4371E" w:rsidRDefault="00373410" w:rsidP="00A4371E">
      <w:pPr>
        <w:pStyle w:val="Heading1"/>
        <w:spacing w:before="320" w:after="200" w:line="360" w:lineRule="auto"/>
        <w:rPr>
          <w:rFonts w:ascii="Arial" w:hAnsi="Arial" w:cs="Arial"/>
          <w:sz w:val="22"/>
          <w:szCs w:val="22"/>
        </w:rPr>
      </w:pPr>
      <w:r w:rsidRPr="00A4371E">
        <w:rPr>
          <w:rFonts w:ascii="Arial" w:eastAsia="Calibri" w:hAnsi="Arial" w:cs="Arial"/>
          <w:b/>
          <w:bCs/>
          <w:color w:val="1F3864"/>
          <w:sz w:val="22"/>
          <w:szCs w:val="22"/>
        </w:rPr>
        <w:lastRenderedPageBreak/>
        <w:t>5. Strategy Evaluation (SFA Framework)</w:t>
      </w:r>
    </w:p>
    <w:p w14:paraId="1300531F"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Johnson et al. (2020) evaluate strategic options against three criteria: Suitability, Feasibility and Acceptability (SFA). Table 3 applies these to the proposed strategy.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7660"/>
      </w:tblGrid>
      <w:tr w:rsidR="00373410" w:rsidRPr="00A4371E" w14:paraId="2A2F146F" w14:textId="77777777">
        <w:tc>
          <w:tcPr>
            <w:tcW w:w="1700"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hideMark/>
          </w:tcPr>
          <w:p w14:paraId="0E818B48"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Criterion</w:t>
            </w:r>
          </w:p>
        </w:tc>
        <w:tc>
          <w:tcPr>
            <w:tcW w:w="7660"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hideMark/>
          </w:tcPr>
          <w:p w14:paraId="1AC8F36B"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Assessment</w:t>
            </w:r>
          </w:p>
        </w:tc>
      </w:tr>
      <w:tr w:rsidR="00373410" w:rsidRPr="00A4371E" w14:paraId="420842A5" w14:textId="77777777">
        <w:tc>
          <w:tcPr>
            <w:tcW w:w="17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6B2FA184"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Suitability</w:t>
            </w:r>
          </w:p>
        </w:tc>
        <w:tc>
          <w:tcPr>
            <w:tcW w:w="76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1D5431D4"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Does it address the environment? Yes. It exploits the strongest external trends (18% annual data growth, the 5G SA transition, rural coverage gaps) using the strongest internal resources (scale, spectrum, the funded network plan). It also works within, rather than against, the CMA remedies, because the investment is itself the legal commitment (Ofcom, 2025; CMA, 2024).</w:t>
            </w:r>
          </w:p>
        </w:tc>
      </w:tr>
      <w:tr w:rsidR="00373410" w:rsidRPr="00A4371E" w14:paraId="48271F5B" w14:textId="77777777">
        <w:tc>
          <w:tcPr>
            <w:tcW w:w="17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51F1895C"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Feasibility</w:t>
            </w:r>
          </w:p>
        </w:tc>
        <w:tc>
          <w:tcPr>
            <w:tcW w:w="76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3A2F6AF6"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 xml:space="preserve">Can it be resourced? Broadly yes. The £11bn plan is funded, with £1.3bn capex in year one, and £700m of annual synergies are expected by year five to help pay for it (Vodafone, 2025). Group FY26 results show revenue of €40.5bn and adjusted </w:t>
            </w:r>
            <w:proofErr w:type="spellStart"/>
            <w:r w:rsidRPr="00A4371E">
              <w:rPr>
                <w:rFonts w:ascii="Arial" w:eastAsia="Calibri" w:hAnsi="Arial" w:cs="Arial"/>
                <w:sz w:val="22"/>
                <w:szCs w:val="22"/>
              </w:rPr>
              <w:t>EBITDAaL</w:t>
            </w:r>
            <w:proofErr w:type="spellEnd"/>
            <w:r w:rsidRPr="00A4371E">
              <w:rPr>
                <w:rFonts w:ascii="Arial" w:eastAsia="Calibri" w:hAnsi="Arial" w:cs="Arial"/>
                <w:sz w:val="22"/>
                <w:szCs w:val="22"/>
              </w:rPr>
              <w:t xml:space="preserve"> of €11.4bn, giving financial capacity, although net debt of €25.4bn means capital discipline is essential (Vodafone, 2026a). The main feasibility risk is not money but execution: integrating two networks and IT estates at pace.</w:t>
            </w:r>
          </w:p>
        </w:tc>
      </w:tr>
      <w:tr w:rsidR="00373410" w:rsidRPr="00A4371E" w14:paraId="1479ABAF" w14:textId="77777777">
        <w:tc>
          <w:tcPr>
            <w:tcW w:w="17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1FEAC48C"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Acceptability</w:t>
            </w:r>
          </w:p>
        </w:tc>
        <w:tc>
          <w:tcPr>
            <w:tcW w:w="766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0C82E436"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Are returns, risk and stakeholder reactions acceptable? Returns: the transaction is expected to become accretive to adjusted free cash flow from FY29, and the strategy raises ARPU through 5G products rather than price rises (Vodafone, 2025). Risk: integration and competitive response are the main risks, mitigated by phased rollout and the multi-brand portfolio. Stakeholders: regulators support the plan they approved, customers gain coverage and capped tariffs, and shareholders saw the dividend raised 2.5% in FY26, suggesting board confidence (Vodafone, 2026a).</w:t>
            </w:r>
          </w:p>
        </w:tc>
      </w:tr>
    </w:tbl>
    <w:p w14:paraId="1ABC17AB" w14:textId="77777777" w:rsidR="00373410" w:rsidRPr="00A4371E" w:rsidRDefault="00373410" w:rsidP="00A4371E">
      <w:pPr>
        <w:spacing w:after="160" w:line="360" w:lineRule="auto"/>
        <w:jc w:val="both"/>
        <w:rPr>
          <w:rFonts w:ascii="Arial" w:eastAsia="Calibri" w:hAnsi="Arial" w:cs="Arial"/>
          <w:i/>
          <w:iCs/>
          <w:color w:val="595959"/>
          <w:sz w:val="22"/>
          <w:szCs w:val="22"/>
        </w:rPr>
      </w:pPr>
    </w:p>
    <w:p w14:paraId="3CE4AC59"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b/>
          <w:bCs/>
          <w:sz w:val="22"/>
          <w:szCs w:val="22"/>
        </w:rPr>
        <w:t xml:space="preserve">Assumptions. </w:t>
      </w:r>
      <w:r w:rsidRPr="00A4371E">
        <w:rPr>
          <w:rFonts w:ascii="Arial" w:eastAsia="Calibri" w:hAnsi="Arial" w:cs="Arial"/>
          <w:sz w:val="22"/>
          <w:szCs w:val="22"/>
        </w:rPr>
        <w:t>Where internal data is not public, this report makes the following assumptions: (1) merger integration and synergy delivery remain broadly on schedule, as suggested by the progress reported at the time of the CK Hutchison buyout (Vodafone, 2026b); (2) internal figures such as churn, UK ARPU and exact brand-level market shares are not disclosed, so the analysis assumes they are in line with typical UK operator levels; and (3) the network plan continues to be funded from operating cash flow and existing facilities without new equity. On this basis, the strategy passes all three SFA tests and is recommended to the board.</w:t>
      </w:r>
    </w:p>
    <w:p w14:paraId="2BB4B923" w14:textId="77777777" w:rsidR="00373410" w:rsidRPr="00A4371E" w:rsidRDefault="00373410" w:rsidP="00A4371E">
      <w:pPr>
        <w:pStyle w:val="Heading1"/>
        <w:spacing w:before="320" w:after="200" w:line="360" w:lineRule="auto"/>
        <w:rPr>
          <w:rFonts w:ascii="Arial" w:hAnsi="Arial" w:cs="Arial"/>
          <w:sz w:val="22"/>
          <w:szCs w:val="22"/>
        </w:rPr>
      </w:pPr>
      <w:r w:rsidRPr="00A4371E">
        <w:rPr>
          <w:rFonts w:ascii="Arial" w:eastAsia="Calibri" w:hAnsi="Arial" w:cs="Arial"/>
          <w:b/>
          <w:bCs/>
          <w:color w:val="1F3864"/>
          <w:sz w:val="22"/>
          <w:szCs w:val="22"/>
        </w:rPr>
        <w:lastRenderedPageBreak/>
        <w:t>6. Stakeholder Analysis</w:t>
      </w:r>
    </w:p>
    <w:p w14:paraId="4F2F2F48"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Stakeholder theory argues that a strategy succeeds only if the organisation manages the groups who affect, or are affected by, it (Freeman, 1984). Mendelow’s (1991) power/interest matrix helps prioritise them.</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3930"/>
        <w:gridCol w:w="3930"/>
      </w:tblGrid>
      <w:tr w:rsidR="00373410" w:rsidRPr="00A4371E" w14:paraId="2112E08E" w14:textId="77777777">
        <w:tc>
          <w:tcPr>
            <w:tcW w:w="1500"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tcPr>
          <w:p w14:paraId="6035C681" w14:textId="77777777" w:rsidR="00373410" w:rsidRPr="00A4371E" w:rsidRDefault="00373410" w:rsidP="00A4371E">
            <w:pPr>
              <w:spacing w:after="40" w:line="360" w:lineRule="auto"/>
              <w:rPr>
                <w:rFonts w:ascii="Arial" w:hAnsi="Arial" w:cs="Arial"/>
                <w:sz w:val="22"/>
                <w:szCs w:val="22"/>
              </w:rPr>
            </w:pPr>
          </w:p>
        </w:tc>
        <w:tc>
          <w:tcPr>
            <w:tcW w:w="3930"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hideMark/>
          </w:tcPr>
          <w:p w14:paraId="0A0D2B8B"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Low interest</w:t>
            </w:r>
          </w:p>
        </w:tc>
        <w:tc>
          <w:tcPr>
            <w:tcW w:w="3930"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hideMark/>
          </w:tcPr>
          <w:p w14:paraId="364C1D75"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High interest</w:t>
            </w:r>
          </w:p>
        </w:tc>
      </w:tr>
      <w:tr w:rsidR="00373410" w:rsidRPr="00A4371E" w14:paraId="5A009447" w14:textId="77777777">
        <w:tc>
          <w:tcPr>
            <w:tcW w:w="15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6C3D7343"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High power</w:t>
            </w:r>
          </w:p>
        </w:tc>
        <w:tc>
          <w:tcPr>
            <w:tcW w:w="393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0C7BBCB7"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Keep satisfied: UK Government / DSIT – interested in national connectivity outcomes rather than daily operations.</w:t>
            </w:r>
          </w:p>
        </w:tc>
        <w:tc>
          <w:tcPr>
            <w:tcW w:w="393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02037733"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Manage closely: CMA and Ofcom (enforce binding commitments); Vodafone Group board and shareholders; CK Hutchison until the buyout completes.</w:t>
            </w:r>
          </w:p>
        </w:tc>
      </w:tr>
      <w:tr w:rsidR="00373410" w:rsidRPr="00A4371E" w14:paraId="7DB10338" w14:textId="77777777">
        <w:tc>
          <w:tcPr>
            <w:tcW w:w="15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63453CD6"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Low power</w:t>
            </w:r>
          </w:p>
        </w:tc>
        <w:tc>
          <w:tcPr>
            <w:tcW w:w="393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723BD4CD"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Monitor: public, media, local communities near new mast sites.</w:t>
            </w:r>
          </w:p>
        </w:tc>
        <w:tc>
          <w:tcPr>
            <w:tcW w:w="393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7C5FAE5C"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Keep informed: customers of all five brands; employees affected by integration; MVNO wholesale partners protected by CMA terms.</w:t>
            </w:r>
          </w:p>
        </w:tc>
      </w:tr>
    </w:tbl>
    <w:p w14:paraId="0AD568AB" w14:textId="77777777" w:rsidR="00373410" w:rsidRPr="00A4371E" w:rsidRDefault="00373410" w:rsidP="00A4371E">
      <w:pPr>
        <w:spacing w:after="160" w:line="360" w:lineRule="auto"/>
        <w:jc w:val="both"/>
        <w:rPr>
          <w:rFonts w:ascii="Arial" w:eastAsia="Calibri" w:hAnsi="Arial" w:cs="Arial"/>
          <w:i/>
          <w:iCs/>
          <w:color w:val="595959"/>
          <w:sz w:val="22"/>
          <w:szCs w:val="22"/>
        </w:rPr>
      </w:pPr>
    </w:p>
    <w:p w14:paraId="381D1C32"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Engagement plan. Regulators (manage closely): publish the required annual network progress report, hold quarterly compliance reviews and give early warning of any delays, because losing regulator trust is the single biggest strategic risk (CMA, 2024). Shareholders (manage closely): report synergy delivery and free cash flow milestones at each results announcement. Customers (keep informed): communicate concrete benefits, such as coverage gains and speed improvements, honestly and early, and honour the capped tariffs. Employees (keep informed): integration creates uncertainty about overlapping roles, so leadership should run regular town halls, consult early where roles change and retrain staff into network build roles where possible. MVNOs (keep informed): apply the pre-set wholesale terms transparently to avoid disputes. This plan concentrates effort where power and interest are highest while keeping lower-power groups genuinely informed rather than ignored.</w:t>
      </w:r>
    </w:p>
    <w:p w14:paraId="4FCF8D38" w14:textId="77777777" w:rsidR="00373410" w:rsidRPr="00A4371E" w:rsidRDefault="00373410" w:rsidP="00A4371E">
      <w:pPr>
        <w:pStyle w:val="Heading1"/>
        <w:spacing w:before="320" w:after="200" w:line="360" w:lineRule="auto"/>
        <w:rPr>
          <w:rFonts w:ascii="Arial" w:hAnsi="Arial" w:cs="Arial"/>
          <w:sz w:val="22"/>
          <w:szCs w:val="22"/>
        </w:rPr>
      </w:pPr>
      <w:r w:rsidRPr="00A4371E">
        <w:rPr>
          <w:rFonts w:ascii="Arial" w:eastAsia="Calibri" w:hAnsi="Arial" w:cs="Arial"/>
          <w:b/>
          <w:bCs/>
          <w:color w:val="1F3864"/>
          <w:sz w:val="22"/>
          <w:szCs w:val="22"/>
        </w:rPr>
        <w:t>7. Implementation and Monitoring</w:t>
      </w:r>
    </w:p>
    <w:p w14:paraId="68697C20"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The strategy should be implemented in three phases over five years, with progress monitored through a small set of KPIs reviewed quarterly by the board. Measurable targets follow good practice in linking strategy to performance measurement (Kaplan and Norton, 1996).</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3510"/>
        <w:gridCol w:w="3510"/>
      </w:tblGrid>
      <w:tr w:rsidR="00373410" w:rsidRPr="00A4371E" w14:paraId="683A0B92" w14:textId="77777777">
        <w:tc>
          <w:tcPr>
            <w:tcW w:w="2340"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hideMark/>
          </w:tcPr>
          <w:p w14:paraId="31CBCF36"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Objective</w:t>
            </w:r>
          </w:p>
        </w:tc>
        <w:tc>
          <w:tcPr>
            <w:tcW w:w="3510"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hideMark/>
          </w:tcPr>
          <w:p w14:paraId="72D9208F"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Key actions</w:t>
            </w:r>
          </w:p>
        </w:tc>
        <w:tc>
          <w:tcPr>
            <w:tcW w:w="3510"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hideMark/>
          </w:tcPr>
          <w:p w14:paraId="0EC2F4E7"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b/>
                <w:bCs/>
                <w:sz w:val="22"/>
                <w:szCs w:val="22"/>
              </w:rPr>
              <w:t>KPIs and targets</w:t>
            </w:r>
          </w:p>
        </w:tc>
      </w:tr>
      <w:tr w:rsidR="00373410" w:rsidRPr="00A4371E" w14:paraId="1B5E554E" w14:textId="77777777">
        <w:tc>
          <w:tcPr>
            <w:tcW w:w="234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15DACF16"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lastRenderedPageBreak/>
              <w:t>1. Build the network advantage (Years 1–3)</w:t>
            </w:r>
          </w:p>
        </w:tc>
        <w:tc>
          <w:tcPr>
            <w:tcW w:w="351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064739D1"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Deliver the £11bn build plan, starting with £1.3bn year-one capex.</w:t>
            </w:r>
          </w:p>
          <w:p w14:paraId="7581AA97"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Complete network sharing and site consolidation.</w:t>
            </w:r>
          </w:p>
          <w:p w14:paraId="0A7A4E62"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Prioritise not-spot elimination and rural coverage.</w:t>
            </w:r>
          </w:p>
        </w:tc>
        <w:tc>
          <w:tcPr>
            <w:tcW w:w="351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111DABE5"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5G SA population coverage: on track for 99% by 2030.</w:t>
            </w:r>
          </w:p>
          <w:p w14:paraId="3A581CB3"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xml:space="preserve">• </w:t>
            </w:r>
            <w:proofErr w:type="spellStart"/>
            <w:r w:rsidRPr="00A4371E">
              <w:rPr>
                <w:rFonts w:ascii="Arial" w:eastAsia="Calibri" w:hAnsi="Arial" w:cs="Arial"/>
                <w:sz w:val="22"/>
                <w:szCs w:val="22"/>
              </w:rPr>
              <w:t>Sq</w:t>
            </w:r>
            <w:proofErr w:type="spellEnd"/>
            <w:r w:rsidRPr="00A4371E">
              <w:rPr>
                <w:rFonts w:ascii="Arial" w:eastAsia="Calibri" w:hAnsi="Arial" w:cs="Arial"/>
                <w:sz w:val="22"/>
                <w:szCs w:val="22"/>
              </w:rPr>
              <w:t xml:space="preserve"> km of not spots removed per year.</w:t>
            </w:r>
          </w:p>
          <w:p w14:paraId="6151D4D2"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Independent network test rankings (e.g. best UK network by Year 3).</w:t>
            </w:r>
          </w:p>
        </w:tc>
      </w:tr>
      <w:tr w:rsidR="00373410" w:rsidRPr="00A4371E" w14:paraId="290B3190" w14:textId="77777777">
        <w:tc>
          <w:tcPr>
            <w:tcW w:w="234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0CFB6316"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2. Win and keep customers (Years 1–5)</w:t>
            </w:r>
          </w:p>
        </w:tc>
        <w:tc>
          <w:tcPr>
            <w:tcW w:w="351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2314FCFD"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Migrate the base to 5G plans; cross-sell across the five brands.</w:t>
            </w:r>
          </w:p>
          <w:p w14:paraId="773A4003"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Improve customer service to cut churn.</w:t>
            </w:r>
          </w:p>
          <w:p w14:paraId="10B6A595"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Honour CMA tariff caps and communicate benefits clearly.</w:t>
            </w:r>
          </w:p>
        </w:tc>
        <w:tc>
          <w:tcPr>
            <w:tcW w:w="351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49FB0D96"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Net customer additions per quarter.</w:t>
            </w:r>
          </w:p>
          <w:p w14:paraId="3F44FFC5"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Churn rate reduced year-on-year.</w:t>
            </w:r>
          </w:p>
          <w:p w14:paraId="5514FEF5"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NPS / customer satisfaction improvement.</w:t>
            </w:r>
          </w:p>
          <w:p w14:paraId="2185E767"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ARPU growth without breaching capped tariffs.</w:t>
            </w:r>
          </w:p>
        </w:tc>
      </w:tr>
      <w:tr w:rsidR="00373410" w:rsidRPr="00A4371E" w14:paraId="6E100135" w14:textId="77777777">
        <w:tc>
          <w:tcPr>
            <w:tcW w:w="234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2D791E4E"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3. Monetise 5G services (Years 2–5)</w:t>
            </w:r>
          </w:p>
        </w:tc>
        <w:tc>
          <w:tcPr>
            <w:tcW w:w="351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1A8C6AA2"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Launch FWA home broadband at national scale.</w:t>
            </w:r>
          </w:p>
          <w:p w14:paraId="17E38998"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Expand IoT, private 5G networks and business digital services.</w:t>
            </w:r>
          </w:p>
          <w:p w14:paraId="0F223D4D"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Partner with councils and enterprises on smart city pilots.</w:t>
            </w:r>
          </w:p>
        </w:tc>
        <w:tc>
          <w:tcPr>
            <w:tcW w:w="351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2F96657A"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FWA subscriber growth.</w:t>
            </w:r>
          </w:p>
          <w:p w14:paraId="37BFBD22"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Double-digit annual growth in business digital services revenue (Vodafone, 2026a).</w:t>
            </w:r>
          </w:p>
          <w:p w14:paraId="51C78396"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Share of revenue from new 5G services.</w:t>
            </w:r>
          </w:p>
        </w:tc>
      </w:tr>
      <w:tr w:rsidR="00373410" w:rsidRPr="00A4371E" w14:paraId="38B05D10" w14:textId="77777777">
        <w:tc>
          <w:tcPr>
            <w:tcW w:w="234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770B47C9" w14:textId="77777777" w:rsidR="00373410" w:rsidRPr="00A4371E" w:rsidRDefault="00373410" w:rsidP="00A4371E">
            <w:pPr>
              <w:spacing w:after="40" w:line="360" w:lineRule="auto"/>
              <w:rPr>
                <w:rFonts w:ascii="Arial" w:hAnsi="Arial" w:cs="Arial"/>
                <w:sz w:val="22"/>
                <w:szCs w:val="22"/>
              </w:rPr>
            </w:pPr>
            <w:r w:rsidRPr="00A4371E">
              <w:rPr>
                <w:rFonts w:ascii="Arial" w:eastAsia="Calibri" w:hAnsi="Arial" w:cs="Arial"/>
                <w:sz w:val="22"/>
                <w:szCs w:val="22"/>
              </w:rPr>
              <w:t>4. Deliver synergies and financial discipline (Years 1–5)</w:t>
            </w:r>
          </w:p>
        </w:tc>
        <w:tc>
          <w:tcPr>
            <w:tcW w:w="351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06CDDBD7"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Integrate IT systems and remove duplicated costs.</w:t>
            </w:r>
          </w:p>
          <w:p w14:paraId="22777749"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Track synergy delivery against the £700m annual target.</w:t>
            </w:r>
          </w:p>
          <w:p w14:paraId="5C27FD7D"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Keep leverage within Group policy.</w:t>
            </w:r>
          </w:p>
        </w:tc>
        <w:tc>
          <w:tcPr>
            <w:tcW w:w="351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hideMark/>
          </w:tcPr>
          <w:p w14:paraId="053499AD"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Cumulative synergies realised (£m) vs plan.</w:t>
            </w:r>
          </w:p>
          <w:p w14:paraId="4DF83F97"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Adjusted free cash flow accretive from FY29 (Vodafone, 2025).</w:t>
            </w:r>
          </w:p>
          <w:p w14:paraId="47AC511B" w14:textId="77777777" w:rsidR="00373410" w:rsidRPr="00A4371E" w:rsidRDefault="00373410" w:rsidP="00A4371E">
            <w:pPr>
              <w:spacing w:after="60" w:line="360" w:lineRule="auto"/>
              <w:rPr>
                <w:rFonts w:ascii="Arial" w:hAnsi="Arial" w:cs="Arial"/>
                <w:sz w:val="22"/>
                <w:szCs w:val="22"/>
              </w:rPr>
            </w:pPr>
            <w:r w:rsidRPr="00A4371E">
              <w:rPr>
                <w:rFonts w:ascii="Arial" w:eastAsia="Calibri" w:hAnsi="Arial" w:cs="Arial"/>
                <w:sz w:val="22"/>
                <w:szCs w:val="22"/>
              </w:rPr>
              <w:t xml:space="preserve">• Net debt / </w:t>
            </w:r>
            <w:proofErr w:type="spellStart"/>
            <w:r w:rsidRPr="00A4371E">
              <w:rPr>
                <w:rFonts w:ascii="Arial" w:eastAsia="Calibri" w:hAnsi="Arial" w:cs="Arial"/>
                <w:sz w:val="22"/>
                <w:szCs w:val="22"/>
              </w:rPr>
              <w:t>EBITDAaL</w:t>
            </w:r>
            <w:proofErr w:type="spellEnd"/>
            <w:r w:rsidRPr="00A4371E">
              <w:rPr>
                <w:rFonts w:ascii="Arial" w:eastAsia="Calibri" w:hAnsi="Arial" w:cs="Arial"/>
                <w:sz w:val="22"/>
                <w:szCs w:val="22"/>
              </w:rPr>
              <w:t xml:space="preserve"> within the 2.25x–2.75x policy range (Vodafone, 2026a).</w:t>
            </w:r>
          </w:p>
        </w:tc>
      </w:tr>
    </w:tbl>
    <w:p w14:paraId="60EF0A00" w14:textId="77777777" w:rsidR="00373410" w:rsidRPr="00A4371E" w:rsidRDefault="00373410" w:rsidP="00A4371E">
      <w:pPr>
        <w:spacing w:after="160" w:line="360" w:lineRule="auto"/>
        <w:jc w:val="both"/>
        <w:rPr>
          <w:rFonts w:ascii="Arial" w:eastAsia="Calibri" w:hAnsi="Arial" w:cs="Arial"/>
          <w:i/>
          <w:iCs/>
          <w:color w:val="595959"/>
          <w:sz w:val="22"/>
          <w:szCs w:val="22"/>
        </w:rPr>
      </w:pPr>
    </w:p>
    <w:p w14:paraId="4D5F7E03"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lastRenderedPageBreak/>
        <w:t>Monitoring should follow a simple rhythm: monthly integration dashboards for the executive team, quarterly KPI reviews at board level, and the annual network report required by the CMA. If any KPI falls materially behind for two consecutive quarters, a formal corrective-action review should be triggered so problems are fixed early rather than explained late.</w:t>
      </w:r>
    </w:p>
    <w:p w14:paraId="63721506" w14:textId="77777777" w:rsidR="00373410" w:rsidRPr="00A4371E" w:rsidRDefault="00373410" w:rsidP="00A4371E">
      <w:pPr>
        <w:pStyle w:val="Heading1"/>
        <w:spacing w:before="320" w:after="200" w:line="360" w:lineRule="auto"/>
        <w:rPr>
          <w:rFonts w:ascii="Arial" w:hAnsi="Arial" w:cs="Arial"/>
          <w:sz w:val="22"/>
          <w:szCs w:val="22"/>
        </w:rPr>
      </w:pPr>
      <w:r w:rsidRPr="00A4371E">
        <w:rPr>
          <w:rFonts w:ascii="Arial" w:eastAsia="Calibri" w:hAnsi="Arial" w:cs="Arial"/>
          <w:b/>
          <w:bCs/>
          <w:color w:val="1F3864"/>
          <w:sz w:val="22"/>
          <w:szCs w:val="22"/>
        </w:rPr>
        <w:t>8. Conclusion</w:t>
      </w:r>
    </w:p>
    <w:p w14:paraId="2A9D8283" w14:textId="77777777" w:rsidR="00373410" w:rsidRPr="00A4371E" w:rsidRDefault="00373410" w:rsidP="00A4371E">
      <w:pPr>
        <w:spacing w:after="160" w:line="360" w:lineRule="auto"/>
        <w:jc w:val="both"/>
        <w:rPr>
          <w:rFonts w:ascii="Arial" w:hAnsi="Arial" w:cs="Arial"/>
          <w:sz w:val="22"/>
          <w:szCs w:val="22"/>
        </w:rPr>
      </w:pPr>
      <w:r w:rsidRPr="00A4371E">
        <w:rPr>
          <w:rFonts w:ascii="Arial" w:eastAsia="Calibri" w:hAnsi="Arial" w:cs="Arial"/>
          <w:sz w:val="22"/>
          <w:szCs w:val="22"/>
        </w:rPr>
        <w:t xml:space="preserve">Vodafone enters this period from a position of real strength: the </w:t>
      </w:r>
      <w:proofErr w:type="spellStart"/>
      <w:r w:rsidRPr="00A4371E">
        <w:rPr>
          <w:rFonts w:ascii="Arial" w:eastAsia="Calibri" w:hAnsi="Arial" w:cs="Arial"/>
          <w:sz w:val="22"/>
          <w:szCs w:val="22"/>
        </w:rPr>
        <w:t>VodafoneThree</w:t>
      </w:r>
      <w:proofErr w:type="spellEnd"/>
      <w:r w:rsidRPr="00A4371E">
        <w:rPr>
          <w:rFonts w:ascii="Arial" w:eastAsia="Calibri" w:hAnsi="Arial" w:cs="Arial"/>
          <w:sz w:val="22"/>
          <w:szCs w:val="22"/>
        </w:rPr>
        <w:t xml:space="preserve"> merger has created the UK’s largest mobile operator with a legally guaranteed £11 billion network plan, and Group results confirm the turnaround is working, with FY26 revenue up 8% and a return to operating profit (Vodafone, 2026a). The environmental analysis shows fierce rivalry and strong regulation, but also fast-growing data demand that rewards the operator with the best network. This report therefore recommends a differentiation-based strategy combining market penetration and 5G product development: build the best network, win and keep customers with it, and monetise it through FWA, IoT and business digital services. The strategy passes the SFA tests, aligns with Vodafone’s purpose of connecting for a better future, and comes with a clear stakeholder and implementation plan. The board’s task now is disciplined execution.</w:t>
      </w:r>
    </w:p>
    <w:p w14:paraId="77A4B4AD" w14:textId="77777777" w:rsidR="00373410" w:rsidRPr="00A4371E" w:rsidRDefault="00373410" w:rsidP="00A4371E">
      <w:pPr>
        <w:pStyle w:val="Heading1"/>
        <w:spacing w:before="320" w:after="200" w:line="360" w:lineRule="auto"/>
        <w:rPr>
          <w:rFonts w:ascii="Arial" w:hAnsi="Arial" w:cs="Arial"/>
          <w:sz w:val="22"/>
          <w:szCs w:val="22"/>
        </w:rPr>
      </w:pPr>
      <w:r w:rsidRPr="00A4371E">
        <w:rPr>
          <w:rFonts w:ascii="Arial" w:eastAsia="Calibri" w:hAnsi="Arial" w:cs="Arial"/>
          <w:b/>
          <w:bCs/>
          <w:color w:val="1F3864"/>
          <w:sz w:val="22"/>
          <w:szCs w:val="22"/>
        </w:rPr>
        <w:t>References</w:t>
      </w:r>
    </w:p>
    <w:p w14:paraId="04B44FEE" w14:textId="77777777" w:rsidR="00373410" w:rsidRPr="00A4371E" w:rsidRDefault="00373410" w:rsidP="00A4371E">
      <w:pPr>
        <w:spacing w:after="140" w:line="360" w:lineRule="auto"/>
        <w:ind w:left="720" w:hanging="720"/>
        <w:rPr>
          <w:rFonts w:ascii="Arial" w:hAnsi="Arial" w:cs="Arial"/>
          <w:sz w:val="22"/>
          <w:szCs w:val="22"/>
        </w:rPr>
      </w:pPr>
      <w:r w:rsidRPr="00A4371E">
        <w:rPr>
          <w:rFonts w:ascii="Arial" w:eastAsia="Calibri" w:hAnsi="Arial" w:cs="Arial"/>
          <w:sz w:val="22"/>
          <w:szCs w:val="22"/>
        </w:rPr>
        <w:t>Ansoff, H.I. (1957) ‘Strategies for diversification’, Harvard Business Review, 35(5), pp. 113–124.</w:t>
      </w:r>
    </w:p>
    <w:p w14:paraId="146B1356" w14:textId="77777777" w:rsidR="00373410" w:rsidRPr="00A4371E" w:rsidRDefault="00373410" w:rsidP="00A4371E">
      <w:pPr>
        <w:spacing w:after="140" w:line="360" w:lineRule="auto"/>
        <w:ind w:left="720" w:hanging="720"/>
        <w:rPr>
          <w:rFonts w:ascii="Arial" w:hAnsi="Arial" w:cs="Arial"/>
          <w:sz w:val="22"/>
          <w:szCs w:val="22"/>
        </w:rPr>
      </w:pPr>
      <w:r w:rsidRPr="00A4371E">
        <w:rPr>
          <w:rFonts w:ascii="Arial" w:eastAsia="Calibri" w:hAnsi="Arial" w:cs="Arial"/>
          <w:sz w:val="22"/>
          <w:szCs w:val="22"/>
        </w:rPr>
        <w:t>Competition and Markets Authority (CMA) (2024) CMA clears Vodafone / Three merger, subject to legally binding commitments. 5 December. Available at: https://www.gov.uk/government/news/cma-clears-vodafone-three-merger-subject-to-legally-binding-commitments (Accessed: 11 July 2026).</w:t>
      </w:r>
    </w:p>
    <w:p w14:paraId="6AD194B8" w14:textId="77777777" w:rsidR="00373410" w:rsidRPr="00A4371E" w:rsidRDefault="00373410" w:rsidP="00A4371E">
      <w:pPr>
        <w:spacing w:after="140" w:line="360" w:lineRule="auto"/>
        <w:ind w:left="720" w:hanging="720"/>
        <w:rPr>
          <w:rFonts w:ascii="Arial" w:hAnsi="Arial" w:cs="Arial"/>
          <w:sz w:val="22"/>
          <w:szCs w:val="22"/>
        </w:rPr>
      </w:pPr>
      <w:r w:rsidRPr="00A4371E">
        <w:rPr>
          <w:rFonts w:ascii="Arial" w:eastAsia="Calibri" w:hAnsi="Arial" w:cs="Arial"/>
          <w:sz w:val="22"/>
          <w:szCs w:val="22"/>
        </w:rPr>
        <w:t>Freeman, R.E. (1984) Strategic management: a stakeholder approach. Boston: Pitman.</w:t>
      </w:r>
    </w:p>
    <w:p w14:paraId="054345D1" w14:textId="77777777" w:rsidR="00373410" w:rsidRPr="00A4371E" w:rsidRDefault="00373410" w:rsidP="00A4371E">
      <w:pPr>
        <w:spacing w:after="140" w:line="360" w:lineRule="auto"/>
        <w:ind w:left="720" w:hanging="720"/>
        <w:rPr>
          <w:rFonts w:ascii="Arial" w:hAnsi="Arial" w:cs="Arial"/>
          <w:sz w:val="22"/>
          <w:szCs w:val="22"/>
        </w:rPr>
      </w:pPr>
      <w:r w:rsidRPr="00A4371E">
        <w:rPr>
          <w:rFonts w:ascii="Arial" w:eastAsia="Calibri" w:hAnsi="Arial" w:cs="Arial"/>
          <w:sz w:val="22"/>
          <w:szCs w:val="22"/>
        </w:rPr>
        <w:t>IG (2025) Vodafone-Three merger: creating UK’s largest mobile operator. 11 June. Available at: https://www.ig.com/en/news-and-trade-ideas/vodafone-three-merger--what-next-after-the-creation-of-the-uk-s--250611 (Accessed: 11 July 2026).</w:t>
      </w:r>
    </w:p>
    <w:p w14:paraId="00DA16DB" w14:textId="77777777" w:rsidR="00373410" w:rsidRPr="00A4371E" w:rsidRDefault="00373410" w:rsidP="00A4371E">
      <w:pPr>
        <w:spacing w:after="140" w:line="360" w:lineRule="auto"/>
        <w:ind w:left="720" w:hanging="720"/>
        <w:rPr>
          <w:rFonts w:ascii="Arial" w:hAnsi="Arial" w:cs="Arial"/>
          <w:sz w:val="22"/>
          <w:szCs w:val="22"/>
        </w:rPr>
      </w:pPr>
      <w:r w:rsidRPr="00A4371E">
        <w:rPr>
          <w:rFonts w:ascii="Arial" w:eastAsia="Calibri" w:hAnsi="Arial" w:cs="Arial"/>
          <w:sz w:val="22"/>
          <w:szCs w:val="22"/>
        </w:rPr>
        <w:t xml:space="preserve">Johnson, G., Whittington, R., Scholes, K., Angwin, D. and </w:t>
      </w:r>
      <w:proofErr w:type="spellStart"/>
      <w:r w:rsidRPr="00A4371E">
        <w:rPr>
          <w:rFonts w:ascii="Arial" w:eastAsia="Calibri" w:hAnsi="Arial" w:cs="Arial"/>
          <w:sz w:val="22"/>
          <w:szCs w:val="22"/>
        </w:rPr>
        <w:t>Regnér</w:t>
      </w:r>
      <w:proofErr w:type="spellEnd"/>
      <w:r w:rsidRPr="00A4371E">
        <w:rPr>
          <w:rFonts w:ascii="Arial" w:eastAsia="Calibri" w:hAnsi="Arial" w:cs="Arial"/>
          <w:sz w:val="22"/>
          <w:szCs w:val="22"/>
        </w:rPr>
        <w:t>, P. (2020) Exploring strategy: text and cases. 12th ed. Harlow: Pearson.</w:t>
      </w:r>
    </w:p>
    <w:p w14:paraId="49AB7E50" w14:textId="77777777" w:rsidR="00373410" w:rsidRPr="00A4371E" w:rsidRDefault="00373410" w:rsidP="00A4371E">
      <w:pPr>
        <w:spacing w:after="140" w:line="360" w:lineRule="auto"/>
        <w:ind w:left="720" w:hanging="720"/>
        <w:rPr>
          <w:rFonts w:ascii="Arial" w:hAnsi="Arial" w:cs="Arial"/>
          <w:sz w:val="22"/>
          <w:szCs w:val="22"/>
        </w:rPr>
      </w:pPr>
      <w:r w:rsidRPr="00A4371E">
        <w:rPr>
          <w:rFonts w:ascii="Arial" w:eastAsia="Calibri" w:hAnsi="Arial" w:cs="Arial"/>
          <w:sz w:val="22"/>
          <w:szCs w:val="22"/>
        </w:rPr>
        <w:t>Kaplan, R.S. and Norton, D.P. (1996) The balanced scorecard: translating strategy into action. Boston: Harvard Business School Press.</w:t>
      </w:r>
    </w:p>
    <w:p w14:paraId="5319AA17" w14:textId="77777777" w:rsidR="00373410" w:rsidRPr="00A4371E" w:rsidRDefault="00373410" w:rsidP="00A4371E">
      <w:pPr>
        <w:spacing w:after="140" w:line="360" w:lineRule="auto"/>
        <w:ind w:left="720" w:hanging="720"/>
        <w:rPr>
          <w:rFonts w:ascii="Arial" w:hAnsi="Arial" w:cs="Arial"/>
          <w:sz w:val="22"/>
          <w:szCs w:val="22"/>
        </w:rPr>
      </w:pPr>
      <w:r w:rsidRPr="00A4371E">
        <w:rPr>
          <w:rFonts w:ascii="Arial" w:eastAsia="Calibri" w:hAnsi="Arial" w:cs="Arial"/>
          <w:sz w:val="22"/>
          <w:szCs w:val="22"/>
        </w:rPr>
        <w:lastRenderedPageBreak/>
        <w:t>Mendelow, A.L. (1991) ‘Environmental scanning: the impact of the stakeholder concept’, Proceedings of the Second International Conference on Information Systems. Cambridge, MA.</w:t>
      </w:r>
    </w:p>
    <w:p w14:paraId="1A9F104C" w14:textId="77777777" w:rsidR="00373410" w:rsidRPr="00A4371E" w:rsidRDefault="00373410" w:rsidP="00A4371E">
      <w:pPr>
        <w:spacing w:after="140" w:line="360" w:lineRule="auto"/>
        <w:ind w:left="720" w:hanging="720"/>
        <w:rPr>
          <w:rFonts w:ascii="Arial" w:hAnsi="Arial" w:cs="Arial"/>
          <w:sz w:val="22"/>
          <w:szCs w:val="22"/>
        </w:rPr>
      </w:pPr>
      <w:r w:rsidRPr="00A4371E">
        <w:rPr>
          <w:rFonts w:ascii="Arial" w:eastAsia="Calibri" w:hAnsi="Arial" w:cs="Arial"/>
          <w:sz w:val="22"/>
          <w:szCs w:val="22"/>
        </w:rPr>
        <w:t>Ofcom (2025) Connected Nations UK report 2025. 19 November. Available at: https://www.ofcom.org.uk/phones-and-broadband/coverage-and-speeds/ (Accessed: 11 July 2026).</w:t>
      </w:r>
    </w:p>
    <w:p w14:paraId="6340E237" w14:textId="77777777" w:rsidR="00373410" w:rsidRPr="00A4371E" w:rsidRDefault="00373410" w:rsidP="00A4371E">
      <w:pPr>
        <w:spacing w:after="140" w:line="360" w:lineRule="auto"/>
        <w:ind w:left="720" w:hanging="720"/>
        <w:rPr>
          <w:rFonts w:ascii="Arial" w:hAnsi="Arial" w:cs="Arial"/>
          <w:sz w:val="22"/>
          <w:szCs w:val="22"/>
        </w:rPr>
      </w:pPr>
      <w:r w:rsidRPr="00A4371E">
        <w:rPr>
          <w:rFonts w:ascii="Arial" w:eastAsia="Calibri" w:hAnsi="Arial" w:cs="Arial"/>
          <w:sz w:val="22"/>
          <w:szCs w:val="22"/>
        </w:rPr>
        <w:t>Ofcom (2026) Connected Nations update: Spring 2026. Available at: https://www.ofcom.org.uk/phones-and-broadband/coverage-and-speeds/connected-nations-update-spring-2026 (Accessed: 11 July 2026).</w:t>
      </w:r>
    </w:p>
    <w:p w14:paraId="4B333112" w14:textId="77777777" w:rsidR="00373410" w:rsidRPr="00A4371E" w:rsidRDefault="00373410" w:rsidP="00A4371E">
      <w:pPr>
        <w:spacing w:after="140" w:line="360" w:lineRule="auto"/>
        <w:ind w:left="720" w:hanging="720"/>
        <w:rPr>
          <w:rFonts w:ascii="Arial" w:hAnsi="Arial" w:cs="Arial"/>
          <w:sz w:val="22"/>
          <w:szCs w:val="22"/>
        </w:rPr>
      </w:pPr>
      <w:r w:rsidRPr="00A4371E">
        <w:rPr>
          <w:rFonts w:ascii="Arial" w:eastAsia="Calibri" w:hAnsi="Arial" w:cs="Arial"/>
          <w:sz w:val="22"/>
          <w:szCs w:val="22"/>
        </w:rPr>
        <w:t>Porter, M.E. (1985) Competitive advantage: creating and sustaining superior performance. New York: Free Press.</w:t>
      </w:r>
    </w:p>
    <w:p w14:paraId="05EE5842" w14:textId="77777777" w:rsidR="00373410" w:rsidRPr="00A4371E" w:rsidRDefault="00373410" w:rsidP="00A4371E">
      <w:pPr>
        <w:spacing w:after="140" w:line="360" w:lineRule="auto"/>
        <w:ind w:left="720" w:hanging="720"/>
        <w:rPr>
          <w:rFonts w:ascii="Arial" w:hAnsi="Arial" w:cs="Arial"/>
          <w:sz w:val="22"/>
          <w:szCs w:val="22"/>
        </w:rPr>
      </w:pPr>
      <w:r w:rsidRPr="00A4371E">
        <w:rPr>
          <w:rFonts w:ascii="Arial" w:eastAsia="Calibri" w:hAnsi="Arial" w:cs="Arial"/>
          <w:sz w:val="22"/>
          <w:szCs w:val="22"/>
        </w:rPr>
        <w:t>Porter, M.E. (2008) ‘The five competitive forces that shape strategy’, Harvard Business Review, 86(1), pp. 78–93.</w:t>
      </w:r>
    </w:p>
    <w:p w14:paraId="23BC91DA" w14:textId="77777777" w:rsidR="00373410" w:rsidRPr="00A4371E" w:rsidRDefault="00373410" w:rsidP="00A4371E">
      <w:pPr>
        <w:spacing w:after="140" w:line="360" w:lineRule="auto"/>
        <w:ind w:left="720" w:hanging="720"/>
        <w:rPr>
          <w:rFonts w:ascii="Arial" w:hAnsi="Arial" w:cs="Arial"/>
          <w:sz w:val="22"/>
          <w:szCs w:val="22"/>
        </w:rPr>
      </w:pPr>
      <w:r w:rsidRPr="00A4371E">
        <w:rPr>
          <w:rFonts w:ascii="Arial" w:eastAsia="Calibri" w:hAnsi="Arial" w:cs="Arial"/>
          <w:sz w:val="22"/>
          <w:szCs w:val="22"/>
        </w:rPr>
        <w:t>Vodafone Group Plc (2025) Completion of Vodafone and Three merger in the UK. 2 June. Available at: https://www.vodafone.com/news/newsroom/corporate-and-financial/completion-of-vodafone-and-three-merger-in-the-uk (Accessed: 11 July 2026).</w:t>
      </w:r>
    </w:p>
    <w:p w14:paraId="143422AD" w14:textId="77777777" w:rsidR="00373410" w:rsidRPr="00A4371E" w:rsidRDefault="00373410" w:rsidP="00A4371E">
      <w:pPr>
        <w:spacing w:after="140" w:line="360" w:lineRule="auto"/>
        <w:ind w:left="720" w:hanging="720"/>
        <w:rPr>
          <w:rFonts w:ascii="Arial" w:hAnsi="Arial" w:cs="Arial"/>
          <w:sz w:val="22"/>
          <w:szCs w:val="22"/>
        </w:rPr>
      </w:pPr>
      <w:r w:rsidRPr="00A4371E">
        <w:rPr>
          <w:rFonts w:ascii="Arial" w:eastAsia="Calibri" w:hAnsi="Arial" w:cs="Arial"/>
          <w:sz w:val="22"/>
          <w:szCs w:val="22"/>
        </w:rPr>
        <w:t>Vodafone Group Plc (2026a) Annual report 2026 and FY26 preliminary results. Available at: https://www.vodafone.com/investors/performance-and-reports/results-and-presentations (Accessed: 11 July 2026).</w:t>
      </w:r>
    </w:p>
    <w:p w14:paraId="2F230F74" w14:textId="77777777" w:rsidR="00373410" w:rsidRPr="00A4371E" w:rsidRDefault="00373410" w:rsidP="00A4371E">
      <w:pPr>
        <w:spacing w:after="140" w:line="360" w:lineRule="auto"/>
        <w:ind w:left="720" w:hanging="720"/>
        <w:rPr>
          <w:rFonts w:ascii="Arial" w:hAnsi="Arial" w:cs="Arial"/>
          <w:sz w:val="22"/>
          <w:szCs w:val="22"/>
        </w:rPr>
      </w:pPr>
      <w:r w:rsidRPr="00A4371E">
        <w:rPr>
          <w:rFonts w:ascii="Arial" w:eastAsia="Calibri" w:hAnsi="Arial" w:cs="Arial"/>
          <w:sz w:val="22"/>
          <w:szCs w:val="22"/>
        </w:rPr>
        <w:t xml:space="preserve">Vodafone Group Plc (2026b) Vodafone to take full ownership of </w:t>
      </w:r>
      <w:proofErr w:type="spellStart"/>
      <w:r w:rsidRPr="00A4371E">
        <w:rPr>
          <w:rFonts w:ascii="Arial" w:eastAsia="Calibri" w:hAnsi="Arial" w:cs="Arial"/>
          <w:sz w:val="22"/>
          <w:szCs w:val="22"/>
        </w:rPr>
        <w:t>VodafoneThree</w:t>
      </w:r>
      <w:proofErr w:type="spellEnd"/>
      <w:r w:rsidRPr="00A4371E">
        <w:rPr>
          <w:rFonts w:ascii="Arial" w:eastAsia="Calibri" w:hAnsi="Arial" w:cs="Arial"/>
          <w:sz w:val="22"/>
          <w:szCs w:val="22"/>
        </w:rPr>
        <w:t>. May. Available at: https://www.vodafone.com/news/newsroom/corporate-and-financial/vodafone-to-take-full-ownership-of-vodafone-three (Accessed: 11 July 2026).</w:t>
      </w:r>
    </w:p>
    <w:p w14:paraId="6F14AF5A" w14:textId="77777777" w:rsidR="00373410" w:rsidRPr="00A4371E" w:rsidRDefault="00373410" w:rsidP="00A4371E">
      <w:pPr>
        <w:spacing w:after="140" w:line="360" w:lineRule="auto"/>
        <w:ind w:left="720" w:hanging="720"/>
        <w:rPr>
          <w:rFonts w:ascii="Arial" w:hAnsi="Arial" w:cs="Arial"/>
          <w:sz w:val="22"/>
          <w:szCs w:val="22"/>
        </w:rPr>
      </w:pPr>
      <w:r w:rsidRPr="00A4371E">
        <w:rPr>
          <w:rFonts w:ascii="Arial" w:eastAsia="Calibri" w:hAnsi="Arial" w:cs="Arial"/>
          <w:sz w:val="22"/>
          <w:szCs w:val="22"/>
        </w:rPr>
        <w:t>Vodafone Group Plc (no date) We connect for a better future. Available at: https://www.vodafone.com/news/newsroom/corporate-and-financial/we-connect-for-a-better-future (Accessed: 11 July 2026).</w:t>
      </w:r>
    </w:p>
    <w:p w14:paraId="07980436" w14:textId="77777777" w:rsidR="00373410" w:rsidRPr="00A4371E" w:rsidRDefault="00373410" w:rsidP="00A4371E">
      <w:pPr>
        <w:spacing w:after="140" w:line="360" w:lineRule="auto"/>
        <w:ind w:left="720" w:hanging="720"/>
        <w:rPr>
          <w:rFonts w:ascii="Arial" w:hAnsi="Arial" w:cs="Arial"/>
          <w:sz w:val="22"/>
          <w:szCs w:val="22"/>
        </w:rPr>
      </w:pPr>
      <w:proofErr w:type="spellStart"/>
      <w:r w:rsidRPr="00A4371E">
        <w:rPr>
          <w:rFonts w:ascii="Arial" w:eastAsia="Calibri" w:hAnsi="Arial" w:cs="Arial"/>
          <w:sz w:val="22"/>
          <w:szCs w:val="22"/>
        </w:rPr>
        <w:t>VodafoneThree</w:t>
      </w:r>
      <w:proofErr w:type="spellEnd"/>
      <w:r w:rsidRPr="00A4371E">
        <w:rPr>
          <w:rFonts w:ascii="Arial" w:eastAsia="Calibri" w:hAnsi="Arial" w:cs="Arial"/>
          <w:sz w:val="22"/>
          <w:szCs w:val="22"/>
        </w:rPr>
        <w:t xml:space="preserve"> (2025) Completion of Vodafone and Three merger in the UK – building the UK’s best network. Available at: https://www.vodafonethree.com/completion-of-vodafone-and-three-merger-in-the-uk/ (Accessed: 11 July 2026).</w:t>
      </w:r>
    </w:p>
    <w:p w14:paraId="732DE8A7" w14:textId="77777777" w:rsidR="00701036" w:rsidRPr="00A4371E" w:rsidRDefault="00701036" w:rsidP="00A4371E">
      <w:pPr>
        <w:spacing w:line="360" w:lineRule="auto"/>
        <w:rPr>
          <w:rFonts w:ascii="Arial" w:hAnsi="Arial" w:cs="Arial"/>
          <w:sz w:val="22"/>
          <w:szCs w:val="22"/>
        </w:rPr>
      </w:pPr>
    </w:p>
    <w:sectPr w:rsidR="00701036" w:rsidRPr="00A4371E">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4A049" w14:textId="77777777" w:rsidR="00D76152" w:rsidRDefault="00D76152" w:rsidP="00373410">
      <w:r>
        <w:separator/>
      </w:r>
    </w:p>
  </w:endnote>
  <w:endnote w:type="continuationSeparator" w:id="0">
    <w:p w14:paraId="53C8CA9E" w14:textId="77777777" w:rsidR="00D76152" w:rsidRDefault="00D76152" w:rsidP="00373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5804928"/>
      <w:docPartObj>
        <w:docPartGallery w:val="Page Numbers (Bottom of Page)"/>
        <w:docPartUnique/>
      </w:docPartObj>
    </w:sdtPr>
    <w:sdtContent>
      <w:p w14:paraId="25E809F5" w14:textId="1B0A4EB4" w:rsidR="00373410" w:rsidRDefault="00373410" w:rsidP="00BB0A6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138AA3E" w14:textId="77777777" w:rsidR="00373410" w:rsidRDefault="003734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0912347"/>
      <w:docPartObj>
        <w:docPartGallery w:val="Page Numbers (Bottom of Page)"/>
        <w:docPartUnique/>
      </w:docPartObj>
    </w:sdtPr>
    <w:sdtContent>
      <w:p w14:paraId="625C7C4E" w14:textId="15B9CC19" w:rsidR="00373410" w:rsidRDefault="00373410" w:rsidP="00BB0A6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AF9E65" w14:textId="77777777" w:rsidR="00373410" w:rsidRDefault="003734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D7EBA" w14:textId="77777777" w:rsidR="00D76152" w:rsidRDefault="00D76152" w:rsidP="00373410">
      <w:r>
        <w:separator/>
      </w:r>
    </w:p>
  </w:footnote>
  <w:footnote w:type="continuationSeparator" w:id="0">
    <w:p w14:paraId="40EC1CA4" w14:textId="77777777" w:rsidR="00D76152" w:rsidRDefault="00D76152" w:rsidP="003734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60CD2"/>
    <w:multiLevelType w:val="hybridMultilevel"/>
    <w:tmpl w:val="EB48CBBE"/>
    <w:lvl w:ilvl="0" w:tplc="E27E977A">
      <w:start w:val="1"/>
      <w:numFmt w:val="bullet"/>
      <w:lvlText w:val="•"/>
      <w:lvlJc w:val="left"/>
      <w:pPr>
        <w:ind w:left="431" w:hanging="288"/>
      </w:pPr>
    </w:lvl>
    <w:lvl w:ilvl="1" w:tplc="89863CD4">
      <w:numFmt w:val="decimal"/>
      <w:lvlText w:val=""/>
      <w:lvlJc w:val="left"/>
      <w:pPr>
        <w:ind w:left="0" w:firstLine="0"/>
      </w:pPr>
    </w:lvl>
    <w:lvl w:ilvl="2" w:tplc="1F0EC5A2">
      <w:numFmt w:val="decimal"/>
      <w:lvlText w:val=""/>
      <w:lvlJc w:val="left"/>
      <w:pPr>
        <w:ind w:left="0" w:firstLine="0"/>
      </w:pPr>
    </w:lvl>
    <w:lvl w:ilvl="3" w:tplc="532A0862">
      <w:numFmt w:val="decimal"/>
      <w:lvlText w:val=""/>
      <w:lvlJc w:val="left"/>
      <w:pPr>
        <w:ind w:left="0" w:firstLine="0"/>
      </w:pPr>
    </w:lvl>
    <w:lvl w:ilvl="4" w:tplc="0FB27F90">
      <w:numFmt w:val="decimal"/>
      <w:lvlText w:val=""/>
      <w:lvlJc w:val="left"/>
      <w:pPr>
        <w:ind w:left="0" w:firstLine="0"/>
      </w:pPr>
    </w:lvl>
    <w:lvl w:ilvl="5" w:tplc="358A3B82">
      <w:numFmt w:val="decimal"/>
      <w:lvlText w:val=""/>
      <w:lvlJc w:val="left"/>
      <w:pPr>
        <w:ind w:left="0" w:firstLine="0"/>
      </w:pPr>
    </w:lvl>
    <w:lvl w:ilvl="6" w:tplc="7E26EC66">
      <w:numFmt w:val="decimal"/>
      <w:lvlText w:val=""/>
      <w:lvlJc w:val="left"/>
      <w:pPr>
        <w:ind w:left="0" w:firstLine="0"/>
      </w:pPr>
    </w:lvl>
    <w:lvl w:ilvl="7" w:tplc="8648D950">
      <w:numFmt w:val="decimal"/>
      <w:lvlText w:val=""/>
      <w:lvlJc w:val="left"/>
      <w:pPr>
        <w:ind w:left="0" w:firstLine="0"/>
      </w:pPr>
    </w:lvl>
    <w:lvl w:ilvl="8" w:tplc="7936717C">
      <w:numFmt w:val="decimal"/>
      <w:lvlText w:val=""/>
      <w:lvlJc w:val="left"/>
      <w:pPr>
        <w:ind w:left="0" w:firstLine="0"/>
      </w:pPr>
    </w:lvl>
  </w:abstractNum>
  <w:num w:numId="1" w16cid:durableId="187900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410"/>
    <w:rsid w:val="00201DD1"/>
    <w:rsid w:val="00373410"/>
    <w:rsid w:val="00654551"/>
    <w:rsid w:val="00701036"/>
    <w:rsid w:val="007B799C"/>
    <w:rsid w:val="007C4B11"/>
    <w:rsid w:val="00A4371E"/>
    <w:rsid w:val="00D76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179A7"/>
  <w15:chartTrackingRefBased/>
  <w15:docId w15:val="{B17CFA73-C88F-F749-9C23-80659D1CD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410"/>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3734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34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34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34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34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341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341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341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341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4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34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34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34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34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3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3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3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3410"/>
    <w:rPr>
      <w:rFonts w:eastAsiaTheme="majorEastAsia" w:cstheme="majorBidi"/>
      <w:color w:val="272727" w:themeColor="text1" w:themeTint="D8"/>
    </w:rPr>
  </w:style>
  <w:style w:type="paragraph" w:styleId="Title">
    <w:name w:val="Title"/>
    <w:basedOn w:val="Normal"/>
    <w:next w:val="Normal"/>
    <w:link w:val="TitleChar"/>
    <w:uiPriority w:val="10"/>
    <w:qFormat/>
    <w:rsid w:val="0037341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3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34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3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3410"/>
    <w:pPr>
      <w:spacing w:before="160"/>
      <w:jc w:val="center"/>
    </w:pPr>
    <w:rPr>
      <w:i/>
      <w:iCs/>
      <w:color w:val="404040" w:themeColor="text1" w:themeTint="BF"/>
    </w:rPr>
  </w:style>
  <w:style w:type="character" w:customStyle="1" w:styleId="QuoteChar">
    <w:name w:val="Quote Char"/>
    <w:basedOn w:val="DefaultParagraphFont"/>
    <w:link w:val="Quote"/>
    <w:uiPriority w:val="29"/>
    <w:rsid w:val="00373410"/>
    <w:rPr>
      <w:i/>
      <w:iCs/>
      <w:color w:val="404040" w:themeColor="text1" w:themeTint="BF"/>
    </w:rPr>
  </w:style>
  <w:style w:type="paragraph" w:styleId="ListParagraph">
    <w:name w:val="List Paragraph"/>
    <w:basedOn w:val="Normal"/>
    <w:qFormat/>
    <w:rsid w:val="00373410"/>
    <w:pPr>
      <w:ind w:left="720"/>
      <w:contextualSpacing/>
    </w:pPr>
  </w:style>
  <w:style w:type="character" w:styleId="IntenseEmphasis">
    <w:name w:val="Intense Emphasis"/>
    <w:basedOn w:val="DefaultParagraphFont"/>
    <w:uiPriority w:val="21"/>
    <w:qFormat/>
    <w:rsid w:val="00373410"/>
    <w:rPr>
      <w:i/>
      <w:iCs/>
      <w:color w:val="0F4761" w:themeColor="accent1" w:themeShade="BF"/>
    </w:rPr>
  </w:style>
  <w:style w:type="paragraph" w:styleId="IntenseQuote">
    <w:name w:val="Intense Quote"/>
    <w:basedOn w:val="Normal"/>
    <w:next w:val="Normal"/>
    <w:link w:val="IntenseQuoteChar"/>
    <w:uiPriority w:val="30"/>
    <w:qFormat/>
    <w:rsid w:val="003734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3410"/>
    <w:rPr>
      <w:i/>
      <w:iCs/>
      <w:color w:val="0F4761" w:themeColor="accent1" w:themeShade="BF"/>
    </w:rPr>
  </w:style>
  <w:style w:type="character" w:styleId="IntenseReference">
    <w:name w:val="Intense Reference"/>
    <w:basedOn w:val="DefaultParagraphFont"/>
    <w:uiPriority w:val="32"/>
    <w:qFormat/>
    <w:rsid w:val="00373410"/>
    <w:rPr>
      <w:b/>
      <w:bCs/>
      <w:smallCaps/>
      <w:color w:val="0F4761" w:themeColor="accent1" w:themeShade="BF"/>
      <w:spacing w:val="5"/>
    </w:rPr>
  </w:style>
  <w:style w:type="paragraph" w:styleId="Footer">
    <w:name w:val="footer"/>
    <w:basedOn w:val="Normal"/>
    <w:link w:val="FooterChar"/>
    <w:uiPriority w:val="99"/>
    <w:unhideWhenUsed/>
    <w:rsid w:val="00373410"/>
    <w:pPr>
      <w:tabs>
        <w:tab w:val="center" w:pos="4513"/>
        <w:tab w:val="right" w:pos="9026"/>
      </w:tabs>
    </w:pPr>
  </w:style>
  <w:style w:type="character" w:customStyle="1" w:styleId="FooterChar">
    <w:name w:val="Footer Char"/>
    <w:basedOn w:val="DefaultParagraphFont"/>
    <w:link w:val="Footer"/>
    <w:uiPriority w:val="99"/>
    <w:rsid w:val="00373410"/>
    <w:rPr>
      <w:rFonts w:ascii="Times New Roman" w:eastAsia="Times New Roman" w:hAnsi="Times New Roman" w:cs="Times New Roman"/>
      <w:kern w:val="0"/>
      <w:sz w:val="20"/>
      <w:szCs w:val="20"/>
      <w:lang w:eastAsia="en-GB"/>
      <w14:ligatures w14:val="none"/>
    </w:rPr>
  </w:style>
  <w:style w:type="character" w:styleId="PageNumber">
    <w:name w:val="page number"/>
    <w:basedOn w:val="DefaultParagraphFont"/>
    <w:uiPriority w:val="99"/>
    <w:semiHidden/>
    <w:unhideWhenUsed/>
    <w:rsid w:val="00373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3504</Words>
  <Characters>19975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Petrica Marin (2333794)</dc:creator>
  <cp:keywords/>
  <dc:description/>
  <cp:lastModifiedBy>Petrica Marin (2333794)</cp:lastModifiedBy>
  <cp:revision>3</cp:revision>
  <dcterms:created xsi:type="dcterms:W3CDTF">2026-07-11T19:42:00Z</dcterms:created>
  <dcterms:modified xsi:type="dcterms:W3CDTF">2026-07-11T21:55:00Z</dcterms:modified>
</cp:coreProperties>
</file>