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DAD780" w14:textId="50B29569" w:rsidR="00C043E1" w:rsidRPr="00994E23" w:rsidRDefault="00FD1B2F" w:rsidP="00FD1B2F">
      <w:pPr>
        <w:spacing w:line="480" w:lineRule="auto"/>
        <w:jc w:val="center"/>
        <w:rPr>
          <w:i/>
          <w:lang w:val="en-CA"/>
        </w:rPr>
      </w:pPr>
      <w:r>
        <w:rPr>
          <w:lang w:val="en-CA"/>
        </w:rPr>
        <w:t xml:space="preserve">Dating </w:t>
      </w:r>
      <w:r w:rsidR="00121099">
        <w:rPr>
          <w:lang w:val="en-CA"/>
        </w:rPr>
        <w:t>the</w:t>
      </w:r>
      <w:r w:rsidR="00CE1395">
        <w:rPr>
          <w:lang w:val="en-CA"/>
        </w:rPr>
        <w:t xml:space="preserve"> </w:t>
      </w:r>
      <w:r w:rsidRPr="00994E23">
        <w:rPr>
          <w:i/>
          <w:lang w:val="en-CA"/>
        </w:rPr>
        <w:t>Four Branches of The Mabinogi</w:t>
      </w:r>
    </w:p>
    <w:p w14:paraId="31F93A1E" w14:textId="77777777" w:rsidR="007A470A" w:rsidRDefault="007A470A" w:rsidP="00FD1B2F">
      <w:pPr>
        <w:spacing w:line="480" w:lineRule="auto"/>
        <w:rPr>
          <w:lang w:val="en-CA"/>
        </w:rPr>
      </w:pPr>
    </w:p>
    <w:p w14:paraId="0874A708" w14:textId="4FCCCA07" w:rsidR="00CE1395" w:rsidRDefault="007A470A" w:rsidP="00FD1B2F">
      <w:pPr>
        <w:spacing w:line="480" w:lineRule="auto"/>
        <w:rPr>
          <w:lang w:val="en-CA"/>
        </w:rPr>
      </w:pPr>
      <w:r>
        <w:rPr>
          <w:lang w:val="en-CA"/>
        </w:rPr>
        <w:t xml:space="preserve"> </w:t>
      </w:r>
      <w:r w:rsidR="00212CE0">
        <w:rPr>
          <w:lang w:val="en-CA"/>
        </w:rPr>
        <w:t xml:space="preserve">The </w:t>
      </w:r>
      <w:r w:rsidR="00212CE0" w:rsidRPr="00994E23">
        <w:rPr>
          <w:i/>
          <w:lang w:val="en-CA"/>
        </w:rPr>
        <w:t>Mabinogion</w:t>
      </w:r>
      <w:r w:rsidRPr="00994E23">
        <w:rPr>
          <w:i/>
          <w:lang w:val="en-CA"/>
        </w:rPr>
        <w:t>,</w:t>
      </w:r>
      <w:r>
        <w:rPr>
          <w:lang w:val="en-CA"/>
        </w:rPr>
        <w:t xml:space="preserve"> or </w:t>
      </w:r>
      <w:r w:rsidRPr="00994E23">
        <w:rPr>
          <w:i/>
          <w:lang w:val="en-CA"/>
        </w:rPr>
        <w:t>Mabinogi</w:t>
      </w:r>
      <w:r w:rsidR="00212CE0">
        <w:rPr>
          <w:lang w:val="en-CA"/>
        </w:rPr>
        <w:t xml:space="preserve"> is a selection of </w:t>
      </w:r>
      <w:r w:rsidR="00934A74">
        <w:rPr>
          <w:lang w:val="en-CA"/>
        </w:rPr>
        <w:t>W</w:t>
      </w:r>
      <w:r w:rsidR="00212CE0">
        <w:rPr>
          <w:lang w:val="en-CA"/>
        </w:rPr>
        <w:t xml:space="preserve">elsh folk tales primarily taken from the </w:t>
      </w:r>
      <w:r w:rsidR="00212CE0" w:rsidRPr="00994E23">
        <w:rPr>
          <w:i/>
          <w:lang w:val="en-CA"/>
        </w:rPr>
        <w:t>Red Book of Hergest</w:t>
      </w:r>
      <w:r w:rsidR="00212CE0">
        <w:rPr>
          <w:lang w:val="en-CA"/>
        </w:rPr>
        <w:t xml:space="preserve">, commonly dated to </w:t>
      </w:r>
      <w:r w:rsidR="00934A74">
        <w:rPr>
          <w:lang w:val="en-CA"/>
        </w:rPr>
        <w:t xml:space="preserve">have been written </w:t>
      </w:r>
      <w:r w:rsidR="00212CE0">
        <w:rPr>
          <w:lang w:val="en-CA"/>
        </w:rPr>
        <w:t>around the year 1380</w:t>
      </w:r>
      <w:r w:rsidR="000D3CB1">
        <w:rPr>
          <w:lang w:val="en-CA"/>
        </w:rPr>
        <w:t>,</w:t>
      </w:r>
      <w:r w:rsidR="00212CE0">
        <w:rPr>
          <w:lang w:val="en-CA"/>
        </w:rPr>
        <w:t xml:space="preserve"> and the </w:t>
      </w:r>
      <w:r w:rsidR="00212CE0" w:rsidRPr="00994E23">
        <w:rPr>
          <w:i/>
          <w:lang w:val="en-CA"/>
        </w:rPr>
        <w:t>White Book of Rhydderch,</w:t>
      </w:r>
      <w:r w:rsidR="00212CE0">
        <w:rPr>
          <w:lang w:val="en-CA"/>
        </w:rPr>
        <w:t xml:space="preserve"> dated around the year 1350.</w:t>
      </w:r>
      <w:r w:rsidR="00231E8F">
        <w:rPr>
          <w:rStyle w:val="FootnoteReference"/>
          <w:lang w:val="en-CA"/>
        </w:rPr>
        <w:footnoteReference w:id="1"/>
      </w:r>
      <w:r>
        <w:rPr>
          <w:lang w:val="en-CA"/>
        </w:rPr>
        <w:t xml:space="preserve"> These tales</w:t>
      </w:r>
      <w:r w:rsidR="004C105F">
        <w:rPr>
          <w:lang w:val="en-CA"/>
        </w:rPr>
        <w:t xml:space="preserve"> were</w:t>
      </w:r>
      <w:r>
        <w:rPr>
          <w:lang w:val="en-CA"/>
        </w:rPr>
        <w:t xml:space="preserve"> compiled</w:t>
      </w:r>
      <w:r w:rsidR="004C105F">
        <w:rPr>
          <w:lang w:val="en-CA"/>
        </w:rPr>
        <w:t>,</w:t>
      </w:r>
      <w:r>
        <w:rPr>
          <w:lang w:val="en-CA"/>
        </w:rPr>
        <w:t xml:space="preserve"> translated</w:t>
      </w:r>
      <w:r w:rsidR="004C105F">
        <w:rPr>
          <w:lang w:val="en-CA"/>
        </w:rPr>
        <w:t xml:space="preserve"> and finally fully published</w:t>
      </w:r>
      <w:r>
        <w:rPr>
          <w:lang w:val="en-CA"/>
        </w:rPr>
        <w:t xml:space="preserve"> </w:t>
      </w:r>
      <w:r w:rsidR="00934A74">
        <w:rPr>
          <w:lang w:val="en-CA"/>
        </w:rPr>
        <w:t xml:space="preserve">in 1849 </w:t>
      </w:r>
      <w:r>
        <w:rPr>
          <w:lang w:val="en-CA"/>
        </w:rPr>
        <w:t xml:space="preserve">by Lady </w:t>
      </w:r>
      <w:r w:rsidR="00964AB8">
        <w:rPr>
          <w:lang w:val="en-CA"/>
        </w:rPr>
        <w:t>Charlotte</w:t>
      </w:r>
      <w:r>
        <w:rPr>
          <w:lang w:val="en-CA"/>
        </w:rPr>
        <w:t xml:space="preserve"> </w:t>
      </w:r>
      <w:r w:rsidR="00964AB8">
        <w:rPr>
          <w:lang w:val="en-CA"/>
        </w:rPr>
        <w:t>Guest, who</w:t>
      </w:r>
      <w:r>
        <w:rPr>
          <w:lang w:val="en-CA"/>
        </w:rPr>
        <w:t xml:space="preserve"> coined the tale</w:t>
      </w:r>
      <w:r w:rsidR="00934A74">
        <w:rPr>
          <w:lang w:val="en-CA"/>
        </w:rPr>
        <w:t>’</w:t>
      </w:r>
      <w:r>
        <w:rPr>
          <w:lang w:val="en-CA"/>
        </w:rPr>
        <w:t xml:space="preserve">s title </w:t>
      </w:r>
      <w:r w:rsidRPr="00BA4DFD">
        <w:rPr>
          <w:i/>
          <w:lang w:val="en-CA"/>
        </w:rPr>
        <w:t>The Four Branches of The Mabinogion</w:t>
      </w:r>
      <w:r w:rsidR="004C105F">
        <w:rPr>
          <w:lang w:val="en-CA"/>
        </w:rPr>
        <w:t>.</w:t>
      </w:r>
      <w:r w:rsidR="00AF0B63">
        <w:rPr>
          <w:rStyle w:val="FootnoteReference"/>
          <w:lang w:val="en-CA"/>
        </w:rPr>
        <w:footnoteReference w:id="2"/>
      </w:r>
      <w:r>
        <w:rPr>
          <w:lang w:val="en-CA"/>
        </w:rPr>
        <w:t xml:space="preserve"> However, d</w:t>
      </w:r>
      <w:r w:rsidR="00212CE0">
        <w:rPr>
          <w:lang w:val="en-CA"/>
        </w:rPr>
        <w:t>ating the year in which the tales were first</w:t>
      </w:r>
      <w:r>
        <w:rPr>
          <w:lang w:val="en-CA"/>
        </w:rPr>
        <w:t xml:space="preserve"> written</w:t>
      </w:r>
      <w:r w:rsidR="00BA4DFD">
        <w:rPr>
          <w:lang w:val="en-CA"/>
        </w:rPr>
        <w:t xml:space="preserve"> and compiled</w:t>
      </w:r>
      <w:r w:rsidR="00212CE0">
        <w:rPr>
          <w:lang w:val="en-CA"/>
        </w:rPr>
        <w:t xml:space="preserve"> is a subject that is under considerable contention amongst scholars. </w:t>
      </w:r>
      <w:r w:rsidR="002513EA">
        <w:rPr>
          <w:lang w:val="en-CA"/>
        </w:rPr>
        <w:t>Jeffrey Gantz writes</w:t>
      </w:r>
      <w:r w:rsidR="00934A74">
        <w:rPr>
          <w:lang w:val="en-CA"/>
        </w:rPr>
        <w:t>,</w:t>
      </w:r>
      <w:r w:rsidR="002513EA">
        <w:rPr>
          <w:lang w:val="en-CA"/>
        </w:rPr>
        <w:t xml:space="preserve"> “Given the or</w:t>
      </w:r>
      <w:r w:rsidR="00F72E42">
        <w:rPr>
          <w:lang w:val="en-CA"/>
        </w:rPr>
        <w:t>al t</w:t>
      </w:r>
      <w:r w:rsidR="00024C5D">
        <w:rPr>
          <w:lang w:val="en-CA"/>
        </w:rPr>
        <w:t>raditions which underlie</w:t>
      </w:r>
      <w:r w:rsidR="002513EA">
        <w:rPr>
          <w:lang w:val="en-CA"/>
        </w:rPr>
        <w:t xml:space="preserve"> </w:t>
      </w:r>
      <w:r w:rsidR="002513EA" w:rsidRPr="00994E23">
        <w:rPr>
          <w:i/>
          <w:lang w:val="en-CA"/>
        </w:rPr>
        <w:t>The Mabinogion</w:t>
      </w:r>
      <w:r w:rsidR="002513EA">
        <w:rPr>
          <w:lang w:val="en-CA"/>
        </w:rPr>
        <w:t xml:space="preserve"> it is difficult to say how, and at what time, the individual stories took shape.”</w:t>
      </w:r>
      <w:r w:rsidR="00055F1C">
        <w:rPr>
          <w:rStyle w:val="FootnoteReference"/>
          <w:lang w:val="en-CA"/>
        </w:rPr>
        <w:footnoteReference w:id="3"/>
      </w:r>
      <w:r w:rsidR="002513EA">
        <w:rPr>
          <w:lang w:val="en-CA"/>
        </w:rPr>
        <w:t xml:space="preserve"> </w:t>
      </w:r>
      <w:r w:rsidR="00F0774D">
        <w:rPr>
          <w:lang w:val="en-CA"/>
        </w:rPr>
        <w:t>The theory favoured by scholars is</w:t>
      </w:r>
      <w:r w:rsidR="00212CE0">
        <w:rPr>
          <w:lang w:val="en-CA"/>
        </w:rPr>
        <w:t xml:space="preserve"> that the tales were composed during the central</w:t>
      </w:r>
      <w:r w:rsidR="002513EA">
        <w:rPr>
          <w:lang w:val="en-CA"/>
        </w:rPr>
        <w:t xml:space="preserve"> middle ages, from around 1000 to 1250</w:t>
      </w:r>
      <w:r w:rsidR="00212CE0">
        <w:rPr>
          <w:lang w:val="en-CA"/>
        </w:rPr>
        <w:t>.</w:t>
      </w:r>
      <w:r w:rsidR="00231E8F">
        <w:rPr>
          <w:rStyle w:val="FootnoteReference"/>
          <w:lang w:val="en-CA"/>
        </w:rPr>
        <w:footnoteReference w:id="4"/>
      </w:r>
      <w:r w:rsidR="00DB0A34">
        <w:rPr>
          <w:lang w:val="en-CA"/>
        </w:rPr>
        <w:t xml:space="preserve"> </w:t>
      </w:r>
      <w:r w:rsidR="00054D7C">
        <w:rPr>
          <w:lang w:val="en-CA"/>
        </w:rPr>
        <w:t>T</w:t>
      </w:r>
      <w:r w:rsidR="00212CE0">
        <w:rPr>
          <w:lang w:val="en-CA"/>
        </w:rPr>
        <w:t xml:space="preserve">here are many varied theories on the </w:t>
      </w:r>
      <w:r>
        <w:rPr>
          <w:lang w:val="en-CA"/>
        </w:rPr>
        <w:t>original dating of the texts</w:t>
      </w:r>
      <w:r w:rsidR="00014218">
        <w:rPr>
          <w:lang w:val="en-CA"/>
        </w:rPr>
        <w:t xml:space="preserve"> an</w:t>
      </w:r>
      <w:r w:rsidR="00F72E42">
        <w:rPr>
          <w:lang w:val="en-CA"/>
        </w:rPr>
        <w:t>d the authorship of them. These</w:t>
      </w:r>
      <w:r w:rsidR="00AF6F32">
        <w:rPr>
          <w:lang w:val="en-CA"/>
        </w:rPr>
        <w:t xml:space="preserve"> range from</w:t>
      </w:r>
      <w:r w:rsidR="00F72E42">
        <w:rPr>
          <w:lang w:val="en-CA"/>
        </w:rPr>
        <w:t xml:space="preserve"> the theories of</w:t>
      </w:r>
      <w:r w:rsidR="00137DFE">
        <w:rPr>
          <w:lang w:val="en-CA"/>
        </w:rPr>
        <w:t xml:space="preserve"> Sir Ifor Williams</w:t>
      </w:r>
      <w:r w:rsidR="00046B76">
        <w:rPr>
          <w:lang w:val="en-CA"/>
        </w:rPr>
        <w:t xml:space="preserve"> and others who suggest that the text was originally penned around 1060, while other scholars such as Saunders Lewis and D. Simon Evans suggest a date </w:t>
      </w:r>
      <w:r w:rsidR="00934A74">
        <w:rPr>
          <w:lang w:val="en-CA"/>
        </w:rPr>
        <w:t xml:space="preserve">between the </w:t>
      </w:r>
      <w:r w:rsidR="00046B76">
        <w:rPr>
          <w:lang w:val="en-CA"/>
        </w:rPr>
        <w:t>1170s-1180s</w:t>
      </w:r>
      <w:r w:rsidR="00212CE0">
        <w:rPr>
          <w:lang w:val="en-CA"/>
        </w:rPr>
        <w:t>.</w:t>
      </w:r>
      <w:r w:rsidR="00FC4E19">
        <w:rPr>
          <w:lang w:val="en-CA"/>
        </w:rPr>
        <w:t xml:space="preserve"> </w:t>
      </w:r>
      <w:r w:rsidR="00985172">
        <w:rPr>
          <w:lang w:val="en-CA"/>
        </w:rPr>
        <w:t>T</w:t>
      </w:r>
      <w:r w:rsidR="00316235">
        <w:rPr>
          <w:lang w:val="en-CA"/>
        </w:rPr>
        <w:t xml:space="preserve">he scholar </w:t>
      </w:r>
      <w:r w:rsidR="00B95FCF">
        <w:rPr>
          <w:lang w:val="en-CA"/>
        </w:rPr>
        <w:t>Andrew Breeze believes that he has figured out the date</w:t>
      </w:r>
      <w:r w:rsidR="00985172">
        <w:rPr>
          <w:lang w:val="en-CA"/>
        </w:rPr>
        <w:t xml:space="preserve"> of composition for</w:t>
      </w:r>
      <w:r w:rsidR="00B95FCF">
        <w:rPr>
          <w:lang w:val="en-CA"/>
        </w:rPr>
        <w:t xml:space="preserve"> the tales</w:t>
      </w:r>
      <w:r w:rsidR="00985172">
        <w:rPr>
          <w:lang w:val="en-CA"/>
        </w:rPr>
        <w:t>, around</w:t>
      </w:r>
      <w:r w:rsidR="00B95FCF">
        <w:rPr>
          <w:lang w:val="en-CA"/>
        </w:rPr>
        <w:t xml:space="preserve"> 1120, </w:t>
      </w:r>
      <w:r w:rsidR="0057083E">
        <w:rPr>
          <w:lang w:val="en-CA"/>
        </w:rPr>
        <w:t>and he</w:t>
      </w:r>
      <w:r w:rsidR="00B95FCF">
        <w:rPr>
          <w:lang w:val="en-CA"/>
        </w:rPr>
        <w:t xml:space="preserve"> also</w:t>
      </w:r>
      <w:r w:rsidR="00985172">
        <w:rPr>
          <w:lang w:val="en-CA"/>
        </w:rPr>
        <w:t xml:space="preserve"> believes he has discovered</w:t>
      </w:r>
      <w:r w:rsidR="00022F5D">
        <w:rPr>
          <w:lang w:val="en-CA"/>
        </w:rPr>
        <w:t xml:space="preserve"> the author of the text, </w:t>
      </w:r>
      <w:r w:rsidR="00B95FCF">
        <w:rPr>
          <w:lang w:val="en-CA"/>
        </w:rPr>
        <w:t>Princess Gwenllian of Gwynedd (c.1097-1136</w:t>
      </w:r>
      <w:r w:rsidR="00022F5D">
        <w:rPr>
          <w:lang w:val="en-CA"/>
        </w:rPr>
        <w:t>)</w:t>
      </w:r>
      <w:r w:rsidR="0003197B">
        <w:rPr>
          <w:lang w:val="en-CA"/>
        </w:rPr>
        <w:t>.</w:t>
      </w:r>
      <w:r w:rsidR="00231E8F">
        <w:rPr>
          <w:rStyle w:val="FootnoteReference"/>
          <w:lang w:val="en-CA"/>
        </w:rPr>
        <w:footnoteReference w:id="5"/>
      </w:r>
      <w:r w:rsidR="00990738">
        <w:rPr>
          <w:lang w:val="en-CA"/>
        </w:rPr>
        <w:t xml:space="preserve"> </w:t>
      </w:r>
      <w:r w:rsidR="00994E23">
        <w:rPr>
          <w:lang w:val="en-CA"/>
        </w:rPr>
        <w:t>However,</w:t>
      </w:r>
      <w:r w:rsidR="00985172">
        <w:rPr>
          <w:lang w:val="en-CA"/>
        </w:rPr>
        <w:t xml:space="preserve"> </w:t>
      </w:r>
      <w:r w:rsidR="00F04E5B">
        <w:rPr>
          <w:lang w:val="en-CA"/>
        </w:rPr>
        <w:t xml:space="preserve">his view, while </w:t>
      </w:r>
      <w:r w:rsidR="00F04E5B">
        <w:rPr>
          <w:lang w:val="en-CA"/>
        </w:rPr>
        <w:lastRenderedPageBreak/>
        <w:t>intriguing</w:t>
      </w:r>
      <w:r w:rsidR="00934A74">
        <w:rPr>
          <w:lang w:val="en-CA"/>
        </w:rPr>
        <w:t>,</w:t>
      </w:r>
      <w:r w:rsidR="00F04E5B">
        <w:rPr>
          <w:lang w:val="en-CA"/>
        </w:rPr>
        <w:t xml:space="preserve"> rests upon a number of fallacies and appears quite presumptuous</w:t>
      </w:r>
      <w:r w:rsidR="00B95FCF">
        <w:rPr>
          <w:lang w:val="en-CA"/>
        </w:rPr>
        <w:t>.</w:t>
      </w:r>
      <w:r w:rsidR="00231E8F">
        <w:rPr>
          <w:rStyle w:val="FootnoteReference"/>
          <w:lang w:val="en-CA"/>
        </w:rPr>
        <w:footnoteReference w:id="6"/>
      </w:r>
      <w:r w:rsidR="008A224B">
        <w:rPr>
          <w:lang w:val="en-CA"/>
        </w:rPr>
        <w:t xml:space="preserve">  </w:t>
      </w:r>
      <w:r w:rsidR="00934A74">
        <w:rPr>
          <w:lang w:val="en-CA"/>
        </w:rPr>
        <w:t xml:space="preserve">The theory </w:t>
      </w:r>
      <w:r w:rsidR="008A224B">
        <w:rPr>
          <w:lang w:val="en-CA"/>
        </w:rPr>
        <w:t xml:space="preserve">most supported by scholars is that the </w:t>
      </w:r>
      <w:r w:rsidR="008A224B" w:rsidRPr="00994E23">
        <w:rPr>
          <w:i/>
          <w:lang w:val="en-CA"/>
        </w:rPr>
        <w:t xml:space="preserve">Mabinogi </w:t>
      </w:r>
      <w:r w:rsidR="008A224B">
        <w:rPr>
          <w:lang w:val="en-CA"/>
        </w:rPr>
        <w:t>was the creation of the bardic class.</w:t>
      </w:r>
      <w:r w:rsidR="00024C5D">
        <w:rPr>
          <w:lang w:val="en-CA"/>
        </w:rPr>
        <w:t xml:space="preserve"> </w:t>
      </w:r>
      <w:r w:rsidR="008A224B">
        <w:rPr>
          <w:lang w:val="en-CA"/>
        </w:rPr>
        <w:t>This theory, argued by Will Parker, Proinsi</w:t>
      </w:r>
      <w:r w:rsidR="0057083E">
        <w:rPr>
          <w:lang w:val="en-CA"/>
        </w:rPr>
        <w:t>as Mac Cana and Nikolai Tolsto</w:t>
      </w:r>
      <w:r w:rsidR="008A224B">
        <w:rPr>
          <w:lang w:val="en-CA"/>
        </w:rPr>
        <w:t>y</w:t>
      </w:r>
      <w:r w:rsidR="00934A74">
        <w:rPr>
          <w:lang w:val="en-CA"/>
        </w:rPr>
        <w:t>,</w:t>
      </w:r>
      <w:r w:rsidR="008A224B">
        <w:rPr>
          <w:lang w:val="en-CA"/>
        </w:rPr>
        <w:t xml:space="preserve"> </w:t>
      </w:r>
      <w:r w:rsidR="00934A74">
        <w:rPr>
          <w:lang w:val="en-CA"/>
        </w:rPr>
        <w:t>suggests the</w:t>
      </w:r>
      <w:r w:rsidR="00985172">
        <w:rPr>
          <w:lang w:val="en-CA"/>
        </w:rPr>
        <w:t xml:space="preserve"> </w:t>
      </w:r>
      <w:r w:rsidR="00985172" w:rsidRPr="00994E23">
        <w:rPr>
          <w:i/>
          <w:lang w:val="en-CA"/>
        </w:rPr>
        <w:t>Mabinog</w:t>
      </w:r>
      <w:r w:rsidR="00024C5D" w:rsidRPr="00994E23">
        <w:rPr>
          <w:i/>
          <w:lang w:val="en-CA"/>
        </w:rPr>
        <w:t xml:space="preserve">i </w:t>
      </w:r>
      <w:r w:rsidR="00024C5D">
        <w:rPr>
          <w:lang w:val="en-CA"/>
        </w:rPr>
        <w:t>was written by a learned man of the ecclesiastical-bardic school</w:t>
      </w:r>
      <w:r w:rsidR="008A224B">
        <w:rPr>
          <w:lang w:val="en-CA"/>
        </w:rPr>
        <w:t xml:space="preserve"> of the medieval period</w:t>
      </w:r>
      <w:r w:rsidR="00024C5D">
        <w:rPr>
          <w:lang w:val="en-CA"/>
        </w:rPr>
        <w:t xml:space="preserve"> </w:t>
      </w:r>
      <w:r w:rsidR="00FC4E19">
        <w:rPr>
          <w:lang w:val="en-CA"/>
        </w:rPr>
        <w:t>around c.1190</w:t>
      </w:r>
      <w:r w:rsidR="007F5606">
        <w:rPr>
          <w:lang w:val="en-CA"/>
        </w:rPr>
        <w:t xml:space="preserve">. </w:t>
      </w:r>
      <w:r w:rsidR="00231E8F">
        <w:rPr>
          <w:rStyle w:val="FootnoteReference"/>
          <w:lang w:val="en-CA"/>
        </w:rPr>
        <w:footnoteReference w:id="7"/>
      </w:r>
      <w:r w:rsidR="00985172">
        <w:rPr>
          <w:lang w:val="en-CA"/>
        </w:rPr>
        <w:t xml:space="preserve"> </w:t>
      </w:r>
      <w:r w:rsidR="007F5606">
        <w:rPr>
          <w:lang w:val="en-CA"/>
        </w:rPr>
        <w:t xml:space="preserve">The main adherent to this theory is Will </w:t>
      </w:r>
      <w:r w:rsidR="00985172">
        <w:rPr>
          <w:lang w:val="en-CA"/>
        </w:rPr>
        <w:t>Parker</w:t>
      </w:r>
      <w:r w:rsidR="007F5606">
        <w:rPr>
          <w:lang w:val="en-CA"/>
        </w:rPr>
        <w:t>, who</w:t>
      </w:r>
      <w:r w:rsidR="00985172">
        <w:rPr>
          <w:lang w:val="en-CA"/>
        </w:rPr>
        <w:t xml:space="preserve"> backs up his claim with much medieval textual evidence as well as a wealth of prose analysis</w:t>
      </w:r>
      <w:r w:rsidR="007F5606">
        <w:rPr>
          <w:lang w:val="en-CA"/>
        </w:rPr>
        <w:t>, and evidence of the geopolitical state of Wales in the 12</w:t>
      </w:r>
      <w:r w:rsidR="007F5606" w:rsidRPr="007F5606">
        <w:rPr>
          <w:vertAlign w:val="superscript"/>
          <w:lang w:val="en-CA"/>
        </w:rPr>
        <w:t>th</w:t>
      </w:r>
      <w:r w:rsidR="007F5606">
        <w:rPr>
          <w:lang w:val="en-CA"/>
        </w:rPr>
        <w:t xml:space="preserve"> century. His theory is</w:t>
      </w:r>
      <w:r w:rsidR="0003197B">
        <w:rPr>
          <w:lang w:val="en-CA"/>
        </w:rPr>
        <w:t xml:space="preserve"> bolstered and comple</w:t>
      </w:r>
      <w:r w:rsidR="000069F5">
        <w:rPr>
          <w:lang w:val="en-CA"/>
        </w:rPr>
        <w:t>mented by Tolstoy and</w:t>
      </w:r>
      <w:r w:rsidR="00985172">
        <w:rPr>
          <w:lang w:val="en-CA"/>
        </w:rPr>
        <w:t xml:space="preserve"> Mac Cana, </w:t>
      </w:r>
      <w:r w:rsidR="007F5606">
        <w:rPr>
          <w:lang w:val="en-CA"/>
        </w:rPr>
        <w:t>who also argue that there is considerable bardic influence in the text.</w:t>
      </w:r>
      <w:r w:rsidR="00231E8F">
        <w:rPr>
          <w:rStyle w:val="FootnoteReference"/>
          <w:lang w:val="en-CA"/>
        </w:rPr>
        <w:footnoteReference w:id="8"/>
      </w:r>
      <w:r w:rsidR="0099336A">
        <w:rPr>
          <w:rStyle w:val="FootnoteReference"/>
          <w:lang w:val="en-CA"/>
        </w:rPr>
        <w:footnoteReference w:id="9"/>
      </w:r>
      <w:r w:rsidR="007F5606">
        <w:rPr>
          <w:lang w:val="en-CA"/>
        </w:rPr>
        <w:t xml:space="preserve"> </w:t>
      </w:r>
    </w:p>
    <w:p w14:paraId="15A6D1E4" w14:textId="6728A1B2" w:rsidR="000069F5" w:rsidRDefault="00436393" w:rsidP="00FD1B2F">
      <w:pPr>
        <w:spacing w:line="480" w:lineRule="auto"/>
        <w:ind w:firstLine="720"/>
        <w:rPr>
          <w:lang w:val="en-CA"/>
        </w:rPr>
      </w:pPr>
      <w:r>
        <w:rPr>
          <w:lang w:val="en-CA"/>
        </w:rPr>
        <w:t xml:space="preserve">The Four Branches of the </w:t>
      </w:r>
      <w:r w:rsidRPr="00994E23">
        <w:rPr>
          <w:i/>
          <w:lang w:val="en-CA"/>
        </w:rPr>
        <w:t>Mabinogion</w:t>
      </w:r>
      <w:r>
        <w:rPr>
          <w:lang w:val="en-CA"/>
        </w:rPr>
        <w:t>, as they are presented to us today</w:t>
      </w:r>
      <w:r w:rsidR="00203868">
        <w:rPr>
          <w:lang w:val="en-CA"/>
        </w:rPr>
        <w:t>, come from two main sources, namely the fourteenth century codex, “</w:t>
      </w:r>
      <w:r w:rsidR="00203868" w:rsidRPr="00994E23">
        <w:rPr>
          <w:i/>
          <w:lang w:val="en-CA"/>
        </w:rPr>
        <w:t>Y Llyfyr Gwyn y Rhydderch</w:t>
      </w:r>
      <w:r w:rsidR="00203868">
        <w:rPr>
          <w:lang w:val="en-CA"/>
        </w:rPr>
        <w:t xml:space="preserve"> ‘</w:t>
      </w:r>
      <w:r w:rsidR="00203868" w:rsidRPr="00994E23">
        <w:rPr>
          <w:i/>
          <w:lang w:val="en-CA"/>
        </w:rPr>
        <w:t>The White Book of Rhydderch</w:t>
      </w:r>
      <w:r w:rsidR="00203868">
        <w:rPr>
          <w:lang w:val="en-CA"/>
        </w:rPr>
        <w:t>’” and the document “</w:t>
      </w:r>
      <w:r w:rsidR="00203868" w:rsidRPr="00994E23">
        <w:rPr>
          <w:i/>
          <w:lang w:val="en-CA"/>
        </w:rPr>
        <w:t>Y Llyfr Goch Hergest</w:t>
      </w:r>
      <w:r w:rsidR="00203868">
        <w:rPr>
          <w:lang w:val="en-CA"/>
        </w:rPr>
        <w:t xml:space="preserve"> ‘</w:t>
      </w:r>
      <w:r w:rsidR="00203868" w:rsidRPr="00994E23">
        <w:rPr>
          <w:i/>
          <w:lang w:val="en-CA"/>
        </w:rPr>
        <w:t>The Red Book of Hergest</w:t>
      </w:r>
      <w:r w:rsidR="00994E23">
        <w:rPr>
          <w:lang w:val="en-CA"/>
        </w:rPr>
        <w:t>.”</w:t>
      </w:r>
      <w:r w:rsidR="00231E8F">
        <w:rPr>
          <w:rStyle w:val="FootnoteReference"/>
          <w:lang w:val="en-CA"/>
        </w:rPr>
        <w:footnoteReference w:id="10"/>
      </w:r>
      <w:r w:rsidR="00E80184">
        <w:rPr>
          <w:lang w:val="en-CA"/>
        </w:rPr>
        <w:t xml:space="preserve"> </w:t>
      </w:r>
      <w:r w:rsidR="00212CE0" w:rsidRPr="00994E23">
        <w:rPr>
          <w:i/>
          <w:lang w:val="en-CA"/>
        </w:rPr>
        <w:t>The White Book of Rhydderch</w:t>
      </w:r>
      <w:r w:rsidR="00212CE0">
        <w:rPr>
          <w:lang w:val="en-CA"/>
        </w:rPr>
        <w:t xml:space="preserve"> has been dated to around 1350 and the </w:t>
      </w:r>
      <w:r w:rsidR="00212CE0" w:rsidRPr="00994E23">
        <w:rPr>
          <w:i/>
          <w:lang w:val="en-CA"/>
        </w:rPr>
        <w:t>Red Book of Hergest</w:t>
      </w:r>
      <w:r w:rsidR="00212CE0">
        <w:rPr>
          <w:lang w:val="en-CA"/>
        </w:rPr>
        <w:t xml:space="preserve"> dates from 1380.</w:t>
      </w:r>
      <w:r w:rsidR="00231E8F">
        <w:rPr>
          <w:rStyle w:val="FootnoteReference"/>
          <w:lang w:val="en-CA"/>
        </w:rPr>
        <w:footnoteReference w:id="11"/>
      </w:r>
      <w:r w:rsidR="00212CE0">
        <w:rPr>
          <w:lang w:val="en-CA"/>
        </w:rPr>
        <w:t xml:space="preserve"> Will Parker </w:t>
      </w:r>
      <w:r w:rsidR="000069F5">
        <w:rPr>
          <w:lang w:val="en-CA"/>
        </w:rPr>
        <w:t xml:space="preserve">suggests, </w:t>
      </w:r>
    </w:p>
    <w:p w14:paraId="5046096A" w14:textId="11CC9FF8" w:rsidR="000069F5" w:rsidRDefault="00212CE0" w:rsidP="000069F5">
      <w:pPr>
        <w:ind w:left="567" w:right="851"/>
        <w:rPr>
          <w:lang w:val="en-CA"/>
        </w:rPr>
      </w:pPr>
      <w:r>
        <w:rPr>
          <w:lang w:val="en-CA"/>
        </w:rPr>
        <w:t>The copy of the Four Branches it [</w:t>
      </w:r>
      <w:r w:rsidRPr="00994E23">
        <w:rPr>
          <w:i/>
          <w:lang w:val="en-CA"/>
        </w:rPr>
        <w:t>The White Book of Rhydderch</w:t>
      </w:r>
      <w:r>
        <w:rPr>
          <w:lang w:val="en-CA"/>
        </w:rPr>
        <w:t>] contains is evidently descended (via a series of intermediary recensions) from a twelfth-century manuscript (known simply as ‘</w:t>
      </w:r>
      <w:r w:rsidRPr="00994E23">
        <w:rPr>
          <w:i/>
          <w:lang w:val="en-CA"/>
        </w:rPr>
        <w:t>Peniarth 6’</w:t>
      </w:r>
      <w:r>
        <w:rPr>
          <w:lang w:val="en-CA"/>
        </w:rPr>
        <w:t>)</w:t>
      </w:r>
      <w:r w:rsidR="00037131">
        <w:rPr>
          <w:lang w:val="en-CA"/>
        </w:rPr>
        <w:t>.</w:t>
      </w:r>
      <w:r w:rsidR="00994E23">
        <w:rPr>
          <w:lang w:val="en-CA"/>
        </w:rPr>
        <w:t xml:space="preserve"> </w:t>
      </w:r>
      <w:r w:rsidR="00037131">
        <w:rPr>
          <w:lang w:val="en-CA"/>
        </w:rPr>
        <w:t>T</w:t>
      </w:r>
      <w:r>
        <w:rPr>
          <w:lang w:val="en-CA"/>
        </w:rPr>
        <w:t xml:space="preserve">here are no further traces of this early textual history. </w:t>
      </w:r>
      <w:r w:rsidR="00994E23">
        <w:rPr>
          <w:lang w:val="en-CA"/>
        </w:rPr>
        <w:t>Thus,</w:t>
      </w:r>
      <w:r>
        <w:rPr>
          <w:lang w:val="en-CA"/>
        </w:rPr>
        <w:t xml:space="preserve"> the manuscript in question post-dates the </w:t>
      </w:r>
      <w:r w:rsidRPr="00994E23">
        <w:rPr>
          <w:i/>
          <w:lang w:val="en-CA"/>
        </w:rPr>
        <w:t>Mabinogi</w:t>
      </w:r>
      <w:r>
        <w:rPr>
          <w:lang w:val="en-CA"/>
        </w:rPr>
        <w:t xml:space="preserve"> by more than a hundred and fifty years</w:t>
      </w:r>
      <w:r w:rsidR="000069F5">
        <w:rPr>
          <w:lang w:val="en-CA"/>
        </w:rPr>
        <w:t xml:space="preserve">. </w:t>
      </w:r>
      <w:r w:rsidR="00231E8F">
        <w:rPr>
          <w:rStyle w:val="FootnoteReference"/>
          <w:lang w:val="en-CA"/>
        </w:rPr>
        <w:footnoteReference w:id="12"/>
      </w:r>
      <w:r w:rsidR="005467D4">
        <w:rPr>
          <w:lang w:val="en-CA"/>
        </w:rPr>
        <w:t xml:space="preserve"> </w:t>
      </w:r>
    </w:p>
    <w:p w14:paraId="4CDC6D3B" w14:textId="77777777" w:rsidR="000069F5" w:rsidRDefault="000069F5" w:rsidP="000069F5">
      <w:pPr>
        <w:ind w:left="567" w:right="851"/>
        <w:rPr>
          <w:lang w:val="en-CA"/>
        </w:rPr>
      </w:pPr>
    </w:p>
    <w:p w14:paraId="07D5DB73" w14:textId="7E114ACE" w:rsidR="000069F5" w:rsidRDefault="005467D4" w:rsidP="000069F5">
      <w:pPr>
        <w:spacing w:line="480" w:lineRule="auto"/>
        <w:rPr>
          <w:lang w:val="en-CA"/>
        </w:rPr>
      </w:pPr>
      <w:r>
        <w:rPr>
          <w:lang w:val="en-CA"/>
        </w:rPr>
        <w:lastRenderedPageBreak/>
        <w:t>These two source</w:t>
      </w:r>
      <w:r w:rsidR="00434050">
        <w:rPr>
          <w:lang w:val="en-CA"/>
        </w:rPr>
        <w:t>s</w:t>
      </w:r>
      <w:r>
        <w:rPr>
          <w:lang w:val="en-CA"/>
        </w:rPr>
        <w:t xml:space="preserve"> and the </w:t>
      </w:r>
      <w:r w:rsidR="00DF6417" w:rsidRPr="00994E23">
        <w:rPr>
          <w:i/>
          <w:lang w:val="en-CA"/>
        </w:rPr>
        <w:t>Penia</w:t>
      </w:r>
      <w:r w:rsidR="00C043E1" w:rsidRPr="00994E23">
        <w:rPr>
          <w:i/>
          <w:lang w:val="en-CA"/>
        </w:rPr>
        <w:t>rth</w:t>
      </w:r>
      <w:r w:rsidR="00C043E1">
        <w:rPr>
          <w:lang w:val="en-CA"/>
        </w:rPr>
        <w:t xml:space="preserve"> fragments are thus the only examples “</w:t>
      </w:r>
      <w:r w:rsidR="00F70517">
        <w:rPr>
          <w:lang w:val="en-CA"/>
        </w:rPr>
        <w:t>…</w:t>
      </w:r>
      <w:r w:rsidR="00C043E1">
        <w:rPr>
          <w:lang w:val="en-CA"/>
        </w:rPr>
        <w:t xml:space="preserve">in native </w:t>
      </w:r>
      <w:r w:rsidR="00037131">
        <w:rPr>
          <w:lang w:val="en-CA"/>
        </w:rPr>
        <w:t>W</w:t>
      </w:r>
      <w:r w:rsidR="00C043E1">
        <w:rPr>
          <w:lang w:val="en-CA"/>
        </w:rPr>
        <w:t>elsh literature of this concept of formally designated quasi-autonomous sections of a complete narrative.”</w:t>
      </w:r>
      <w:r w:rsidR="00231E8F">
        <w:rPr>
          <w:rStyle w:val="FootnoteReference"/>
          <w:lang w:val="en-CA"/>
        </w:rPr>
        <w:footnoteReference w:id="13"/>
      </w:r>
    </w:p>
    <w:p w14:paraId="2A2E4C4C" w14:textId="32508C6A" w:rsidR="003E262C" w:rsidRDefault="009D778A" w:rsidP="000069F5">
      <w:pPr>
        <w:spacing w:line="480" w:lineRule="auto"/>
        <w:rPr>
          <w:lang w:val="en-CA"/>
        </w:rPr>
      </w:pPr>
      <w:r>
        <w:rPr>
          <w:lang w:val="en-CA"/>
        </w:rPr>
        <w:t xml:space="preserve">While these texts contained much knowledge of the day, the ideals and world portrayed in the </w:t>
      </w:r>
      <w:r w:rsidRPr="00994E23">
        <w:rPr>
          <w:i/>
          <w:lang w:val="en-CA"/>
        </w:rPr>
        <w:t>Mabinogi</w:t>
      </w:r>
      <w:r>
        <w:rPr>
          <w:lang w:val="en-CA"/>
        </w:rPr>
        <w:t xml:space="preserve"> made clear that</w:t>
      </w:r>
      <w:r w:rsidR="00AF26AB">
        <w:rPr>
          <w:lang w:val="en-CA"/>
        </w:rPr>
        <w:t xml:space="preserve"> these works </w:t>
      </w:r>
    </w:p>
    <w:p w14:paraId="0B1CB1B7" w14:textId="166719BC" w:rsidR="003E262C" w:rsidRDefault="00AF26AB" w:rsidP="003E262C">
      <w:pPr>
        <w:ind w:left="709" w:right="571" w:firstLine="11"/>
        <w:rPr>
          <w:lang w:val="en-CA"/>
        </w:rPr>
      </w:pPr>
      <w:r>
        <w:rPr>
          <w:lang w:val="en-CA"/>
        </w:rPr>
        <w:t>were products of the distinctive world of pre-conquest Wales</w:t>
      </w:r>
      <w:r w:rsidR="009D778A">
        <w:rPr>
          <w:lang w:val="en-CA"/>
        </w:rPr>
        <w:t xml:space="preserve">, an archaic social order dominated by the warrior-prince on the one hand and the tribal abbot and priest bard on the other. When Rhydderch ab Ieuan came to assemble his collection c. 1350, memories of this proto-feudal world would have still been </w:t>
      </w:r>
      <w:r w:rsidR="00037131">
        <w:rPr>
          <w:lang w:val="en-CA"/>
        </w:rPr>
        <w:t>alive,</w:t>
      </w:r>
      <w:r w:rsidR="009D778A">
        <w:rPr>
          <w:lang w:val="en-CA"/>
        </w:rPr>
        <w:t xml:space="preserve"> and its characteristic forms of disc</w:t>
      </w:r>
      <w:r w:rsidR="003E262C">
        <w:rPr>
          <w:lang w:val="en-CA"/>
        </w:rPr>
        <w:t>ourse still broadly understood.</w:t>
      </w:r>
      <w:r w:rsidR="00231E8F">
        <w:rPr>
          <w:rStyle w:val="FootnoteReference"/>
          <w:lang w:val="en-CA"/>
        </w:rPr>
        <w:footnoteReference w:id="14"/>
      </w:r>
    </w:p>
    <w:p w14:paraId="62A45AEB" w14:textId="77777777" w:rsidR="003E262C" w:rsidRDefault="003E262C" w:rsidP="003E262C">
      <w:pPr>
        <w:spacing w:line="480" w:lineRule="auto"/>
        <w:rPr>
          <w:lang w:val="en-CA"/>
        </w:rPr>
      </w:pPr>
    </w:p>
    <w:p w14:paraId="7C82173A" w14:textId="168A8DC9" w:rsidR="00436393" w:rsidRDefault="006479D0" w:rsidP="003E262C">
      <w:pPr>
        <w:spacing w:line="480" w:lineRule="auto"/>
        <w:rPr>
          <w:lang w:val="en-CA"/>
        </w:rPr>
      </w:pPr>
      <w:r>
        <w:rPr>
          <w:lang w:val="en-CA"/>
        </w:rPr>
        <w:t>However as time passed thes</w:t>
      </w:r>
      <w:r w:rsidR="002C249C">
        <w:rPr>
          <w:lang w:val="en-CA"/>
        </w:rPr>
        <w:t xml:space="preserve">e memoires and the context of the stories became largely forgotten and lost their </w:t>
      </w:r>
      <w:r w:rsidR="00F9561F">
        <w:rPr>
          <w:lang w:val="en-CA"/>
        </w:rPr>
        <w:t>‘</w:t>
      </w:r>
      <w:r w:rsidR="002C249C">
        <w:rPr>
          <w:lang w:val="en-CA"/>
        </w:rPr>
        <w:t>primary appeal</w:t>
      </w:r>
      <w:r w:rsidR="00F9561F">
        <w:rPr>
          <w:lang w:val="en-CA"/>
        </w:rPr>
        <w:t>’</w:t>
      </w:r>
      <w:r w:rsidR="003E262C">
        <w:rPr>
          <w:lang w:val="en-CA"/>
        </w:rPr>
        <w:t>,</w:t>
      </w:r>
      <w:r w:rsidR="00291ECB">
        <w:rPr>
          <w:lang w:val="en-CA"/>
        </w:rPr>
        <w:t xml:space="preserve"> and the texts largely bec</w:t>
      </w:r>
      <w:r w:rsidR="00F9561F">
        <w:rPr>
          <w:lang w:val="en-CA"/>
        </w:rPr>
        <w:t>a</w:t>
      </w:r>
      <w:r w:rsidR="00291ECB">
        <w:rPr>
          <w:lang w:val="en-CA"/>
        </w:rPr>
        <w:t xml:space="preserve">me regarded with “dismissive </w:t>
      </w:r>
      <w:r w:rsidR="003E262C">
        <w:rPr>
          <w:lang w:val="en-CA"/>
        </w:rPr>
        <w:t>condescension</w:t>
      </w:r>
      <w:r w:rsidR="00291ECB">
        <w:rPr>
          <w:lang w:val="en-CA"/>
        </w:rPr>
        <w:t>”</w:t>
      </w:r>
      <w:r w:rsidR="00231E8F">
        <w:rPr>
          <w:lang w:val="en-CA"/>
        </w:rPr>
        <w:t>.</w:t>
      </w:r>
      <w:r w:rsidR="00231E8F">
        <w:rPr>
          <w:rStyle w:val="FootnoteReference"/>
          <w:lang w:val="en-CA"/>
        </w:rPr>
        <w:footnoteReference w:id="15"/>
      </w:r>
      <w:r w:rsidR="00291ECB">
        <w:rPr>
          <w:lang w:val="en-CA"/>
        </w:rPr>
        <w:t xml:space="preserve"> It has only been in the modern era that the texts have </w:t>
      </w:r>
      <w:r w:rsidR="00F9561F">
        <w:rPr>
          <w:lang w:val="en-CA"/>
        </w:rPr>
        <w:t>begun</w:t>
      </w:r>
      <w:r w:rsidR="00291ECB">
        <w:rPr>
          <w:lang w:val="en-CA"/>
        </w:rPr>
        <w:t xml:space="preserve"> to be thoroug</w:t>
      </w:r>
      <w:r w:rsidR="003E262C">
        <w:rPr>
          <w:lang w:val="en-CA"/>
        </w:rPr>
        <w:t>hly studied once more, so that</w:t>
      </w:r>
      <w:r w:rsidR="00291ECB">
        <w:rPr>
          <w:lang w:val="en-CA"/>
        </w:rPr>
        <w:t xml:space="preserve"> “the Four Branches now attracts more scholarly interest than any of the other texts from the White Book Collection.”</w:t>
      </w:r>
      <w:r w:rsidR="00231E8F">
        <w:rPr>
          <w:rStyle w:val="FootnoteReference"/>
          <w:lang w:val="en-CA"/>
        </w:rPr>
        <w:footnoteReference w:id="16"/>
      </w:r>
      <w:r w:rsidR="00291ECB">
        <w:rPr>
          <w:lang w:val="en-CA"/>
        </w:rPr>
        <w:t xml:space="preserve"> With this </w:t>
      </w:r>
      <w:r w:rsidR="00037131">
        <w:rPr>
          <w:lang w:val="en-CA"/>
        </w:rPr>
        <w:t>new-found</w:t>
      </w:r>
      <w:r w:rsidR="003E262C">
        <w:rPr>
          <w:lang w:val="en-CA"/>
        </w:rPr>
        <w:t xml:space="preserve"> interest also comes a</w:t>
      </w:r>
      <w:r w:rsidR="00291ECB">
        <w:rPr>
          <w:lang w:val="en-CA"/>
        </w:rPr>
        <w:t xml:space="preserve"> </w:t>
      </w:r>
      <w:r w:rsidR="003E262C">
        <w:rPr>
          <w:lang w:val="en-CA"/>
        </w:rPr>
        <w:t>curiosity about</w:t>
      </w:r>
      <w:r w:rsidR="00291ECB">
        <w:rPr>
          <w:lang w:val="en-CA"/>
        </w:rPr>
        <w:t xml:space="preserve"> who the original author of the texts may have been, what their role in society was and when said author lived.   </w:t>
      </w:r>
      <w:r w:rsidR="009D778A">
        <w:rPr>
          <w:lang w:val="en-CA"/>
        </w:rPr>
        <w:t xml:space="preserve"> </w:t>
      </w:r>
    </w:p>
    <w:p w14:paraId="5DF7B8BF" w14:textId="03776E4D" w:rsidR="00667D82" w:rsidRDefault="00FE4770" w:rsidP="00667D82">
      <w:pPr>
        <w:spacing w:line="480" w:lineRule="auto"/>
        <w:ind w:firstLine="720"/>
        <w:rPr>
          <w:lang w:val="en-CA"/>
        </w:rPr>
      </w:pPr>
      <w:r>
        <w:rPr>
          <w:lang w:val="en-CA"/>
        </w:rPr>
        <w:t xml:space="preserve">It is clear when reading the </w:t>
      </w:r>
      <w:r w:rsidRPr="00994E23">
        <w:rPr>
          <w:i/>
          <w:lang w:val="en-CA"/>
        </w:rPr>
        <w:t>Ma</w:t>
      </w:r>
      <w:r w:rsidR="00291ECB" w:rsidRPr="00994E23">
        <w:rPr>
          <w:i/>
          <w:lang w:val="en-CA"/>
        </w:rPr>
        <w:t xml:space="preserve">binogi </w:t>
      </w:r>
      <w:r w:rsidR="00291ECB">
        <w:rPr>
          <w:lang w:val="en-CA"/>
        </w:rPr>
        <w:t>that the events which occur in the text are highly fantastical and consigned to an already half remembered mytho-history of the Welsh landscape.</w:t>
      </w:r>
      <w:r w:rsidR="003E262C">
        <w:rPr>
          <w:lang w:val="en-CA"/>
        </w:rPr>
        <w:t xml:space="preserve"> Nikolai Tolsto</w:t>
      </w:r>
      <w:r w:rsidR="006F427D">
        <w:rPr>
          <w:lang w:val="en-CA"/>
        </w:rPr>
        <w:t xml:space="preserve">y writes that the Mabinogi is set “in the period before the Roman </w:t>
      </w:r>
      <w:r w:rsidR="006F427D">
        <w:rPr>
          <w:lang w:val="en-CA"/>
        </w:rPr>
        <w:lastRenderedPageBreak/>
        <w:t xml:space="preserve">invasions, and the self-consciously pagan setting indicates awareness that the events of the stories occurred in an era remote from that of the </w:t>
      </w:r>
      <w:r w:rsidR="006F427D" w:rsidRPr="006F427D">
        <w:rPr>
          <w:i/>
          <w:lang w:val="en-CA"/>
        </w:rPr>
        <w:t>cyfarwydd</w:t>
      </w:r>
      <w:r w:rsidR="006F427D">
        <w:rPr>
          <w:lang w:val="en-CA"/>
        </w:rPr>
        <w:t xml:space="preserve"> and his audience</w:t>
      </w:r>
      <w:r w:rsidR="00994E23">
        <w:rPr>
          <w:lang w:val="en-CA"/>
        </w:rPr>
        <w:t>.”</w:t>
      </w:r>
      <w:r w:rsidR="00231E8F">
        <w:rPr>
          <w:rStyle w:val="FootnoteReference"/>
          <w:lang w:val="en-CA"/>
        </w:rPr>
        <w:footnoteReference w:id="17"/>
      </w:r>
      <w:r w:rsidR="006F427D">
        <w:rPr>
          <w:lang w:val="en-CA"/>
        </w:rPr>
        <w:t xml:space="preserve"> Thus the tales are</w:t>
      </w:r>
      <w:r w:rsidR="007622DB">
        <w:rPr>
          <w:lang w:val="en-CA"/>
        </w:rPr>
        <w:t xml:space="preserve"> not</w:t>
      </w:r>
      <w:r w:rsidR="006F427D">
        <w:rPr>
          <w:lang w:val="en-CA"/>
        </w:rPr>
        <w:t xml:space="preserve"> written by a pagan but rather someone who lived much later</w:t>
      </w:r>
      <w:r w:rsidR="007622DB">
        <w:rPr>
          <w:lang w:val="en-CA"/>
        </w:rPr>
        <w:t>,</w:t>
      </w:r>
      <w:r w:rsidR="006F427D">
        <w:rPr>
          <w:lang w:val="en-CA"/>
        </w:rPr>
        <w:t xml:space="preserve"> </w:t>
      </w:r>
      <w:r w:rsidR="00037131">
        <w:rPr>
          <w:lang w:val="en-CA"/>
        </w:rPr>
        <w:t>and</w:t>
      </w:r>
      <w:r w:rsidR="006F427D">
        <w:rPr>
          <w:lang w:val="en-CA"/>
        </w:rPr>
        <w:t xml:space="preserve"> drew upon fragments of knowledge of this period.</w:t>
      </w:r>
      <w:r w:rsidR="00920556">
        <w:rPr>
          <w:lang w:val="en-CA"/>
        </w:rPr>
        <w:t xml:space="preserve"> Prior to the usage of the written word</w:t>
      </w:r>
      <w:r w:rsidR="00037131">
        <w:rPr>
          <w:lang w:val="en-CA"/>
        </w:rPr>
        <w:t>,</w:t>
      </w:r>
      <w:r w:rsidR="00920556">
        <w:rPr>
          <w:lang w:val="en-CA"/>
        </w:rPr>
        <w:t xml:space="preserve"> stories were conveyed orally, by a bardic class</w:t>
      </w:r>
      <w:r w:rsidR="00F9561F">
        <w:rPr>
          <w:lang w:val="en-CA"/>
        </w:rPr>
        <w:t xml:space="preserve"> of poets and storytellers</w:t>
      </w:r>
      <w:r w:rsidR="0088692B">
        <w:rPr>
          <w:lang w:val="en-CA"/>
        </w:rPr>
        <w:t>, known in Wales as</w:t>
      </w:r>
      <w:r w:rsidR="00450FC1">
        <w:rPr>
          <w:lang w:val="en-CA"/>
        </w:rPr>
        <w:t xml:space="preserve"> </w:t>
      </w:r>
      <w:r w:rsidR="0088692B" w:rsidRPr="0088692B">
        <w:rPr>
          <w:i/>
          <w:lang w:val="en-CA"/>
        </w:rPr>
        <w:t>cyfarwydd</w:t>
      </w:r>
      <w:r w:rsidR="0088692B">
        <w:rPr>
          <w:lang w:val="en-CA"/>
        </w:rPr>
        <w:t>,</w:t>
      </w:r>
      <w:r w:rsidR="00F9561F">
        <w:rPr>
          <w:lang w:val="en-CA"/>
        </w:rPr>
        <w:t xml:space="preserve"> who were responsible for the transmission and remembrance </w:t>
      </w:r>
      <w:r w:rsidR="00E660AF">
        <w:rPr>
          <w:lang w:val="en-CA"/>
        </w:rPr>
        <w:t>of Welsh</w:t>
      </w:r>
      <w:r w:rsidR="00F9561F">
        <w:rPr>
          <w:lang w:val="en-CA"/>
        </w:rPr>
        <w:t xml:space="preserve"> history and myth</w:t>
      </w:r>
      <w:r w:rsidR="00CC6706">
        <w:rPr>
          <w:lang w:val="en-CA"/>
        </w:rPr>
        <w:t xml:space="preserve"> and whose </w:t>
      </w:r>
      <w:r w:rsidR="006A62C0">
        <w:rPr>
          <w:lang w:val="en-CA"/>
        </w:rPr>
        <w:t xml:space="preserve">origin </w:t>
      </w:r>
      <w:r w:rsidR="009209B7">
        <w:rPr>
          <w:lang w:val="en-CA"/>
        </w:rPr>
        <w:t>stretches</w:t>
      </w:r>
      <w:r w:rsidR="006A62C0">
        <w:rPr>
          <w:lang w:val="en-CA"/>
        </w:rPr>
        <w:t xml:space="preserve"> far back into the pre-Christian, pagan past</w:t>
      </w:r>
      <w:r w:rsidR="00F9561F">
        <w:rPr>
          <w:lang w:val="en-CA"/>
        </w:rPr>
        <w:t>.</w:t>
      </w:r>
      <w:r w:rsidR="006A62C0">
        <w:rPr>
          <w:lang w:val="en-CA"/>
        </w:rPr>
        <w:t xml:space="preserve"> </w:t>
      </w:r>
      <w:r w:rsidR="00E660AF">
        <w:rPr>
          <w:lang w:val="en-CA"/>
        </w:rPr>
        <w:t>However,</w:t>
      </w:r>
      <w:r w:rsidR="007622DB">
        <w:rPr>
          <w:lang w:val="en-CA"/>
        </w:rPr>
        <w:t xml:space="preserve"> by</w:t>
      </w:r>
      <w:r w:rsidR="006A62C0">
        <w:rPr>
          <w:lang w:val="en-CA"/>
        </w:rPr>
        <w:t xml:space="preserve"> around mid 500</w:t>
      </w:r>
      <w:r w:rsidR="00037131">
        <w:rPr>
          <w:lang w:val="en-CA"/>
        </w:rPr>
        <w:t xml:space="preserve"> </w:t>
      </w:r>
      <w:r w:rsidR="006A62C0">
        <w:rPr>
          <w:lang w:val="en-CA"/>
        </w:rPr>
        <w:t>AD and the conversion of the pagan</w:t>
      </w:r>
      <w:r w:rsidR="000A2F39">
        <w:rPr>
          <w:lang w:val="en-CA"/>
        </w:rPr>
        <w:t xml:space="preserve">s of Ireland and Wales there was a “curious alliance” </w:t>
      </w:r>
      <w:r w:rsidR="000A2F39" w:rsidRPr="000A2F39">
        <w:rPr>
          <w:lang w:val="en-CA"/>
        </w:rPr>
        <w:t>between</w:t>
      </w:r>
      <w:r w:rsidR="000A2F39">
        <w:rPr>
          <w:lang w:val="en-CA"/>
        </w:rPr>
        <w:t xml:space="preserve"> the “</w:t>
      </w:r>
      <w:r w:rsidR="0047580C" w:rsidRPr="000A2F39">
        <w:rPr>
          <w:lang w:val="en-CA"/>
        </w:rPr>
        <w:t>secular bardic orders and the ecclesiastic establishment</w:t>
      </w:r>
      <w:r w:rsidR="000A2F39" w:rsidRPr="000A2F39">
        <w:rPr>
          <w:lang w:val="en-CA"/>
        </w:rPr>
        <w:t>”</w:t>
      </w:r>
      <w:r w:rsidR="000A2F39">
        <w:rPr>
          <w:lang w:val="en-CA"/>
        </w:rPr>
        <w:t xml:space="preserve"> which was part of the accepted status quo in Medieval Welsh and Irish society.</w:t>
      </w:r>
      <w:r w:rsidR="00231E8F">
        <w:rPr>
          <w:rStyle w:val="FootnoteReference"/>
          <w:lang w:val="en-CA"/>
        </w:rPr>
        <w:footnoteReference w:id="18"/>
      </w:r>
    </w:p>
    <w:p w14:paraId="466D2811" w14:textId="46236FE3" w:rsidR="00811027" w:rsidRDefault="00BA3D14" w:rsidP="004573B6">
      <w:pPr>
        <w:ind w:left="567" w:right="851" w:hanging="709"/>
        <w:rPr>
          <w:lang w:val="en-CA"/>
        </w:rPr>
      </w:pPr>
      <w:r>
        <w:rPr>
          <w:lang w:val="en-CA"/>
        </w:rPr>
        <w:t xml:space="preserve">This “cleric-bardic caste… had their own sources of wealth and power and (in contrast to their counterparts in the Anglo-Norman </w:t>
      </w:r>
      <w:r w:rsidR="00E660AF">
        <w:rPr>
          <w:lang w:val="en-CA"/>
        </w:rPr>
        <w:t>world) …</w:t>
      </w:r>
      <w:r>
        <w:rPr>
          <w:lang w:val="en-CA"/>
        </w:rPr>
        <w:t xml:space="preserve"> were able to marry legitimately and raise families of their own, effectively constituting a semi-autonomous hierarchy within the wider tribal community of Medieval Wales</w:t>
      </w:r>
      <w:r w:rsidR="00994E23">
        <w:rPr>
          <w:lang w:val="en-CA"/>
        </w:rPr>
        <w:t>.”</w:t>
      </w:r>
      <w:r w:rsidR="00231E8F">
        <w:rPr>
          <w:rStyle w:val="FootnoteReference"/>
          <w:lang w:val="en-CA"/>
        </w:rPr>
        <w:footnoteReference w:id="19"/>
      </w:r>
    </w:p>
    <w:p w14:paraId="496EB068" w14:textId="77777777" w:rsidR="00667D82" w:rsidRDefault="00667D82" w:rsidP="00667D82">
      <w:pPr>
        <w:rPr>
          <w:lang w:val="en-CA"/>
        </w:rPr>
      </w:pPr>
    </w:p>
    <w:p w14:paraId="4393D9C7" w14:textId="2974F3A9" w:rsidR="00687461" w:rsidRDefault="00BA3D14" w:rsidP="00FD1B2F">
      <w:pPr>
        <w:spacing w:line="480" w:lineRule="auto"/>
        <w:ind w:firstLine="720"/>
        <w:rPr>
          <w:lang w:val="en-CA"/>
        </w:rPr>
      </w:pPr>
      <w:r>
        <w:rPr>
          <w:lang w:val="en-CA"/>
        </w:rPr>
        <w:t>This group was</w:t>
      </w:r>
      <w:r w:rsidR="006F427D">
        <w:rPr>
          <w:lang w:val="en-CA"/>
        </w:rPr>
        <w:t xml:space="preserve"> also</w:t>
      </w:r>
      <w:r>
        <w:rPr>
          <w:lang w:val="en-CA"/>
        </w:rPr>
        <w:t xml:space="preserve"> responsible for the composition and consumption of much native-vernacular lore.</w:t>
      </w:r>
      <w:r w:rsidR="00DC1510">
        <w:rPr>
          <w:rStyle w:val="FootnoteReference"/>
          <w:lang w:val="en-CA"/>
        </w:rPr>
        <w:footnoteReference w:id="20"/>
      </w:r>
      <w:r w:rsidR="00DC1510">
        <w:rPr>
          <w:lang w:val="en-CA"/>
        </w:rPr>
        <w:t xml:space="preserve"> </w:t>
      </w:r>
      <w:r w:rsidR="00EF1C30">
        <w:rPr>
          <w:lang w:val="en-CA"/>
        </w:rPr>
        <w:t xml:space="preserve">We can see the influence of the bardic </w:t>
      </w:r>
      <w:r w:rsidR="00EF1C30" w:rsidRPr="006F427D">
        <w:rPr>
          <w:i/>
          <w:lang w:val="en-CA"/>
        </w:rPr>
        <w:t>cyfarwydd</w:t>
      </w:r>
      <w:r w:rsidR="00EF1C30">
        <w:rPr>
          <w:lang w:val="en-CA"/>
        </w:rPr>
        <w:t xml:space="preserve"> in </w:t>
      </w:r>
      <w:r w:rsidR="009B012A">
        <w:rPr>
          <w:lang w:val="en-CA"/>
        </w:rPr>
        <w:t xml:space="preserve">many </w:t>
      </w:r>
      <w:r w:rsidR="000A2F39">
        <w:rPr>
          <w:lang w:val="en-CA"/>
        </w:rPr>
        <w:t>literary “fossils</w:t>
      </w:r>
      <w:r w:rsidR="009B012A">
        <w:rPr>
          <w:lang w:val="en-CA"/>
        </w:rPr>
        <w:t>” found in the</w:t>
      </w:r>
      <w:r w:rsidR="006F427D">
        <w:rPr>
          <w:lang w:val="en-CA"/>
        </w:rPr>
        <w:t xml:space="preserve"> </w:t>
      </w:r>
      <w:r w:rsidR="006F427D" w:rsidRPr="006F427D">
        <w:rPr>
          <w:i/>
          <w:lang w:val="en-CA"/>
        </w:rPr>
        <w:t>Mabinogi</w:t>
      </w:r>
      <w:r w:rsidR="009B012A">
        <w:rPr>
          <w:lang w:val="en-CA"/>
        </w:rPr>
        <w:t xml:space="preserve"> text.</w:t>
      </w:r>
      <w:r w:rsidR="00DC1510">
        <w:rPr>
          <w:rStyle w:val="FootnoteReference"/>
          <w:lang w:val="en-CA"/>
        </w:rPr>
        <w:footnoteReference w:id="21"/>
      </w:r>
      <w:r w:rsidR="009B012A">
        <w:rPr>
          <w:lang w:val="en-CA"/>
        </w:rPr>
        <w:t xml:space="preserve"> </w:t>
      </w:r>
      <w:r w:rsidR="006F427D">
        <w:rPr>
          <w:lang w:val="en-CA"/>
        </w:rPr>
        <w:t xml:space="preserve">Nikolai </w:t>
      </w:r>
      <w:r w:rsidR="009B012A">
        <w:rPr>
          <w:lang w:val="en-CA"/>
        </w:rPr>
        <w:t xml:space="preserve">Tolstoy </w:t>
      </w:r>
      <w:r w:rsidR="00811027">
        <w:rPr>
          <w:lang w:val="en-CA"/>
        </w:rPr>
        <w:t>comments on</w:t>
      </w:r>
      <w:r w:rsidR="009B012A">
        <w:rPr>
          <w:lang w:val="en-CA"/>
        </w:rPr>
        <w:t xml:space="preserve"> the author</w:t>
      </w:r>
      <w:r w:rsidR="00811027">
        <w:rPr>
          <w:lang w:val="en-CA"/>
        </w:rPr>
        <w:t>’</w:t>
      </w:r>
      <w:r w:rsidR="009B012A">
        <w:rPr>
          <w:lang w:val="en-CA"/>
        </w:rPr>
        <w:t xml:space="preserve">s use of the </w:t>
      </w:r>
      <w:r w:rsidR="00DE62B6" w:rsidRPr="00DE62B6">
        <w:rPr>
          <w:i/>
          <w:lang w:val="en-CA"/>
        </w:rPr>
        <w:t>englynion</w:t>
      </w:r>
      <w:r w:rsidR="00DE62B6">
        <w:rPr>
          <w:lang w:val="en-CA"/>
        </w:rPr>
        <w:t xml:space="preserve"> “which are accepted on linguistic grounds to be older than the prose in which they are imbedded.”</w:t>
      </w:r>
      <w:r w:rsidR="00DC1510">
        <w:rPr>
          <w:rStyle w:val="FootnoteReference"/>
          <w:lang w:val="en-CA"/>
        </w:rPr>
        <w:footnoteReference w:id="22"/>
      </w:r>
      <w:r w:rsidR="00DE62B6">
        <w:rPr>
          <w:lang w:val="en-CA"/>
        </w:rPr>
        <w:t xml:space="preserve"> This </w:t>
      </w:r>
      <w:r w:rsidR="006F427D">
        <w:rPr>
          <w:lang w:val="en-CA"/>
        </w:rPr>
        <w:t>implies that the author ha</w:t>
      </w:r>
      <w:r w:rsidR="00811027">
        <w:rPr>
          <w:lang w:val="en-CA"/>
        </w:rPr>
        <w:t>d</w:t>
      </w:r>
      <w:r w:rsidR="006F427D">
        <w:rPr>
          <w:lang w:val="en-CA"/>
        </w:rPr>
        <w:t xml:space="preserve"> </w:t>
      </w:r>
      <w:r w:rsidR="00DE62B6">
        <w:rPr>
          <w:lang w:val="en-CA"/>
        </w:rPr>
        <w:t xml:space="preserve">“awkwardly adapted” these </w:t>
      </w:r>
      <w:r w:rsidR="006F427D" w:rsidRPr="00DE62B6">
        <w:rPr>
          <w:i/>
          <w:lang w:val="en-CA"/>
        </w:rPr>
        <w:t>englynion</w:t>
      </w:r>
      <w:r w:rsidR="00811027">
        <w:rPr>
          <w:i/>
          <w:lang w:val="en-CA"/>
        </w:rPr>
        <w:t xml:space="preserve">, </w:t>
      </w:r>
      <w:r w:rsidR="00811027" w:rsidRPr="007622DB">
        <w:rPr>
          <w:lang w:val="en-CA"/>
        </w:rPr>
        <w:lastRenderedPageBreak/>
        <w:t>demonstrating an awareness of</w:t>
      </w:r>
      <w:r w:rsidR="006F427D">
        <w:rPr>
          <w:lang w:val="en-CA"/>
        </w:rPr>
        <w:t xml:space="preserve"> older oral prose which </w:t>
      </w:r>
      <w:r w:rsidR="00811027">
        <w:rPr>
          <w:lang w:val="en-CA"/>
        </w:rPr>
        <w:t>he</w:t>
      </w:r>
      <w:r w:rsidR="006F427D">
        <w:rPr>
          <w:lang w:val="en-CA"/>
        </w:rPr>
        <w:t xml:space="preserve"> may not have fully understood</w:t>
      </w:r>
      <w:r w:rsidR="007622DB">
        <w:rPr>
          <w:lang w:val="en-CA"/>
        </w:rPr>
        <w:t xml:space="preserve">. </w:t>
      </w:r>
      <w:r w:rsidR="00D46C2B">
        <w:rPr>
          <w:lang w:val="en-CA"/>
        </w:rPr>
        <w:t xml:space="preserve">Parker also gives examples of bardic oral ‘fossils’ in the many examples of triads within the text. </w:t>
      </w:r>
      <w:r w:rsidR="007622DB">
        <w:rPr>
          <w:lang w:val="en-CA"/>
        </w:rPr>
        <w:t>He</w:t>
      </w:r>
      <w:r w:rsidR="00636A71">
        <w:rPr>
          <w:lang w:val="en-CA"/>
        </w:rPr>
        <w:t xml:space="preserve"> suggests that these triads were originally “mnemonic tools used by the twelfth century bardic schools as a means of familiarizing themselves with the content of the </w:t>
      </w:r>
      <w:r w:rsidR="00636A71" w:rsidRPr="00636A71">
        <w:rPr>
          <w:i/>
          <w:lang w:val="en-CA"/>
        </w:rPr>
        <w:t>hen chwedlau</w:t>
      </w:r>
      <w:r w:rsidR="00636A71">
        <w:rPr>
          <w:lang w:val="en-CA"/>
        </w:rPr>
        <w:t>, the ‘Old Stories’</w:t>
      </w:r>
      <w:r w:rsidR="007622DB">
        <w:rPr>
          <w:lang w:val="en-CA"/>
        </w:rPr>
        <w:t>,</w:t>
      </w:r>
      <w:r w:rsidR="00636A71">
        <w:rPr>
          <w:lang w:val="en-CA"/>
        </w:rPr>
        <w:t xml:space="preserve"> knowledge of which was an essential aspect of their profession.”</w:t>
      </w:r>
      <w:r w:rsidR="00DC1510">
        <w:rPr>
          <w:rStyle w:val="FootnoteReference"/>
          <w:lang w:val="en-CA"/>
        </w:rPr>
        <w:footnoteReference w:id="23"/>
      </w:r>
      <w:r w:rsidR="007622DB">
        <w:rPr>
          <w:lang w:val="en-CA"/>
        </w:rPr>
        <w:t xml:space="preserve"> Nikolai Tol</w:t>
      </w:r>
      <w:r w:rsidR="006F427D">
        <w:rPr>
          <w:lang w:val="en-CA"/>
        </w:rPr>
        <w:t xml:space="preserve">stoy has no trouble </w:t>
      </w:r>
      <w:r w:rsidR="00687461">
        <w:rPr>
          <w:lang w:val="en-CA"/>
        </w:rPr>
        <w:t xml:space="preserve">accepting this theory when he </w:t>
      </w:r>
      <w:r w:rsidR="006F427D">
        <w:rPr>
          <w:lang w:val="en-CA"/>
        </w:rPr>
        <w:t>writes that</w:t>
      </w:r>
      <w:r w:rsidR="009B012A">
        <w:rPr>
          <w:lang w:val="en-CA"/>
        </w:rPr>
        <w:t xml:space="preserve"> “It is widely accepted that the extant text of the </w:t>
      </w:r>
      <w:r w:rsidR="009B012A" w:rsidRPr="009B012A">
        <w:rPr>
          <w:i/>
          <w:lang w:val="en-CA"/>
        </w:rPr>
        <w:t>Mabinogi</w:t>
      </w:r>
      <w:r w:rsidR="009B012A">
        <w:rPr>
          <w:lang w:val="en-CA"/>
        </w:rPr>
        <w:t xml:space="preserve"> was adapted by a skilled </w:t>
      </w:r>
      <w:r w:rsidR="009B012A" w:rsidRPr="00687461">
        <w:rPr>
          <w:i/>
          <w:lang w:val="en-CA"/>
        </w:rPr>
        <w:t>cyfarwydd</w:t>
      </w:r>
      <w:r w:rsidR="009B012A">
        <w:rPr>
          <w:lang w:val="en-CA"/>
        </w:rPr>
        <w:t xml:space="preserve"> into literary form, in order to provide refined entertainment for educated audiences and readers.</w:t>
      </w:r>
      <w:r w:rsidR="00DC1510">
        <w:rPr>
          <w:lang w:val="en-CA"/>
        </w:rPr>
        <w:t>”</w:t>
      </w:r>
      <w:r w:rsidR="00DC1510">
        <w:rPr>
          <w:rStyle w:val="FootnoteReference"/>
          <w:lang w:val="en-CA"/>
        </w:rPr>
        <w:footnoteReference w:id="24"/>
      </w:r>
      <w:r w:rsidR="009B012A">
        <w:rPr>
          <w:lang w:val="en-CA"/>
        </w:rPr>
        <w:t xml:space="preserve"> </w:t>
      </w:r>
      <w:r w:rsidR="00811027">
        <w:rPr>
          <w:lang w:val="en-CA"/>
        </w:rPr>
        <w:t>Thus,</w:t>
      </w:r>
      <w:r w:rsidR="009B012A">
        <w:rPr>
          <w:lang w:val="en-CA"/>
        </w:rPr>
        <w:t xml:space="preserve"> in his mind</w:t>
      </w:r>
      <w:r w:rsidR="00811027">
        <w:rPr>
          <w:lang w:val="en-CA"/>
        </w:rPr>
        <w:t>,</w:t>
      </w:r>
      <w:r w:rsidR="009B012A">
        <w:rPr>
          <w:lang w:val="en-CA"/>
        </w:rPr>
        <w:t xml:space="preserve"> and that of Will Parker</w:t>
      </w:r>
      <w:r w:rsidR="00811027">
        <w:rPr>
          <w:lang w:val="en-CA"/>
        </w:rPr>
        <w:t>,</w:t>
      </w:r>
      <w:r w:rsidR="009B012A">
        <w:rPr>
          <w:lang w:val="en-CA"/>
        </w:rPr>
        <w:t xml:space="preserve"> there is no question to the theory that a bardic </w:t>
      </w:r>
      <w:r w:rsidR="009B012A" w:rsidRPr="00687461">
        <w:rPr>
          <w:i/>
          <w:lang w:val="en-CA"/>
        </w:rPr>
        <w:t>cyfarwydd</w:t>
      </w:r>
      <w:r w:rsidR="009B012A">
        <w:rPr>
          <w:lang w:val="en-CA"/>
        </w:rPr>
        <w:t xml:space="preserve"> storyteller is the author of the </w:t>
      </w:r>
      <w:r w:rsidR="009B012A" w:rsidRPr="00994E23">
        <w:rPr>
          <w:i/>
          <w:lang w:val="en-CA"/>
        </w:rPr>
        <w:t>Mabinogi</w:t>
      </w:r>
      <w:r w:rsidR="009B012A">
        <w:rPr>
          <w:lang w:val="en-CA"/>
        </w:rPr>
        <w:t xml:space="preserve">. </w:t>
      </w:r>
    </w:p>
    <w:p w14:paraId="4C8F9D2A" w14:textId="5696BE37" w:rsidR="00E63046" w:rsidRDefault="00687461" w:rsidP="00FD1B2F">
      <w:pPr>
        <w:spacing w:line="480" w:lineRule="auto"/>
        <w:ind w:firstLine="720"/>
        <w:rPr>
          <w:lang w:val="en-CA"/>
        </w:rPr>
      </w:pPr>
      <w:r>
        <w:rPr>
          <w:lang w:val="en-CA"/>
        </w:rPr>
        <w:t>If</w:t>
      </w:r>
      <w:r w:rsidR="00FD1B2F">
        <w:rPr>
          <w:lang w:val="en-CA"/>
        </w:rPr>
        <w:t>, a</w:t>
      </w:r>
      <w:r w:rsidR="007622DB">
        <w:rPr>
          <w:lang w:val="en-CA"/>
        </w:rPr>
        <w:t>s Parker and Tolstoy posit,</w:t>
      </w:r>
      <w:r>
        <w:rPr>
          <w:lang w:val="en-CA"/>
        </w:rPr>
        <w:t xml:space="preserve"> the text</w:t>
      </w:r>
      <w:r w:rsidR="00FD1B2F">
        <w:rPr>
          <w:lang w:val="en-CA"/>
        </w:rPr>
        <w:t xml:space="preserve"> of the Four Branches</w:t>
      </w:r>
      <w:r>
        <w:rPr>
          <w:lang w:val="en-CA"/>
        </w:rPr>
        <w:t xml:space="preserve"> was indeed written by a bardic cyfarwydd, whe</w:t>
      </w:r>
      <w:r w:rsidR="007622DB">
        <w:rPr>
          <w:lang w:val="en-CA"/>
        </w:rPr>
        <w:t xml:space="preserve">n did this nameless author live, </w:t>
      </w:r>
      <w:r>
        <w:rPr>
          <w:lang w:val="en-CA"/>
        </w:rPr>
        <w:t xml:space="preserve">and when did he pen the </w:t>
      </w:r>
      <w:r w:rsidRPr="00994E23">
        <w:rPr>
          <w:i/>
          <w:lang w:val="en-CA"/>
        </w:rPr>
        <w:t>Mabinogi</w:t>
      </w:r>
      <w:r>
        <w:rPr>
          <w:lang w:val="en-CA"/>
        </w:rPr>
        <w:t xml:space="preserve">? </w:t>
      </w:r>
      <w:r w:rsidR="004065C7">
        <w:rPr>
          <w:lang w:val="en-CA"/>
        </w:rPr>
        <w:t xml:space="preserve"> </w:t>
      </w:r>
      <w:r w:rsidR="00935450">
        <w:rPr>
          <w:lang w:val="en-CA"/>
        </w:rPr>
        <w:t>Tolstoy writes that</w:t>
      </w:r>
      <w:r w:rsidR="000A2F39">
        <w:rPr>
          <w:lang w:val="en-CA"/>
        </w:rPr>
        <w:t>,</w:t>
      </w:r>
      <w:r w:rsidR="00935450">
        <w:rPr>
          <w:lang w:val="en-CA"/>
        </w:rPr>
        <w:t xml:space="preserve"> </w:t>
      </w:r>
    </w:p>
    <w:p w14:paraId="128F7FD4" w14:textId="4F8F0500" w:rsidR="00E63046" w:rsidRDefault="00935450" w:rsidP="00E63046">
      <w:pPr>
        <w:ind w:left="567" w:right="855" w:firstLine="720"/>
        <w:rPr>
          <w:lang w:val="en-CA"/>
        </w:rPr>
      </w:pPr>
      <w:r w:rsidRPr="00994E23">
        <w:rPr>
          <w:i/>
          <w:lang w:val="en-CA"/>
        </w:rPr>
        <w:t>Pedeir Keinc y Mabinogi</w:t>
      </w:r>
      <w:r>
        <w:rPr>
          <w:lang w:val="en-CA"/>
        </w:rPr>
        <w:t xml:space="preserve"> represents a skillful literary composition constructed from a melange of disparate elements. Much of its underlying structure reflects pagan myths of the British people before their conversion to Christianity, which were preserved in the traditional lore of the Welsh bards, heirs to their predecessors the </w:t>
      </w:r>
      <w:r w:rsidR="001D0083">
        <w:rPr>
          <w:lang w:val="en-CA"/>
        </w:rPr>
        <w:t>druids.</w:t>
      </w:r>
      <w:r w:rsidR="00DC1510">
        <w:rPr>
          <w:rStyle w:val="FootnoteReference"/>
          <w:lang w:val="en-CA"/>
        </w:rPr>
        <w:footnoteReference w:id="25"/>
      </w:r>
      <w:r>
        <w:rPr>
          <w:lang w:val="en-CA"/>
        </w:rPr>
        <w:t xml:space="preserve"> </w:t>
      </w:r>
    </w:p>
    <w:p w14:paraId="4FE03A2D" w14:textId="77777777" w:rsidR="00E63046" w:rsidRDefault="00E63046" w:rsidP="00E63046">
      <w:pPr>
        <w:ind w:left="567" w:right="855" w:firstLine="720"/>
        <w:rPr>
          <w:lang w:val="en-CA"/>
        </w:rPr>
      </w:pPr>
    </w:p>
    <w:p w14:paraId="177BF140" w14:textId="7DCC97AB" w:rsidR="00BC3154" w:rsidRDefault="001D0083" w:rsidP="00E63046">
      <w:pPr>
        <w:spacing w:line="480" w:lineRule="auto"/>
        <w:rPr>
          <w:lang w:val="en-CA"/>
        </w:rPr>
      </w:pPr>
      <w:r>
        <w:rPr>
          <w:lang w:val="en-CA"/>
        </w:rPr>
        <w:t>However,</w:t>
      </w:r>
      <w:r w:rsidR="00D50702">
        <w:rPr>
          <w:lang w:val="en-CA"/>
        </w:rPr>
        <w:t xml:space="preserve"> it is not until the 8</w:t>
      </w:r>
      <w:r w:rsidR="00D50702" w:rsidRPr="00D50702">
        <w:rPr>
          <w:vertAlign w:val="superscript"/>
          <w:lang w:val="en-CA"/>
        </w:rPr>
        <w:t>th</w:t>
      </w:r>
      <w:r w:rsidR="00D50702">
        <w:rPr>
          <w:lang w:val="en-CA"/>
        </w:rPr>
        <w:t xml:space="preserve"> century that the first piece</w:t>
      </w:r>
      <w:r w:rsidR="00C433F6">
        <w:rPr>
          <w:lang w:val="en-CA"/>
        </w:rPr>
        <w:t>s</w:t>
      </w:r>
      <w:r w:rsidR="00D50702">
        <w:rPr>
          <w:lang w:val="en-CA"/>
        </w:rPr>
        <w:t xml:space="preserve"> of </w:t>
      </w:r>
      <w:r w:rsidR="00F9320E">
        <w:rPr>
          <w:lang w:val="en-CA"/>
        </w:rPr>
        <w:t>W</w:t>
      </w:r>
      <w:r w:rsidR="00D50702">
        <w:rPr>
          <w:lang w:val="en-CA"/>
        </w:rPr>
        <w:t>elsh</w:t>
      </w:r>
      <w:r w:rsidR="00C433F6">
        <w:rPr>
          <w:lang w:val="en-CA"/>
        </w:rPr>
        <w:t xml:space="preserve"> written</w:t>
      </w:r>
      <w:r w:rsidR="00D50702">
        <w:rPr>
          <w:lang w:val="en-CA"/>
        </w:rPr>
        <w:t xml:space="preserve"> script are found</w:t>
      </w:r>
      <w:r w:rsidR="00C433F6">
        <w:rPr>
          <w:lang w:val="en-CA"/>
        </w:rPr>
        <w:t xml:space="preserve">, and the writings that have survived are in no way as complex in verse as the </w:t>
      </w:r>
      <w:r w:rsidR="00C433F6" w:rsidRPr="00994E23">
        <w:rPr>
          <w:i/>
          <w:lang w:val="en-CA"/>
        </w:rPr>
        <w:t>Mabinogi.</w:t>
      </w:r>
      <w:r w:rsidR="00DC1510">
        <w:rPr>
          <w:rStyle w:val="FootnoteReference"/>
          <w:i/>
          <w:lang w:val="en-CA"/>
        </w:rPr>
        <w:footnoteReference w:id="26"/>
      </w:r>
      <w:r w:rsidR="00920556">
        <w:rPr>
          <w:lang w:val="en-CA"/>
        </w:rPr>
        <w:t xml:space="preserve"> The earliest records</w:t>
      </w:r>
      <w:r w:rsidR="00687461">
        <w:rPr>
          <w:lang w:val="en-CA"/>
        </w:rPr>
        <w:t xml:space="preserve"> of written </w:t>
      </w:r>
      <w:r w:rsidR="00F9320E">
        <w:rPr>
          <w:lang w:val="en-CA"/>
        </w:rPr>
        <w:t>W</w:t>
      </w:r>
      <w:r w:rsidR="00687461">
        <w:rPr>
          <w:lang w:val="en-CA"/>
        </w:rPr>
        <w:t>elsh language</w:t>
      </w:r>
      <w:r w:rsidR="00920556">
        <w:rPr>
          <w:lang w:val="en-CA"/>
        </w:rPr>
        <w:t xml:space="preserve"> that survive are simple legal texts</w:t>
      </w:r>
      <w:r w:rsidR="00687461">
        <w:rPr>
          <w:lang w:val="en-CA"/>
        </w:rPr>
        <w:t xml:space="preserve"> dating to the 8</w:t>
      </w:r>
      <w:r w:rsidR="00687461" w:rsidRPr="00687461">
        <w:rPr>
          <w:vertAlign w:val="superscript"/>
          <w:lang w:val="en-CA"/>
        </w:rPr>
        <w:t>th</w:t>
      </w:r>
      <w:r w:rsidR="00687461">
        <w:rPr>
          <w:lang w:val="en-CA"/>
        </w:rPr>
        <w:t xml:space="preserve"> </w:t>
      </w:r>
      <w:r w:rsidR="00687461">
        <w:rPr>
          <w:lang w:val="en-CA"/>
        </w:rPr>
        <w:lastRenderedPageBreak/>
        <w:t>century</w:t>
      </w:r>
      <w:r w:rsidR="00920556">
        <w:rPr>
          <w:lang w:val="en-CA"/>
        </w:rPr>
        <w:t xml:space="preserve">, such as the </w:t>
      </w:r>
      <w:r w:rsidR="00920556" w:rsidRPr="00920556">
        <w:rPr>
          <w:i/>
          <w:lang w:val="en-CA"/>
        </w:rPr>
        <w:t xml:space="preserve">Surexit </w:t>
      </w:r>
      <w:r w:rsidR="00920556">
        <w:rPr>
          <w:lang w:val="en-CA"/>
        </w:rPr>
        <w:t>memorandum which is “</w:t>
      </w:r>
      <w:r w:rsidR="00FD1B2F">
        <w:rPr>
          <w:lang w:val="en-CA"/>
        </w:rPr>
        <w:t>evidently an</w:t>
      </w:r>
      <w:r w:rsidR="00687461">
        <w:rPr>
          <w:lang w:val="en-CA"/>
        </w:rPr>
        <w:t xml:space="preserve"> </w:t>
      </w:r>
      <w:r w:rsidR="00FD1B2F">
        <w:rPr>
          <w:lang w:val="en-CA"/>
        </w:rPr>
        <w:t>account of a legal case that was argued in W</w:t>
      </w:r>
      <w:r w:rsidR="00687461">
        <w:rPr>
          <w:lang w:val="en-CA"/>
        </w:rPr>
        <w:t>elsh.”</w:t>
      </w:r>
      <w:r w:rsidR="0079151F">
        <w:rPr>
          <w:rStyle w:val="FootnoteReference"/>
          <w:lang w:val="en-CA"/>
        </w:rPr>
        <w:footnoteReference w:id="27"/>
      </w:r>
      <w:r w:rsidR="00687461">
        <w:rPr>
          <w:lang w:val="en-CA"/>
        </w:rPr>
        <w:t xml:space="preserve"> </w:t>
      </w:r>
      <w:r w:rsidR="00AE0A84">
        <w:rPr>
          <w:lang w:val="en-CA"/>
        </w:rPr>
        <w:t xml:space="preserve"> </w:t>
      </w:r>
      <w:r w:rsidR="00687461">
        <w:rPr>
          <w:lang w:val="en-CA"/>
        </w:rPr>
        <w:t xml:space="preserve">This </w:t>
      </w:r>
      <w:r w:rsidR="00F9320E">
        <w:rPr>
          <w:lang w:val="en-CA"/>
        </w:rPr>
        <w:t>demonstrate</w:t>
      </w:r>
      <w:r w:rsidR="00687461">
        <w:rPr>
          <w:lang w:val="en-CA"/>
        </w:rPr>
        <w:t xml:space="preserve">s that written </w:t>
      </w:r>
      <w:r w:rsidR="00F9320E">
        <w:rPr>
          <w:lang w:val="en-CA"/>
        </w:rPr>
        <w:t>W</w:t>
      </w:r>
      <w:r w:rsidR="00687461">
        <w:rPr>
          <w:lang w:val="en-CA"/>
        </w:rPr>
        <w:t>elsh was used during the 8</w:t>
      </w:r>
      <w:r w:rsidR="00687461" w:rsidRPr="00687461">
        <w:rPr>
          <w:vertAlign w:val="superscript"/>
          <w:lang w:val="en-CA"/>
        </w:rPr>
        <w:t>th</w:t>
      </w:r>
      <w:r w:rsidR="00687461">
        <w:rPr>
          <w:lang w:val="en-CA"/>
        </w:rPr>
        <w:t xml:space="preserve"> century</w:t>
      </w:r>
      <w:r w:rsidR="00F9320E">
        <w:rPr>
          <w:lang w:val="en-CA"/>
        </w:rPr>
        <w:t>.</w:t>
      </w:r>
      <w:r w:rsidR="00687461">
        <w:rPr>
          <w:lang w:val="en-CA"/>
        </w:rPr>
        <w:t xml:space="preserve"> </w:t>
      </w:r>
      <w:r w:rsidR="00A248EA">
        <w:rPr>
          <w:lang w:val="en-CA"/>
        </w:rPr>
        <w:t>Ma</w:t>
      </w:r>
      <w:r w:rsidR="0079151F">
        <w:rPr>
          <w:lang w:val="en-CA"/>
        </w:rPr>
        <w:t xml:space="preserve"> C</w:t>
      </w:r>
      <w:r w:rsidR="00A248EA">
        <w:rPr>
          <w:lang w:val="en-CA"/>
        </w:rPr>
        <w:t>ana</w:t>
      </w:r>
      <w:r w:rsidR="00F9320E">
        <w:rPr>
          <w:lang w:val="en-CA"/>
        </w:rPr>
        <w:t>, however,</w:t>
      </w:r>
      <w:r w:rsidR="00A248EA">
        <w:rPr>
          <w:lang w:val="en-CA"/>
        </w:rPr>
        <w:t xml:space="preserve"> writes that the problem with the </w:t>
      </w:r>
      <w:r w:rsidR="00A248EA" w:rsidRPr="00994E23">
        <w:rPr>
          <w:i/>
          <w:lang w:val="en-CA"/>
        </w:rPr>
        <w:t xml:space="preserve">Mabinogi </w:t>
      </w:r>
      <w:r w:rsidR="00A248EA">
        <w:rPr>
          <w:lang w:val="en-CA"/>
        </w:rPr>
        <w:t>being of this date is not that the Welsh language was not transferrable to written text</w:t>
      </w:r>
      <w:r w:rsidR="00AE0A84">
        <w:rPr>
          <w:lang w:val="en-CA"/>
        </w:rPr>
        <w:t>,</w:t>
      </w:r>
      <w:r w:rsidR="004D1CD0">
        <w:rPr>
          <w:lang w:val="en-CA"/>
        </w:rPr>
        <w:t xml:space="preserve"> but </w:t>
      </w:r>
      <w:r w:rsidR="00A248EA">
        <w:rPr>
          <w:lang w:val="en-CA"/>
        </w:rPr>
        <w:t xml:space="preserve">“of coming to terms with a diction and style </w:t>
      </w:r>
      <w:r w:rsidR="002D6D9F">
        <w:rPr>
          <w:lang w:val="en-CA"/>
        </w:rPr>
        <w:t>which are proper to the spoke</w:t>
      </w:r>
      <w:r w:rsidR="00F839AF">
        <w:rPr>
          <w:lang w:val="en-CA"/>
        </w:rPr>
        <w:t>n</w:t>
      </w:r>
      <w:r w:rsidR="002D6D9F">
        <w:rPr>
          <w:lang w:val="en-CA"/>
        </w:rPr>
        <w:t xml:space="preserve"> word and adjust</w:t>
      </w:r>
      <w:r w:rsidR="00BA6F80">
        <w:rPr>
          <w:lang w:val="en-CA"/>
        </w:rPr>
        <w:t>ing the prodigality of the oral</w:t>
      </w:r>
      <w:r w:rsidR="00687461">
        <w:rPr>
          <w:lang w:val="en-CA"/>
        </w:rPr>
        <w:t xml:space="preserve"> </w:t>
      </w:r>
      <w:r w:rsidR="00F839AF">
        <w:rPr>
          <w:lang w:val="en-CA"/>
        </w:rPr>
        <w:t>mode to the unavoidable economy of the earliest manuscripts.”</w:t>
      </w:r>
      <w:r w:rsidR="0079151F">
        <w:rPr>
          <w:rStyle w:val="FootnoteReference"/>
          <w:lang w:val="en-CA"/>
        </w:rPr>
        <w:footnoteReference w:id="28"/>
      </w:r>
      <w:r w:rsidR="00AE0A84">
        <w:rPr>
          <w:lang w:val="en-CA"/>
        </w:rPr>
        <w:t xml:space="preserve"> </w:t>
      </w:r>
      <w:r w:rsidR="005D0080">
        <w:rPr>
          <w:lang w:val="en-CA"/>
        </w:rPr>
        <w:t xml:space="preserve">Mac Cana goes on to state that Welsh prose and written sentence structure had not evolved enough, through contact with Latin and French, to facilitate the </w:t>
      </w:r>
      <w:r w:rsidR="005D0080" w:rsidRPr="00994E23">
        <w:rPr>
          <w:i/>
          <w:lang w:val="en-CA"/>
        </w:rPr>
        <w:t>Mabinog</w:t>
      </w:r>
      <w:r w:rsidR="005D0080">
        <w:rPr>
          <w:lang w:val="en-CA"/>
        </w:rPr>
        <w:t>i until at least 1148.</w:t>
      </w:r>
      <w:r w:rsidR="0079151F">
        <w:rPr>
          <w:rStyle w:val="FootnoteReference"/>
          <w:lang w:val="en-CA"/>
        </w:rPr>
        <w:footnoteReference w:id="29"/>
      </w:r>
      <w:r w:rsidR="0079151F">
        <w:rPr>
          <w:lang w:val="en-CA"/>
        </w:rPr>
        <w:t xml:space="preserve"> </w:t>
      </w:r>
      <w:r w:rsidR="005D0080">
        <w:rPr>
          <w:lang w:val="en-CA"/>
        </w:rPr>
        <w:t xml:space="preserve">This </w:t>
      </w:r>
      <w:r w:rsidR="002E38A9">
        <w:rPr>
          <w:lang w:val="en-CA"/>
        </w:rPr>
        <w:t xml:space="preserve">date of 1100 fits well with Parker’s theory when he writes that, </w:t>
      </w:r>
    </w:p>
    <w:p w14:paraId="014FAE30" w14:textId="407EFF7A" w:rsidR="00BC3154" w:rsidRDefault="00BC3154" w:rsidP="00BC3154">
      <w:pPr>
        <w:ind w:left="567" w:right="855"/>
        <w:rPr>
          <w:lang w:val="en-CA"/>
        </w:rPr>
      </w:pPr>
      <w:r>
        <w:rPr>
          <w:lang w:val="en-CA"/>
        </w:rPr>
        <w:t>W</w:t>
      </w:r>
      <w:r w:rsidR="00BA596C">
        <w:rPr>
          <w:lang w:val="en-CA"/>
        </w:rPr>
        <w:t>hile the bulk of the extant manuscript sources of the Triadic listings tend to belong to the Late Medieval or Early Modern period, there is a discernable process of textual transmission which seems to suggest a point of origin c.1100 AD. Contemporary references in the oldest stratum of the Triadic material also seem to reflect an</w:t>
      </w:r>
      <w:r>
        <w:rPr>
          <w:lang w:val="en-CA"/>
        </w:rPr>
        <w:t xml:space="preserve"> early-twelfth century context.</w:t>
      </w:r>
      <w:r w:rsidR="00BA596C">
        <w:rPr>
          <w:lang w:val="en-CA"/>
        </w:rPr>
        <w:t xml:space="preserve"> </w:t>
      </w:r>
      <w:r w:rsidR="0079151F">
        <w:rPr>
          <w:rStyle w:val="FootnoteReference"/>
          <w:lang w:val="en-CA"/>
        </w:rPr>
        <w:footnoteReference w:id="30"/>
      </w:r>
      <w:r w:rsidR="0079151F">
        <w:rPr>
          <w:lang w:val="en-CA"/>
        </w:rPr>
        <w:t xml:space="preserve"> </w:t>
      </w:r>
    </w:p>
    <w:p w14:paraId="0FFA0F32" w14:textId="77777777" w:rsidR="00BC3154" w:rsidRDefault="00BC3154" w:rsidP="00BC3154">
      <w:pPr>
        <w:ind w:left="567" w:right="855"/>
        <w:rPr>
          <w:lang w:val="en-CA"/>
        </w:rPr>
      </w:pPr>
    </w:p>
    <w:p w14:paraId="62961AB8" w14:textId="25920693" w:rsidR="00920556" w:rsidRDefault="00BA596C" w:rsidP="00E63046">
      <w:pPr>
        <w:spacing w:line="480" w:lineRule="auto"/>
        <w:rPr>
          <w:lang w:val="en-CA"/>
        </w:rPr>
      </w:pPr>
      <w:r>
        <w:rPr>
          <w:lang w:val="en-CA"/>
        </w:rPr>
        <w:t xml:space="preserve">Parker states that while these triads may have once been conveyed and pasted down orally from teacher to student, “from 1100 onwards, the written </w:t>
      </w:r>
      <w:r w:rsidR="0079151F">
        <w:rPr>
          <w:lang w:val="en-CA"/>
        </w:rPr>
        <w:t>listings began to be compiled.”</w:t>
      </w:r>
      <w:r w:rsidR="0079151F">
        <w:rPr>
          <w:rStyle w:val="FootnoteReference"/>
          <w:lang w:val="en-CA"/>
        </w:rPr>
        <w:footnoteReference w:id="31"/>
      </w:r>
      <w:r w:rsidR="00BC3154">
        <w:rPr>
          <w:lang w:val="en-CA"/>
        </w:rPr>
        <w:t xml:space="preserve"> </w:t>
      </w:r>
      <w:r w:rsidR="006D338F">
        <w:rPr>
          <w:lang w:val="en-CA"/>
        </w:rPr>
        <w:t xml:space="preserve">However Parker also states that after 1200 the written triads and old </w:t>
      </w:r>
      <w:r w:rsidR="00BC3154">
        <w:rPr>
          <w:lang w:val="en-CA"/>
        </w:rPr>
        <w:t>stories had “dwindled into rarit</w:t>
      </w:r>
      <w:r w:rsidR="006D338F">
        <w:rPr>
          <w:lang w:val="en-CA"/>
        </w:rPr>
        <w:t xml:space="preserve">y – with names from Geoffrey of Monouth’s </w:t>
      </w:r>
      <w:r w:rsidR="006D338F" w:rsidRPr="00994E23">
        <w:rPr>
          <w:i/>
          <w:lang w:val="en-CA"/>
        </w:rPr>
        <w:t>Historia</w:t>
      </w:r>
      <w:r w:rsidR="006D338F">
        <w:rPr>
          <w:lang w:val="en-CA"/>
        </w:rPr>
        <w:t xml:space="preserve"> and the French-Style </w:t>
      </w:r>
      <w:r w:rsidR="006D338F" w:rsidRPr="00994E23">
        <w:rPr>
          <w:i/>
          <w:lang w:val="en-CA"/>
        </w:rPr>
        <w:t>Arthurian Romances</w:t>
      </w:r>
      <w:r w:rsidR="006D338F">
        <w:rPr>
          <w:lang w:val="en-CA"/>
        </w:rPr>
        <w:t xml:space="preserve"> increasingly replacing references to home-grown traditions such as the </w:t>
      </w:r>
      <w:r w:rsidR="006D338F" w:rsidRPr="00994E23">
        <w:rPr>
          <w:i/>
          <w:lang w:val="en-CA"/>
        </w:rPr>
        <w:t>Mabinogi</w:t>
      </w:r>
      <w:r w:rsidR="006D338F">
        <w:rPr>
          <w:lang w:val="en-CA"/>
        </w:rPr>
        <w:t xml:space="preserve"> or the </w:t>
      </w:r>
      <w:r w:rsidR="006D338F" w:rsidRPr="006D338F">
        <w:rPr>
          <w:i/>
          <w:lang w:val="en-CA"/>
        </w:rPr>
        <w:t>englyn</w:t>
      </w:r>
      <w:r w:rsidR="006D338F">
        <w:rPr>
          <w:lang w:val="en-CA"/>
        </w:rPr>
        <w:t xml:space="preserve"> sagas of</w:t>
      </w:r>
      <w:r w:rsidR="0079151F">
        <w:rPr>
          <w:lang w:val="en-CA"/>
        </w:rPr>
        <w:t xml:space="preserve"> Urien and Llywarch Hen.</w:t>
      </w:r>
      <w:r w:rsidR="006D338F">
        <w:rPr>
          <w:lang w:val="en-CA"/>
        </w:rPr>
        <w:t>”</w:t>
      </w:r>
      <w:r w:rsidR="0079151F">
        <w:rPr>
          <w:rStyle w:val="FootnoteReference"/>
          <w:lang w:val="en-CA"/>
        </w:rPr>
        <w:footnoteReference w:id="32"/>
      </w:r>
      <w:r w:rsidR="00BC3154">
        <w:rPr>
          <w:lang w:val="en-CA"/>
        </w:rPr>
        <w:t xml:space="preserve"> </w:t>
      </w:r>
      <w:r w:rsidR="006D338F">
        <w:rPr>
          <w:lang w:val="en-CA"/>
        </w:rPr>
        <w:t xml:space="preserve">This name borrowing </w:t>
      </w:r>
      <w:r w:rsidR="00BC3154">
        <w:rPr>
          <w:lang w:val="en-CA"/>
        </w:rPr>
        <w:t xml:space="preserve">from outside Wales during </w:t>
      </w:r>
      <w:r w:rsidR="00BC3154">
        <w:rPr>
          <w:lang w:val="en-CA"/>
        </w:rPr>
        <w:lastRenderedPageBreak/>
        <w:t>the 13</w:t>
      </w:r>
      <w:r w:rsidR="006D338F" w:rsidRPr="006D338F">
        <w:rPr>
          <w:vertAlign w:val="superscript"/>
          <w:lang w:val="en-CA"/>
        </w:rPr>
        <w:t>th</w:t>
      </w:r>
      <w:r w:rsidR="006D338F">
        <w:rPr>
          <w:lang w:val="en-CA"/>
        </w:rPr>
        <w:t xml:space="preserve"> centu</w:t>
      </w:r>
      <w:r w:rsidR="00D55DFC">
        <w:rPr>
          <w:lang w:val="en-CA"/>
        </w:rPr>
        <w:t>ry is coupled by an interest in “material of predominantly foreign origin, which suggests a more general recourse to literary rather than oral sources of learning.”</w:t>
      </w:r>
      <w:r w:rsidR="00FA3A09">
        <w:rPr>
          <w:rStyle w:val="FootnoteReference"/>
          <w:lang w:val="en-CA"/>
        </w:rPr>
        <w:footnoteReference w:id="33"/>
      </w:r>
      <w:r w:rsidR="00FA3A09">
        <w:rPr>
          <w:lang w:val="en-CA"/>
        </w:rPr>
        <w:t xml:space="preserve"> </w:t>
      </w:r>
      <w:r w:rsidR="00FD1B2F">
        <w:rPr>
          <w:lang w:val="en-CA"/>
        </w:rPr>
        <w:t>Thus,</w:t>
      </w:r>
      <w:r w:rsidR="00D55DFC">
        <w:rPr>
          <w:lang w:val="en-CA"/>
        </w:rPr>
        <w:t xml:space="preserve"> the theory is that the </w:t>
      </w:r>
      <w:r w:rsidR="00D55DFC" w:rsidRPr="00994E23">
        <w:rPr>
          <w:i/>
          <w:lang w:val="en-CA"/>
        </w:rPr>
        <w:t>Mabinogi</w:t>
      </w:r>
      <w:r w:rsidR="00D55DFC">
        <w:rPr>
          <w:lang w:val="en-CA"/>
        </w:rPr>
        <w:t xml:space="preserve"> must have been written between 1100-1200 AD. </w:t>
      </w:r>
    </w:p>
    <w:p w14:paraId="223AD64F" w14:textId="50D03CC3" w:rsidR="00BC3154" w:rsidRDefault="00B4529C" w:rsidP="00FD1B2F">
      <w:pPr>
        <w:spacing w:line="480" w:lineRule="auto"/>
        <w:ind w:firstLine="720"/>
        <w:rPr>
          <w:lang w:val="en-CA"/>
        </w:rPr>
      </w:pPr>
      <w:r>
        <w:rPr>
          <w:lang w:val="en-CA"/>
        </w:rPr>
        <w:t xml:space="preserve">If the </w:t>
      </w:r>
      <w:r w:rsidRPr="00994E23">
        <w:rPr>
          <w:i/>
          <w:lang w:val="en-CA"/>
        </w:rPr>
        <w:t>Mabinogi</w:t>
      </w:r>
      <w:r>
        <w:rPr>
          <w:lang w:val="en-CA"/>
        </w:rPr>
        <w:t xml:space="preserve"> te</w:t>
      </w:r>
      <w:r w:rsidR="00F9320E">
        <w:rPr>
          <w:lang w:val="en-CA"/>
        </w:rPr>
        <w:t>x</w:t>
      </w:r>
      <w:r>
        <w:rPr>
          <w:lang w:val="en-CA"/>
        </w:rPr>
        <w:t xml:space="preserve">t was indeed composed between 1100-1200 AD, can we narrow down when in this period the </w:t>
      </w:r>
      <w:r w:rsidRPr="00994E23">
        <w:rPr>
          <w:i/>
          <w:lang w:val="en-CA"/>
        </w:rPr>
        <w:t>Four Branches of the Mabinogi</w:t>
      </w:r>
      <w:r>
        <w:rPr>
          <w:lang w:val="en-CA"/>
        </w:rPr>
        <w:t xml:space="preserve"> were actually composed? Will Parker suggests that by looking at two other Welsh prose tales composed in this period, namely </w:t>
      </w:r>
      <w:r w:rsidRPr="00B4529C">
        <w:rPr>
          <w:i/>
          <w:lang w:val="en-CA"/>
        </w:rPr>
        <w:t>Cullhwch ac Olwen</w:t>
      </w:r>
      <w:r>
        <w:rPr>
          <w:lang w:val="en-CA"/>
        </w:rPr>
        <w:t>, which Parker dates to c.1100</w:t>
      </w:r>
      <w:r w:rsidR="00F9320E">
        <w:rPr>
          <w:lang w:val="en-CA"/>
        </w:rPr>
        <w:t>,</w:t>
      </w:r>
      <w:r>
        <w:rPr>
          <w:lang w:val="en-CA"/>
        </w:rPr>
        <w:t xml:space="preserve"> and Cyfanc Llud a Llefelys</w:t>
      </w:r>
      <w:r w:rsidR="00F9320E">
        <w:rPr>
          <w:lang w:val="en-CA"/>
        </w:rPr>
        <w:t>,</w:t>
      </w:r>
      <w:r>
        <w:rPr>
          <w:lang w:val="en-CA"/>
        </w:rPr>
        <w:t xml:space="preserve"> c.1200, both of which are very similar to the Four Branches of the </w:t>
      </w:r>
      <w:r w:rsidRPr="00994E23">
        <w:rPr>
          <w:i/>
          <w:lang w:val="en-CA"/>
        </w:rPr>
        <w:t>Mabinogi</w:t>
      </w:r>
      <w:r>
        <w:rPr>
          <w:lang w:val="en-CA"/>
        </w:rPr>
        <w:t xml:space="preserve"> in style but yet also tellingly different, one can glean a more precise date of the </w:t>
      </w:r>
      <w:r w:rsidRPr="00994E23">
        <w:rPr>
          <w:i/>
          <w:lang w:val="en-CA"/>
        </w:rPr>
        <w:t>Four Branches</w:t>
      </w:r>
      <w:r>
        <w:rPr>
          <w:lang w:val="en-CA"/>
        </w:rPr>
        <w:t>.</w:t>
      </w:r>
      <w:r w:rsidR="00D13D4D">
        <w:rPr>
          <w:rStyle w:val="FootnoteReference"/>
          <w:lang w:val="en-CA"/>
        </w:rPr>
        <w:footnoteReference w:id="34"/>
      </w:r>
      <w:r w:rsidR="00D13D4D">
        <w:rPr>
          <w:lang w:val="en-CA"/>
        </w:rPr>
        <w:t xml:space="preserve"> </w:t>
      </w:r>
      <w:r w:rsidR="00243078">
        <w:rPr>
          <w:lang w:val="en-CA"/>
        </w:rPr>
        <w:t xml:space="preserve">Parker writes that </w:t>
      </w:r>
      <w:r w:rsidR="00243078" w:rsidRPr="00C0012D">
        <w:rPr>
          <w:i/>
          <w:lang w:val="en-CA"/>
        </w:rPr>
        <w:t>Cullhwch ac Olwen</w:t>
      </w:r>
      <w:r w:rsidR="00243078">
        <w:rPr>
          <w:lang w:val="en-CA"/>
        </w:rPr>
        <w:t xml:space="preserve"> appears to be</w:t>
      </w:r>
      <w:r w:rsidR="00C0012D">
        <w:rPr>
          <w:lang w:val="en-CA"/>
        </w:rPr>
        <w:t xml:space="preserve"> a more primitive and less advanced text than the </w:t>
      </w:r>
      <w:r w:rsidR="00C0012D" w:rsidRPr="00994E23">
        <w:rPr>
          <w:i/>
          <w:lang w:val="en-CA"/>
        </w:rPr>
        <w:t>Four Branches</w:t>
      </w:r>
      <w:r w:rsidR="00C0012D">
        <w:rPr>
          <w:lang w:val="en-CA"/>
        </w:rPr>
        <w:t>.</w:t>
      </w:r>
      <w:r w:rsidR="00243078">
        <w:rPr>
          <w:lang w:val="en-CA"/>
        </w:rPr>
        <w:t xml:space="preserve"> </w:t>
      </w:r>
      <w:r w:rsidR="00C0012D">
        <w:rPr>
          <w:lang w:val="en-CA"/>
        </w:rPr>
        <w:t xml:space="preserve">His argument for this is that “the moral perspective, the human interest and the enquiring spirit we find in the </w:t>
      </w:r>
      <w:r w:rsidR="00C0012D" w:rsidRPr="00994E23">
        <w:rPr>
          <w:i/>
          <w:lang w:val="en-CA"/>
        </w:rPr>
        <w:t>Mabinogi</w:t>
      </w:r>
      <w:r w:rsidR="00C0012D">
        <w:rPr>
          <w:lang w:val="en-CA"/>
        </w:rPr>
        <w:t xml:space="preserve"> is entirely absent from these works of Middle Welsh Prose.”</w:t>
      </w:r>
      <w:r w:rsidR="00D13D4D">
        <w:rPr>
          <w:rStyle w:val="FootnoteReference"/>
          <w:lang w:val="en-CA"/>
        </w:rPr>
        <w:footnoteReference w:id="35"/>
      </w:r>
      <w:r w:rsidR="00C0012D">
        <w:rPr>
          <w:lang w:val="en-CA"/>
        </w:rPr>
        <w:t xml:space="preserve"> (76) He states that the characters</w:t>
      </w:r>
      <w:r w:rsidR="00F9320E">
        <w:rPr>
          <w:lang w:val="en-CA"/>
        </w:rPr>
        <w:t>’</w:t>
      </w:r>
      <w:r w:rsidR="00C0012D">
        <w:rPr>
          <w:lang w:val="en-CA"/>
        </w:rPr>
        <w:t xml:space="preserve"> motives in </w:t>
      </w:r>
      <w:r w:rsidR="00C0012D" w:rsidRPr="00C0012D">
        <w:rPr>
          <w:i/>
          <w:lang w:val="en-CA"/>
        </w:rPr>
        <w:t>Cullhwch ac Olwen</w:t>
      </w:r>
      <w:r w:rsidR="00C0012D">
        <w:rPr>
          <w:i/>
          <w:lang w:val="en-CA"/>
        </w:rPr>
        <w:t xml:space="preserve"> </w:t>
      </w:r>
      <w:r w:rsidR="00C0012D">
        <w:rPr>
          <w:lang w:val="en-CA"/>
        </w:rPr>
        <w:t>are “beyond our sympathy and comprehension</w:t>
      </w:r>
      <w:r w:rsidR="00F9320E">
        <w:rPr>
          <w:lang w:val="en-CA"/>
        </w:rPr>
        <w:t>,</w:t>
      </w:r>
      <w:r w:rsidR="00C0012D">
        <w:rPr>
          <w:lang w:val="en-CA"/>
        </w:rPr>
        <w:t>”</w:t>
      </w:r>
      <w:r w:rsidR="00D13D4D">
        <w:rPr>
          <w:rStyle w:val="FootnoteReference"/>
          <w:lang w:val="en-CA"/>
        </w:rPr>
        <w:footnoteReference w:id="36"/>
      </w:r>
      <w:r w:rsidR="00C0012D">
        <w:rPr>
          <w:lang w:val="en-CA"/>
        </w:rPr>
        <w:t xml:space="preserve"> and </w:t>
      </w:r>
      <w:r w:rsidR="00F9320E">
        <w:rPr>
          <w:lang w:val="en-CA"/>
        </w:rPr>
        <w:t>they</w:t>
      </w:r>
      <w:r w:rsidR="00C0012D">
        <w:rPr>
          <w:lang w:val="en-CA"/>
        </w:rPr>
        <w:t xml:space="preserve"> lack the compassion and empathy one finds </w:t>
      </w:r>
      <w:r w:rsidR="00F9320E">
        <w:rPr>
          <w:lang w:val="en-CA"/>
        </w:rPr>
        <w:t>in</w:t>
      </w:r>
      <w:r w:rsidR="00C0012D">
        <w:rPr>
          <w:lang w:val="en-CA"/>
        </w:rPr>
        <w:t xml:space="preserve"> </w:t>
      </w:r>
      <w:r w:rsidR="00C0012D" w:rsidRPr="00994E23">
        <w:rPr>
          <w:i/>
          <w:lang w:val="en-CA"/>
        </w:rPr>
        <w:t>The Four Branches</w:t>
      </w:r>
      <w:r w:rsidR="00C0012D">
        <w:rPr>
          <w:lang w:val="en-CA"/>
        </w:rPr>
        <w:t>.</w:t>
      </w:r>
      <w:r w:rsidR="00FF3705">
        <w:rPr>
          <w:lang w:val="en-CA"/>
        </w:rPr>
        <w:t xml:space="preserve"> </w:t>
      </w:r>
      <w:r w:rsidR="00E87419">
        <w:rPr>
          <w:lang w:val="en-CA"/>
        </w:rPr>
        <w:t>Parker writes</w:t>
      </w:r>
      <w:r w:rsidR="00A17701">
        <w:rPr>
          <w:lang w:val="en-CA"/>
        </w:rPr>
        <w:t>,</w:t>
      </w:r>
      <w:r w:rsidR="00BC3154">
        <w:rPr>
          <w:lang w:val="en-CA"/>
        </w:rPr>
        <w:t xml:space="preserve"> </w:t>
      </w:r>
      <w:r w:rsidR="00E87419">
        <w:rPr>
          <w:lang w:val="en-CA"/>
        </w:rPr>
        <w:t>“</w:t>
      </w:r>
      <w:r w:rsidR="00FF3705">
        <w:rPr>
          <w:lang w:val="en-CA"/>
        </w:rPr>
        <w:t xml:space="preserve">Such crude barbarities [portrayed in </w:t>
      </w:r>
      <w:r w:rsidR="00FF3705" w:rsidRPr="00C0012D">
        <w:rPr>
          <w:i/>
          <w:lang w:val="en-CA"/>
        </w:rPr>
        <w:t>Cullhwch ac Olwen</w:t>
      </w:r>
      <w:r w:rsidR="00C31F3C">
        <w:rPr>
          <w:lang w:val="en-CA"/>
        </w:rPr>
        <w:t>]</w:t>
      </w:r>
      <w:r w:rsidR="00FF3705">
        <w:rPr>
          <w:lang w:val="en-CA"/>
        </w:rPr>
        <w:t xml:space="preserve"> outdistance anything – even the atrocities of Efnisien – which is in the least comparable in the </w:t>
      </w:r>
      <w:r w:rsidR="00FF3705" w:rsidRPr="00994E23">
        <w:rPr>
          <w:i/>
          <w:lang w:val="en-CA"/>
        </w:rPr>
        <w:t>Four Branches of the Mabinogi</w:t>
      </w:r>
      <w:r w:rsidR="00FF3705">
        <w:rPr>
          <w:lang w:val="en-CA"/>
        </w:rPr>
        <w:t>.”</w:t>
      </w:r>
      <w:r w:rsidR="000D0A35">
        <w:rPr>
          <w:rStyle w:val="FootnoteReference"/>
          <w:lang w:val="en-CA"/>
        </w:rPr>
        <w:footnoteReference w:id="37"/>
      </w:r>
      <w:r w:rsidR="00FF3705">
        <w:rPr>
          <w:lang w:val="en-CA"/>
        </w:rPr>
        <w:t xml:space="preserve"> Parker also </w:t>
      </w:r>
      <w:r w:rsidR="00A17701">
        <w:rPr>
          <w:lang w:val="en-CA"/>
        </w:rPr>
        <w:t>suggests</w:t>
      </w:r>
      <w:r w:rsidR="00FF3705">
        <w:rPr>
          <w:lang w:val="en-CA"/>
        </w:rPr>
        <w:t xml:space="preserve"> </w:t>
      </w:r>
      <w:r w:rsidR="00A17701">
        <w:rPr>
          <w:lang w:val="en-CA"/>
        </w:rPr>
        <w:t>there is much more</w:t>
      </w:r>
      <w:r w:rsidR="00FF3705">
        <w:rPr>
          <w:lang w:val="en-CA"/>
        </w:rPr>
        <w:t xml:space="preserve"> unrefined oral storytelling  found in </w:t>
      </w:r>
      <w:r w:rsidR="00FF3705" w:rsidRPr="00C0012D">
        <w:rPr>
          <w:i/>
          <w:lang w:val="en-CA"/>
        </w:rPr>
        <w:t>Cullhwch ac Olwen</w:t>
      </w:r>
      <w:r w:rsidR="00FF3705">
        <w:rPr>
          <w:lang w:val="en-CA"/>
        </w:rPr>
        <w:t xml:space="preserve">, when compared to </w:t>
      </w:r>
      <w:r w:rsidR="00A17701">
        <w:rPr>
          <w:i/>
          <w:lang w:val="en-CA"/>
        </w:rPr>
        <w:t>T</w:t>
      </w:r>
      <w:r w:rsidR="00FF3705" w:rsidRPr="00994E23">
        <w:rPr>
          <w:i/>
          <w:lang w:val="en-CA"/>
        </w:rPr>
        <w:t>he Four Branches</w:t>
      </w:r>
      <w:r w:rsidR="00A17701">
        <w:rPr>
          <w:i/>
          <w:lang w:val="en-CA"/>
        </w:rPr>
        <w:t>,</w:t>
      </w:r>
      <w:r w:rsidR="00FF3705">
        <w:rPr>
          <w:lang w:val="en-CA"/>
        </w:rPr>
        <w:t xml:space="preserve"> </w:t>
      </w:r>
      <w:r w:rsidR="00A17701">
        <w:rPr>
          <w:lang w:val="en-CA"/>
        </w:rPr>
        <w:t>suggesting</w:t>
      </w:r>
      <w:r w:rsidR="00FF3705">
        <w:rPr>
          <w:lang w:val="en-CA"/>
        </w:rPr>
        <w:t xml:space="preserve"> that the </w:t>
      </w:r>
      <w:r w:rsidR="00FF3705" w:rsidRPr="00994E23">
        <w:rPr>
          <w:i/>
          <w:lang w:val="en-CA"/>
        </w:rPr>
        <w:t xml:space="preserve">Mabinogi </w:t>
      </w:r>
      <w:r w:rsidR="00FF3705">
        <w:rPr>
          <w:lang w:val="en-CA"/>
        </w:rPr>
        <w:t xml:space="preserve">must have been composed well after the beginning of 1100AD. </w:t>
      </w:r>
      <w:r w:rsidR="007739E8">
        <w:rPr>
          <w:lang w:val="en-CA"/>
        </w:rPr>
        <w:t>“</w:t>
      </w:r>
      <w:r w:rsidR="007739E8">
        <w:rPr>
          <w:i/>
          <w:lang w:val="en-CA"/>
        </w:rPr>
        <w:t xml:space="preserve">Cullhwch </w:t>
      </w:r>
      <w:r w:rsidR="007739E8">
        <w:rPr>
          <w:lang w:val="en-CA"/>
        </w:rPr>
        <w:t xml:space="preserve">bears all the hallmarks of </w:t>
      </w:r>
      <w:r w:rsidR="00BC3154">
        <w:rPr>
          <w:lang w:val="en-CA"/>
        </w:rPr>
        <w:lastRenderedPageBreak/>
        <w:t>an oral recital.”</w:t>
      </w:r>
      <w:r w:rsidR="000D0A35">
        <w:rPr>
          <w:rStyle w:val="FootnoteReference"/>
          <w:lang w:val="en-CA"/>
        </w:rPr>
        <w:footnoteReference w:id="38"/>
      </w:r>
      <w:r w:rsidR="00BC3154">
        <w:rPr>
          <w:lang w:val="en-CA"/>
        </w:rPr>
        <w:t xml:space="preserve"> Furthermore, </w:t>
      </w:r>
      <w:r w:rsidR="007739E8">
        <w:rPr>
          <w:lang w:val="en-CA"/>
        </w:rPr>
        <w:t xml:space="preserve">Parker suggests that the description of events such as the listing of the personnel of Arthur’s court “would have amused and delighted an aural audience, but for a reader (or translator) this two hundred line roll-call frankly borders on the tedious.” </w:t>
      </w:r>
      <w:r w:rsidR="000D0A35">
        <w:rPr>
          <w:rStyle w:val="FootnoteReference"/>
          <w:lang w:val="en-CA"/>
        </w:rPr>
        <w:footnoteReference w:id="39"/>
      </w:r>
      <w:r w:rsidR="00FF3705">
        <w:rPr>
          <w:lang w:val="en-CA"/>
        </w:rPr>
        <w:t xml:space="preserve"> </w:t>
      </w:r>
      <w:r w:rsidR="004573B6">
        <w:rPr>
          <w:lang w:val="en-CA"/>
        </w:rPr>
        <w:t>Thus,</w:t>
      </w:r>
      <w:r w:rsidR="00C31F3C">
        <w:rPr>
          <w:lang w:val="en-CA"/>
        </w:rPr>
        <w:t xml:space="preserve"> </w:t>
      </w:r>
      <w:r w:rsidR="00C31F3C" w:rsidRPr="00C0012D">
        <w:rPr>
          <w:i/>
          <w:lang w:val="en-CA"/>
        </w:rPr>
        <w:t>Cullhwch ac Olwen</w:t>
      </w:r>
      <w:r w:rsidR="00C31F3C">
        <w:rPr>
          <w:lang w:val="en-CA"/>
        </w:rPr>
        <w:t xml:space="preserve"> may have been an early literary predecessor to the </w:t>
      </w:r>
      <w:r w:rsidR="00C31F3C" w:rsidRPr="00994E23">
        <w:rPr>
          <w:i/>
          <w:lang w:val="en-CA"/>
        </w:rPr>
        <w:t>Four Branches of the Mabinogi</w:t>
      </w:r>
      <w:r w:rsidR="00C31F3C">
        <w:rPr>
          <w:lang w:val="en-CA"/>
        </w:rPr>
        <w:t xml:space="preserve">. “Overall, </w:t>
      </w:r>
      <w:r w:rsidR="00C31F3C">
        <w:rPr>
          <w:i/>
          <w:lang w:val="en-CA"/>
        </w:rPr>
        <w:t xml:space="preserve">Cullhwch </w:t>
      </w:r>
      <w:r w:rsidR="00C31F3C">
        <w:rPr>
          <w:lang w:val="en-CA"/>
        </w:rPr>
        <w:t xml:space="preserve">comes across as a flamboyant but disorganized work: which bears the hall-marks of a verbatim transcription of an oral </w:t>
      </w:r>
      <w:r w:rsidR="00C31F3C" w:rsidRPr="00C31F3C">
        <w:rPr>
          <w:i/>
          <w:lang w:val="en-CA"/>
        </w:rPr>
        <w:t>chwedlau</w:t>
      </w:r>
      <w:r w:rsidR="00C31F3C">
        <w:rPr>
          <w:lang w:val="en-CA"/>
        </w:rPr>
        <w:t>, more or less as it would have told.”</w:t>
      </w:r>
      <w:r w:rsidR="000D0A35">
        <w:rPr>
          <w:rStyle w:val="FootnoteReference"/>
          <w:lang w:val="en-CA"/>
        </w:rPr>
        <w:footnoteReference w:id="40"/>
      </w:r>
      <w:r w:rsidR="00C31F3C">
        <w:rPr>
          <w:lang w:val="en-CA"/>
        </w:rPr>
        <w:t xml:space="preserve"> </w:t>
      </w:r>
    </w:p>
    <w:p w14:paraId="28CB1089" w14:textId="1AE3D414" w:rsidR="00BC3154" w:rsidRDefault="00C31F3C" w:rsidP="00E10C32">
      <w:pPr>
        <w:spacing w:line="480" w:lineRule="auto"/>
        <w:ind w:firstLine="567"/>
        <w:rPr>
          <w:lang w:val="en-CA"/>
        </w:rPr>
      </w:pPr>
      <w:r>
        <w:rPr>
          <w:lang w:val="en-CA"/>
        </w:rPr>
        <w:t>The other tale</w:t>
      </w:r>
      <w:r w:rsidR="00BC3154">
        <w:rPr>
          <w:lang w:val="en-CA"/>
        </w:rPr>
        <w:t>,</w:t>
      </w:r>
      <w:r>
        <w:rPr>
          <w:lang w:val="en-CA"/>
        </w:rPr>
        <w:t xml:space="preserve"> </w:t>
      </w:r>
      <w:r w:rsidRPr="00C31F3C">
        <w:rPr>
          <w:i/>
          <w:lang w:val="en-CA"/>
        </w:rPr>
        <w:t>Cyfanc Llud a Llefelys</w:t>
      </w:r>
      <w:r>
        <w:rPr>
          <w:lang w:val="en-CA"/>
        </w:rPr>
        <w:t xml:space="preserve">, </w:t>
      </w:r>
      <w:r w:rsidRPr="00994E23">
        <w:rPr>
          <w:i/>
          <w:lang w:val="en-CA"/>
        </w:rPr>
        <w:t>‘The Adventures of Llud and Llefelys</w:t>
      </w:r>
      <w:r w:rsidR="00E10C32">
        <w:rPr>
          <w:lang w:val="en-CA"/>
        </w:rPr>
        <w:t xml:space="preserve">’ is </w:t>
      </w:r>
      <w:r>
        <w:rPr>
          <w:lang w:val="en-CA"/>
        </w:rPr>
        <w:t>another early prose tale</w:t>
      </w:r>
      <w:r w:rsidR="00BC3154">
        <w:rPr>
          <w:lang w:val="en-CA"/>
        </w:rPr>
        <w:t>,</w:t>
      </w:r>
      <w:r>
        <w:rPr>
          <w:lang w:val="en-CA"/>
        </w:rPr>
        <w:t xml:space="preserve"> </w:t>
      </w:r>
      <w:r w:rsidR="00E011AD">
        <w:rPr>
          <w:lang w:val="en-CA"/>
        </w:rPr>
        <w:t xml:space="preserve">however it is much shorter than </w:t>
      </w:r>
      <w:r w:rsidR="00E011AD" w:rsidRPr="00C0012D">
        <w:rPr>
          <w:i/>
          <w:lang w:val="en-CA"/>
        </w:rPr>
        <w:t>Cullhwch ac Olwen</w:t>
      </w:r>
      <w:r w:rsidR="00E011AD">
        <w:rPr>
          <w:i/>
          <w:lang w:val="en-CA"/>
        </w:rPr>
        <w:t xml:space="preserve"> </w:t>
      </w:r>
      <w:r w:rsidR="00E011AD">
        <w:rPr>
          <w:lang w:val="en-CA"/>
        </w:rPr>
        <w:t xml:space="preserve">and the </w:t>
      </w:r>
      <w:r w:rsidR="00E011AD" w:rsidRPr="00994E23">
        <w:rPr>
          <w:i/>
          <w:lang w:val="en-CA"/>
        </w:rPr>
        <w:t>Four Branches</w:t>
      </w:r>
      <w:r w:rsidR="00E011AD">
        <w:rPr>
          <w:lang w:val="en-CA"/>
        </w:rPr>
        <w:t>.</w:t>
      </w:r>
    </w:p>
    <w:p w14:paraId="11E33570" w14:textId="671B65D7" w:rsidR="00BC3154" w:rsidRDefault="00E011AD" w:rsidP="00BC3154">
      <w:pPr>
        <w:ind w:left="567" w:right="713"/>
        <w:rPr>
          <w:lang w:val="en-CA"/>
        </w:rPr>
      </w:pPr>
      <w:r>
        <w:rPr>
          <w:lang w:val="en-CA"/>
        </w:rPr>
        <w:t xml:space="preserve"> </w:t>
      </w:r>
      <w:r w:rsidR="0012584B">
        <w:rPr>
          <w:lang w:val="en-CA"/>
        </w:rPr>
        <w:t>The conclusion one draws from</w:t>
      </w:r>
      <w:r w:rsidR="0012584B" w:rsidRPr="00C31F3C">
        <w:rPr>
          <w:i/>
          <w:lang w:val="en-CA"/>
        </w:rPr>
        <w:t xml:space="preserve"> Llud a Llefelys</w:t>
      </w:r>
      <w:r w:rsidR="0012584B">
        <w:rPr>
          <w:i/>
          <w:lang w:val="en-CA"/>
        </w:rPr>
        <w:t xml:space="preserve"> </w:t>
      </w:r>
      <w:r w:rsidR="0012584B">
        <w:rPr>
          <w:lang w:val="en-CA"/>
        </w:rPr>
        <w:t>is that it was not written to be enjoyed as in its own right as an artistic literary work, nor was it a record of an actual oral narrative performance. Its most likely function as a reference tool, ‘notes’ as it were: almost certainly for use by a liter</w:t>
      </w:r>
      <w:r w:rsidR="00E10C32">
        <w:rPr>
          <w:lang w:val="en-CA"/>
        </w:rPr>
        <w:t>ate cyfarwydd or bardic expert.</w:t>
      </w:r>
      <w:r w:rsidR="0012584B">
        <w:rPr>
          <w:lang w:val="en-CA"/>
        </w:rPr>
        <w:t xml:space="preserve"> </w:t>
      </w:r>
      <w:r w:rsidR="000D0A35">
        <w:rPr>
          <w:rStyle w:val="FootnoteReference"/>
          <w:lang w:val="en-CA"/>
        </w:rPr>
        <w:footnoteReference w:id="41"/>
      </w:r>
    </w:p>
    <w:p w14:paraId="4BBF0CCB" w14:textId="77777777" w:rsidR="00BC3154" w:rsidRDefault="00BC3154" w:rsidP="00BC3154">
      <w:pPr>
        <w:ind w:left="567" w:right="713"/>
        <w:rPr>
          <w:lang w:val="en-CA"/>
        </w:rPr>
      </w:pPr>
    </w:p>
    <w:p w14:paraId="2AEE56DC" w14:textId="1A417C59" w:rsidR="00A17701" w:rsidRDefault="00BC3154" w:rsidP="00BC3154">
      <w:pPr>
        <w:spacing w:line="480" w:lineRule="auto"/>
        <w:rPr>
          <w:lang w:val="en-CA"/>
        </w:rPr>
      </w:pPr>
      <w:r>
        <w:rPr>
          <w:lang w:val="en-CA"/>
        </w:rPr>
        <w:t xml:space="preserve"> The key concept</w:t>
      </w:r>
      <w:r w:rsidR="0012584B">
        <w:rPr>
          <w:lang w:val="en-CA"/>
        </w:rPr>
        <w:t xml:space="preserve"> in this quotation is that </w:t>
      </w:r>
      <w:r w:rsidR="0012584B" w:rsidRPr="00C31F3C">
        <w:rPr>
          <w:i/>
          <w:lang w:val="en-CA"/>
        </w:rPr>
        <w:t>Cyfanc Llud a Llefelys</w:t>
      </w:r>
      <w:r w:rsidR="0012584B">
        <w:rPr>
          <w:i/>
          <w:lang w:val="en-CA"/>
        </w:rPr>
        <w:t xml:space="preserve"> </w:t>
      </w:r>
      <w:r w:rsidR="0012584B">
        <w:rPr>
          <w:lang w:val="en-CA"/>
        </w:rPr>
        <w:t>was used in a literary manner, not an oral one</w:t>
      </w:r>
      <w:r>
        <w:rPr>
          <w:lang w:val="en-CA"/>
        </w:rPr>
        <w:t xml:space="preserve">, and </w:t>
      </w:r>
      <w:r w:rsidR="0012584B">
        <w:rPr>
          <w:lang w:val="en-CA"/>
        </w:rPr>
        <w:t xml:space="preserve">thus is an example of an innovation from earlier prose tales such as </w:t>
      </w:r>
      <w:r w:rsidR="0012584B" w:rsidRPr="00C0012D">
        <w:rPr>
          <w:i/>
          <w:lang w:val="en-CA"/>
        </w:rPr>
        <w:t>Cullhwch ac Olwen</w:t>
      </w:r>
      <w:r w:rsidR="0012584B">
        <w:rPr>
          <w:lang w:val="en-CA"/>
        </w:rPr>
        <w:t xml:space="preserve">. </w:t>
      </w:r>
      <w:r w:rsidR="00E011AD">
        <w:rPr>
          <w:lang w:val="en-CA"/>
        </w:rPr>
        <w:t xml:space="preserve">Parker and others suggest that </w:t>
      </w:r>
      <w:r w:rsidR="00E011AD" w:rsidRPr="00C31F3C">
        <w:rPr>
          <w:i/>
          <w:lang w:val="en-CA"/>
        </w:rPr>
        <w:t>Cyfanc Llud a Llefelys</w:t>
      </w:r>
      <w:r w:rsidR="00E011AD">
        <w:rPr>
          <w:lang w:val="en-CA"/>
        </w:rPr>
        <w:t xml:space="preserve"> represents an “expanded triad” and relates closely to the </w:t>
      </w:r>
      <w:r w:rsidR="00E011AD" w:rsidRPr="00994E23">
        <w:rPr>
          <w:i/>
          <w:lang w:val="en-CA"/>
        </w:rPr>
        <w:t>Four Branches</w:t>
      </w:r>
      <w:r w:rsidR="00E011AD">
        <w:rPr>
          <w:lang w:val="en-CA"/>
        </w:rPr>
        <w:t xml:space="preserve"> and </w:t>
      </w:r>
      <w:r w:rsidR="00E011AD" w:rsidRPr="00E011AD">
        <w:rPr>
          <w:i/>
          <w:lang w:val="en-CA"/>
        </w:rPr>
        <w:t>Cullhwch</w:t>
      </w:r>
      <w:r w:rsidR="00E011AD">
        <w:rPr>
          <w:lang w:val="en-CA"/>
        </w:rPr>
        <w:t xml:space="preserve">, demonstrating “traces of a much larger </w:t>
      </w:r>
      <w:r w:rsidR="00E011AD" w:rsidRPr="00E011AD">
        <w:rPr>
          <w:i/>
          <w:lang w:val="en-CA"/>
        </w:rPr>
        <w:t>cyfarwydded</w:t>
      </w:r>
      <w:r w:rsidR="00E011AD">
        <w:rPr>
          <w:lang w:val="en-CA"/>
        </w:rPr>
        <w:t xml:space="preserve"> tradition</w:t>
      </w:r>
      <w:r w:rsidR="00A17701">
        <w:rPr>
          <w:lang w:val="en-CA"/>
        </w:rPr>
        <w:t>.</w:t>
      </w:r>
      <w:r w:rsidR="00E011AD">
        <w:rPr>
          <w:lang w:val="en-CA"/>
        </w:rPr>
        <w:t>”</w:t>
      </w:r>
      <w:r w:rsidR="00DC6ACD">
        <w:rPr>
          <w:lang w:val="en-CA"/>
        </w:rPr>
        <w:t xml:space="preserve"> </w:t>
      </w:r>
      <w:r w:rsidR="00A17701">
        <w:rPr>
          <w:lang w:val="en-CA"/>
        </w:rPr>
        <w:t>T</w:t>
      </w:r>
      <w:r w:rsidR="00DC6ACD">
        <w:rPr>
          <w:lang w:val="en-CA"/>
        </w:rPr>
        <w:t>here is much that connects these three twelfth century texts</w:t>
      </w:r>
      <w:r w:rsidR="00E011AD">
        <w:rPr>
          <w:lang w:val="en-CA"/>
        </w:rPr>
        <w:t>.</w:t>
      </w:r>
      <w:r w:rsidR="000D0A35">
        <w:rPr>
          <w:rStyle w:val="FootnoteReference"/>
          <w:lang w:val="en-CA"/>
        </w:rPr>
        <w:footnoteReference w:id="42"/>
      </w:r>
      <w:r w:rsidR="000D0A35">
        <w:rPr>
          <w:lang w:val="en-CA"/>
        </w:rPr>
        <w:t xml:space="preserve"> </w:t>
      </w:r>
    </w:p>
    <w:p w14:paraId="428A3C8F" w14:textId="1AFCAA93" w:rsidR="00BC3154" w:rsidRDefault="00406D0B" w:rsidP="00FD1B2F">
      <w:pPr>
        <w:spacing w:line="480" w:lineRule="auto"/>
        <w:ind w:firstLine="720"/>
        <w:rPr>
          <w:lang w:val="en-CA"/>
        </w:rPr>
      </w:pPr>
      <w:r>
        <w:rPr>
          <w:lang w:val="en-CA"/>
        </w:rPr>
        <w:lastRenderedPageBreak/>
        <w:t xml:space="preserve">Parker describes </w:t>
      </w:r>
      <w:r w:rsidR="0012584B">
        <w:rPr>
          <w:lang w:val="en-CA"/>
        </w:rPr>
        <w:t xml:space="preserve">The </w:t>
      </w:r>
      <w:r w:rsidR="0012584B" w:rsidRPr="00994E23">
        <w:rPr>
          <w:i/>
          <w:lang w:val="en-CA"/>
        </w:rPr>
        <w:t>Mabinogi</w:t>
      </w:r>
      <w:r>
        <w:rPr>
          <w:lang w:val="en-CA"/>
        </w:rPr>
        <w:t xml:space="preserve"> as being “…something of an innovation…</w:t>
      </w:r>
      <w:r w:rsidR="0012584B" w:rsidRPr="00994E23">
        <w:rPr>
          <w:i/>
          <w:lang w:val="en-CA"/>
        </w:rPr>
        <w:t>The Four Branches</w:t>
      </w:r>
      <w:r w:rsidR="0012584B">
        <w:rPr>
          <w:lang w:val="en-CA"/>
        </w:rPr>
        <w:t xml:space="preserve"> was a self-</w:t>
      </w:r>
      <w:r w:rsidR="00A03A1B">
        <w:rPr>
          <w:lang w:val="en-CA"/>
        </w:rPr>
        <w:t>consciously</w:t>
      </w:r>
      <w:r w:rsidR="0012584B">
        <w:rPr>
          <w:lang w:val="en-CA"/>
        </w:rPr>
        <w:t xml:space="preserve"> literary work</w:t>
      </w:r>
      <w:r>
        <w:rPr>
          <w:lang w:val="en-CA"/>
        </w:rPr>
        <w:t>..</w:t>
      </w:r>
      <w:r w:rsidR="001A0CF2">
        <w:rPr>
          <w:lang w:val="en-CA"/>
        </w:rPr>
        <w:t>.”</w:t>
      </w:r>
      <w:r w:rsidR="000D0A35">
        <w:rPr>
          <w:rStyle w:val="FootnoteReference"/>
          <w:lang w:val="en-CA"/>
        </w:rPr>
        <w:footnoteReference w:id="43"/>
      </w:r>
      <w:r w:rsidR="001A0CF2">
        <w:rPr>
          <w:lang w:val="en-CA"/>
        </w:rPr>
        <w:t xml:space="preserve"> </w:t>
      </w:r>
      <w:r>
        <w:rPr>
          <w:lang w:val="en-CA"/>
        </w:rPr>
        <w:t xml:space="preserve">He </w:t>
      </w:r>
      <w:r w:rsidR="001A0CF2">
        <w:rPr>
          <w:lang w:val="en-CA"/>
        </w:rPr>
        <w:t>goes on to write</w:t>
      </w:r>
      <w:r w:rsidR="00A17701">
        <w:rPr>
          <w:lang w:val="en-CA"/>
        </w:rPr>
        <w:t>,</w:t>
      </w:r>
      <w:r w:rsidR="001A0CF2">
        <w:rPr>
          <w:lang w:val="en-CA"/>
        </w:rPr>
        <w:t xml:space="preserve"> </w:t>
      </w:r>
    </w:p>
    <w:p w14:paraId="1F488F2F" w14:textId="48E351A2" w:rsidR="00BC3154" w:rsidRDefault="00E10C32" w:rsidP="00BC3154">
      <w:pPr>
        <w:ind w:left="567" w:right="855"/>
        <w:rPr>
          <w:lang w:val="en-CA"/>
        </w:rPr>
      </w:pPr>
      <w:r>
        <w:rPr>
          <w:lang w:val="en-CA"/>
        </w:rPr>
        <w:t>T</w:t>
      </w:r>
      <w:r w:rsidR="001A0CF2">
        <w:rPr>
          <w:lang w:val="en-CA"/>
        </w:rPr>
        <w:t xml:space="preserve">hese are not characteristics one would normally expect to find within the spontaneous and ephemeral medium that is the oral performance. As far as we can see from the use of narrative as a </w:t>
      </w:r>
      <w:r w:rsidR="001A0CF2" w:rsidRPr="001A0CF2">
        <w:rPr>
          <w:i/>
          <w:lang w:val="en-CA"/>
        </w:rPr>
        <w:t>tool of psycho-social reflection</w:t>
      </w:r>
      <w:r w:rsidR="001A0CF2">
        <w:rPr>
          <w:lang w:val="en-CA"/>
        </w:rPr>
        <w:t xml:space="preserve">… was largely absent from the earlier prose tradition </w:t>
      </w:r>
      <w:r>
        <w:rPr>
          <w:lang w:val="en-CA"/>
        </w:rPr>
        <w:t>in early twelfth century Wales.</w:t>
      </w:r>
      <w:r w:rsidR="000D0A35">
        <w:rPr>
          <w:rStyle w:val="FootnoteReference"/>
          <w:lang w:val="en-CA"/>
        </w:rPr>
        <w:footnoteReference w:id="44"/>
      </w:r>
      <w:r w:rsidR="001A0CF2">
        <w:rPr>
          <w:lang w:val="en-CA"/>
        </w:rPr>
        <w:t xml:space="preserve"> </w:t>
      </w:r>
    </w:p>
    <w:p w14:paraId="404CAD41" w14:textId="77777777" w:rsidR="00BC3154" w:rsidRDefault="00BC3154" w:rsidP="00BC3154">
      <w:pPr>
        <w:ind w:left="567" w:right="855"/>
        <w:rPr>
          <w:lang w:val="en-CA"/>
        </w:rPr>
      </w:pPr>
    </w:p>
    <w:p w14:paraId="3A4C0C9E" w14:textId="40BD7C0C" w:rsidR="00243078" w:rsidRDefault="00BC3154" w:rsidP="00BC3154">
      <w:pPr>
        <w:spacing w:line="480" w:lineRule="auto"/>
        <w:rPr>
          <w:lang w:val="en-CA"/>
        </w:rPr>
      </w:pPr>
      <w:r>
        <w:rPr>
          <w:lang w:val="en-CA"/>
        </w:rPr>
        <w:t>Thus P</w:t>
      </w:r>
      <w:r w:rsidR="001A0CF2">
        <w:rPr>
          <w:lang w:val="en-CA"/>
        </w:rPr>
        <w:t xml:space="preserve">arker theorizes that </w:t>
      </w:r>
      <w:r w:rsidR="001A0CF2" w:rsidRPr="00994E23">
        <w:rPr>
          <w:i/>
          <w:lang w:val="en-CA"/>
        </w:rPr>
        <w:t>the Mabinogi</w:t>
      </w:r>
      <w:r w:rsidR="001A0CF2">
        <w:rPr>
          <w:lang w:val="en-CA"/>
        </w:rPr>
        <w:t xml:space="preserve"> must have been written in the latter half of the twelfth century, a period after the transition from oral storytelling to literary works, yet before the bardic storytellers of Wales began to look to other foreign literary works and adopt foreign words and literary concepts. </w:t>
      </w:r>
    </w:p>
    <w:p w14:paraId="6D460FD6" w14:textId="62BB6DFA" w:rsidR="00406D0B" w:rsidRDefault="005F353F" w:rsidP="00FD1B2F">
      <w:pPr>
        <w:spacing w:line="480" w:lineRule="auto"/>
        <w:ind w:firstLine="720"/>
        <w:rPr>
          <w:lang w:val="en-CA"/>
        </w:rPr>
      </w:pPr>
      <w:r>
        <w:rPr>
          <w:lang w:val="en-CA"/>
        </w:rPr>
        <w:t>Bes</w:t>
      </w:r>
      <w:r w:rsidR="00406D0B">
        <w:rPr>
          <w:lang w:val="en-CA"/>
        </w:rPr>
        <w:t>ides Parker and Tolstoy’s theories</w:t>
      </w:r>
      <w:r>
        <w:rPr>
          <w:lang w:val="en-CA"/>
        </w:rPr>
        <w:t xml:space="preserve"> on the date and authorship of the </w:t>
      </w:r>
      <w:r w:rsidRPr="00994E23">
        <w:rPr>
          <w:i/>
          <w:lang w:val="en-CA"/>
        </w:rPr>
        <w:t>Mabinogi</w:t>
      </w:r>
      <w:r w:rsidR="00406D0B">
        <w:rPr>
          <w:i/>
          <w:lang w:val="en-CA"/>
        </w:rPr>
        <w:t>,</w:t>
      </w:r>
      <w:r w:rsidRPr="00994E23">
        <w:rPr>
          <w:i/>
          <w:lang w:val="en-CA"/>
        </w:rPr>
        <w:t xml:space="preserve"> </w:t>
      </w:r>
      <w:r>
        <w:rPr>
          <w:lang w:val="en-CA"/>
        </w:rPr>
        <w:t xml:space="preserve">there are </w:t>
      </w:r>
      <w:r w:rsidR="002F6E3E">
        <w:rPr>
          <w:lang w:val="en-CA"/>
        </w:rPr>
        <w:t>other scholars who also argue for similar datin</w:t>
      </w:r>
      <w:r w:rsidR="00471E2D">
        <w:rPr>
          <w:lang w:val="en-CA"/>
        </w:rPr>
        <w:t xml:space="preserve">g of the texts ranging around the same </w:t>
      </w:r>
      <w:r w:rsidR="00A03A1B">
        <w:rPr>
          <w:lang w:val="en-CA"/>
        </w:rPr>
        <w:t>central</w:t>
      </w:r>
      <w:r w:rsidR="00471E2D">
        <w:rPr>
          <w:lang w:val="en-CA"/>
        </w:rPr>
        <w:t xml:space="preserve"> medieval period </w:t>
      </w:r>
      <w:r w:rsidR="007E0072">
        <w:rPr>
          <w:lang w:val="en-CA"/>
        </w:rPr>
        <w:t>“between 1000-1250”.</w:t>
      </w:r>
      <w:r w:rsidR="000D0A35">
        <w:rPr>
          <w:rStyle w:val="FootnoteReference"/>
          <w:lang w:val="en-CA"/>
        </w:rPr>
        <w:footnoteReference w:id="45"/>
      </w:r>
      <w:r w:rsidR="007E0072">
        <w:rPr>
          <w:lang w:val="en-CA"/>
        </w:rPr>
        <w:t xml:space="preserve"> However many of these theories contain oversights and flaws in their arguments.  Gantz writes </w:t>
      </w:r>
      <w:r w:rsidR="00406D0B">
        <w:rPr>
          <w:lang w:val="en-CA"/>
        </w:rPr>
        <w:t>that</w:t>
      </w:r>
      <w:r w:rsidR="007E0072">
        <w:rPr>
          <w:lang w:val="en-CA"/>
        </w:rPr>
        <w:t xml:space="preserve"> </w:t>
      </w:r>
      <w:r w:rsidR="00406D0B">
        <w:rPr>
          <w:lang w:val="en-CA"/>
        </w:rPr>
        <w:t>“</w:t>
      </w:r>
      <w:r w:rsidR="007E0072">
        <w:rPr>
          <w:lang w:val="en-CA"/>
        </w:rPr>
        <w:t xml:space="preserve">within this period Welsh scholars tend to favour the earlier terminus – they naturally want to maximize the </w:t>
      </w:r>
      <w:r w:rsidR="00196CDC">
        <w:rPr>
          <w:lang w:val="en-CA"/>
        </w:rPr>
        <w:t xml:space="preserve">extent of their ancestors’ contribution to </w:t>
      </w:r>
      <w:r w:rsidR="00196CDC" w:rsidRPr="00994E23">
        <w:rPr>
          <w:i/>
          <w:lang w:val="en-CA"/>
        </w:rPr>
        <w:t>The Mabinogion</w:t>
      </w:r>
      <w:r w:rsidR="00196CDC">
        <w:rPr>
          <w:lang w:val="en-CA"/>
        </w:rPr>
        <w:t xml:space="preserve"> – while French scholars, with the same ideas in mind, argue for 1200 or 1250.”</w:t>
      </w:r>
      <w:r w:rsidR="000D0A35">
        <w:rPr>
          <w:rStyle w:val="FootnoteReference"/>
          <w:lang w:val="en-CA"/>
        </w:rPr>
        <w:footnoteReference w:id="46"/>
      </w:r>
      <w:r w:rsidR="00196CDC">
        <w:rPr>
          <w:lang w:val="en-CA"/>
        </w:rPr>
        <w:t xml:space="preserve"> Scholar Ifor Williams proposes a date of composition quite similar to that of Will Parker in stating that </w:t>
      </w:r>
      <w:r w:rsidR="00196CDC" w:rsidRPr="00994E23">
        <w:rPr>
          <w:i/>
          <w:lang w:val="en-CA"/>
        </w:rPr>
        <w:t>the Four Branches</w:t>
      </w:r>
      <w:r w:rsidR="00196CDC">
        <w:rPr>
          <w:lang w:val="en-CA"/>
        </w:rPr>
        <w:t xml:space="preserve"> were likely composed around 1060. </w:t>
      </w:r>
    </w:p>
    <w:p w14:paraId="5FC9797E" w14:textId="6F5FE614" w:rsidR="00406D0B" w:rsidRDefault="00196CDC" w:rsidP="00406D0B">
      <w:pPr>
        <w:ind w:left="567" w:right="855"/>
        <w:rPr>
          <w:lang w:val="en-CA"/>
        </w:rPr>
      </w:pPr>
      <w:r>
        <w:rPr>
          <w:lang w:val="en-CA"/>
        </w:rPr>
        <w:t xml:space="preserve">Ifor Williams, in proposing 1060 as a likely date for the codification of </w:t>
      </w:r>
      <w:r w:rsidRPr="00994E23">
        <w:rPr>
          <w:i/>
          <w:lang w:val="en-CA"/>
        </w:rPr>
        <w:t>the Four Branches</w:t>
      </w:r>
      <w:r>
        <w:rPr>
          <w:lang w:val="en-CA"/>
        </w:rPr>
        <w:t xml:space="preserve">, advances a number of arguments: The occurrence of outdated word-forms in the text, the paucity of French loan-words, references to extinct or </w:t>
      </w:r>
      <w:r>
        <w:rPr>
          <w:lang w:val="en-CA"/>
        </w:rPr>
        <w:lastRenderedPageBreak/>
        <w:t>outdated customs, and the suitability of the peaceful period</w:t>
      </w:r>
      <w:r w:rsidR="00786BAA">
        <w:rPr>
          <w:lang w:val="en-CA"/>
        </w:rPr>
        <w:t>,</w:t>
      </w:r>
      <w:r>
        <w:rPr>
          <w:lang w:val="en-CA"/>
        </w:rPr>
        <w:t xml:space="preserve"> 1055-63</w:t>
      </w:r>
      <w:r w:rsidR="00786BAA">
        <w:rPr>
          <w:lang w:val="en-CA"/>
        </w:rPr>
        <w:t>,</w:t>
      </w:r>
      <w:r>
        <w:rPr>
          <w:lang w:val="en-CA"/>
        </w:rPr>
        <w:t xml:space="preserve"> as a time for bards from north and south to visit and </w:t>
      </w:r>
      <w:r w:rsidR="00406D0B">
        <w:rPr>
          <w:lang w:val="en-CA"/>
        </w:rPr>
        <w:t>exchange tales.</w:t>
      </w:r>
      <w:r w:rsidR="000D0A35">
        <w:rPr>
          <w:rStyle w:val="FootnoteReference"/>
          <w:lang w:val="en-CA"/>
        </w:rPr>
        <w:footnoteReference w:id="47"/>
      </w:r>
      <w:r w:rsidR="000D0A35">
        <w:rPr>
          <w:lang w:val="en-CA"/>
        </w:rPr>
        <w:t xml:space="preserve"> </w:t>
      </w:r>
    </w:p>
    <w:p w14:paraId="0EF050F5" w14:textId="77777777" w:rsidR="00406D0B" w:rsidRDefault="00406D0B" w:rsidP="00406D0B">
      <w:pPr>
        <w:ind w:left="567" w:right="855"/>
        <w:rPr>
          <w:lang w:val="en-CA"/>
        </w:rPr>
      </w:pPr>
    </w:p>
    <w:p w14:paraId="6551D17B" w14:textId="26FF92FB" w:rsidR="00170F9E" w:rsidRDefault="00406D0B" w:rsidP="00406D0B">
      <w:pPr>
        <w:spacing w:line="480" w:lineRule="auto"/>
        <w:rPr>
          <w:lang w:val="en-CA"/>
        </w:rPr>
      </w:pPr>
      <w:r>
        <w:rPr>
          <w:lang w:val="en-CA"/>
        </w:rPr>
        <w:t xml:space="preserve"> Many</w:t>
      </w:r>
      <w:r w:rsidR="005A0ED3">
        <w:rPr>
          <w:lang w:val="en-CA"/>
        </w:rPr>
        <w:t xml:space="preserve"> of these points</w:t>
      </w:r>
      <w:r w:rsidR="00196CDC">
        <w:rPr>
          <w:lang w:val="en-CA"/>
        </w:rPr>
        <w:t xml:space="preserve"> are likewise taken up by Parker </w:t>
      </w:r>
      <w:r w:rsidR="00786BAA">
        <w:rPr>
          <w:lang w:val="en-CA"/>
        </w:rPr>
        <w:t>who</w:t>
      </w:r>
      <w:r w:rsidR="00196CDC">
        <w:rPr>
          <w:lang w:val="en-CA"/>
        </w:rPr>
        <w:t xml:space="preserve"> </w:t>
      </w:r>
      <w:r w:rsidR="005A0ED3">
        <w:rPr>
          <w:lang w:val="en-CA"/>
        </w:rPr>
        <w:t>seems to echo much of Ifor Williams</w:t>
      </w:r>
      <w:r w:rsidR="00786BAA">
        <w:rPr>
          <w:lang w:val="en-CA"/>
        </w:rPr>
        <w:t>’</w:t>
      </w:r>
      <w:r w:rsidR="005A0ED3">
        <w:rPr>
          <w:lang w:val="en-CA"/>
        </w:rPr>
        <w:t xml:space="preserve"> argument. However</w:t>
      </w:r>
      <w:r>
        <w:rPr>
          <w:lang w:val="en-CA"/>
        </w:rPr>
        <w:t>, theirs is not the only theory;</w:t>
      </w:r>
      <w:r w:rsidR="005A0ED3">
        <w:rPr>
          <w:lang w:val="en-CA"/>
        </w:rPr>
        <w:t xml:space="preserve"> many other scholars, such as Morgan Watkin, </w:t>
      </w:r>
      <w:r>
        <w:rPr>
          <w:lang w:val="en-CA"/>
        </w:rPr>
        <w:t>claims</w:t>
      </w:r>
      <w:r w:rsidR="005A0ED3">
        <w:rPr>
          <w:lang w:val="en-CA"/>
        </w:rPr>
        <w:t xml:space="preserve"> that the </w:t>
      </w:r>
      <w:r w:rsidR="005A0ED3" w:rsidRPr="00994E23">
        <w:rPr>
          <w:i/>
          <w:lang w:val="en-CA"/>
        </w:rPr>
        <w:t>Mabinogi</w:t>
      </w:r>
      <w:r w:rsidR="005A0ED3">
        <w:rPr>
          <w:lang w:val="en-CA"/>
        </w:rPr>
        <w:t xml:space="preserve"> has a much later date of composition and argue</w:t>
      </w:r>
      <w:r>
        <w:rPr>
          <w:lang w:val="en-CA"/>
        </w:rPr>
        <w:t>s</w:t>
      </w:r>
      <w:r w:rsidR="005A0ED3">
        <w:rPr>
          <w:lang w:val="en-CA"/>
        </w:rPr>
        <w:t xml:space="preserve"> that there is much evidence of French influence “in matters of vocabulary, styles of dress, customs and ideas.”</w:t>
      </w:r>
      <w:r w:rsidR="000D0A35">
        <w:rPr>
          <w:rStyle w:val="FootnoteReference"/>
          <w:lang w:val="en-CA"/>
        </w:rPr>
        <w:footnoteReference w:id="48"/>
      </w:r>
      <w:r w:rsidR="007E0072">
        <w:rPr>
          <w:lang w:val="en-CA"/>
        </w:rPr>
        <w:t xml:space="preserve"> </w:t>
      </w:r>
      <w:r w:rsidR="00170F9E">
        <w:rPr>
          <w:lang w:val="en-CA"/>
        </w:rPr>
        <w:t>Jeffery Gantz</w:t>
      </w:r>
      <w:r w:rsidR="00C37FBF">
        <w:rPr>
          <w:lang w:val="en-CA"/>
        </w:rPr>
        <w:t xml:space="preserve"> goes on to write that while both </w:t>
      </w:r>
      <w:r w:rsidR="00170F9E">
        <w:rPr>
          <w:lang w:val="en-CA"/>
        </w:rPr>
        <w:t>Ifor Williams</w:t>
      </w:r>
      <w:r w:rsidR="00786BAA">
        <w:rPr>
          <w:lang w:val="en-CA"/>
        </w:rPr>
        <w:t>’</w:t>
      </w:r>
      <w:r w:rsidR="00170F9E">
        <w:rPr>
          <w:lang w:val="en-CA"/>
        </w:rPr>
        <w:t xml:space="preserve"> and Morgan Watkin</w:t>
      </w:r>
      <w:r w:rsidR="00786BAA">
        <w:rPr>
          <w:lang w:val="en-CA"/>
        </w:rPr>
        <w:t>’s</w:t>
      </w:r>
      <w:r w:rsidR="00C37FBF">
        <w:rPr>
          <w:lang w:val="en-CA"/>
        </w:rPr>
        <w:t xml:space="preserve"> claims are compelling, both are also deeply flawed. </w:t>
      </w:r>
      <w:r w:rsidR="00170F9E">
        <w:rPr>
          <w:lang w:val="en-CA"/>
        </w:rPr>
        <w:t>Gantz states that “neither scholar marshals especially compelling evidence.”</w:t>
      </w:r>
      <w:r w:rsidR="000D0A35">
        <w:rPr>
          <w:rStyle w:val="FootnoteReference"/>
          <w:lang w:val="en-CA"/>
        </w:rPr>
        <w:footnoteReference w:id="49"/>
      </w:r>
      <w:r w:rsidR="00170F9E">
        <w:rPr>
          <w:lang w:val="en-CA"/>
        </w:rPr>
        <w:t xml:space="preserve"> He critiques Ifor Williams hypothesis</w:t>
      </w:r>
      <w:r w:rsidR="00E10C32">
        <w:rPr>
          <w:lang w:val="en-CA"/>
        </w:rPr>
        <w:t>:</w:t>
      </w:r>
    </w:p>
    <w:p w14:paraId="3CF4C0B0" w14:textId="624B8DDB" w:rsidR="00A71394" w:rsidRDefault="00170F9E" w:rsidP="00D35C3D">
      <w:pPr>
        <w:ind w:left="567" w:right="855"/>
        <w:rPr>
          <w:lang w:val="en-CA"/>
        </w:rPr>
      </w:pPr>
      <w:r>
        <w:rPr>
          <w:lang w:val="en-CA"/>
        </w:rPr>
        <w:t>Williams bases his case primarily on a very limited number of word-forms, and ignores the possibility of conscious or unconscious archaism on the redactors part. The outdated customs may well have been outdated when the tales were put together; the question of the French loan-words is disputed by Watkin; and the res</w:t>
      </w:r>
      <w:r w:rsidR="00A71394">
        <w:rPr>
          <w:lang w:val="en-CA"/>
        </w:rPr>
        <w:t>t of the case, while attractive, is still speculat</w:t>
      </w:r>
      <w:r w:rsidR="00E10C32">
        <w:rPr>
          <w:lang w:val="en-CA"/>
        </w:rPr>
        <w:t>ion.</w:t>
      </w:r>
      <w:r w:rsidR="00A71394">
        <w:rPr>
          <w:lang w:val="en-CA"/>
        </w:rPr>
        <w:t xml:space="preserve"> </w:t>
      </w:r>
      <w:r w:rsidR="000D0A35">
        <w:rPr>
          <w:rStyle w:val="FootnoteReference"/>
          <w:lang w:val="en-CA"/>
        </w:rPr>
        <w:footnoteReference w:id="50"/>
      </w:r>
    </w:p>
    <w:p w14:paraId="60A90FD0" w14:textId="77777777" w:rsidR="00D35C3D" w:rsidRDefault="00D35C3D" w:rsidP="00D35C3D">
      <w:pPr>
        <w:spacing w:line="480" w:lineRule="auto"/>
        <w:rPr>
          <w:lang w:val="en-CA"/>
        </w:rPr>
      </w:pPr>
    </w:p>
    <w:p w14:paraId="61501256" w14:textId="0880D019" w:rsidR="00D35C3D" w:rsidRDefault="00A71394" w:rsidP="00D35C3D">
      <w:pPr>
        <w:spacing w:line="480" w:lineRule="auto"/>
        <w:rPr>
          <w:lang w:val="en-CA"/>
        </w:rPr>
      </w:pPr>
      <w:r>
        <w:rPr>
          <w:lang w:val="en-CA"/>
        </w:rPr>
        <w:t>Gantz also critiques Watkin’s theory by stating that he attributes many elements</w:t>
      </w:r>
      <w:r w:rsidR="005C6C2F">
        <w:rPr>
          <w:lang w:val="en-CA"/>
        </w:rPr>
        <w:t>, such as the use of “grey horses, splendid dwellings, single combats, the precocious growth of the hero”</w:t>
      </w:r>
      <w:r w:rsidR="000D0A35">
        <w:rPr>
          <w:lang w:val="en-CA"/>
        </w:rPr>
        <w:t xml:space="preserve"> </w:t>
      </w:r>
      <w:r>
        <w:rPr>
          <w:lang w:val="en-CA"/>
        </w:rPr>
        <w:t>as being of French origin</w:t>
      </w:r>
      <w:r w:rsidR="00D35C3D">
        <w:rPr>
          <w:lang w:val="en-CA"/>
        </w:rPr>
        <w:t>,</w:t>
      </w:r>
      <w:r>
        <w:rPr>
          <w:lang w:val="en-CA"/>
        </w:rPr>
        <w:t xml:space="preserve"> when they can clearly be seen to have been utilized in Irish Sagas of clearly Celtic origin.</w:t>
      </w:r>
      <w:r w:rsidR="000D0A35">
        <w:rPr>
          <w:rStyle w:val="FootnoteReference"/>
          <w:lang w:val="en-CA"/>
        </w:rPr>
        <w:footnoteReference w:id="51"/>
      </w:r>
      <w:r w:rsidR="00BB227E">
        <w:rPr>
          <w:lang w:val="en-CA"/>
        </w:rPr>
        <w:t xml:space="preserve"> He goes on to argue against the</w:t>
      </w:r>
      <w:r w:rsidR="00D35C3D">
        <w:rPr>
          <w:lang w:val="en-CA"/>
        </w:rPr>
        <w:t xml:space="preserve"> French theory by stating that </w:t>
      </w:r>
      <w:r w:rsidR="00BB227E">
        <w:rPr>
          <w:lang w:val="en-CA"/>
        </w:rPr>
        <w:t xml:space="preserve"> </w:t>
      </w:r>
    </w:p>
    <w:p w14:paraId="389722B1" w14:textId="5DF5B40D" w:rsidR="00D35C3D" w:rsidRDefault="00D35C3D" w:rsidP="00D35C3D">
      <w:pPr>
        <w:ind w:left="567" w:right="855"/>
        <w:rPr>
          <w:lang w:val="en-CA"/>
        </w:rPr>
      </w:pPr>
      <w:r>
        <w:rPr>
          <w:lang w:val="en-CA"/>
        </w:rPr>
        <w:t>C</w:t>
      </w:r>
      <w:r w:rsidR="00196F63">
        <w:rPr>
          <w:lang w:val="en-CA"/>
        </w:rPr>
        <w:t xml:space="preserve">omparison of any passage in the Welsh Romances – not the earliest tales in the </w:t>
      </w:r>
      <w:r w:rsidR="00196F63" w:rsidRPr="00196F63">
        <w:rPr>
          <w:i/>
          <w:lang w:val="en-CA"/>
        </w:rPr>
        <w:t>Mabinogion</w:t>
      </w:r>
      <w:r w:rsidR="00196F63">
        <w:rPr>
          <w:lang w:val="en-CA"/>
        </w:rPr>
        <w:t xml:space="preserve"> by any means – with its counterparts in </w:t>
      </w:r>
      <w:r w:rsidR="00196F63" w:rsidRPr="00994E23">
        <w:rPr>
          <w:i/>
          <w:lang w:val="en-CA"/>
        </w:rPr>
        <w:t xml:space="preserve">Crestiens </w:t>
      </w:r>
      <w:r w:rsidR="00196F63">
        <w:rPr>
          <w:lang w:val="en-CA"/>
        </w:rPr>
        <w:t xml:space="preserve">will reveal how much more effusive and subjective and moralistic the latter is, and how much more closely the style of </w:t>
      </w:r>
      <w:r w:rsidR="00196F63" w:rsidRPr="00196F63">
        <w:rPr>
          <w:i/>
          <w:lang w:val="en-CA"/>
        </w:rPr>
        <w:t>The Mabinogio</w:t>
      </w:r>
      <w:r w:rsidR="00196F63">
        <w:rPr>
          <w:i/>
          <w:lang w:val="en-CA"/>
        </w:rPr>
        <w:t xml:space="preserve">n </w:t>
      </w:r>
      <w:r w:rsidR="00196F63">
        <w:rPr>
          <w:lang w:val="en-CA"/>
        </w:rPr>
        <w:t>resembles to that of the Irish sagas.</w:t>
      </w:r>
      <w:r w:rsidR="000D0A35">
        <w:rPr>
          <w:rStyle w:val="FootnoteReference"/>
          <w:lang w:val="en-CA"/>
        </w:rPr>
        <w:footnoteReference w:id="52"/>
      </w:r>
    </w:p>
    <w:p w14:paraId="2D6D1667" w14:textId="77777777" w:rsidR="00D35C3D" w:rsidRDefault="00D35C3D" w:rsidP="00D35C3D">
      <w:pPr>
        <w:spacing w:line="480" w:lineRule="auto"/>
        <w:rPr>
          <w:lang w:val="en-CA"/>
        </w:rPr>
      </w:pPr>
    </w:p>
    <w:p w14:paraId="489B3A45" w14:textId="2FC91E23" w:rsidR="00E10C32" w:rsidRDefault="00D35C3D" w:rsidP="00D35C3D">
      <w:pPr>
        <w:spacing w:line="480" w:lineRule="auto"/>
        <w:rPr>
          <w:lang w:val="en-CA"/>
        </w:rPr>
      </w:pPr>
      <w:r>
        <w:rPr>
          <w:lang w:val="en-CA"/>
        </w:rPr>
        <w:t>The academic</w:t>
      </w:r>
      <w:r w:rsidR="00786BAA">
        <w:rPr>
          <w:lang w:val="en-CA"/>
        </w:rPr>
        <w:t>,</w:t>
      </w:r>
      <w:r w:rsidR="006308C5">
        <w:rPr>
          <w:lang w:val="en-CA"/>
        </w:rPr>
        <w:t xml:space="preserve"> </w:t>
      </w:r>
      <w:r w:rsidR="00F75603">
        <w:rPr>
          <w:lang w:val="en-CA"/>
        </w:rPr>
        <w:t>Patrick</w:t>
      </w:r>
      <w:r w:rsidR="000D0A35">
        <w:rPr>
          <w:lang w:val="en-CA"/>
        </w:rPr>
        <w:t xml:space="preserve"> Sims-</w:t>
      </w:r>
      <w:r w:rsidR="006308C5">
        <w:rPr>
          <w:lang w:val="en-CA"/>
        </w:rPr>
        <w:t>Williams</w:t>
      </w:r>
      <w:r w:rsidR="00786BAA">
        <w:rPr>
          <w:lang w:val="en-CA"/>
        </w:rPr>
        <w:t>,</w:t>
      </w:r>
      <w:r w:rsidR="006308C5">
        <w:rPr>
          <w:lang w:val="en-CA"/>
        </w:rPr>
        <w:t xml:space="preserve"> also </w:t>
      </w:r>
      <w:r w:rsidR="00F75603">
        <w:rPr>
          <w:lang w:val="en-CA"/>
        </w:rPr>
        <w:t xml:space="preserve">outlines the scholarly debate on the date of </w:t>
      </w:r>
      <w:r w:rsidR="00786BAA">
        <w:rPr>
          <w:lang w:val="en-CA"/>
        </w:rPr>
        <w:t>composition</w:t>
      </w:r>
      <w:r w:rsidR="00F75603">
        <w:rPr>
          <w:lang w:val="en-CA"/>
        </w:rPr>
        <w:t xml:space="preserve"> of </w:t>
      </w:r>
      <w:r w:rsidR="00F75603" w:rsidRPr="00F52D0C">
        <w:rPr>
          <w:i/>
          <w:lang w:val="en-CA"/>
        </w:rPr>
        <w:t>the Mabinogi</w:t>
      </w:r>
      <w:r w:rsidR="00F75603">
        <w:rPr>
          <w:lang w:val="en-CA"/>
        </w:rPr>
        <w:t xml:space="preserve"> in his article </w:t>
      </w:r>
      <w:r w:rsidR="00F75603" w:rsidRPr="00F75603">
        <w:rPr>
          <w:i/>
          <w:lang w:val="en-CA"/>
        </w:rPr>
        <w:t>The Submission of Irish Kings in Fact and Fiction: Henry II, Bendigeidfran, and the Dating of The Four Branches of The Mabinogi</w:t>
      </w:r>
      <w:r w:rsidR="00F75603">
        <w:rPr>
          <w:lang w:val="en-CA"/>
        </w:rPr>
        <w:t xml:space="preserve">. In </w:t>
      </w:r>
      <w:r w:rsidR="00B471F5">
        <w:rPr>
          <w:lang w:val="en-CA"/>
        </w:rPr>
        <w:t xml:space="preserve">this article </w:t>
      </w:r>
      <w:r w:rsidR="00F75603">
        <w:rPr>
          <w:lang w:val="en-CA"/>
        </w:rPr>
        <w:t>Sims Williams states that Ifor Williams</w:t>
      </w:r>
      <w:r w:rsidR="001C4F35">
        <w:rPr>
          <w:lang w:val="en-CA"/>
        </w:rPr>
        <w:t>’</w:t>
      </w:r>
      <w:r w:rsidR="00F75603">
        <w:rPr>
          <w:lang w:val="en-CA"/>
        </w:rPr>
        <w:t xml:space="preserve"> date of c.1060 is “widely accepted” to be the date of composition of the text and takes aim at other scholars who have, for various reasons, proposed older dates of composition ranging from 1160-1180, mainly due to supposed connections in the text with the events of the reign of King Henry II and </w:t>
      </w:r>
      <w:r w:rsidR="00DC44C7">
        <w:rPr>
          <w:lang w:val="en-CA"/>
        </w:rPr>
        <w:t>the evidence of French loan words utilized within the text.</w:t>
      </w:r>
      <w:r w:rsidR="000D0A35">
        <w:rPr>
          <w:rStyle w:val="FootnoteReference"/>
          <w:lang w:val="en-CA"/>
        </w:rPr>
        <w:footnoteReference w:id="53"/>
      </w:r>
      <w:r w:rsidR="00521DEE">
        <w:rPr>
          <w:lang w:val="en-CA"/>
        </w:rPr>
        <w:t xml:space="preserve"> </w:t>
      </w:r>
      <w:r w:rsidR="004A6CE5">
        <w:rPr>
          <w:lang w:val="en-CA"/>
        </w:rPr>
        <w:t>He states that at the time of his analyses “only two dating arguments remain unassailed. These are Dr</w:t>
      </w:r>
      <w:r w:rsidR="001C4F35">
        <w:rPr>
          <w:lang w:val="en-CA"/>
        </w:rPr>
        <w:t>.</w:t>
      </w:r>
      <w:r w:rsidR="004A6CE5">
        <w:rPr>
          <w:lang w:val="en-CA"/>
        </w:rPr>
        <w:t xml:space="preserve"> Charles-Edwards</w:t>
      </w:r>
      <w:r w:rsidR="001C4F35">
        <w:rPr>
          <w:lang w:val="en-CA"/>
        </w:rPr>
        <w:t>’</w:t>
      </w:r>
      <w:r w:rsidR="004A6CE5">
        <w:rPr>
          <w:lang w:val="en-CA"/>
        </w:rPr>
        <w:t xml:space="preserve"> arguments, from the two incidents in </w:t>
      </w:r>
      <w:r w:rsidR="004A6CE5" w:rsidRPr="004A6CE5">
        <w:rPr>
          <w:i/>
          <w:lang w:val="en-CA"/>
        </w:rPr>
        <w:t>Branwen</w:t>
      </w:r>
      <w:r w:rsidR="004A6CE5">
        <w:rPr>
          <w:lang w:val="en-CA"/>
        </w:rPr>
        <w:t xml:space="preserve">… that it is likely that the </w:t>
      </w:r>
      <w:r w:rsidR="004A6CE5" w:rsidRPr="00994E23">
        <w:rPr>
          <w:i/>
          <w:lang w:val="en-CA"/>
        </w:rPr>
        <w:t>Four Branches</w:t>
      </w:r>
      <w:r w:rsidR="004A6CE5">
        <w:rPr>
          <w:lang w:val="en-CA"/>
        </w:rPr>
        <w:t xml:space="preserve"> belong sometime between about 1050 and about 1120.”</w:t>
      </w:r>
      <w:r w:rsidR="00521DEE">
        <w:rPr>
          <w:rStyle w:val="FootnoteReference"/>
          <w:lang w:val="en-CA"/>
        </w:rPr>
        <w:footnoteReference w:id="54"/>
      </w:r>
      <w:r w:rsidR="00080A8C">
        <w:rPr>
          <w:lang w:val="en-CA"/>
        </w:rPr>
        <w:t xml:space="preserve"> Sims-</w:t>
      </w:r>
      <w:r w:rsidR="004A6CE5">
        <w:rPr>
          <w:lang w:val="en-CA"/>
        </w:rPr>
        <w:t xml:space="preserve">Williams writes that </w:t>
      </w:r>
      <w:r w:rsidR="00376712">
        <w:rPr>
          <w:lang w:val="en-CA"/>
        </w:rPr>
        <w:t>many scholars</w:t>
      </w:r>
      <w:r w:rsidR="001C4F35">
        <w:rPr>
          <w:lang w:val="en-CA"/>
        </w:rPr>
        <w:t>’</w:t>
      </w:r>
      <w:r w:rsidR="00376712">
        <w:rPr>
          <w:lang w:val="en-CA"/>
        </w:rPr>
        <w:t xml:space="preserve"> theories regarding the date of c.1100</w:t>
      </w:r>
      <w:r w:rsidR="00B471F5">
        <w:rPr>
          <w:lang w:val="en-CA"/>
        </w:rPr>
        <w:t xml:space="preserve"> are “</w:t>
      </w:r>
      <w:r w:rsidR="004A6CE5">
        <w:rPr>
          <w:lang w:val="en-CA"/>
        </w:rPr>
        <w:t>based on the opening of Branwen.”</w:t>
      </w:r>
      <w:r w:rsidR="00080A8C">
        <w:rPr>
          <w:rStyle w:val="FootnoteReference"/>
          <w:lang w:val="en-CA"/>
        </w:rPr>
        <w:footnoteReference w:id="55"/>
      </w:r>
      <w:r w:rsidR="004A6CE5">
        <w:rPr>
          <w:lang w:val="en-CA"/>
        </w:rPr>
        <w:t xml:space="preserve"> When Bendigeidfran, king of </w:t>
      </w:r>
      <w:r w:rsidR="001C4F35">
        <w:rPr>
          <w:lang w:val="en-CA"/>
        </w:rPr>
        <w:t>Britain</w:t>
      </w:r>
      <w:r w:rsidR="004A6CE5">
        <w:rPr>
          <w:lang w:val="en-CA"/>
        </w:rPr>
        <w:t>, sees Matholwch, sailing towards him from the south of Ireland.</w:t>
      </w:r>
      <w:r w:rsidR="00B471F5">
        <w:rPr>
          <w:lang w:val="en-CA"/>
        </w:rPr>
        <w:t xml:space="preserve"> Charles-Edwards suggests that this</w:t>
      </w:r>
      <w:r w:rsidR="00376712">
        <w:rPr>
          <w:lang w:val="en-CA"/>
        </w:rPr>
        <w:t xml:space="preserve"> is due to the idea that the text was based </w:t>
      </w:r>
      <w:r w:rsidR="001C4F35">
        <w:rPr>
          <w:lang w:val="en-CA"/>
        </w:rPr>
        <w:t>on</w:t>
      </w:r>
      <w:r w:rsidR="00376712">
        <w:rPr>
          <w:lang w:val="en-CA"/>
        </w:rPr>
        <w:t xml:space="preserve"> an event in 1166 in which “the ousted Leinster king Diarmait Mac Murchada sailed over from Wexford to Bristol, when he went to do homage to Henry II (in France) and then offered his daughter’s hand and the succession to his kingdom to ‘Strongbow’, the lord of Strigoil</w:t>
      </w:r>
      <w:r w:rsidR="00376712" w:rsidRPr="00787895">
        <w:rPr>
          <w:lang w:val="en-CA"/>
        </w:rPr>
        <w:t>.”</w:t>
      </w:r>
      <w:r w:rsidR="0013642A">
        <w:rPr>
          <w:rStyle w:val="FootnoteReference"/>
          <w:lang w:val="en-CA"/>
        </w:rPr>
        <w:footnoteReference w:id="56"/>
      </w:r>
      <w:r w:rsidR="00170F9E" w:rsidRPr="00787895">
        <w:rPr>
          <w:lang w:val="en-CA"/>
        </w:rPr>
        <w:t xml:space="preserve"> </w:t>
      </w:r>
      <w:r w:rsidR="00723185" w:rsidRPr="00787895">
        <w:rPr>
          <w:lang w:val="en-CA"/>
        </w:rPr>
        <w:t>However,</w:t>
      </w:r>
      <w:r w:rsidR="004573B6">
        <w:rPr>
          <w:lang w:val="en-CA"/>
        </w:rPr>
        <w:t xml:space="preserve"> Sims-</w:t>
      </w:r>
      <w:bookmarkStart w:id="0" w:name="_GoBack"/>
      <w:bookmarkEnd w:id="0"/>
      <w:r w:rsidR="00376712" w:rsidRPr="00787895">
        <w:rPr>
          <w:lang w:val="en-CA"/>
        </w:rPr>
        <w:t>Williams criticizes this theory</w:t>
      </w:r>
      <w:r w:rsidR="001C4F35" w:rsidRPr="00787895">
        <w:rPr>
          <w:lang w:val="en-CA"/>
        </w:rPr>
        <w:t>, suggesting</w:t>
      </w:r>
      <w:r w:rsidR="00787895">
        <w:rPr>
          <w:lang w:val="en-CA"/>
        </w:rPr>
        <w:t xml:space="preserve"> </w:t>
      </w:r>
      <w:r w:rsidR="00376712" w:rsidRPr="00787895">
        <w:rPr>
          <w:lang w:val="en-CA"/>
        </w:rPr>
        <w:t xml:space="preserve">we do not know if </w:t>
      </w:r>
      <w:r w:rsidR="001C4F35" w:rsidRPr="00787895">
        <w:rPr>
          <w:lang w:val="en-CA"/>
        </w:rPr>
        <w:t>K</w:t>
      </w:r>
      <w:r w:rsidR="00376712" w:rsidRPr="00787895">
        <w:rPr>
          <w:lang w:val="en-CA"/>
        </w:rPr>
        <w:t>ing Diarmait did indeed s</w:t>
      </w:r>
      <w:r w:rsidR="00B471F5">
        <w:rPr>
          <w:lang w:val="en-CA"/>
        </w:rPr>
        <w:t>ail from his own kingdom and whether</w:t>
      </w:r>
      <w:r w:rsidR="00376712" w:rsidRPr="00787895">
        <w:rPr>
          <w:lang w:val="en-CA"/>
        </w:rPr>
        <w:t xml:space="preserve"> idea that the </w:t>
      </w:r>
      <w:r w:rsidR="00376712" w:rsidRPr="00787895">
        <w:rPr>
          <w:lang w:val="en-CA"/>
        </w:rPr>
        <w:lastRenderedPageBreak/>
        <w:t xml:space="preserve">author of </w:t>
      </w:r>
      <w:r w:rsidR="00376712" w:rsidRPr="00F52D0C">
        <w:rPr>
          <w:i/>
          <w:lang w:val="en-CA"/>
        </w:rPr>
        <w:t>the Mabinogi</w:t>
      </w:r>
      <w:r w:rsidR="00376712" w:rsidRPr="00787895">
        <w:rPr>
          <w:lang w:val="en-CA"/>
        </w:rPr>
        <w:t xml:space="preserve"> “was well informed ab</w:t>
      </w:r>
      <w:r w:rsidR="0013642A">
        <w:rPr>
          <w:lang w:val="en-CA"/>
        </w:rPr>
        <w:t>out contemporary Irish affairs.”</w:t>
      </w:r>
      <w:r w:rsidR="0013642A">
        <w:rPr>
          <w:rStyle w:val="FootnoteReference"/>
          <w:lang w:val="en-CA"/>
        </w:rPr>
        <w:footnoteReference w:id="57"/>
      </w:r>
      <w:r w:rsidR="00B471F5">
        <w:rPr>
          <w:lang w:val="en-CA"/>
        </w:rPr>
        <w:t xml:space="preserve"> </w:t>
      </w:r>
      <w:r w:rsidR="00376712" w:rsidRPr="00787895">
        <w:rPr>
          <w:lang w:val="en-CA"/>
        </w:rPr>
        <w:t xml:space="preserve">It is also made clear in the text that the events of the </w:t>
      </w:r>
      <w:r w:rsidR="00376712" w:rsidRPr="00787895">
        <w:rPr>
          <w:i/>
          <w:lang w:val="en-CA"/>
        </w:rPr>
        <w:t>Mabinogi</w:t>
      </w:r>
      <w:r w:rsidR="00376712" w:rsidRPr="00787895">
        <w:rPr>
          <w:lang w:val="en-CA"/>
        </w:rPr>
        <w:t xml:space="preserve"> take place in “a remote period in the pre-Christian past of Brit</w:t>
      </w:r>
      <w:r w:rsidR="001C4F35" w:rsidRPr="00787895">
        <w:rPr>
          <w:lang w:val="en-CA"/>
        </w:rPr>
        <w:t>ain</w:t>
      </w:r>
      <w:r w:rsidR="00CA51D6">
        <w:rPr>
          <w:lang w:val="en-CA"/>
        </w:rPr>
        <w:t xml:space="preserve"> </w:t>
      </w:r>
      <w:r w:rsidR="00376712" w:rsidRPr="00787895">
        <w:rPr>
          <w:lang w:val="en-CA"/>
        </w:rPr>
        <w:t>and Ireland, earlier than the reign in Brit</w:t>
      </w:r>
      <w:r w:rsidR="001C4F35" w:rsidRPr="00787895">
        <w:rPr>
          <w:lang w:val="en-CA"/>
        </w:rPr>
        <w:t>ain</w:t>
      </w:r>
      <w:r w:rsidR="00376712">
        <w:rPr>
          <w:lang w:val="en-CA"/>
        </w:rPr>
        <w:t xml:space="preserve"> of Julius Caesar’s opponent Caswallawn and earlier than the establishment of the five provinces of Ireland.”</w:t>
      </w:r>
      <w:r w:rsidR="00F52D0C">
        <w:rPr>
          <w:rStyle w:val="FootnoteReference"/>
          <w:lang w:val="en-CA"/>
        </w:rPr>
        <w:footnoteReference w:id="58"/>
      </w:r>
      <w:r w:rsidR="00376712">
        <w:rPr>
          <w:lang w:val="en-CA"/>
        </w:rPr>
        <w:t xml:space="preserve">The text relates </w:t>
      </w:r>
      <w:r w:rsidR="00CD5530">
        <w:rPr>
          <w:lang w:val="en-CA"/>
        </w:rPr>
        <w:t xml:space="preserve">to </w:t>
      </w:r>
      <w:r w:rsidR="00376712">
        <w:rPr>
          <w:lang w:val="en-CA"/>
        </w:rPr>
        <w:t xml:space="preserve">a legendary period, not the current events of the age. </w:t>
      </w:r>
    </w:p>
    <w:p w14:paraId="35FC233D" w14:textId="360B475C" w:rsidR="00E10C32" w:rsidRDefault="00F52D0C" w:rsidP="00E10C32">
      <w:pPr>
        <w:spacing w:line="480" w:lineRule="auto"/>
        <w:ind w:firstLine="720"/>
        <w:rPr>
          <w:lang w:val="en-CA"/>
        </w:rPr>
      </w:pPr>
      <w:r>
        <w:rPr>
          <w:lang w:val="en-CA"/>
        </w:rPr>
        <w:t>Patrick Sims-</w:t>
      </w:r>
      <w:r w:rsidR="004802EC">
        <w:rPr>
          <w:lang w:val="en-CA"/>
        </w:rPr>
        <w:t xml:space="preserve">Williams goes on to critique ideas about the </w:t>
      </w:r>
      <w:r w:rsidR="00E13E91">
        <w:rPr>
          <w:lang w:val="en-CA"/>
        </w:rPr>
        <w:t>b</w:t>
      </w:r>
      <w:r w:rsidR="004802EC">
        <w:rPr>
          <w:lang w:val="en-CA"/>
        </w:rPr>
        <w:t>uilding of Bendigeidfran’s house as a dating tool for either 1050 or 1171. He rejects Saunders Lewis’ theory that this house building relates to the reign of Henry II and his building of a house near Dublin</w:t>
      </w:r>
      <w:r w:rsidR="00CD5530">
        <w:rPr>
          <w:lang w:val="en-CA"/>
        </w:rPr>
        <w:t>,</w:t>
      </w:r>
      <w:r w:rsidR="004802EC">
        <w:rPr>
          <w:lang w:val="en-CA"/>
        </w:rPr>
        <w:t xml:space="preserve"> </w:t>
      </w:r>
      <w:r w:rsidR="00CD5530">
        <w:rPr>
          <w:lang w:val="en-CA"/>
        </w:rPr>
        <w:t xml:space="preserve">stating </w:t>
      </w:r>
      <w:r w:rsidR="000B487B">
        <w:rPr>
          <w:lang w:val="en-CA"/>
        </w:rPr>
        <w:t xml:space="preserve">“there is no suggestion that it was intended to be the setting in which Henry received </w:t>
      </w:r>
      <w:r w:rsidR="00723185">
        <w:rPr>
          <w:lang w:val="en-CA"/>
        </w:rPr>
        <w:t>the submission of Irish Kings”</w:t>
      </w:r>
      <w:r>
        <w:rPr>
          <w:rStyle w:val="FootnoteReference"/>
          <w:lang w:val="en-CA"/>
        </w:rPr>
        <w:footnoteReference w:id="59"/>
      </w:r>
      <w:r w:rsidR="00964AB8">
        <w:rPr>
          <w:lang w:val="en-CA"/>
        </w:rPr>
        <w:t xml:space="preserve"> and</w:t>
      </w:r>
      <w:r w:rsidR="00723185">
        <w:rPr>
          <w:lang w:val="en-CA"/>
        </w:rPr>
        <w:t xml:space="preserve"> in the tale of</w:t>
      </w:r>
      <w:r w:rsidR="00723185" w:rsidRPr="00723185">
        <w:rPr>
          <w:i/>
          <w:lang w:val="en-CA"/>
        </w:rPr>
        <w:t xml:space="preserve"> Branwen</w:t>
      </w:r>
      <w:r w:rsidR="00E10C32">
        <w:rPr>
          <w:lang w:val="en-CA"/>
        </w:rPr>
        <w:t xml:space="preserve"> </w:t>
      </w:r>
      <w:r w:rsidR="00CD5530">
        <w:rPr>
          <w:lang w:val="en-CA"/>
        </w:rPr>
        <w:t>“W</w:t>
      </w:r>
      <w:r w:rsidR="00723185">
        <w:rPr>
          <w:lang w:val="en-CA"/>
        </w:rPr>
        <w:t xml:space="preserve">e again find no evidence that entering the great house constituted submission. It is made clear that the peace was drawn up </w:t>
      </w:r>
      <w:r w:rsidR="00723185" w:rsidRPr="00723185">
        <w:rPr>
          <w:i/>
          <w:lang w:val="en-CA"/>
        </w:rPr>
        <w:t>before</w:t>
      </w:r>
      <w:r w:rsidR="00723185">
        <w:rPr>
          <w:lang w:val="en-CA"/>
        </w:rPr>
        <w:t xml:space="preserve"> the house was built… and that the peace was concluded… </w:t>
      </w:r>
      <w:r w:rsidR="00723185" w:rsidRPr="00723185">
        <w:rPr>
          <w:i/>
          <w:lang w:val="en-CA"/>
        </w:rPr>
        <w:t>after</w:t>
      </w:r>
      <w:r w:rsidR="00723185">
        <w:rPr>
          <w:lang w:val="en-CA"/>
        </w:rPr>
        <w:t xml:space="preserve"> both hosts had entered the house.”</w:t>
      </w:r>
      <w:r>
        <w:rPr>
          <w:rStyle w:val="FootnoteReference"/>
          <w:lang w:val="en-CA"/>
        </w:rPr>
        <w:footnoteReference w:id="60"/>
      </w:r>
      <w:r w:rsidR="00723185">
        <w:rPr>
          <w:lang w:val="en-CA"/>
        </w:rPr>
        <w:t xml:space="preserve"> </w:t>
      </w:r>
      <w:r w:rsidR="00723185" w:rsidRPr="00E10C32">
        <w:rPr>
          <w:lang w:val="en-CA"/>
        </w:rPr>
        <w:t>Thus, Henry II’s building of a great house to facilitate the submission of the Irish kings does not match up to the events in the second Branch.  Sims</w:t>
      </w:r>
      <w:r>
        <w:rPr>
          <w:lang w:val="en-CA"/>
        </w:rPr>
        <w:t>-Williams</w:t>
      </w:r>
      <w:r w:rsidR="00723185" w:rsidRPr="00E10C32">
        <w:rPr>
          <w:lang w:val="en-CA"/>
        </w:rPr>
        <w:t xml:space="preserve"> argues against a date of 1050</w:t>
      </w:r>
      <w:r w:rsidR="00E13E91" w:rsidRPr="00E10C32">
        <w:rPr>
          <w:lang w:val="en-CA"/>
        </w:rPr>
        <w:t>, contrary to</w:t>
      </w:r>
      <w:r w:rsidR="00723185" w:rsidRPr="00E10C32">
        <w:rPr>
          <w:lang w:val="en-CA"/>
        </w:rPr>
        <w:t xml:space="preserve"> </w:t>
      </w:r>
      <w:r w:rsidR="00393F9D" w:rsidRPr="00E10C32">
        <w:rPr>
          <w:lang w:val="en-CA"/>
        </w:rPr>
        <w:t>Charles-Edwards</w:t>
      </w:r>
      <w:r w:rsidR="00E13E91" w:rsidRPr="00E10C32">
        <w:rPr>
          <w:lang w:val="en-CA"/>
        </w:rPr>
        <w:t>’</w:t>
      </w:r>
      <w:r w:rsidR="00393F9D" w:rsidRPr="00E10C32">
        <w:rPr>
          <w:lang w:val="en-CA"/>
        </w:rPr>
        <w:t xml:space="preserve"> </w:t>
      </w:r>
      <w:r w:rsidR="00E13E91" w:rsidRPr="00E10C32">
        <w:rPr>
          <w:lang w:val="en-CA"/>
        </w:rPr>
        <w:t>argument that,</w:t>
      </w:r>
      <w:r w:rsidR="00393F9D" w:rsidRPr="00E10C32">
        <w:rPr>
          <w:lang w:val="en-CA"/>
        </w:rPr>
        <w:t xml:space="preserve"> “the set phrase for submission begins to be used in 1059, c. 1050 seems a reasonable </w:t>
      </w:r>
      <w:r w:rsidR="00393F9D" w:rsidRPr="00E10C32">
        <w:rPr>
          <w:i/>
          <w:lang w:val="en-CA"/>
        </w:rPr>
        <w:t>terminus post quem</w:t>
      </w:r>
      <w:r w:rsidR="00393F9D" w:rsidRPr="00E10C32">
        <w:rPr>
          <w:lang w:val="en-CA"/>
        </w:rPr>
        <w:t xml:space="preserve"> for </w:t>
      </w:r>
      <w:r w:rsidR="00393F9D" w:rsidRPr="00E10C32">
        <w:rPr>
          <w:i/>
          <w:lang w:val="en-CA"/>
        </w:rPr>
        <w:t>Branwen</w:t>
      </w:r>
      <w:r w:rsidR="00393F9D" w:rsidRPr="00E10C32">
        <w:rPr>
          <w:lang w:val="en-CA"/>
        </w:rPr>
        <w:t>.”</w:t>
      </w:r>
      <w:r>
        <w:rPr>
          <w:rStyle w:val="FootnoteReference"/>
          <w:lang w:val="en-CA"/>
        </w:rPr>
        <w:footnoteReference w:id="61"/>
      </w:r>
      <w:r w:rsidR="00321475" w:rsidRPr="00E10C32">
        <w:rPr>
          <w:lang w:val="en-CA"/>
        </w:rPr>
        <w:t xml:space="preserve"> </w:t>
      </w:r>
      <w:r w:rsidR="00E13E91" w:rsidRPr="00E10C32">
        <w:rPr>
          <w:lang w:val="en-CA"/>
        </w:rPr>
        <w:t>However,</w:t>
      </w:r>
      <w:r w:rsidR="00321475" w:rsidRPr="00E10C32">
        <w:rPr>
          <w:lang w:val="en-CA"/>
        </w:rPr>
        <w:t xml:space="preserve"> Patrick Sims-Williams </w:t>
      </w:r>
      <w:r w:rsidR="00E13E91" w:rsidRPr="00E10C32">
        <w:rPr>
          <w:lang w:val="en-CA"/>
        </w:rPr>
        <w:t xml:space="preserve">suggests </w:t>
      </w:r>
      <w:r w:rsidR="00321475" w:rsidRPr="00E10C32">
        <w:rPr>
          <w:lang w:val="en-CA"/>
        </w:rPr>
        <w:t>that the house was not a place of submission between kings, and that the traditio</w:t>
      </w:r>
      <w:r w:rsidR="002263AD" w:rsidRPr="00E10C32">
        <w:rPr>
          <w:lang w:val="en-CA"/>
        </w:rPr>
        <w:t>n of house building and hostage-giving</w:t>
      </w:r>
    </w:p>
    <w:p w14:paraId="3F495766" w14:textId="6E42BA01" w:rsidR="00790184" w:rsidRDefault="002263AD" w:rsidP="00E10C32">
      <w:pPr>
        <w:ind w:left="567" w:right="851"/>
        <w:rPr>
          <w:lang w:val="en-CA"/>
        </w:rPr>
      </w:pPr>
      <w:r w:rsidRPr="00E10C32">
        <w:rPr>
          <w:lang w:val="en-CA"/>
        </w:rPr>
        <w:t xml:space="preserve"> </w:t>
      </w:r>
      <w:r w:rsidR="00E10C32">
        <w:rPr>
          <w:lang w:val="en-CA"/>
        </w:rPr>
        <w:t>…</w:t>
      </w:r>
      <w:r w:rsidR="00790184" w:rsidRPr="00E10C32">
        <w:rPr>
          <w:lang w:val="en-CA"/>
        </w:rPr>
        <w:t xml:space="preserve">is surely that annalists tend not to record customs that are ‘taken for granted’. An Irish annalist needed only to indicate that one king submitted to another… on </w:t>
      </w:r>
      <w:r w:rsidR="00790184" w:rsidRPr="00E10C32">
        <w:rPr>
          <w:lang w:val="en-CA"/>
        </w:rPr>
        <w:lastRenderedPageBreak/>
        <w:t xml:space="preserve">the other hand a, storyteller would be expected to flesh out his story in some detail. Therefore c. 1050 cannot be accepted as a terminus post quem either for the extant </w:t>
      </w:r>
      <w:r w:rsidR="00790184" w:rsidRPr="00E10C32">
        <w:rPr>
          <w:i/>
          <w:lang w:val="en-CA"/>
        </w:rPr>
        <w:t>Branwen</w:t>
      </w:r>
      <w:r w:rsidR="00790184" w:rsidRPr="00E10C32">
        <w:rPr>
          <w:lang w:val="en-CA"/>
        </w:rPr>
        <w:t xml:space="preserve">... or for any prior recension of the </w:t>
      </w:r>
      <w:r w:rsidR="001C6BC5" w:rsidRPr="00E10C32">
        <w:rPr>
          <w:lang w:val="en-CA"/>
        </w:rPr>
        <w:t>story of Bendigeidfran’s house.</w:t>
      </w:r>
      <w:r w:rsidR="00F52D0C">
        <w:rPr>
          <w:rStyle w:val="FootnoteReference"/>
          <w:lang w:val="en-CA"/>
        </w:rPr>
        <w:footnoteReference w:id="62"/>
      </w:r>
    </w:p>
    <w:p w14:paraId="5A2262F7" w14:textId="77777777" w:rsidR="00E10C32" w:rsidRDefault="00E10C32" w:rsidP="00E10C32">
      <w:pPr>
        <w:ind w:firstLine="720"/>
        <w:rPr>
          <w:lang w:val="en-CA"/>
        </w:rPr>
      </w:pPr>
    </w:p>
    <w:p w14:paraId="1DACC2DB" w14:textId="1C77228A" w:rsidR="00FC5323" w:rsidRDefault="00790184" w:rsidP="00FD1B2F">
      <w:pPr>
        <w:spacing w:line="480" w:lineRule="auto"/>
        <w:ind w:firstLine="720"/>
        <w:rPr>
          <w:lang w:val="en-CA"/>
        </w:rPr>
      </w:pPr>
      <w:r>
        <w:rPr>
          <w:lang w:val="en-CA"/>
        </w:rPr>
        <w:tab/>
        <w:t xml:space="preserve">The last theory regarding the dating and authorship of the </w:t>
      </w:r>
      <w:r w:rsidRPr="00994E23">
        <w:rPr>
          <w:i/>
          <w:lang w:val="en-CA"/>
        </w:rPr>
        <w:t xml:space="preserve">Mabinogi </w:t>
      </w:r>
      <w:r>
        <w:rPr>
          <w:lang w:val="en-CA"/>
        </w:rPr>
        <w:t xml:space="preserve">comes from the </w:t>
      </w:r>
      <w:r w:rsidR="008623AA">
        <w:rPr>
          <w:lang w:val="en-CA"/>
        </w:rPr>
        <w:t xml:space="preserve">scholar Andrew Breeze and his theory that the </w:t>
      </w:r>
      <w:r w:rsidR="00E13E91" w:rsidRPr="00994E23">
        <w:rPr>
          <w:i/>
          <w:lang w:val="en-CA"/>
        </w:rPr>
        <w:t>M</w:t>
      </w:r>
      <w:r w:rsidR="008623AA" w:rsidRPr="00994E23">
        <w:rPr>
          <w:i/>
          <w:lang w:val="en-CA"/>
        </w:rPr>
        <w:t>abinogion</w:t>
      </w:r>
      <w:r w:rsidR="008623AA">
        <w:rPr>
          <w:lang w:val="en-CA"/>
        </w:rPr>
        <w:t xml:space="preserve"> was written </w:t>
      </w:r>
      <w:r w:rsidR="00554DFD">
        <w:rPr>
          <w:lang w:val="en-CA"/>
        </w:rPr>
        <w:t>by “</w:t>
      </w:r>
      <w:r w:rsidR="008623AA">
        <w:rPr>
          <w:lang w:val="en-CA"/>
        </w:rPr>
        <w:t>Princess Gwenllian (c.1097-1136) of Gwynedd… who dominated the politics of West Wales in the later twelfth century.”</w:t>
      </w:r>
      <w:r w:rsidR="00F52D0C">
        <w:rPr>
          <w:rStyle w:val="FootnoteReference"/>
          <w:lang w:val="en-CA"/>
        </w:rPr>
        <w:footnoteReference w:id="63"/>
      </w:r>
      <w:r w:rsidR="008623AA">
        <w:rPr>
          <w:lang w:val="en-CA"/>
        </w:rPr>
        <w:t xml:space="preserve"> Breeze states that i</w:t>
      </w:r>
      <w:r w:rsidR="00FC5323">
        <w:rPr>
          <w:lang w:val="en-CA"/>
        </w:rPr>
        <w:t>f his theory is accurate the</w:t>
      </w:r>
      <w:r w:rsidR="00F52D0C">
        <w:rPr>
          <w:lang w:val="en-CA"/>
        </w:rPr>
        <w:t>n</w:t>
      </w:r>
      <w:r w:rsidR="0000641B">
        <w:rPr>
          <w:lang w:val="en-CA"/>
        </w:rPr>
        <w:t xml:space="preserve"> </w:t>
      </w:r>
      <w:r w:rsidR="0000641B" w:rsidRPr="00F52D0C">
        <w:rPr>
          <w:i/>
          <w:lang w:val="en-CA"/>
        </w:rPr>
        <w:t xml:space="preserve">the Four Branches </w:t>
      </w:r>
      <w:r w:rsidR="0000641B">
        <w:rPr>
          <w:lang w:val="en-CA"/>
        </w:rPr>
        <w:t>can be dated to be around “</w:t>
      </w:r>
      <w:r w:rsidR="008623AA">
        <w:rPr>
          <w:lang w:val="en-CA"/>
        </w:rPr>
        <w:t>1120, when Gwenllian attained her majority, and 1136, when she was killed while leading an attack on the Norman garrison at Kidwelly, in South Wales.”</w:t>
      </w:r>
      <w:r w:rsidR="00F52D0C">
        <w:rPr>
          <w:rStyle w:val="FootnoteReference"/>
          <w:lang w:val="en-CA"/>
        </w:rPr>
        <w:footnoteReference w:id="64"/>
      </w:r>
      <w:r w:rsidR="008623AA">
        <w:rPr>
          <w:lang w:val="en-CA"/>
        </w:rPr>
        <w:t xml:space="preserve"> </w:t>
      </w:r>
      <w:r w:rsidR="00FC5323">
        <w:rPr>
          <w:lang w:val="en-CA"/>
        </w:rPr>
        <w:t>Breeze posits that “W</w:t>
      </w:r>
      <w:r w:rsidR="008623AA">
        <w:rPr>
          <w:lang w:val="en-CA"/>
        </w:rPr>
        <w:t>e again and again find passages which would be unusual if the w</w:t>
      </w:r>
      <w:r w:rsidR="009E0556">
        <w:rPr>
          <w:lang w:val="en-CA"/>
        </w:rPr>
        <w:t>ork of a man, but which read naturally as the work of a woman.”</w:t>
      </w:r>
      <w:r w:rsidR="00F52D0C">
        <w:rPr>
          <w:rStyle w:val="FootnoteReference"/>
          <w:lang w:val="en-CA"/>
        </w:rPr>
        <w:footnoteReference w:id="65"/>
      </w:r>
      <w:r w:rsidR="009E0556">
        <w:rPr>
          <w:lang w:val="en-CA"/>
        </w:rPr>
        <w:t xml:space="preserve"> </w:t>
      </w:r>
      <w:r w:rsidR="00873C5C">
        <w:rPr>
          <w:lang w:val="en-CA"/>
        </w:rPr>
        <w:t xml:space="preserve">His conclusions are “based on the idea that it is possible to deduce an </w:t>
      </w:r>
      <w:r w:rsidR="00554DFD">
        <w:rPr>
          <w:lang w:val="en-CA"/>
        </w:rPr>
        <w:t>author’s</w:t>
      </w:r>
      <w:r w:rsidR="00873C5C">
        <w:rPr>
          <w:lang w:val="en-CA"/>
        </w:rPr>
        <w:t xml:space="preserve"> sex </w:t>
      </w:r>
      <w:r w:rsidR="00980086">
        <w:rPr>
          <w:lang w:val="en-CA"/>
        </w:rPr>
        <w:t>from the</w:t>
      </w:r>
      <w:r w:rsidR="00873C5C">
        <w:rPr>
          <w:lang w:val="en-CA"/>
        </w:rPr>
        <w:t xml:space="preserve"> subjects treated in her work, and his or her attitudes towards those subjects.</w:t>
      </w:r>
      <w:r w:rsidR="00497167">
        <w:rPr>
          <w:lang w:val="en-CA"/>
        </w:rPr>
        <w:t>”</w:t>
      </w:r>
      <w:r w:rsidR="00497167">
        <w:rPr>
          <w:rStyle w:val="FootnoteReference"/>
          <w:lang w:val="en-CA"/>
        </w:rPr>
        <w:footnoteReference w:id="66"/>
      </w:r>
      <w:r w:rsidR="00873C5C">
        <w:rPr>
          <w:lang w:val="en-CA"/>
        </w:rPr>
        <w:t xml:space="preserve"> </w:t>
      </w:r>
      <w:r w:rsidR="00206F1E">
        <w:rPr>
          <w:lang w:val="en-CA"/>
        </w:rPr>
        <w:t xml:space="preserve">Breeze emphasises that the text must have a feminine author due to </w:t>
      </w:r>
    </w:p>
    <w:p w14:paraId="52C66758" w14:textId="5A985C2D" w:rsidR="00FC5323" w:rsidRDefault="00FC5323" w:rsidP="00FC5323">
      <w:pPr>
        <w:ind w:left="567" w:right="851"/>
        <w:rPr>
          <w:lang w:val="en-CA"/>
        </w:rPr>
      </w:pPr>
      <w:r>
        <w:rPr>
          <w:lang w:val="en-CA"/>
        </w:rPr>
        <w:t>…</w:t>
      </w:r>
      <w:r w:rsidR="00206F1E">
        <w:rPr>
          <w:lang w:val="en-CA"/>
        </w:rPr>
        <w:t>interest in female characters (</w:t>
      </w:r>
      <w:r w:rsidR="00980086">
        <w:rPr>
          <w:lang w:val="en-CA"/>
        </w:rPr>
        <w:t>2) …</w:t>
      </w:r>
      <w:r w:rsidR="00206F1E">
        <w:rPr>
          <w:lang w:val="en-CA"/>
        </w:rPr>
        <w:t xml:space="preserve"> weak and passive male characters, (13), and awareness of issues around childbirth and children… (9) a fascination with love (14), and a lack of interest in presumably male occupations such as</w:t>
      </w:r>
      <w:r>
        <w:rPr>
          <w:lang w:val="en-CA"/>
        </w:rPr>
        <w:t xml:space="preserve"> monsters, swords and fighting.</w:t>
      </w:r>
      <w:r w:rsidR="00497167">
        <w:rPr>
          <w:rStyle w:val="FootnoteReference"/>
          <w:lang w:val="en-CA"/>
        </w:rPr>
        <w:footnoteReference w:id="67"/>
      </w:r>
    </w:p>
    <w:p w14:paraId="76F04A13" w14:textId="77777777" w:rsidR="00FC5323" w:rsidRDefault="00FC5323" w:rsidP="00FC5323">
      <w:pPr>
        <w:ind w:left="567" w:right="851"/>
        <w:rPr>
          <w:lang w:val="en-CA"/>
        </w:rPr>
      </w:pPr>
    </w:p>
    <w:p w14:paraId="114DB1CB" w14:textId="3A6F3633" w:rsidR="00FC5323" w:rsidRDefault="008623AA" w:rsidP="00FC5323">
      <w:pPr>
        <w:spacing w:line="480" w:lineRule="auto"/>
        <w:rPr>
          <w:lang w:val="en-CA"/>
        </w:rPr>
      </w:pPr>
      <w:r>
        <w:rPr>
          <w:lang w:val="en-CA"/>
        </w:rPr>
        <w:lastRenderedPageBreak/>
        <w:t>However</w:t>
      </w:r>
      <w:r w:rsidR="0000641B">
        <w:rPr>
          <w:lang w:val="en-CA"/>
        </w:rPr>
        <w:t>,</w:t>
      </w:r>
      <w:r>
        <w:rPr>
          <w:lang w:val="en-CA"/>
        </w:rPr>
        <w:t xml:space="preserve"> many scholars have had issues with Breeze</w:t>
      </w:r>
      <w:r w:rsidR="00E13E91">
        <w:rPr>
          <w:lang w:val="en-CA"/>
        </w:rPr>
        <w:t>’</w:t>
      </w:r>
      <w:r>
        <w:rPr>
          <w:lang w:val="en-CA"/>
        </w:rPr>
        <w:t xml:space="preserve">s theory, namely </w:t>
      </w:r>
      <w:r w:rsidR="00206F1E">
        <w:rPr>
          <w:lang w:val="en-CA"/>
        </w:rPr>
        <w:t>Di</w:t>
      </w:r>
      <w:r w:rsidR="0000641B">
        <w:rPr>
          <w:lang w:val="en-CA"/>
        </w:rPr>
        <w:t xml:space="preserve">ana Luft and Will Parker. Diana </w:t>
      </w:r>
      <w:r w:rsidR="00206F1E">
        <w:rPr>
          <w:lang w:val="en-CA"/>
        </w:rPr>
        <w:t xml:space="preserve">Luft states that </w:t>
      </w:r>
      <w:r w:rsidR="000F4107">
        <w:rPr>
          <w:lang w:val="en-CA"/>
        </w:rPr>
        <w:t>Breeze’s theor</w:t>
      </w:r>
      <w:r w:rsidR="00E13E91">
        <w:rPr>
          <w:lang w:val="en-CA"/>
        </w:rPr>
        <w:t>y</w:t>
      </w:r>
      <w:r w:rsidR="000F4107">
        <w:rPr>
          <w:lang w:val="en-CA"/>
        </w:rPr>
        <w:t xml:space="preserve"> “is based upon a series of hasty generalisations for fallacies… statements based upon a few examples which are then taken to represent truths about an entire group.”</w:t>
      </w:r>
      <w:r w:rsidR="00497167">
        <w:rPr>
          <w:rStyle w:val="FootnoteReference"/>
          <w:lang w:val="en-CA"/>
        </w:rPr>
        <w:footnoteReference w:id="68"/>
      </w:r>
      <w:r w:rsidR="00321475">
        <w:rPr>
          <w:lang w:val="en-CA"/>
        </w:rPr>
        <w:t xml:space="preserve"> </w:t>
      </w:r>
      <w:r w:rsidR="000F4107">
        <w:rPr>
          <w:lang w:val="en-CA"/>
        </w:rPr>
        <w:t>Luft criticizes Breeze</w:t>
      </w:r>
      <w:r w:rsidR="00E13E91">
        <w:rPr>
          <w:lang w:val="en-CA"/>
        </w:rPr>
        <w:t>’</w:t>
      </w:r>
      <w:r w:rsidR="000F4107">
        <w:rPr>
          <w:lang w:val="en-CA"/>
        </w:rPr>
        <w:t>s theory through his dismissal that a man could not write sympathetically about female concerns, suggesting Geoffrey Chaucer as an example of such a male author. She writes that his theory contains muc</w:t>
      </w:r>
      <w:r w:rsidR="00FC5323">
        <w:rPr>
          <w:lang w:val="en-CA"/>
        </w:rPr>
        <w:t xml:space="preserve">h in the way of logical fallacy, </w:t>
      </w:r>
      <w:r w:rsidR="000F4107">
        <w:rPr>
          <w:lang w:val="en-CA"/>
        </w:rPr>
        <w:t>showing this</w:t>
      </w:r>
      <w:r w:rsidR="0000641B">
        <w:rPr>
          <w:lang w:val="en-CA"/>
        </w:rPr>
        <w:t xml:space="preserve"> succinctly</w:t>
      </w:r>
      <w:r w:rsidR="000F4107">
        <w:rPr>
          <w:lang w:val="en-CA"/>
        </w:rPr>
        <w:t xml:space="preserve"> in writing that “All women are interested in Children. The author of the Four is interested in children. </w:t>
      </w:r>
      <w:r w:rsidR="00677920">
        <w:rPr>
          <w:lang w:val="en-CA"/>
        </w:rPr>
        <w:t>Therefore,</w:t>
      </w:r>
      <w:r w:rsidR="000F4107">
        <w:rPr>
          <w:lang w:val="en-CA"/>
        </w:rPr>
        <w:t xml:space="preserve"> the author of the Four Branches is a woman.”</w:t>
      </w:r>
      <w:r w:rsidR="00497167">
        <w:rPr>
          <w:rStyle w:val="FootnoteReference"/>
          <w:lang w:val="en-CA"/>
        </w:rPr>
        <w:footnoteReference w:id="69"/>
      </w:r>
      <w:r w:rsidR="00497167">
        <w:rPr>
          <w:lang w:val="en-CA"/>
        </w:rPr>
        <w:t xml:space="preserve"> </w:t>
      </w:r>
      <w:r w:rsidR="000F4107">
        <w:rPr>
          <w:lang w:val="en-CA"/>
        </w:rPr>
        <w:t xml:space="preserve">She goes on to write that “many women may be interested in children but, thankfully for the </w:t>
      </w:r>
      <w:r w:rsidR="00CE3532">
        <w:rPr>
          <w:lang w:val="en-CA"/>
        </w:rPr>
        <w:t>propagation of</w:t>
      </w:r>
      <w:r w:rsidR="000F4107">
        <w:rPr>
          <w:lang w:val="en-CA"/>
        </w:rPr>
        <w:t xml:space="preserve"> the species, many men are as well. Interest in children cannot be used to </w:t>
      </w:r>
      <w:r w:rsidR="00CE3532">
        <w:rPr>
          <w:lang w:val="en-CA"/>
        </w:rPr>
        <w:t>prove</w:t>
      </w:r>
      <w:r w:rsidR="000F4107">
        <w:rPr>
          <w:lang w:val="en-CA"/>
        </w:rPr>
        <w:t xml:space="preserve"> the sex of the interested party.”</w:t>
      </w:r>
      <w:r w:rsidR="00497167">
        <w:rPr>
          <w:rStyle w:val="FootnoteReference"/>
          <w:lang w:val="en-CA"/>
        </w:rPr>
        <w:footnoteReference w:id="70"/>
      </w:r>
      <w:r w:rsidR="00C1618F">
        <w:rPr>
          <w:lang w:val="en-CA"/>
        </w:rPr>
        <w:t xml:space="preserve"> Will Parker writes of Breeze</w:t>
      </w:r>
      <w:r w:rsidR="00E13E91">
        <w:rPr>
          <w:lang w:val="en-CA"/>
        </w:rPr>
        <w:t>’</w:t>
      </w:r>
      <w:r w:rsidR="00C1618F">
        <w:rPr>
          <w:lang w:val="en-CA"/>
        </w:rPr>
        <w:t xml:space="preserve">s theory that it </w:t>
      </w:r>
      <w:r w:rsidR="00CE3532">
        <w:rPr>
          <w:lang w:val="en-CA"/>
        </w:rPr>
        <w:t>is “impossible</w:t>
      </w:r>
      <w:r w:rsidR="00C1618F">
        <w:rPr>
          <w:lang w:val="en-CA"/>
        </w:rPr>
        <w:t xml:space="preserve"> to prove</w:t>
      </w:r>
      <w:r w:rsidR="00980086">
        <w:rPr>
          <w:lang w:val="en-CA"/>
        </w:rPr>
        <w:t>.”</w:t>
      </w:r>
      <w:r w:rsidR="00C02983">
        <w:rPr>
          <w:rStyle w:val="FootnoteReference"/>
          <w:lang w:val="en-CA"/>
        </w:rPr>
        <w:footnoteReference w:id="71"/>
      </w:r>
      <w:r w:rsidR="00C02983">
        <w:rPr>
          <w:lang w:val="en-CA"/>
        </w:rPr>
        <w:t xml:space="preserve"> </w:t>
      </w:r>
      <w:r w:rsidR="00CE3532">
        <w:rPr>
          <w:lang w:val="en-CA"/>
        </w:rPr>
        <w:t>Rather</w:t>
      </w:r>
      <w:r w:rsidR="00665433">
        <w:rPr>
          <w:lang w:val="en-CA"/>
        </w:rPr>
        <w:t>,</w:t>
      </w:r>
      <w:r w:rsidR="00CE3532">
        <w:rPr>
          <w:lang w:val="en-CA"/>
        </w:rPr>
        <w:t xml:space="preserve"> Parker posits that the author of the </w:t>
      </w:r>
      <w:r w:rsidR="00CE3532" w:rsidRPr="00994E23">
        <w:rPr>
          <w:i/>
          <w:lang w:val="en-CA"/>
        </w:rPr>
        <w:t>Mabinogi</w:t>
      </w:r>
      <w:r w:rsidR="00CE3532">
        <w:rPr>
          <w:lang w:val="en-CA"/>
        </w:rPr>
        <w:t xml:space="preserve"> may have been a courtly bardic</w:t>
      </w:r>
      <w:r w:rsidR="00665433">
        <w:rPr>
          <w:lang w:val="en-CA"/>
        </w:rPr>
        <w:t>,</w:t>
      </w:r>
      <w:r w:rsidR="00CE3532">
        <w:rPr>
          <w:lang w:val="en-CA"/>
        </w:rPr>
        <w:t xml:space="preserve"> </w:t>
      </w:r>
      <w:r w:rsidR="00CE3532" w:rsidRPr="00687461">
        <w:rPr>
          <w:i/>
          <w:lang w:val="en-CA"/>
        </w:rPr>
        <w:t>cyfarwydd</w:t>
      </w:r>
      <w:r w:rsidR="00665433">
        <w:rPr>
          <w:i/>
          <w:lang w:val="en-CA"/>
        </w:rPr>
        <w:t>,</w:t>
      </w:r>
      <w:r w:rsidR="00CE3532">
        <w:rPr>
          <w:lang w:val="en-CA"/>
        </w:rPr>
        <w:t xml:space="preserve"> who composed the tales for “the entertainment of a predominately female </w:t>
      </w:r>
      <w:r w:rsidR="0000641B">
        <w:rPr>
          <w:lang w:val="en-CA"/>
        </w:rPr>
        <w:t>audience”</w:t>
      </w:r>
      <w:r w:rsidR="00C02983">
        <w:rPr>
          <w:rStyle w:val="FootnoteReference"/>
          <w:lang w:val="en-CA"/>
        </w:rPr>
        <w:footnoteReference w:id="72"/>
      </w:r>
      <w:r w:rsidR="007900B1">
        <w:rPr>
          <w:lang w:val="en-CA"/>
        </w:rPr>
        <w:t xml:space="preserve"> </w:t>
      </w:r>
      <w:r w:rsidR="00CE3532">
        <w:rPr>
          <w:lang w:val="en-CA"/>
        </w:rPr>
        <w:t xml:space="preserve"> who constituted a “privileged yet partly detached </w:t>
      </w:r>
      <w:r w:rsidR="000040F6">
        <w:rPr>
          <w:lang w:val="en-CA"/>
        </w:rPr>
        <w:t xml:space="preserve">group from within the leisured </w:t>
      </w:r>
      <w:r w:rsidR="00980086">
        <w:rPr>
          <w:lang w:val="en-CA"/>
        </w:rPr>
        <w:t>classes of</w:t>
      </w:r>
      <w:r w:rsidR="000040F6">
        <w:rPr>
          <w:lang w:val="en-CA"/>
        </w:rPr>
        <w:t xml:space="preserve"> Native Medieval Wales.</w:t>
      </w:r>
      <w:r w:rsidR="00412D64">
        <w:rPr>
          <w:rStyle w:val="FootnoteReference"/>
          <w:lang w:val="en-CA"/>
        </w:rPr>
        <w:footnoteReference w:id="73"/>
      </w:r>
      <w:r w:rsidR="000040F6">
        <w:rPr>
          <w:lang w:val="en-CA"/>
        </w:rPr>
        <w:t>” These women would have found themes of “childbirth… marital relations and the faintly mocking attitude towards the male protagonists” quite amusing.</w:t>
      </w:r>
      <w:r w:rsidR="00412D64">
        <w:rPr>
          <w:rStyle w:val="FootnoteReference"/>
          <w:lang w:val="en-CA"/>
        </w:rPr>
        <w:footnoteReference w:id="74"/>
      </w:r>
      <w:r w:rsidR="000040F6">
        <w:rPr>
          <w:lang w:val="en-CA"/>
        </w:rPr>
        <w:t xml:space="preserve"> </w:t>
      </w:r>
      <w:r w:rsidR="00477636">
        <w:rPr>
          <w:lang w:val="en-CA"/>
        </w:rPr>
        <w:t xml:space="preserve">Courtly women may have indeed been the </w:t>
      </w:r>
    </w:p>
    <w:p w14:paraId="6163270E" w14:textId="5EC1E0DB" w:rsidR="00FC5323" w:rsidRDefault="0000641B" w:rsidP="00FC5323">
      <w:pPr>
        <w:ind w:left="567" w:right="851"/>
        <w:rPr>
          <w:lang w:val="en-CA"/>
        </w:rPr>
      </w:pPr>
      <w:r>
        <w:rPr>
          <w:lang w:val="en-CA"/>
        </w:rPr>
        <w:t>…</w:t>
      </w:r>
      <w:r w:rsidR="00477636">
        <w:rPr>
          <w:lang w:val="en-CA"/>
        </w:rPr>
        <w:t xml:space="preserve">sponsors and advocates of its </w:t>
      </w:r>
      <w:r w:rsidR="00665433">
        <w:rPr>
          <w:lang w:val="en-CA"/>
        </w:rPr>
        <w:t>subversively</w:t>
      </w:r>
      <w:r w:rsidR="00477636">
        <w:rPr>
          <w:lang w:val="en-CA"/>
        </w:rPr>
        <w:t xml:space="preserve"> candid style [and] would replicate a situation we know to have been the case in Angevin France, where powerful </w:t>
      </w:r>
      <w:r w:rsidR="00477636">
        <w:rPr>
          <w:lang w:val="en-CA"/>
        </w:rPr>
        <w:lastRenderedPageBreak/>
        <w:t>female patrons such as Eleanor of Aquitaine and Marie de Champagne played a key role in the commi</w:t>
      </w:r>
      <w:r>
        <w:rPr>
          <w:lang w:val="en-CA"/>
        </w:rPr>
        <w:t>ssioning of Romance literature.</w:t>
      </w:r>
      <w:r w:rsidR="00412D64">
        <w:rPr>
          <w:rStyle w:val="FootnoteReference"/>
          <w:lang w:val="en-CA"/>
        </w:rPr>
        <w:footnoteReference w:id="75"/>
      </w:r>
      <w:r w:rsidR="00412D64">
        <w:rPr>
          <w:lang w:val="en-CA"/>
        </w:rPr>
        <w:t xml:space="preserve"> </w:t>
      </w:r>
    </w:p>
    <w:p w14:paraId="70816177" w14:textId="77777777" w:rsidR="00FC5323" w:rsidRDefault="00FC5323" w:rsidP="00FC5323">
      <w:pPr>
        <w:spacing w:line="480" w:lineRule="auto"/>
        <w:rPr>
          <w:lang w:val="en-CA"/>
        </w:rPr>
      </w:pPr>
    </w:p>
    <w:p w14:paraId="10B95F5B" w14:textId="2E851522" w:rsidR="001A0CF2" w:rsidRDefault="00477636" w:rsidP="00FC5323">
      <w:pPr>
        <w:spacing w:line="480" w:lineRule="auto"/>
        <w:rPr>
          <w:lang w:val="en-CA"/>
        </w:rPr>
      </w:pPr>
      <w:r>
        <w:rPr>
          <w:lang w:val="en-CA"/>
        </w:rPr>
        <w:t xml:space="preserve"> This theory, that a courtly bard composed the tales under courtly patronage</w:t>
      </w:r>
      <w:r w:rsidR="00FC5323">
        <w:rPr>
          <w:lang w:val="en-CA"/>
        </w:rPr>
        <w:t>,</w:t>
      </w:r>
      <w:r>
        <w:rPr>
          <w:lang w:val="en-CA"/>
        </w:rPr>
        <w:t xml:space="preserve"> makes greater sense than the author of the text being a warrior princess who fought and died in battle in 1136. </w:t>
      </w:r>
    </w:p>
    <w:p w14:paraId="17CDF28B" w14:textId="4EDC0F38" w:rsidR="00920556" w:rsidRDefault="00FC5323" w:rsidP="00412D64">
      <w:pPr>
        <w:spacing w:line="480" w:lineRule="auto"/>
        <w:ind w:firstLine="720"/>
        <w:rPr>
          <w:lang w:val="en-CA"/>
        </w:rPr>
      </w:pPr>
      <w:r>
        <w:rPr>
          <w:lang w:val="en-CA"/>
        </w:rPr>
        <w:t>In summary, t</w:t>
      </w:r>
      <w:r w:rsidR="00477636">
        <w:rPr>
          <w:lang w:val="en-CA"/>
        </w:rPr>
        <w:t xml:space="preserve">he issue of dating the </w:t>
      </w:r>
      <w:r w:rsidR="00477636" w:rsidRPr="00994E23">
        <w:rPr>
          <w:i/>
          <w:lang w:val="en-CA"/>
        </w:rPr>
        <w:t>Mabinogi</w:t>
      </w:r>
      <w:r w:rsidR="00477636">
        <w:rPr>
          <w:lang w:val="en-CA"/>
        </w:rPr>
        <w:t xml:space="preserve"> is a matter of considerable contention amongst modern literary scholars with arguments</w:t>
      </w:r>
      <w:r>
        <w:rPr>
          <w:lang w:val="en-CA"/>
        </w:rPr>
        <w:t xml:space="preserve"> for its conception</w:t>
      </w:r>
      <w:r w:rsidR="00477636">
        <w:rPr>
          <w:lang w:val="en-CA"/>
        </w:rPr>
        <w:t xml:space="preserve"> ranging from the early to the central middle ages. </w:t>
      </w:r>
      <w:r w:rsidR="00FC4E19">
        <w:rPr>
          <w:lang w:val="en-CA"/>
        </w:rPr>
        <w:t xml:space="preserve"> Many</w:t>
      </w:r>
      <w:r w:rsidR="0000641B">
        <w:rPr>
          <w:lang w:val="en-CA"/>
        </w:rPr>
        <w:t xml:space="preserve"> may</w:t>
      </w:r>
      <w:r w:rsidR="00FC4E19">
        <w:rPr>
          <w:lang w:val="en-CA"/>
        </w:rPr>
        <w:t xml:space="preserve"> wish for the texts to reflect a long forgotten pagan past but the evidence here compiled suggests a date around the mid twelfth century. From looking </w:t>
      </w:r>
      <w:r w:rsidR="00665433">
        <w:rPr>
          <w:lang w:val="en-CA"/>
        </w:rPr>
        <w:t xml:space="preserve">at </w:t>
      </w:r>
      <w:r w:rsidR="00FC4E19">
        <w:rPr>
          <w:lang w:val="en-CA"/>
        </w:rPr>
        <w:t xml:space="preserve">contemporary literary </w:t>
      </w:r>
      <w:r w:rsidR="00677920">
        <w:rPr>
          <w:lang w:val="en-CA"/>
        </w:rPr>
        <w:t>documents,</w:t>
      </w:r>
      <w:r w:rsidR="00FC4E19">
        <w:rPr>
          <w:lang w:val="en-CA"/>
        </w:rPr>
        <w:t xml:space="preserve"> it </w:t>
      </w:r>
      <w:r w:rsidR="00665433">
        <w:rPr>
          <w:lang w:val="en-CA"/>
        </w:rPr>
        <w:t xml:space="preserve">is evident </w:t>
      </w:r>
      <w:r w:rsidR="00FC4E19">
        <w:rPr>
          <w:lang w:val="en-CA"/>
        </w:rPr>
        <w:t xml:space="preserve">that from around 1100-1200 </w:t>
      </w:r>
      <w:r w:rsidR="00665433">
        <w:rPr>
          <w:lang w:val="en-CA"/>
        </w:rPr>
        <w:t>W</w:t>
      </w:r>
      <w:r w:rsidR="00FC4E19">
        <w:rPr>
          <w:lang w:val="en-CA"/>
        </w:rPr>
        <w:t>elsh tales began their translation from oral stories to written literary works</w:t>
      </w:r>
      <w:r w:rsidR="00665433">
        <w:rPr>
          <w:lang w:val="en-CA"/>
        </w:rPr>
        <w:t>.</w:t>
      </w:r>
      <w:r w:rsidR="00FC4E19">
        <w:rPr>
          <w:lang w:val="en-CA"/>
        </w:rPr>
        <w:t xml:space="preserve"> </w:t>
      </w:r>
      <w:r w:rsidR="00665433">
        <w:rPr>
          <w:lang w:val="en-CA"/>
        </w:rPr>
        <w:t>T</w:t>
      </w:r>
      <w:r w:rsidR="00FC4E19">
        <w:rPr>
          <w:lang w:val="en-CA"/>
        </w:rPr>
        <w:t xml:space="preserve">ales such as </w:t>
      </w:r>
      <w:r w:rsidR="00A03A1B" w:rsidRPr="00C0012D">
        <w:rPr>
          <w:i/>
          <w:lang w:val="en-CA"/>
        </w:rPr>
        <w:t>Cullhwch ac Olwen</w:t>
      </w:r>
      <w:r w:rsidR="00A03A1B">
        <w:rPr>
          <w:i/>
          <w:lang w:val="en-CA"/>
        </w:rPr>
        <w:t xml:space="preserve"> </w:t>
      </w:r>
      <w:r w:rsidR="00665433">
        <w:rPr>
          <w:lang w:val="en-CA"/>
        </w:rPr>
        <w:t>demonstrate</w:t>
      </w:r>
      <w:r w:rsidR="00A03A1B">
        <w:rPr>
          <w:lang w:val="en-CA"/>
        </w:rPr>
        <w:t xml:space="preserve"> this process. It seems clear that the author of the text will forever remain unknown, however, it seems reasonable to suggest that the social strata from which the author came can be distinguished. Wales</w:t>
      </w:r>
      <w:r w:rsidR="00665433">
        <w:rPr>
          <w:lang w:val="en-CA"/>
        </w:rPr>
        <w:t>’</w:t>
      </w:r>
      <w:r w:rsidR="00A03A1B">
        <w:rPr>
          <w:lang w:val="en-CA"/>
        </w:rPr>
        <w:t xml:space="preserve"> long history of bardic storytellers </w:t>
      </w:r>
      <w:r w:rsidR="00665433">
        <w:rPr>
          <w:lang w:val="en-CA"/>
        </w:rPr>
        <w:t>suggests</w:t>
      </w:r>
      <w:r w:rsidR="00A03A1B">
        <w:rPr>
          <w:lang w:val="en-CA"/>
        </w:rPr>
        <w:t xml:space="preserve"> that the author may have indeed been a part of this class of courtly</w:t>
      </w:r>
      <w:r w:rsidR="00FC4E19">
        <w:rPr>
          <w:lang w:val="en-CA"/>
        </w:rPr>
        <w:t xml:space="preserve"> </w:t>
      </w:r>
      <w:r w:rsidR="00A03A1B" w:rsidRPr="00687461">
        <w:rPr>
          <w:i/>
          <w:lang w:val="en-CA"/>
        </w:rPr>
        <w:t>cyfarwydd</w:t>
      </w:r>
      <w:r w:rsidR="00665433">
        <w:rPr>
          <w:i/>
          <w:lang w:val="en-CA"/>
        </w:rPr>
        <w:t>,</w:t>
      </w:r>
      <w:r w:rsidR="00FC4E19">
        <w:rPr>
          <w:lang w:val="en-CA"/>
        </w:rPr>
        <w:t xml:space="preserve"> </w:t>
      </w:r>
      <w:r w:rsidR="00665433">
        <w:rPr>
          <w:lang w:val="en-CA"/>
        </w:rPr>
        <w:t xml:space="preserve">having </w:t>
      </w:r>
      <w:r w:rsidR="00A03A1B">
        <w:rPr>
          <w:lang w:val="en-CA"/>
        </w:rPr>
        <w:t xml:space="preserve">the literary as well as the cultural education to pen the </w:t>
      </w:r>
      <w:r w:rsidR="00A03A1B" w:rsidRPr="00994E23">
        <w:rPr>
          <w:i/>
          <w:lang w:val="en-CA"/>
        </w:rPr>
        <w:t>Four Branches</w:t>
      </w:r>
      <w:r w:rsidR="00A03A1B">
        <w:rPr>
          <w:lang w:val="en-CA"/>
        </w:rPr>
        <w:t xml:space="preserve">. It seems unlikely that the date of the text can be earlier than </w:t>
      </w:r>
      <w:r w:rsidR="00A03A1B" w:rsidRPr="00C0012D">
        <w:rPr>
          <w:i/>
          <w:lang w:val="en-CA"/>
        </w:rPr>
        <w:t>Cullhwch ac Olwen</w:t>
      </w:r>
      <w:r w:rsidR="00A03A1B">
        <w:rPr>
          <w:lang w:val="en-CA"/>
        </w:rPr>
        <w:t xml:space="preserve"> which</w:t>
      </w:r>
      <w:r w:rsidR="00677920">
        <w:rPr>
          <w:lang w:val="en-CA"/>
        </w:rPr>
        <w:t xml:space="preserve"> Will Parker and others suggest </w:t>
      </w:r>
      <w:r w:rsidR="00665433">
        <w:rPr>
          <w:lang w:val="en-CA"/>
        </w:rPr>
        <w:t>was</w:t>
      </w:r>
      <w:r w:rsidR="00677920">
        <w:rPr>
          <w:lang w:val="en-CA"/>
        </w:rPr>
        <w:t xml:space="preserve"> compiled</w:t>
      </w:r>
      <w:r w:rsidR="00A03A1B">
        <w:rPr>
          <w:lang w:val="en-CA"/>
        </w:rPr>
        <w:t xml:space="preserve"> </w:t>
      </w:r>
      <w:r w:rsidR="00980086">
        <w:rPr>
          <w:lang w:val="en-CA"/>
        </w:rPr>
        <w:t>around 1100</w:t>
      </w:r>
      <w:r w:rsidR="00677920">
        <w:rPr>
          <w:lang w:val="en-CA"/>
        </w:rPr>
        <w:t xml:space="preserve"> and no later than 1200 when foreign literary works and French loan words become more abundant in Welsh writings. It seems unlikely that Princess Gwenllian of Gwynedd was the author, but </w:t>
      </w:r>
      <w:r w:rsidR="00665433">
        <w:rPr>
          <w:lang w:val="en-CA"/>
        </w:rPr>
        <w:t>more likely</w:t>
      </w:r>
      <w:r w:rsidR="00677920">
        <w:rPr>
          <w:lang w:val="en-CA"/>
        </w:rPr>
        <w:t xml:space="preserve"> that a bard under the patronage of the court penned the work with a female audience in mind. Thus, while the true authorship of the </w:t>
      </w:r>
      <w:r w:rsidR="00677920" w:rsidRPr="00994E23">
        <w:rPr>
          <w:i/>
          <w:lang w:val="en-CA"/>
        </w:rPr>
        <w:t>Four Branches of the Mabinogi</w:t>
      </w:r>
      <w:r w:rsidR="00677920">
        <w:rPr>
          <w:lang w:val="en-CA"/>
        </w:rPr>
        <w:t xml:space="preserve"> </w:t>
      </w:r>
      <w:r w:rsidR="00677920">
        <w:rPr>
          <w:lang w:val="en-CA"/>
        </w:rPr>
        <w:lastRenderedPageBreak/>
        <w:t>may forever remain unknown</w:t>
      </w:r>
      <w:r>
        <w:rPr>
          <w:lang w:val="en-CA"/>
        </w:rPr>
        <w:t>,</w:t>
      </w:r>
      <w:r w:rsidR="00677920">
        <w:rPr>
          <w:lang w:val="en-CA"/>
        </w:rPr>
        <w:t xml:space="preserve"> it seems likely that the origin of the text dates to the latter half of the twelfth century. </w:t>
      </w:r>
    </w:p>
    <w:p w14:paraId="364A100F" w14:textId="77777777" w:rsidR="00243078" w:rsidRDefault="00243078" w:rsidP="00FD1B2F">
      <w:pPr>
        <w:spacing w:line="480" w:lineRule="auto"/>
        <w:ind w:firstLine="720"/>
        <w:rPr>
          <w:lang w:val="en-CA"/>
        </w:rPr>
      </w:pPr>
    </w:p>
    <w:p w14:paraId="5256E132" w14:textId="77777777" w:rsidR="00243078" w:rsidRDefault="00243078" w:rsidP="00FD1B2F">
      <w:pPr>
        <w:spacing w:line="480" w:lineRule="auto"/>
        <w:ind w:firstLine="720"/>
        <w:rPr>
          <w:lang w:val="en-CA"/>
        </w:rPr>
      </w:pPr>
    </w:p>
    <w:p w14:paraId="6A0A1B85" w14:textId="77777777" w:rsidR="00243078" w:rsidRDefault="00243078" w:rsidP="00FD1B2F">
      <w:pPr>
        <w:spacing w:line="480" w:lineRule="auto"/>
        <w:ind w:firstLine="720"/>
        <w:rPr>
          <w:lang w:val="en-CA"/>
        </w:rPr>
      </w:pPr>
    </w:p>
    <w:p w14:paraId="20CEADC9" w14:textId="77777777" w:rsidR="00243078" w:rsidRDefault="00243078" w:rsidP="00FD1B2F">
      <w:pPr>
        <w:spacing w:line="480" w:lineRule="auto"/>
        <w:ind w:firstLine="720"/>
        <w:rPr>
          <w:lang w:val="en-CA"/>
        </w:rPr>
      </w:pPr>
    </w:p>
    <w:p w14:paraId="33EDC426" w14:textId="77777777" w:rsidR="00243078" w:rsidRDefault="00243078" w:rsidP="00FD1B2F">
      <w:pPr>
        <w:spacing w:line="480" w:lineRule="auto"/>
        <w:ind w:firstLine="720"/>
        <w:rPr>
          <w:lang w:val="en-CA"/>
        </w:rPr>
      </w:pPr>
    </w:p>
    <w:p w14:paraId="438AAE43" w14:textId="77777777" w:rsidR="00243078" w:rsidRDefault="00243078" w:rsidP="00FD1B2F">
      <w:pPr>
        <w:spacing w:line="480" w:lineRule="auto"/>
        <w:ind w:firstLine="720"/>
        <w:rPr>
          <w:lang w:val="en-CA"/>
        </w:rPr>
      </w:pPr>
    </w:p>
    <w:p w14:paraId="52DE745E" w14:textId="77777777" w:rsidR="00920556" w:rsidRDefault="00920556" w:rsidP="00FD1B2F">
      <w:pPr>
        <w:spacing w:line="480" w:lineRule="auto"/>
        <w:ind w:firstLine="720"/>
        <w:rPr>
          <w:lang w:val="en-CA"/>
        </w:rPr>
      </w:pPr>
    </w:p>
    <w:p w14:paraId="3B232AFE" w14:textId="77777777" w:rsidR="00920556" w:rsidRDefault="00920556" w:rsidP="00FD1B2F">
      <w:pPr>
        <w:spacing w:line="480" w:lineRule="auto"/>
        <w:ind w:firstLine="720"/>
        <w:rPr>
          <w:lang w:val="en-CA"/>
        </w:rPr>
      </w:pPr>
    </w:p>
    <w:p w14:paraId="58B18744" w14:textId="77777777" w:rsidR="00B872B2" w:rsidRDefault="00B872B2" w:rsidP="00FD1B2F">
      <w:pPr>
        <w:spacing w:line="480" w:lineRule="auto"/>
        <w:ind w:firstLine="720"/>
        <w:rPr>
          <w:lang w:val="en-CA"/>
        </w:rPr>
      </w:pPr>
    </w:p>
    <w:p w14:paraId="45875802" w14:textId="77777777" w:rsidR="00436393" w:rsidRDefault="00436393" w:rsidP="00FD1B2F">
      <w:pPr>
        <w:spacing w:line="480" w:lineRule="auto"/>
        <w:rPr>
          <w:lang w:val="en-CA"/>
        </w:rPr>
      </w:pPr>
    </w:p>
    <w:p w14:paraId="664EA559" w14:textId="77777777" w:rsidR="00D42C97" w:rsidRDefault="00D42C97" w:rsidP="00FD1B2F">
      <w:pPr>
        <w:spacing w:line="480" w:lineRule="auto"/>
        <w:rPr>
          <w:lang w:val="en-CA"/>
        </w:rPr>
      </w:pPr>
    </w:p>
    <w:p w14:paraId="722A4030" w14:textId="77777777" w:rsidR="00D42C97" w:rsidRDefault="00D42C97" w:rsidP="00FD1B2F">
      <w:pPr>
        <w:spacing w:line="480" w:lineRule="auto"/>
        <w:rPr>
          <w:lang w:val="en-CA"/>
        </w:rPr>
      </w:pPr>
    </w:p>
    <w:p w14:paraId="59ED711D" w14:textId="77777777" w:rsidR="00D42C97" w:rsidRDefault="00D42C97" w:rsidP="00FD1B2F">
      <w:pPr>
        <w:spacing w:line="480" w:lineRule="auto"/>
        <w:rPr>
          <w:lang w:val="en-CA"/>
        </w:rPr>
      </w:pPr>
    </w:p>
    <w:p w14:paraId="05195329" w14:textId="77777777" w:rsidR="00D42C97" w:rsidRDefault="00D42C97" w:rsidP="00FD1B2F">
      <w:pPr>
        <w:spacing w:line="480" w:lineRule="auto"/>
        <w:rPr>
          <w:lang w:val="en-CA"/>
        </w:rPr>
      </w:pPr>
    </w:p>
    <w:p w14:paraId="3797F568" w14:textId="77777777" w:rsidR="00D42C97" w:rsidRDefault="00D42C97" w:rsidP="00FD1B2F">
      <w:pPr>
        <w:spacing w:line="480" w:lineRule="auto"/>
        <w:rPr>
          <w:lang w:val="en-CA"/>
        </w:rPr>
      </w:pPr>
    </w:p>
    <w:p w14:paraId="36726038" w14:textId="77777777" w:rsidR="00667D82" w:rsidRDefault="00667D82" w:rsidP="002F1A8D">
      <w:pPr>
        <w:spacing w:line="480" w:lineRule="auto"/>
        <w:jc w:val="center"/>
        <w:rPr>
          <w:lang w:val="en-CA"/>
        </w:rPr>
      </w:pPr>
    </w:p>
    <w:p w14:paraId="5CE22766" w14:textId="77777777" w:rsidR="00667D82" w:rsidRDefault="00667D82" w:rsidP="002F1A8D">
      <w:pPr>
        <w:spacing w:line="480" w:lineRule="auto"/>
        <w:jc w:val="center"/>
        <w:rPr>
          <w:lang w:val="en-CA"/>
        </w:rPr>
      </w:pPr>
    </w:p>
    <w:p w14:paraId="6B0E52D6" w14:textId="77777777" w:rsidR="00667D82" w:rsidRDefault="00667D82" w:rsidP="002F1A8D">
      <w:pPr>
        <w:spacing w:line="480" w:lineRule="auto"/>
        <w:jc w:val="center"/>
        <w:rPr>
          <w:lang w:val="en-CA"/>
        </w:rPr>
      </w:pPr>
    </w:p>
    <w:p w14:paraId="1F8CD354" w14:textId="77777777" w:rsidR="00667D82" w:rsidRDefault="00667D82" w:rsidP="002F1A8D">
      <w:pPr>
        <w:spacing w:line="480" w:lineRule="auto"/>
        <w:jc w:val="center"/>
        <w:rPr>
          <w:lang w:val="en-CA"/>
        </w:rPr>
      </w:pPr>
    </w:p>
    <w:p w14:paraId="78941375" w14:textId="77777777" w:rsidR="00667D82" w:rsidRDefault="00667D82" w:rsidP="002F1A8D">
      <w:pPr>
        <w:spacing w:line="480" w:lineRule="auto"/>
        <w:jc w:val="center"/>
        <w:rPr>
          <w:lang w:val="en-CA"/>
        </w:rPr>
      </w:pPr>
    </w:p>
    <w:p w14:paraId="5B92296D" w14:textId="77777777" w:rsidR="002F1A8D" w:rsidRDefault="002F1A8D" w:rsidP="002F1A8D">
      <w:pPr>
        <w:spacing w:line="480" w:lineRule="auto"/>
        <w:jc w:val="center"/>
        <w:rPr>
          <w:lang w:val="en-CA"/>
        </w:rPr>
      </w:pPr>
      <w:r>
        <w:rPr>
          <w:lang w:val="en-CA"/>
        </w:rPr>
        <w:lastRenderedPageBreak/>
        <w:t>Bibliography</w:t>
      </w:r>
    </w:p>
    <w:p w14:paraId="63BB5674" w14:textId="77777777" w:rsidR="00667D82" w:rsidRDefault="00667D82" w:rsidP="002F1A8D">
      <w:pPr>
        <w:spacing w:line="480" w:lineRule="auto"/>
        <w:jc w:val="center"/>
        <w:rPr>
          <w:lang w:val="en-CA"/>
        </w:rPr>
      </w:pPr>
    </w:p>
    <w:p w14:paraId="32DADDFA" w14:textId="02340C37" w:rsidR="002F1A8D" w:rsidRPr="002F1A8D" w:rsidRDefault="002F1A8D" w:rsidP="00667D82">
      <w:pPr>
        <w:spacing w:line="480" w:lineRule="auto"/>
        <w:ind w:left="567" w:hanging="567"/>
        <w:rPr>
          <w:lang w:val="en-CA"/>
        </w:rPr>
      </w:pPr>
      <w:r>
        <w:t xml:space="preserve">Breeze Andrew, Did a Woman Write the Four Branches of the Mabinogi? in </w:t>
      </w:r>
      <w:r w:rsidRPr="00990738">
        <w:rPr>
          <w:i/>
        </w:rPr>
        <w:t>The Origin of the Four Branches.</w:t>
      </w:r>
      <w:r>
        <w:t xml:space="preserve"> By Breeze, A. (Gracewing).</w:t>
      </w:r>
      <w:r>
        <w:rPr>
          <w:lang w:val="en-CA"/>
        </w:rPr>
        <w:t xml:space="preserve"> </w:t>
      </w:r>
    </w:p>
    <w:p w14:paraId="3F4B11A4" w14:textId="18AB1912" w:rsidR="002F1A8D" w:rsidRPr="002E2F61" w:rsidRDefault="002F1A8D" w:rsidP="002F1A8D">
      <w:pPr>
        <w:pStyle w:val="FootnoteText"/>
        <w:rPr>
          <w:lang w:val="en-CA"/>
        </w:rPr>
      </w:pPr>
    </w:p>
    <w:p w14:paraId="1182A008" w14:textId="77777777" w:rsidR="002F1A8D" w:rsidRDefault="002F1A8D" w:rsidP="002F1A8D">
      <w:pPr>
        <w:pStyle w:val="FootnoteText"/>
      </w:pPr>
    </w:p>
    <w:p w14:paraId="3DF09938" w14:textId="6D97BC45" w:rsidR="002F1A8D" w:rsidRPr="00DB0A34" w:rsidRDefault="002F1A8D" w:rsidP="002F1A8D">
      <w:pPr>
        <w:pStyle w:val="FootnoteText"/>
      </w:pPr>
      <w:r w:rsidRPr="00DB0A34">
        <w:t>Gantz, Jeffrey</w:t>
      </w:r>
      <w:r>
        <w:t>.</w:t>
      </w:r>
      <w:r w:rsidRPr="00DB0A34">
        <w:t xml:space="preserve"> </w:t>
      </w:r>
      <w:r w:rsidRPr="00DB0A34">
        <w:rPr>
          <w:i/>
        </w:rPr>
        <w:t>The Mabinogion</w:t>
      </w:r>
      <w:r w:rsidRPr="00DB0A34">
        <w:t>, (En</w:t>
      </w:r>
      <w:r>
        <w:t>gland: Penguin Books, 1976).</w:t>
      </w:r>
    </w:p>
    <w:p w14:paraId="5232CE9D" w14:textId="144A0ADA" w:rsidR="002F1A8D" w:rsidRPr="00231E8F" w:rsidRDefault="002F1A8D" w:rsidP="002F1A8D">
      <w:pPr>
        <w:pStyle w:val="FootnoteText"/>
        <w:rPr>
          <w:lang w:val="en-CA"/>
        </w:rPr>
      </w:pPr>
    </w:p>
    <w:p w14:paraId="6C3774E9" w14:textId="77777777" w:rsidR="002F1A8D" w:rsidRDefault="002F1A8D" w:rsidP="002F1A8D">
      <w:pPr>
        <w:spacing w:line="480" w:lineRule="auto"/>
      </w:pPr>
    </w:p>
    <w:p w14:paraId="6A3EA956" w14:textId="0B4EBA4A" w:rsidR="002F1A8D" w:rsidRDefault="002F1A8D" w:rsidP="00667D82">
      <w:pPr>
        <w:spacing w:line="480" w:lineRule="auto"/>
        <w:ind w:left="567" w:hanging="567"/>
      </w:pPr>
      <w:r>
        <w:t>Luft</w:t>
      </w:r>
      <w:r>
        <w:t xml:space="preserve"> </w:t>
      </w:r>
      <w:r>
        <w:t>Diana, Review by Diana Luft of The Origin of the Four Branches of the Mabino</w:t>
      </w:r>
      <w:r>
        <w:t>gi, Celtic Studies, 27 (2010).</w:t>
      </w:r>
    </w:p>
    <w:p w14:paraId="268D06E8" w14:textId="77777777" w:rsidR="002F1A8D" w:rsidRDefault="002F1A8D" w:rsidP="002F1A8D">
      <w:pPr>
        <w:spacing w:line="480" w:lineRule="auto"/>
      </w:pPr>
    </w:p>
    <w:p w14:paraId="5CFB5826" w14:textId="77777777" w:rsidR="00000000" w:rsidRPr="002F1A8D" w:rsidRDefault="00261BA5" w:rsidP="002F1A8D">
      <w:pPr>
        <w:spacing w:line="480" w:lineRule="auto"/>
      </w:pPr>
      <w:r w:rsidRPr="002F1A8D">
        <w:t>Ma</w:t>
      </w:r>
      <w:r w:rsidRPr="002F1A8D">
        <w:t xml:space="preserve">c Cana, Proinsias, </w:t>
      </w:r>
      <w:r w:rsidRPr="002F1A8D">
        <w:rPr>
          <w:i/>
          <w:iCs/>
        </w:rPr>
        <w:t xml:space="preserve">The Mabinogi </w:t>
      </w:r>
      <w:r w:rsidRPr="002F1A8D">
        <w:t>(Cardiff: University of Wales Press, 19</w:t>
      </w:r>
      <w:r w:rsidRPr="002F1A8D">
        <w:t>92).</w:t>
      </w:r>
    </w:p>
    <w:p w14:paraId="274249D0" w14:textId="77777777" w:rsidR="002F1A8D" w:rsidRDefault="002F1A8D" w:rsidP="002F1A8D">
      <w:pPr>
        <w:pStyle w:val="FootnoteText"/>
      </w:pPr>
    </w:p>
    <w:p w14:paraId="21C54059" w14:textId="77777777" w:rsidR="002F1A8D" w:rsidRPr="00055F1C" w:rsidRDefault="002F1A8D" w:rsidP="002F1A8D">
      <w:pPr>
        <w:pStyle w:val="FootnoteText"/>
        <w:rPr>
          <w:lang w:val="en-CA"/>
        </w:rPr>
      </w:pPr>
      <w:r>
        <w:t xml:space="preserve">Parker, Will, </w:t>
      </w:r>
      <w:r w:rsidRPr="00055F1C">
        <w:rPr>
          <w:i/>
        </w:rPr>
        <w:t>The Four Branches of the Mabinogi</w:t>
      </w:r>
      <w:r>
        <w:rPr>
          <w:i/>
        </w:rPr>
        <w:t xml:space="preserve"> </w:t>
      </w:r>
      <w:r>
        <w:t>(USA, Bardic Press, 2005).</w:t>
      </w:r>
    </w:p>
    <w:p w14:paraId="0BAB906D" w14:textId="77777777" w:rsidR="002F1A8D" w:rsidRDefault="002F1A8D" w:rsidP="002F1A8D">
      <w:pPr>
        <w:spacing w:line="480" w:lineRule="auto"/>
      </w:pPr>
    </w:p>
    <w:p w14:paraId="76670AAA" w14:textId="1D194345" w:rsidR="00667D82" w:rsidRPr="00231E8F" w:rsidRDefault="00667D82" w:rsidP="00667D82">
      <w:pPr>
        <w:pStyle w:val="FootnoteText"/>
        <w:ind w:left="567" w:hanging="567"/>
        <w:rPr>
          <w:lang w:val="en-CA"/>
        </w:rPr>
      </w:pPr>
      <w:r>
        <w:t>Roberts</w:t>
      </w:r>
      <w:r>
        <w:t xml:space="preserve"> </w:t>
      </w:r>
      <w:r>
        <w:t>B.F., Where Were the Four Branches of the Mabinogi Written? in The Individuals in Celtic Literatures. Four Courts Press, editor Nagly , J., (Four Courts Press)</w:t>
      </w:r>
      <w:r>
        <w:t>.</w:t>
      </w:r>
    </w:p>
    <w:p w14:paraId="5DA0A1AB" w14:textId="77777777" w:rsidR="00667D82" w:rsidRDefault="00667D82" w:rsidP="00667D82">
      <w:pPr>
        <w:spacing w:line="480" w:lineRule="auto"/>
        <w:ind w:left="567" w:hanging="567"/>
      </w:pPr>
    </w:p>
    <w:p w14:paraId="4A6A18F4" w14:textId="6BA20212" w:rsidR="00667D82" w:rsidRDefault="00667D82" w:rsidP="00667D82">
      <w:pPr>
        <w:spacing w:line="480" w:lineRule="auto"/>
        <w:ind w:left="567" w:hanging="567"/>
        <w:rPr>
          <w:lang w:val="en-CA"/>
        </w:rPr>
      </w:pPr>
      <w:r>
        <w:rPr>
          <w:lang w:val="en-CA"/>
        </w:rPr>
        <w:t>Sims-Williams, P.</w:t>
      </w:r>
      <w:r>
        <w:rPr>
          <w:lang w:val="en-CA"/>
        </w:rPr>
        <w:t>,</w:t>
      </w:r>
      <w:r>
        <w:rPr>
          <w:lang w:val="en-CA"/>
        </w:rPr>
        <w:t xml:space="preserve"> The Submission of the Irish Kings in Fact and Fiction</w:t>
      </w:r>
      <w:r w:rsidRPr="000D0A35">
        <w:rPr>
          <w:i/>
          <w:lang w:val="en-CA"/>
        </w:rPr>
        <w:t>, Cambridge Medieval Celtic Stud</w:t>
      </w:r>
      <w:r>
        <w:rPr>
          <w:i/>
          <w:lang w:val="en-CA"/>
        </w:rPr>
        <w:t>i</w:t>
      </w:r>
      <w:r w:rsidRPr="000D0A35">
        <w:rPr>
          <w:i/>
          <w:lang w:val="en-CA"/>
        </w:rPr>
        <w:t>es</w:t>
      </w:r>
      <w:r>
        <w:rPr>
          <w:lang w:val="en-CA"/>
        </w:rPr>
        <w:t>, 22 (1991)</w:t>
      </w:r>
      <w:r>
        <w:rPr>
          <w:lang w:val="en-CA"/>
        </w:rPr>
        <w:t>.</w:t>
      </w:r>
    </w:p>
    <w:p w14:paraId="41365D28" w14:textId="77777777" w:rsidR="00667D82" w:rsidRPr="00667D82" w:rsidRDefault="00667D82" w:rsidP="002F1A8D">
      <w:pPr>
        <w:spacing w:line="480" w:lineRule="auto"/>
        <w:rPr>
          <w:lang w:val="en-CA"/>
        </w:rPr>
      </w:pPr>
    </w:p>
    <w:p w14:paraId="109DDF64" w14:textId="04B71971" w:rsidR="00000000" w:rsidRPr="002F1A8D" w:rsidRDefault="00261BA5" w:rsidP="00667D82">
      <w:pPr>
        <w:spacing w:line="480" w:lineRule="auto"/>
        <w:ind w:left="567" w:hanging="567"/>
      </w:pPr>
      <w:r w:rsidRPr="002F1A8D">
        <w:t xml:space="preserve">Tolstoy, Nikolai, </w:t>
      </w:r>
      <w:r w:rsidRPr="002F1A8D">
        <w:rPr>
          <w:i/>
          <w:iCs/>
        </w:rPr>
        <w:t>The Oldest British Literature: The Compilation of</w:t>
      </w:r>
      <w:r w:rsidRPr="002F1A8D">
        <w:rPr>
          <w:i/>
          <w:iCs/>
        </w:rPr>
        <w:t xml:space="preserve"> The Four Branches of The Mabinogi </w:t>
      </w:r>
      <w:r w:rsidR="002F1A8D">
        <w:t xml:space="preserve">( Great Britain: The </w:t>
      </w:r>
      <w:r w:rsidRPr="002F1A8D">
        <w:t xml:space="preserve">Edwin Mellen Press, 2009).  </w:t>
      </w:r>
    </w:p>
    <w:p w14:paraId="2BE68C72" w14:textId="77777777" w:rsidR="002F1A8D" w:rsidRDefault="002F1A8D" w:rsidP="00667D82">
      <w:pPr>
        <w:spacing w:line="480" w:lineRule="auto"/>
        <w:ind w:left="567" w:hanging="567"/>
        <w:rPr>
          <w:i/>
        </w:rPr>
      </w:pPr>
    </w:p>
    <w:p w14:paraId="13D6891D" w14:textId="2856DBA7" w:rsidR="002F1A8D" w:rsidRDefault="002F1A8D" w:rsidP="002F1A8D">
      <w:pPr>
        <w:spacing w:line="480" w:lineRule="auto"/>
        <w:rPr>
          <w:lang w:val="en-CA"/>
        </w:rPr>
      </w:pPr>
      <w:r w:rsidRPr="002E2F61">
        <w:rPr>
          <w:i/>
        </w:rPr>
        <w:t>The Secret Life of Book</w:t>
      </w:r>
      <w:r>
        <w:rPr>
          <w:i/>
        </w:rPr>
        <w:t>s.</w:t>
      </w:r>
      <w:r>
        <w:t>, John Morrice. Cerys Mathew. BBC. 23 September 2014.</w:t>
      </w:r>
    </w:p>
    <w:sectPr w:rsidR="002F1A8D" w:rsidSect="00FC5323">
      <w:pgSz w:w="12240" w:h="15840"/>
      <w:pgMar w:top="1440" w:right="1444"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C9D9D4" w14:textId="77777777" w:rsidR="00261BA5" w:rsidRDefault="00261BA5" w:rsidP="00AF0B63">
      <w:r>
        <w:separator/>
      </w:r>
    </w:p>
  </w:endnote>
  <w:endnote w:type="continuationSeparator" w:id="0">
    <w:p w14:paraId="7548AF9A" w14:textId="77777777" w:rsidR="00261BA5" w:rsidRDefault="00261BA5" w:rsidP="00AF0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D7240E" w14:textId="77777777" w:rsidR="00261BA5" w:rsidRDefault="00261BA5" w:rsidP="00AF0B63">
      <w:r>
        <w:separator/>
      </w:r>
    </w:p>
  </w:footnote>
  <w:footnote w:type="continuationSeparator" w:id="0">
    <w:p w14:paraId="773A6191" w14:textId="77777777" w:rsidR="00261BA5" w:rsidRDefault="00261BA5" w:rsidP="00AF0B63">
      <w:r>
        <w:continuationSeparator/>
      </w:r>
    </w:p>
  </w:footnote>
  <w:footnote w:id="1">
    <w:p w14:paraId="1F1926A8" w14:textId="7566E903" w:rsidR="00231E8F" w:rsidRPr="00055F1C" w:rsidRDefault="00231E8F">
      <w:pPr>
        <w:pStyle w:val="FootnoteText"/>
        <w:rPr>
          <w:lang w:val="en-CA"/>
        </w:rPr>
      </w:pPr>
      <w:r>
        <w:rPr>
          <w:rStyle w:val="FootnoteReference"/>
        </w:rPr>
        <w:footnoteRef/>
      </w:r>
      <w:r>
        <w:t xml:space="preserve"> </w:t>
      </w:r>
      <w:r w:rsidR="00055F1C">
        <w:t xml:space="preserve">Will Parker, </w:t>
      </w:r>
      <w:r w:rsidR="00055F1C" w:rsidRPr="00055F1C">
        <w:rPr>
          <w:i/>
        </w:rPr>
        <w:t>The Four Branches of the Mabinogi</w:t>
      </w:r>
      <w:r w:rsidR="00055F1C">
        <w:rPr>
          <w:i/>
        </w:rPr>
        <w:t xml:space="preserve"> </w:t>
      </w:r>
      <w:r w:rsidR="00055F1C">
        <w:t>(USA, Bardic Press, 2005) p. 6.</w:t>
      </w:r>
    </w:p>
  </w:footnote>
  <w:footnote w:id="2">
    <w:p w14:paraId="2A388376" w14:textId="306BB95F" w:rsidR="00AF0B63" w:rsidRPr="002E2F61" w:rsidRDefault="00AF0B63">
      <w:pPr>
        <w:pStyle w:val="FootnoteText"/>
        <w:rPr>
          <w:lang w:val="en-CA"/>
        </w:rPr>
      </w:pPr>
      <w:r>
        <w:rPr>
          <w:rStyle w:val="FootnoteReference"/>
        </w:rPr>
        <w:footnoteRef/>
      </w:r>
      <w:r>
        <w:t xml:space="preserve"> </w:t>
      </w:r>
      <w:r w:rsidR="002E2F61" w:rsidRPr="002E2F61">
        <w:rPr>
          <w:i/>
        </w:rPr>
        <w:t>The Secret Life of Book</w:t>
      </w:r>
      <w:r w:rsidR="000D0A35">
        <w:rPr>
          <w:i/>
        </w:rPr>
        <w:t>s</w:t>
      </w:r>
      <w:r w:rsidR="00C64141">
        <w:rPr>
          <w:i/>
        </w:rPr>
        <w:t>.</w:t>
      </w:r>
      <w:r w:rsidR="002E2F61">
        <w:t>,</w:t>
      </w:r>
      <w:r w:rsidR="00B108A6">
        <w:t xml:space="preserve"> John Morrice</w:t>
      </w:r>
      <w:r w:rsidR="00C64141">
        <w:t>. Cerys Mathew.</w:t>
      </w:r>
      <w:r w:rsidR="0039255F">
        <w:t xml:space="preserve"> </w:t>
      </w:r>
      <w:r w:rsidR="00C64141">
        <w:t>BBC. 23 September 2014.</w:t>
      </w:r>
    </w:p>
  </w:footnote>
  <w:footnote w:id="3">
    <w:p w14:paraId="1C3C685C" w14:textId="191F773D" w:rsidR="00055F1C" w:rsidRPr="00DB0A34" w:rsidRDefault="00055F1C" w:rsidP="00DB0A34">
      <w:pPr>
        <w:pStyle w:val="FootnoteText"/>
      </w:pPr>
      <w:r>
        <w:rPr>
          <w:rStyle w:val="FootnoteReference"/>
        </w:rPr>
        <w:footnoteRef/>
      </w:r>
      <w:r>
        <w:t xml:space="preserve"> </w:t>
      </w:r>
      <w:r w:rsidR="00261BA5" w:rsidRPr="00DB0A34">
        <w:t xml:space="preserve">Jeffrey Gantz, </w:t>
      </w:r>
      <w:r w:rsidR="00261BA5" w:rsidRPr="00DB0A34">
        <w:rPr>
          <w:i/>
        </w:rPr>
        <w:t>The Mabinogion</w:t>
      </w:r>
      <w:r w:rsidR="00261BA5" w:rsidRPr="00DB0A34">
        <w:t>, (En</w:t>
      </w:r>
      <w:r w:rsidR="00DB0A34">
        <w:t>gland: Penguin Books, 1976) p.21</w:t>
      </w:r>
      <w:r w:rsidR="00261BA5" w:rsidRPr="00DB0A34">
        <w:t>.</w:t>
      </w:r>
    </w:p>
  </w:footnote>
  <w:footnote w:id="4">
    <w:p w14:paraId="56307370" w14:textId="6DF5443A" w:rsidR="00231E8F" w:rsidRPr="00231E8F" w:rsidRDefault="00231E8F">
      <w:pPr>
        <w:pStyle w:val="FootnoteText"/>
        <w:rPr>
          <w:lang w:val="en-CA"/>
        </w:rPr>
      </w:pPr>
      <w:r>
        <w:rPr>
          <w:rStyle w:val="FootnoteReference"/>
        </w:rPr>
        <w:footnoteRef/>
      </w:r>
      <w:r>
        <w:t xml:space="preserve"> </w:t>
      </w:r>
      <w:r w:rsidR="00DB0A34">
        <w:t>Ibid.</w:t>
      </w:r>
    </w:p>
  </w:footnote>
  <w:footnote w:id="5">
    <w:p w14:paraId="0243799A" w14:textId="67BD6870" w:rsidR="00231E8F" w:rsidRPr="00990738" w:rsidRDefault="00231E8F">
      <w:pPr>
        <w:pStyle w:val="FootnoteText"/>
        <w:rPr>
          <w:lang w:val="en-CA"/>
        </w:rPr>
      </w:pPr>
      <w:r>
        <w:rPr>
          <w:rStyle w:val="FootnoteReference"/>
        </w:rPr>
        <w:footnoteRef/>
      </w:r>
      <w:r>
        <w:t xml:space="preserve"> </w:t>
      </w:r>
      <w:r w:rsidR="00DB0A34">
        <w:t>Andrew Breeze, Did a Woman Write the Four Branches of the Mabinogi?</w:t>
      </w:r>
      <w:r w:rsidR="00990738">
        <w:t xml:space="preserve"> in</w:t>
      </w:r>
      <w:r w:rsidR="009C4338">
        <w:t xml:space="preserve"> </w:t>
      </w:r>
      <w:r w:rsidR="009C4338" w:rsidRPr="00990738">
        <w:rPr>
          <w:i/>
        </w:rPr>
        <w:t>The Origin of the Four Branches.</w:t>
      </w:r>
      <w:r w:rsidR="00990738">
        <w:t xml:space="preserve"> By Breeze, A. (Gracewing). P.1. </w:t>
      </w:r>
    </w:p>
  </w:footnote>
  <w:footnote w:id="6">
    <w:p w14:paraId="6D385B17" w14:textId="0BA42ABB" w:rsidR="00231E8F" w:rsidRPr="00990738" w:rsidRDefault="00231E8F">
      <w:pPr>
        <w:pStyle w:val="FootnoteText"/>
        <w:rPr>
          <w:lang w:val="en-CA"/>
        </w:rPr>
      </w:pPr>
      <w:r w:rsidRPr="00990738">
        <w:rPr>
          <w:rStyle w:val="FootnoteReference"/>
          <w:i/>
        </w:rPr>
        <w:footnoteRef/>
      </w:r>
      <w:r w:rsidRPr="00990738">
        <w:rPr>
          <w:i/>
        </w:rPr>
        <w:t xml:space="preserve"> </w:t>
      </w:r>
      <w:r w:rsidR="00990738">
        <w:t xml:space="preserve">Diana Luft, </w:t>
      </w:r>
      <w:r w:rsidR="0099336A">
        <w:t>Review by Diana Luft of The Origin of the Four Branches of the Mabinogi, Celtic Studies, 27 (2010) p. 9.</w:t>
      </w:r>
    </w:p>
  </w:footnote>
  <w:footnote w:id="7">
    <w:p w14:paraId="2AEE4820" w14:textId="20B31B9A" w:rsidR="00231E8F" w:rsidRPr="00231E8F" w:rsidRDefault="00231E8F">
      <w:pPr>
        <w:pStyle w:val="FootnoteText"/>
        <w:rPr>
          <w:lang w:val="en-CA"/>
        </w:rPr>
      </w:pPr>
      <w:r>
        <w:rPr>
          <w:rStyle w:val="FootnoteReference"/>
        </w:rPr>
        <w:footnoteRef/>
      </w:r>
      <w:r w:rsidR="0099336A">
        <w:t xml:space="preserve">Will Parker, </w:t>
      </w:r>
      <w:r w:rsidR="0099336A" w:rsidRPr="00055F1C">
        <w:rPr>
          <w:i/>
        </w:rPr>
        <w:t>The Four Branches of the Mabinogi</w:t>
      </w:r>
      <w:r w:rsidR="0099336A">
        <w:rPr>
          <w:i/>
        </w:rPr>
        <w:t xml:space="preserve"> </w:t>
      </w:r>
      <w:r w:rsidR="0099336A">
        <w:t>(</w:t>
      </w:r>
      <w:r w:rsidR="0099336A">
        <w:t>USA, Bardic Press, 2005) p. 141</w:t>
      </w:r>
      <w:r w:rsidR="0099336A">
        <w:t>.</w:t>
      </w:r>
      <w:r>
        <w:t xml:space="preserve"> </w:t>
      </w:r>
    </w:p>
  </w:footnote>
  <w:footnote w:id="8">
    <w:p w14:paraId="4A4D2437" w14:textId="44B76D8D" w:rsidR="00231E8F" w:rsidRPr="00231E8F" w:rsidRDefault="00231E8F">
      <w:pPr>
        <w:pStyle w:val="FootnoteText"/>
        <w:rPr>
          <w:lang w:val="en-CA"/>
        </w:rPr>
      </w:pPr>
      <w:r>
        <w:rPr>
          <w:rStyle w:val="FootnoteReference"/>
        </w:rPr>
        <w:footnoteRef/>
      </w:r>
      <w:r>
        <w:t xml:space="preserve"> </w:t>
      </w:r>
      <w:r w:rsidR="00AC7A8F" w:rsidRPr="00AC7A8F">
        <w:t xml:space="preserve">Nikolai Tolstoy, </w:t>
      </w:r>
      <w:r w:rsidR="00AC7A8F" w:rsidRPr="00AC7A8F">
        <w:rPr>
          <w:i/>
          <w:iCs/>
        </w:rPr>
        <w:t xml:space="preserve">The Oldest British Prose Literature </w:t>
      </w:r>
      <w:r w:rsidR="00AC7A8F" w:rsidRPr="00AC7A8F">
        <w:t>(The Edwin Mellan Press Lt</w:t>
      </w:r>
      <w:r w:rsidR="00DC1510">
        <w:t>d., United Kingdom, 2009.)p.3.</w:t>
      </w:r>
    </w:p>
  </w:footnote>
  <w:footnote w:id="9">
    <w:p w14:paraId="167CF637" w14:textId="3FEBC6CD" w:rsidR="0099336A" w:rsidRPr="0099336A" w:rsidRDefault="0099336A">
      <w:pPr>
        <w:pStyle w:val="FootnoteText"/>
        <w:rPr>
          <w:lang w:val="en-CA"/>
        </w:rPr>
      </w:pPr>
      <w:r>
        <w:rPr>
          <w:rStyle w:val="FootnoteReference"/>
        </w:rPr>
        <w:footnoteRef/>
      </w:r>
      <w:r>
        <w:t xml:space="preserve"> </w:t>
      </w:r>
      <w:r w:rsidRPr="0099336A">
        <w:t>Proinsias Mac Cana</w:t>
      </w:r>
      <w:r w:rsidRPr="0099336A">
        <w:rPr>
          <w:i/>
          <w:iCs/>
        </w:rPr>
        <w:t xml:space="preserve">, Branwen Daughter of Lyr </w:t>
      </w:r>
      <w:r w:rsidRPr="0099336A">
        <w:t>(Cardiff Universi</w:t>
      </w:r>
      <w:r w:rsidR="002F1A8D">
        <w:t>ty of Wales, Cardiff 1958) p.3.</w:t>
      </w:r>
    </w:p>
  </w:footnote>
  <w:footnote w:id="10">
    <w:p w14:paraId="2AD981E7" w14:textId="7199ABFA" w:rsidR="00231E8F" w:rsidRPr="00231E8F" w:rsidRDefault="00231E8F">
      <w:pPr>
        <w:pStyle w:val="FootnoteText"/>
        <w:rPr>
          <w:lang w:val="en-CA"/>
        </w:rPr>
      </w:pPr>
      <w:r>
        <w:rPr>
          <w:rStyle w:val="FootnoteReference"/>
        </w:rPr>
        <w:footnoteRef/>
      </w:r>
      <w:r>
        <w:t xml:space="preserve"> </w:t>
      </w:r>
      <w:r w:rsidR="00AC7A8F">
        <w:t xml:space="preserve">Will Parker, </w:t>
      </w:r>
      <w:r w:rsidR="00AC7A8F" w:rsidRPr="00055F1C">
        <w:rPr>
          <w:i/>
        </w:rPr>
        <w:t>The Four Branches of the Mabinogi</w:t>
      </w:r>
      <w:r w:rsidR="00AC7A8F">
        <w:rPr>
          <w:i/>
        </w:rPr>
        <w:t xml:space="preserve"> </w:t>
      </w:r>
      <w:r w:rsidR="00AC7A8F">
        <w:t>(</w:t>
      </w:r>
      <w:r w:rsidR="00AC7A8F">
        <w:t>USA, Bardic Press, 2005) p. 5</w:t>
      </w:r>
      <w:r w:rsidR="00AC7A8F">
        <w:t>.</w:t>
      </w:r>
    </w:p>
  </w:footnote>
  <w:footnote w:id="11">
    <w:p w14:paraId="229698AA" w14:textId="4C39DA5C" w:rsidR="00231E8F" w:rsidRPr="00231E8F" w:rsidRDefault="00231E8F">
      <w:pPr>
        <w:pStyle w:val="FootnoteText"/>
        <w:rPr>
          <w:lang w:val="en-CA"/>
        </w:rPr>
      </w:pPr>
      <w:r>
        <w:rPr>
          <w:rStyle w:val="FootnoteReference"/>
        </w:rPr>
        <w:footnoteRef/>
      </w:r>
      <w:r>
        <w:t xml:space="preserve"> </w:t>
      </w:r>
      <w:r w:rsidR="00AC7A8F">
        <w:t>Ibid.,6.</w:t>
      </w:r>
    </w:p>
  </w:footnote>
  <w:footnote w:id="12">
    <w:p w14:paraId="7D4AF2FC" w14:textId="1CD01D81" w:rsidR="00231E8F" w:rsidRPr="00231E8F" w:rsidRDefault="00231E8F">
      <w:pPr>
        <w:pStyle w:val="FootnoteText"/>
        <w:rPr>
          <w:lang w:val="en-CA"/>
        </w:rPr>
      </w:pPr>
      <w:r>
        <w:rPr>
          <w:rStyle w:val="FootnoteReference"/>
        </w:rPr>
        <w:footnoteRef/>
      </w:r>
      <w:r>
        <w:t xml:space="preserve"> </w:t>
      </w:r>
      <w:r w:rsidR="00AC7A8F">
        <w:t>Ibid.,5.</w:t>
      </w:r>
    </w:p>
  </w:footnote>
  <w:footnote w:id="13">
    <w:p w14:paraId="13375B47" w14:textId="66372047" w:rsidR="00231E8F" w:rsidRPr="00231E8F" w:rsidRDefault="00231E8F">
      <w:pPr>
        <w:pStyle w:val="FootnoteText"/>
        <w:rPr>
          <w:lang w:val="en-CA"/>
        </w:rPr>
      </w:pPr>
      <w:r>
        <w:rPr>
          <w:rStyle w:val="FootnoteReference"/>
        </w:rPr>
        <w:footnoteRef/>
      </w:r>
      <w:r>
        <w:t xml:space="preserve"> </w:t>
      </w:r>
      <w:r w:rsidR="002F6789">
        <w:t>B.F. Roberts, Where Were the Four Branches of the Mabinogi Written?</w:t>
      </w:r>
      <w:r w:rsidR="00360D77">
        <w:t xml:space="preserve"> </w:t>
      </w:r>
      <w:r w:rsidR="00DA560E">
        <w:t>i</w:t>
      </w:r>
      <w:r w:rsidR="00360D77">
        <w:t>n The Individuals</w:t>
      </w:r>
      <w:r w:rsidR="00D57F3C">
        <w:t xml:space="preserve"> in Celtic Literatures</w:t>
      </w:r>
      <w:r w:rsidR="00DC1510">
        <w:t>. Four Courts Press, editor Nagly , J., (Four Courts Press) p.61.</w:t>
      </w:r>
    </w:p>
  </w:footnote>
  <w:footnote w:id="14">
    <w:p w14:paraId="260E2BDA" w14:textId="635BAA36" w:rsidR="00231E8F" w:rsidRPr="00231E8F" w:rsidRDefault="00231E8F">
      <w:pPr>
        <w:pStyle w:val="FootnoteText"/>
        <w:rPr>
          <w:lang w:val="en-CA"/>
        </w:rPr>
      </w:pPr>
      <w:r>
        <w:rPr>
          <w:rStyle w:val="FootnoteReference"/>
        </w:rPr>
        <w:footnoteRef/>
      </w:r>
      <w:r>
        <w:t xml:space="preserve"> </w:t>
      </w:r>
      <w:r w:rsidR="00DC1510">
        <w:t xml:space="preserve">Will Parker, </w:t>
      </w:r>
      <w:r w:rsidR="00DC1510" w:rsidRPr="00055F1C">
        <w:rPr>
          <w:i/>
        </w:rPr>
        <w:t>The Four Branches of the Mabinogi</w:t>
      </w:r>
      <w:r w:rsidR="00DC1510">
        <w:rPr>
          <w:i/>
        </w:rPr>
        <w:t xml:space="preserve"> </w:t>
      </w:r>
      <w:r w:rsidR="00DC1510">
        <w:t>(</w:t>
      </w:r>
      <w:r w:rsidR="00DC1510">
        <w:t>USA, Bardic Press, 2005) p. 1</w:t>
      </w:r>
      <w:r w:rsidR="00DC1510">
        <w:t>1.</w:t>
      </w:r>
    </w:p>
  </w:footnote>
  <w:footnote w:id="15">
    <w:p w14:paraId="6FB3E2F8" w14:textId="0C52FD65" w:rsidR="00231E8F" w:rsidRPr="00231E8F" w:rsidRDefault="00231E8F">
      <w:pPr>
        <w:pStyle w:val="FootnoteText"/>
        <w:rPr>
          <w:lang w:val="en-CA"/>
        </w:rPr>
      </w:pPr>
      <w:r>
        <w:rPr>
          <w:rStyle w:val="FootnoteReference"/>
        </w:rPr>
        <w:footnoteRef/>
      </w:r>
      <w:r>
        <w:t xml:space="preserve"> </w:t>
      </w:r>
      <w:r w:rsidR="00DC1510">
        <w:t>Ibid.</w:t>
      </w:r>
    </w:p>
  </w:footnote>
  <w:footnote w:id="16">
    <w:p w14:paraId="5E74F36C" w14:textId="6580BAC9" w:rsidR="00231E8F" w:rsidRPr="00231E8F" w:rsidRDefault="00231E8F">
      <w:pPr>
        <w:pStyle w:val="FootnoteText"/>
        <w:rPr>
          <w:lang w:val="en-CA"/>
        </w:rPr>
      </w:pPr>
      <w:r>
        <w:rPr>
          <w:rStyle w:val="FootnoteReference"/>
        </w:rPr>
        <w:footnoteRef/>
      </w:r>
      <w:r>
        <w:t xml:space="preserve"> </w:t>
      </w:r>
      <w:r w:rsidR="00DC1510">
        <w:t>Ibid., 12.</w:t>
      </w:r>
    </w:p>
  </w:footnote>
  <w:footnote w:id="17">
    <w:p w14:paraId="2E788618" w14:textId="3EB44407" w:rsidR="00231E8F" w:rsidRPr="00231E8F" w:rsidRDefault="00231E8F">
      <w:pPr>
        <w:pStyle w:val="FootnoteText"/>
        <w:rPr>
          <w:lang w:val="en-CA"/>
        </w:rPr>
      </w:pPr>
      <w:r>
        <w:rPr>
          <w:rStyle w:val="FootnoteReference"/>
        </w:rPr>
        <w:footnoteRef/>
      </w:r>
      <w:r>
        <w:t xml:space="preserve"> </w:t>
      </w:r>
      <w:r w:rsidR="00DC1510" w:rsidRPr="00AC7A8F">
        <w:t xml:space="preserve">Nikolai Tolstoy, </w:t>
      </w:r>
      <w:r w:rsidR="00DC1510" w:rsidRPr="00AC7A8F">
        <w:rPr>
          <w:i/>
          <w:iCs/>
        </w:rPr>
        <w:t xml:space="preserve">The Oldest British Prose Literature </w:t>
      </w:r>
      <w:r w:rsidR="00DC1510" w:rsidRPr="00AC7A8F">
        <w:t>(The Edwin Mellan Press Lt</w:t>
      </w:r>
      <w:r w:rsidR="00DC1510">
        <w:t>d., United Kingdom, 2009.)p.4.</w:t>
      </w:r>
    </w:p>
  </w:footnote>
  <w:footnote w:id="18">
    <w:p w14:paraId="6D002DD2" w14:textId="1F644733" w:rsidR="00231E8F" w:rsidRPr="00231E8F" w:rsidRDefault="00231E8F">
      <w:pPr>
        <w:pStyle w:val="FootnoteText"/>
        <w:rPr>
          <w:lang w:val="en-CA"/>
        </w:rPr>
      </w:pPr>
      <w:r>
        <w:rPr>
          <w:rStyle w:val="FootnoteReference"/>
        </w:rPr>
        <w:footnoteRef/>
      </w:r>
      <w:r>
        <w:t xml:space="preserve"> </w:t>
      </w:r>
      <w:r w:rsidR="00DC1510">
        <w:t xml:space="preserve">Will Parker, </w:t>
      </w:r>
      <w:r w:rsidR="00DC1510" w:rsidRPr="00055F1C">
        <w:rPr>
          <w:i/>
        </w:rPr>
        <w:t>The Four Branches of the Mabinogi</w:t>
      </w:r>
      <w:r w:rsidR="00DC1510">
        <w:rPr>
          <w:i/>
        </w:rPr>
        <w:t xml:space="preserve"> </w:t>
      </w:r>
      <w:r w:rsidR="00DC1510">
        <w:t>(</w:t>
      </w:r>
      <w:r w:rsidR="00DC1510">
        <w:t>USA, Bardic Press, 2005) p. 61</w:t>
      </w:r>
      <w:r w:rsidR="00DC1510">
        <w:t>.</w:t>
      </w:r>
    </w:p>
  </w:footnote>
  <w:footnote w:id="19">
    <w:p w14:paraId="06EA8498" w14:textId="69D25C15" w:rsidR="00231E8F" w:rsidRPr="00231E8F" w:rsidRDefault="00231E8F">
      <w:pPr>
        <w:pStyle w:val="FootnoteText"/>
        <w:rPr>
          <w:lang w:val="en-CA"/>
        </w:rPr>
      </w:pPr>
      <w:r>
        <w:rPr>
          <w:rStyle w:val="FootnoteReference"/>
        </w:rPr>
        <w:footnoteRef/>
      </w:r>
      <w:r>
        <w:t xml:space="preserve"> </w:t>
      </w:r>
      <w:r w:rsidR="00DC1510">
        <w:t>Ibid.,604.</w:t>
      </w:r>
    </w:p>
  </w:footnote>
  <w:footnote w:id="20">
    <w:p w14:paraId="7EBDEDA3" w14:textId="0236DE74" w:rsidR="00DC1510" w:rsidRPr="00DC1510" w:rsidRDefault="00DC1510">
      <w:pPr>
        <w:pStyle w:val="FootnoteText"/>
        <w:rPr>
          <w:lang w:val="en-CA"/>
        </w:rPr>
      </w:pPr>
      <w:r>
        <w:rPr>
          <w:rStyle w:val="FootnoteReference"/>
        </w:rPr>
        <w:footnoteRef/>
      </w:r>
      <w:r>
        <w:t xml:space="preserve"> </w:t>
      </w:r>
      <w:r>
        <w:rPr>
          <w:lang w:val="en-CA"/>
        </w:rPr>
        <w:t>Ibid.</w:t>
      </w:r>
    </w:p>
  </w:footnote>
  <w:footnote w:id="21">
    <w:p w14:paraId="74E1E985" w14:textId="41502980" w:rsidR="00DC1510" w:rsidRPr="00DC1510" w:rsidRDefault="00DC1510">
      <w:pPr>
        <w:pStyle w:val="FootnoteText"/>
        <w:rPr>
          <w:lang w:val="en-CA"/>
        </w:rPr>
      </w:pPr>
      <w:r>
        <w:rPr>
          <w:rStyle w:val="FootnoteReference"/>
        </w:rPr>
        <w:footnoteRef/>
      </w:r>
      <w:r>
        <w:t xml:space="preserve"> </w:t>
      </w:r>
      <w:r w:rsidRPr="00AC7A8F">
        <w:t xml:space="preserve">Nikolai Tolstoy, </w:t>
      </w:r>
      <w:r w:rsidRPr="00AC7A8F">
        <w:rPr>
          <w:i/>
          <w:iCs/>
        </w:rPr>
        <w:t xml:space="preserve">The Oldest British Prose Literature </w:t>
      </w:r>
      <w:r w:rsidRPr="00AC7A8F">
        <w:t>(The Edwin Mellan Press Lt</w:t>
      </w:r>
      <w:r>
        <w:t>d., United Kingdom, 2009.)p.3</w:t>
      </w:r>
      <w:r>
        <w:t>.</w:t>
      </w:r>
    </w:p>
  </w:footnote>
  <w:footnote w:id="22">
    <w:p w14:paraId="1333D2EA" w14:textId="6F2468E0" w:rsidR="00DC1510" w:rsidRPr="00DC1510" w:rsidRDefault="00DC1510">
      <w:pPr>
        <w:pStyle w:val="FootnoteText"/>
        <w:rPr>
          <w:lang w:val="en-CA"/>
        </w:rPr>
      </w:pPr>
      <w:r>
        <w:rPr>
          <w:rStyle w:val="FootnoteReference"/>
        </w:rPr>
        <w:footnoteRef/>
      </w:r>
      <w:r>
        <w:t xml:space="preserve"> </w:t>
      </w:r>
      <w:r>
        <w:rPr>
          <w:lang w:val="en-CA"/>
        </w:rPr>
        <w:t>Ibid.</w:t>
      </w:r>
    </w:p>
  </w:footnote>
  <w:footnote w:id="23">
    <w:p w14:paraId="1F08AA80" w14:textId="51830DCB" w:rsidR="00DC1510" w:rsidRPr="00DC1510" w:rsidRDefault="00DC1510">
      <w:pPr>
        <w:pStyle w:val="FootnoteText"/>
        <w:rPr>
          <w:lang w:val="en-CA"/>
        </w:rPr>
      </w:pPr>
      <w:r>
        <w:rPr>
          <w:rStyle w:val="FootnoteReference"/>
        </w:rPr>
        <w:footnoteRef/>
      </w:r>
      <w:r>
        <w:t xml:space="preserve"> </w:t>
      </w:r>
      <w:r>
        <w:t xml:space="preserve">Will Parker, </w:t>
      </w:r>
      <w:r w:rsidRPr="00055F1C">
        <w:rPr>
          <w:i/>
        </w:rPr>
        <w:t>The Four Branches of the Mabinogi</w:t>
      </w:r>
      <w:r>
        <w:rPr>
          <w:i/>
        </w:rPr>
        <w:t xml:space="preserve"> </w:t>
      </w:r>
      <w:r>
        <w:t>(USA, Bardi</w:t>
      </w:r>
      <w:r>
        <w:t>c Press, 2005) p. 71</w:t>
      </w:r>
      <w:r>
        <w:t>.</w:t>
      </w:r>
    </w:p>
  </w:footnote>
  <w:footnote w:id="24">
    <w:p w14:paraId="0EC55AD1" w14:textId="06B29AF3" w:rsidR="00DC1510" w:rsidRPr="00DC1510" w:rsidRDefault="00DC1510">
      <w:pPr>
        <w:pStyle w:val="FootnoteText"/>
        <w:rPr>
          <w:lang w:val="en-CA"/>
        </w:rPr>
      </w:pPr>
      <w:r>
        <w:rPr>
          <w:rStyle w:val="FootnoteReference"/>
        </w:rPr>
        <w:footnoteRef/>
      </w:r>
      <w:r>
        <w:t xml:space="preserve"> </w:t>
      </w:r>
      <w:r w:rsidRPr="00AC7A8F">
        <w:t xml:space="preserve">Nikolai Tolstoy, </w:t>
      </w:r>
      <w:r w:rsidRPr="00AC7A8F">
        <w:rPr>
          <w:i/>
          <w:iCs/>
        </w:rPr>
        <w:t xml:space="preserve">The Oldest British Prose Literature </w:t>
      </w:r>
      <w:r w:rsidRPr="00AC7A8F">
        <w:t>(The Edwin Mellan Press Lt</w:t>
      </w:r>
      <w:r>
        <w:t>d., United Kingdom, 2009.)p.3.</w:t>
      </w:r>
    </w:p>
  </w:footnote>
  <w:footnote w:id="25">
    <w:p w14:paraId="3CBFAFDC" w14:textId="03918764" w:rsidR="00DC1510" w:rsidRPr="00DC1510" w:rsidRDefault="00DC1510">
      <w:pPr>
        <w:pStyle w:val="FootnoteText"/>
        <w:rPr>
          <w:lang w:val="en-CA"/>
        </w:rPr>
      </w:pPr>
      <w:r>
        <w:rPr>
          <w:rStyle w:val="FootnoteReference"/>
        </w:rPr>
        <w:footnoteRef/>
      </w:r>
      <w:r>
        <w:t xml:space="preserve"> </w:t>
      </w:r>
      <w:r>
        <w:rPr>
          <w:lang w:val="en-CA"/>
        </w:rPr>
        <w:t>Ibid.</w:t>
      </w:r>
    </w:p>
  </w:footnote>
  <w:footnote w:id="26">
    <w:p w14:paraId="042884C8" w14:textId="5F84041A" w:rsidR="00DC1510" w:rsidRPr="0079151F" w:rsidRDefault="00DC1510">
      <w:pPr>
        <w:pStyle w:val="FootnoteText"/>
      </w:pPr>
      <w:r>
        <w:rPr>
          <w:rStyle w:val="FootnoteReference"/>
        </w:rPr>
        <w:footnoteRef/>
      </w:r>
      <w:r>
        <w:t xml:space="preserve"> </w:t>
      </w:r>
      <w:r w:rsidR="0079151F" w:rsidRPr="0079151F">
        <w:t xml:space="preserve">Proinsias, </w:t>
      </w:r>
      <w:r w:rsidR="00261BA5" w:rsidRPr="0079151F">
        <w:t xml:space="preserve">Mac Cana, </w:t>
      </w:r>
      <w:r w:rsidR="00261BA5" w:rsidRPr="0079151F">
        <w:rPr>
          <w:i/>
          <w:iCs/>
        </w:rPr>
        <w:t xml:space="preserve">The Mabinogi </w:t>
      </w:r>
      <w:r w:rsidR="00261BA5" w:rsidRPr="0079151F">
        <w:t>(Cardiff: University of Wales Press, 1992).</w:t>
      </w:r>
      <w:r w:rsidR="0079151F">
        <w:t xml:space="preserve">p11. </w:t>
      </w:r>
    </w:p>
  </w:footnote>
  <w:footnote w:id="27">
    <w:p w14:paraId="1B1820FC" w14:textId="60E22A77" w:rsidR="0079151F" w:rsidRPr="0079151F" w:rsidRDefault="0079151F">
      <w:pPr>
        <w:pStyle w:val="FootnoteText"/>
        <w:rPr>
          <w:lang w:val="en-CA"/>
        </w:rPr>
      </w:pPr>
      <w:r>
        <w:rPr>
          <w:rStyle w:val="FootnoteReference"/>
        </w:rPr>
        <w:footnoteRef/>
      </w:r>
      <w:r>
        <w:t xml:space="preserve"> </w:t>
      </w:r>
      <w:r>
        <w:rPr>
          <w:lang w:val="en-CA"/>
        </w:rPr>
        <w:t>Ibid.</w:t>
      </w:r>
    </w:p>
  </w:footnote>
  <w:footnote w:id="28">
    <w:p w14:paraId="4BB5146D" w14:textId="3083E10F" w:rsidR="0079151F" w:rsidRPr="0079151F" w:rsidRDefault="0079151F">
      <w:pPr>
        <w:pStyle w:val="FootnoteText"/>
        <w:rPr>
          <w:lang w:val="en-CA"/>
        </w:rPr>
      </w:pPr>
      <w:r>
        <w:rPr>
          <w:rStyle w:val="FootnoteReference"/>
        </w:rPr>
        <w:footnoteRef/>
      </w:r>
      <w:r>
        <w:t xml:space="preserve"> </w:t>
      </w:r>
      <w:r>
        <w:rPr>
          <w:lang w:val="en-CA"/>
        </w:rPr>
        <w:t>Ibid.</w:t>
      </w:r>
    </w:p>
  </w:footnote>
  <w:footnote w:id="29">
    <w:p w14:paraId="19B5613A" w14:textId="5E5C55E7" w:rsidR="0079151F" w:rsidRPr="0079151F" w:rsidRDefault="0079151F">
      <w:pPr>
        <w:pStyle w:val="FootnoteText"/>
        <w:rPr>
          <w:lang w:val="en-CA"/>
        </w:rPr>
      </w:pPr>
      <w:r>
        <w:rPr>
          <w:rStyle w:val="FootnoteReference"/>
        </w:rPr>
        <w:footnoteRef/>
      </w:r>
      <w:r>
        <w:t xml:space="preserve"> </w:t>
      </w:r>
      <w:r>
        <w:rPr>
          <w:lang w:val="en-CA"/>
        </w:rPr>
        <w:t>Ibid., 15.</w:t>
      </w:r>
    </w:p>
  </w:footnote>
  <w:footnote w:id="30">
    <w:p w14:paraId="2FA61FCD" w14:textId="29CB93FB" w:rsidR="0079151F" w:rsidRPr="0079151F" w:rsidRDefault="0079151F">
      <w:pPr>
        <w:pStyle w:val="FootnoteText"/>
        <w:rPr>
          <w:lang w:val="en-CA"/>
        </w:rPr>
      </w:pPr>
      <w:r>
        <w:rPr>
          <w:rStyle w:val="FootnoteReference"/>
        </w:rPr>
        <w:footnoteRef/>
      </w:r>
      <w:r>
        <w:t xml:space="preserve"> </w:t>
      </w:r>
      <w:r>
        <w:t xml:space="preserve">Will Parker, </w:t>
      </w:r>
      <w:r w:rsidRPr="00055F1C">
        <w:rPr>
          <w:i/>
        </w:rPr>
        <w:t>The Four Branches of the Mabinogi</w:t>
      </w:r>
      <w:r>
        <w:rPr>
          <w:i/>
        </w:rPr>
        <w:t xml:space="preserve"> </w:t>
      </w:r>
      <w:r>
        <w:t>(USA, Bardic Press, 2005) p. 71.</w:t>
      </w:r>
    </w:p>
  </w:footnote>
  <w:footnote w:id="31">
    <w:p w14:paraId="26149D00" w14:textId="04C31310" w:rsidR="0079151F" w:rsidRPr="0079151F" w:rsidRDefault="0079151F">
      <w:pPr>
        <w:pStyle w:val="FootnoteText"/>
        <w:rPr>
          <w:lang w:val="en-CA"/>
        </w:rPr>
      </w:pPr>
      <w:r>
        <w:rPr>
          <w:rStyle w:val="FootnoteReference"/>
        </w:rPr>
        <w:footnoteRef/>
      </w:r>
      <w:r>
        <w:t xml:space="preserve"> </w:t>
      </w:r>
      <w:r>
        <w:rPr>
          <w:lang w:val="en-CA"/>
        </w:rPr>
        <w:t>Ibid.</w:t>
      </w:r>
      <w:r w:rsidR="00D13D4D">
        <w:rPr>
          <w:lang w:val="en-CA"/>
        </w:rPr>
        <w:t>,73.</w:t>
      </w:r>
    </w:p>
  </w:footnote>
  <w:footnote w:id="32">
    <w:p w14:paraId="06C70AEA" w14:textId="6A060A39" w:rsidR="0079151F" w:rsidRPr="0079151F" w:rsidRDefault="0079151F">
      <w:pPr>
        <w:pStyle w:val="FootnoteText"/>
        <w:rPr>
          <w:lang w:val="en-CA"/>
        </w:rPr>
      </w:pPr>
      <w:r>
        <w:rPr>
          <w:rStyle w:val="FootnoteReference"/>
        </w:rPr>
        <w:footnoteRef/>
      </w:r>
      <w:r>
        <w:t xml:space="preserve"> </w:t>
      </w:r>
      <w:r>
        <w:rPr>
          <w:lang w:val="en-CA"/>
        </w:rPr>
        <w:t>Ibid.</w:t>
      </w:r>
      <w:r w:rsidR="00D13D4D">
        <w:rPr>
          <w:lang w:val="en-CA"/>
        </w:rPr>
        <w:t>,74</w:t>
      </w:r>
    </w:p>
  </w:footnote>
  <w:footnote w:id="33">
    <w:p w14:paraId="0B1DFBE1" w14:textId="419C3BF1" w:rsidR="00FA3A09" w:rsidRPr="00FA3A09" w:rsidRDefault="00FA3A09">
      <w:pPr>
        <w:pStyle w:val="FootnoteText"/>
        <w:rPr>
          <w:lang w:val="en-CA"/>
        </w:rPr>
      </w:pPr>
      <w:r>
        <w:rPr>
          <w:rStyle w:val="FootnoteReference"/>
        </w:rPr>
        <w:footnoteRef/>
      </w:r>
      <w:r>
        <w:t xml:space="preserve"> </w:t>
      </w:r>
      <w:r>
        <w:rPr>
          <w:lang w:val="en-CA"/>
        </w:rPr>
        <w:t>ibid.</w:t>
      </w:r>
    </w:p>
  </w:footnote>
  <w:footnote w:id="34">
    <w:p w14:paraId="1D2D208A" w14:textId="389579FE" w:rsidR="00D13D4D" w:rsidRPr="00D13D4D" w:rsidRDefault="00D13D4D">
      <w:pPr>
        <w:pStyle w:val="FootnoteText"/>
        <w:rPr>
          <w:lang w:val="en-CA"/>
        </w:rPr>
      </w:pPr>
      <w:r>
        <w:rPr>
          <w:rStyle w:val="FootnoteReference"/>
        </w:rPr>
        <w:footnoteRef/>
      </w:r>
      <w:r>
        <w:t xml:space="preserve"> </w:t>
      </w:r>
      <w:r>
        <w:rPr>
          <w:lang w:val="en-CA"/>
        </w:rPr>
        <w:t>Ibid.,75.</w:t>
      </w:r>
    </w:p>
  </w:footnote>
  <w:footnote w:id="35">
    <w:p w14:paraId="3733EDCB" w14:textId="64C3AA16" w:rsidR="00D13D4D" w:rsidRPr="00D13D4D" w:rsidRDefault="00D13D4D">
      <w:pPr>
        <w:pStyle w:val="FootnoteText"/>
        <w:rPr>
          <w:lang w:val="en-CA"/>
        </w:rPr>
      </w:pPr>
      <w:r>
        <w:rPr>
          <w:rStyle w:val="FootnoteReference"/>
        </w:rPr>
        <w:footnoteRef/>
      </w:r>
      <w:r>
        <w:t xml:space="preserve"> </w:t>
      </w:r>
      <w:r>
        <w:rPr>
          <w:lang w:val="en-CA"/>
        </w:rPr>
        <w:t>Ibid.,76.</w:t>
      </w:r>
    </w:p>
  </w:footnote>
  <w:footnote w:id="36">
    <w:p w14:paraId="4E4A3DE5" w14:textId="6E4242EF" w:rsidR="00D13D4D" w:rsidRPr="00D13D4D" w:rsidRDefault="00D13D4D">
      <w:pPr>
        <w:pStyle w:val="FootnoteText"/>
        <w:rPr>
          <w:lang w:val="en-CA"/>
        </w:rPr>
      </w:pPr>
      <w:r>
        <w:rPr>
          <w:rStyle w:val="FootnoteReference"/>
        </w:rPr>
        <w:footnoteRef/>
      </w:r>
      <w:r>
        <w:t xml:space="preserve"> </w:t>
      </w:r>
      <w:r>
        <w:rPr>
          <w:lang w:val="en-CA"/>
        </w:rPr>
        <w:t>Ibid.</w:t>
      </w:r>
    </w:p>
  </w:footnote>
  <w:footnote w:id="37">
    <w:p w14:paraId="301E783A" w14:textId="1A2F3BE0" w:rsidR="000D0A35" w:rsidRPr="000D0A35" w:rsidRDefault="000D0A35">
      <w:pPr>
        <w:pStyle w:val="FootnoteText"/>
        <w:rPr>
          <w:lang w:val="en-CA"/>
        </w:rPr>
      </w:pPr>
      <w:r>
        <w:rPr>
          <w:rStyle w:val="FootnoteReference"/>
        </w:rPr>
        <w:footnoteRef/>
      </w:r>
      <w:r>
        <w:t xml:space="preserve"> </w:t>
      </w:r>
      <w:r>
        <w:rPr>
          <w:lang w:val="en-CA"/>
        </w:rPr>
        <w:t>Ibid.</w:t>
      </w:r>
    </w:p>
  </w:footnote>
  <w:footnote w:id="38">
    <w:p w14:paraId="6555AA31" w14:textId="4FDC77F5" w:rsidR="000D0A35" w:rsidRPr="000D0A35" w:rsidRDefault="000D0A35">
      <w:pPr>
        <w:pStyle w:val="FootnoteText"/>
        <w:rPr>
          <w:lang w:val="en-CA"/>
        </w:rPr>
      </w:pPr>
      <w:r>
        <w:rPr>
          <w:rStyle w:val="FootnoteReference"/>
        </w:rPr>
        <w:footnoteRef/>
      </w:r>
      <w:r>
        <w:t xml:space="preserve"> </w:t>
      </w:r>
      <w:r>
        <w:rPr>
          <w:lang w:val="en-CA"/>
        </w:rPr>
        <w:t>Ibid.</w:t>
      </w:r>
    </w:p>
  </w:footnote>
  <w:footnote w:id="39">
    <w:p w14:paraId="7143C82D" w14:textId="23CF7555" w:rsidR="000D0A35" w:rsidRPr="000D0A35" w:rsidRDefault="000D0A35">
      <w:pPr>
        <w:pStyle w:val="FootnoteText"/>
        <w:rPr>
          <w:lang w:val="en-CA"/>
        </w:rPr>
      </w:pPr>
      <w:r>
        <w:rPr>
          <w:rStyle w:val="FootnoteReference"/>
        </w:rPr>
        <w:footnoteRef/>
      </w:r>
      <w:r>
        <w:t xml:space="preserve"> </w:t>
      </w:r>
      <w:r>
        <w:rPr>
          <w:lang w:val="en-CA"/>
        </w:rPr>
        <w:t>Ibid.</w:t>
      </w:r>
    </w:p>
  </w:footnote>
  <w:footnote w:id="40">
    <w:p w14:paraId="1078CF26" w14:textId="7B8CF198" w:rsidR="000D0A35" w:rsidRPr="000D0A35" w:rsidRDefault="000D0A35">
      <w:pPr>
        <w:pStyle w:val="FootnoteText"/>
        <w:rPr>
          <w:lang w:val="en-CA"/>
        </w:rPr>
      </w:pPr>
      <w:r>
        <w:rPr>
          <w:rStyle w:val="FootnoteReference"/>
        </w:rPr>
        <w:footnoteRef/>
      </w:r>
      <w:r>
        <w:t xml:space="preserve"> </w:t>
      </w:r>
      <w:r>
        <w:rPr>
          <w:lang w:val="en-CA"/>
        </w:rPr>
        <w:t>Ibid.</w:t>
      </w:r>
    </w:p>
  </w:footnote>
  <w:footnote w:id="41">
    <w:p w14:paraId="31E233AB" w14:textId="27D9BC59" w:rsidR="000D0A35" w:rsidRPr="000D0A35" w:rsidRDefault="000D0A35">
      <w:pPr>
        <w:pStyle w:val="FootnoteText"/>
        <w:rPr>
          <w:lang w:val="en-CA"/>
        </w:rPr>
      </w:pPr>
      <w:r>
        <w:rPr>
          <w:rStyle w:val="FootnoteReference"/>
        </w:rPr>
        <w:footnoteRef/>
      </w:r>
      <w:r>
        <w:t xml:space="preserve"> </w:t>
      </w:r>
      <w:r>
        <w:rPr>
          <w:lang w:val="en-CA"/>
        </w:rPr>
        <w:t>ibid.,77.</w:t>
      </w:r>
    </w:p>
  </w:footnote>
  <w:footnote w:id="42">
    <w:p w14:paraId="37F24401" w14:textId="4BDC579F" w:rsidR="000D0A35" w:rsidRPr="000D0A35" w:rsidRDefault="000D0A35">
      <w:pPr>
        <w:pStyle w:val="FootnoteText"/>
        <w:rPr>
          <w:lang w:val="en-CA"/>
        </w:rPr>
      </w:pPr>
      <w:r>
        <w:rPr>
          <w:rStyle w:val="FootnoteReference"/>
        </w:rPr>
        <w:footnoteRef/>
      </w:r>
      <w:r>
        <w:t xml:space="preserve"> </w:t>
      </w:r>
      <w:r>
        <w:rPr>
          <w:lang w:val="en-CA"/>
        </w:rPr>
        <w:t>Ibid.</w:t>
      </w:r>
    </w:p>
  </w:footnote>
  <w:footnote w:id="43">
    <w:p w14:paraId="4A21610E" w14:textId="21CD6FE8" w:rsidR="000D0A35" w:rsidRPr="000D0A35" w:rsidRDefault="000D0A35">
      <w:pPr>
        <w:pStyle w:val="FootnoteText"/>
        <w:rPr>
          <w:lang w:val="en-CA"/>
        </w:rPr>
      </w:pPr>
      <w:r>
        <w:rPr>
          <w:rStyle w:val="FootnoteReference"/>
        </w:rPr>
        <w:footnoteRef/>
      </w:r>
      <w:r>
        <w:t xml:space="preserve"> Ibid.</w:t>
      </w:r>
    </w:p>
  </w:footnote>
  <w:footnote w:id="44">
    <w:p w14:paraId="2E097863" w14:textId="614ACA75" w:rsidR="000D0A35" w:rsidRPr="000D0A35" w:rsidRDefault="000D0A35">
      <w:pPr>
        <w:pStyle w:val="FootnoteText"/>
        <w:rPr>
          <w:lang w:val="en-CA"/>
        </w:rPr>
      </w:pPr>
      <w:r>
        <w:rPr>
          <w:rStyle w:val="FootnoteReference"/>
        </w:rPr>
        <w:footnoteRef/>
      </w:r>
      <w:r>
        <w:t xml:space="preserve"> Ibid.</w:t>
      </w:r>
    </w:p>
  </w:footnote>
  <w:footnote w:id="45">
    <w:p w14:paraId="74B4879A" w14:textId="20F7B8E7" w:rsidR="000D0A35" w:rsidRPr="000D0A35" w:rsidRDefault="000D0A35">
      <w:pPr>
        <w:pStyle w:val="FootnoteText"/>
      </w:pPr>
      <w:r>
        <w:rPr>
          <w:rStyle w:val="FootnoteReference"/>
        </w:rPr>
        <w:footnoteRef/>
      </w:r>
      <w:r w:rsidRPr="00DB0A34">
        <w:t xml:space="preserve">Jeffrey Gantz, </w:t>
      </w:r>
      <w:r w:rsidRPr="00DB0A34">
        <w:rPr>
          <w:i/>
        </w:rPr>
        <w:t>The Mabinogion</w:t>
      </w:r>
      <w:r w:rsidRPr="00DB0A34">
        <w:t>, (En</w:t>
      </w:r>
      <w:r>
        <w:t>gland: Penguin Books, 1976) p.21</w:t>
      </w:r>
      <w:r w:rsidRPr="00DB0A34">
        <w:t>.</w:t>
      </w:r>
      <w:r>
        <w:t xml:space="preserve"> </w:t>
      </w:r>
    </w:p>
  </w:footnote>
  <w:footnote w:id="46">
    <w:p w14:paraId="224163DF" w14:textId="5EAABF72" w:rsidR="000D0A35" w:rsidRPr="000D0A35" w:rsidRDefault="000D0A35">
      <w:pPr>
        <w:pStyle w:val="FootnoteText"/>
        <w:rPr>
          <w:lang w:val="en-CA"/>
        </w:rPr>
      </w:pPr>
      <w:r>
        <w:rPr>
          <w:rStyle w:val="FootnoteReference"/>
        </w:rPr>
        <w:footnoteRef/>
      </w:r>
      <w:r>
        <w:t xml:space="preserve"> </w:t>
      </w:r>
      <w:r>
        <w:rPr>
          <w:lang w:val="en-CA"/>
        </w:rPr>
        <w:t>Ibid.</w:t>
      </w:r>
    </w:p>
  </w:footnote>
  <w:footnote w:id="47">
    <w:p w14:paraId="313E6CE5" w14:textId="3539FE35" w:rsidR="000D0A35" w:rsidRPr="000D0A35" w:rsidRDefault="000D0A35">
      <w:pPr>
        <w:pStyle w:val="FootnoteText"/>
        <w:rPr>
          <w:lang w:val="en-CA"/>
        </w:rPr>
      </w:pPr>
      <w:r>
        <w:rPr>
          <w:rStyle w:val="FootnoteReference"/>
        </w:rPr>
        <w:footnoteRef/>
      </w:r>
      <w:r>
        <w:t xml:space="preserve"> </w:t>
      </w:r>
      <w:r>
        <w:rPr>
          <w:lang w:val="en-CA"/>
        </w:rPr>
        <w:t>Ibid.</w:t>
      </w:r>
    </w:p>
  </w:footnote>
  <w:footnote w:id="48">
    <w:p w14:paraId="296C0022" w14:textId="3151C795" w:rsidR="000D0A35" w:rsidRPr="000D0A35" w:rsidRDefault="000D0A35">
      <w:pPr>
        <w:pStyle w:val="FootnoteText"/>
        <w:rPr>
          <w:lang w:val="en-CA"/>
        </w:rPr>
      </w:pPr>
      <w:r>
        <w:rPr>
          <w:rStyle w:val="FootnoteReference"/>
        </w:rPr>
        <w:footnoteRef/>
      </w:r>
      <w:r>
        <w:t xml:space="preserve"> </w:t>
      </w:r>
      <w:r>
        <w:rPr>
          <w:lang w:val="en-CA"/>
        </w:rPr>
        <w:t>Ibid.</w:t>
      </w:r>
    </w:p>
  </w:footnote>
  <w:footnote w:id="49">
    <w:p w14:paraId="5C3DC01C" w14:textId="7FD845ED" w:rsidR="000D0A35" w:rsidRPr="000D0A35" w:rsidRDefault="000D0A35">
      <w:pPr>
        <w:pStyle w:val="FootnoteText"/>
        <w:rPr>
          <w:lang w:val="en-CA"/>
        </w:rPr>
      </w:pPr>
      <w:r>
        <w:rPr>
          <w:rStyle w:val="FootnoteReference"/>
        </w:rPr>
        <w:footnoteRef/>
      </w:r>
      <w:r>
        <w:t xml:space="preserve"> </w:t>
      </w:r>
      <w:r>
        <w:rPr>
          <w:lang w:val="en-CA"/>
        </w:rPr>
        <w:t>Ibid.</w:t>
      </w:r>
    </w:p>
  </w:footnote>
  <w:footnote w:id="50">
    <w:p w14:paraId="30A6CCB9" w14:textId="6C919F30" w:rsidR="000D0A35" w:rsidRPr="000D0A35" w:rsidRDefault="000D0A35">
      <w:pPr>
        <w:pStyle w:val="FootnoteText"/>
        <w:rPr>
          <w:lang w:val="en-CA"/>
        </w:rPr>
      </w:pPr>
      <w:r>
        <w:rPr>
          <w:rStyle w:val="FootnoteReference"/>
        </w:rPr>
        <w:footnoteRef/>
      </w:r>
      <w:r>
        <w:t xml:space="preserve"> </w:t>
      </w:r>
      <w:r>
        <w:rPr>
          <w:lang w:val="en-CA"/>
        </w:rPr>
        <w:t>Ibid.</w:t>
      </w:r>
    </w:p>
  </w:footnote>
  <w:footnote w:id="51">
    <w:p w14:paraId="2DC9545F" w14:textId="117D21A7" w:rsidR="000D0A35" w:rsidRPr="000D0A35" w:rsidRDefault="000D0A35">
      <w:pPr>
        <w:pStyle w:val="FootnoteText"/>
        <w:rPr>
          <w:lang w:val="en-CA"/>
        </w:rPr>
      </w:pPr>
      <w:r>
        <w:rPr>
          <w:rStyle w:val="FootnoteReference"/>
        </w:rPr>
        <w:footnoteRef/>
      </w:r>
      <w:r>
        <w:t xml:space="preserve"> </w:t>
      </w:r>
      <w:r>
        <w:rPr>
          <w:lang w:val="en-CA"/>
        </w:rPr>
        <w:t>Ibid.,21-22.</w:t>
      </w:r>
    </w:p>
  </w:footnote>
  <w:footnote w:id="52">
    <w:p w14:paraId="594D6784" w14:textId="502FB61A" w:rsidR="000D0A35" w:rsidRPr="000D0A35" w:rsidRDefault="000D0A35">
      <w:pPr>
        <w:pStyle w:val="FootnoteText"/>
        <w:rPr>
          <w:lang w:val="en-CA"/>
        </w:rPr>
      </w:pPr>
      <w:r>
        <w:rPr>
          <w:rStyle w:val="FootnoteReference"/>
        </w:rPr>
        <w:footnoteRef/>
      </w:r>
      <w:r>
        <w:t xml:space="preserve"> </w:t>
      </w:r>
      <w:r>
        <w:rPr>
          <w:lang w:val="en-CA"/>
        </w:rPr>
        <w:t>Ibid., 24.</w:t>
      </w:r>
    </w:p>
  </w:footnote>
  <w:footnote w:id="53">
    <w:p w14:paraId="1E2AC15A" w14:textId="6962E36F" w:rsidR="000D0A35" w:rsidRPr="000D0A35" w:rsidRDefault="000D0A35">
      <w:pPr>
        <w:pStyle w:val="FootnoteText"/>
        <w:rPr>
          <w:lang w:val="en-CA"/>
        </w:rPr>
      </w:pPr>
      <w:r>
        <w:rPr>
          <w:rStyle w:val="FootnoteReference"/>
        </w:rPr>
        <w:footnoteRef/>
      </w:r>
      <w:r>
        <w:t xml:space="preserve"> </w:t>
      </w:r>
      <w:r>
        <w:rPr>
          <w:lang w:val="en-CA"/>
        </w:rPr>
        <w:t>P. Sims-Williams, The Submission of the Irish Kings in Fact and Fiction</w:t>
      </w:r>
      <w:r w:rsidRPr="000D0A35">
        <w:rPr>
          <w:i/>
          <w:lang w:val="en-CA"/>
        </w:rPr>
        <w:t>, Cambridge Medieval Celtic Stud</w:t>
      </w:r>
      <w:r>
        <w:rPr>
          <w:i/>
          <w:lang w:val="en-CA"/>
        </w:rPr>
        <w:t>i</w:t>
      </w:r>
      <w:r w:rsidRPr="000D0A35">
        <w:rPr>
          <w:i/>
          <w:lang w:val="en-CA"/>
        </w:rPr>
        <w:t>es</w:t>
      </w:r>
      <w:r>
        <w:rPr>
          <w:lang w:val="en-CA"/>
        </w:rPr>
        <w:t>,</w:t>
      </w:r>
      <w:r w:rsidR="004A394C">
        <w:rPr>
          <w:lang w:val="en-CA"/>
        </w:rPr>
        <w:t xml:space="preserve"> 22 (1991)</w:t>
      </w:r>
      <w:r w:rsidR="00521DEE">
        <w:rPr>
          <w:lang w:val="en-CA"/>
        </w:rPr>
        <w:t xml:space="preserve">. p.31. </w:t>
      </w:r>
    </w:p>
  </w:footnote>
  <w:footnote w:id="54">
    <w:p w14:paraId="78DB1C77" w14:textId="0918C5B7" w:rsidR="00521DEE" w:rsidRPr="00521DEE" w:rsidRDefault="00521DEE">
      <w:pPr>
        <w:pStyle w:val="FootnoteText"/>
        <w:rPr>
          <w:lang w:val="en-CA"/>
        </w:rPr>
      </w:pPr>
      <w:r>
        <w:rPr>
          <w:rStyle w:val="FootnoteReference"/>
        </w:rPr>
        <w:footnoteRef/>
      </w:r>
      <w:r>
        <w:t xml:space="preserve"> </w:t>
      </w:r>
      <w:r>
        <w:rPr>
          <w:lang w:val="en-CA"/>
        </w:rPr>
        <w:t>Ibid., 32.</w:t>
      </w:r>
    </w:p>
  </w:footnote>
  <w:footnote w:id="55">
    <w:p w14:paraId="431022F9" w14:textId="5B0942AD" w:rsidR="00080A8C" w:rsidRPr="00080A8C" w:rsidRDefault="00080A8C">
      <w:pPr>
        <w:pStyle w:val="FootnoteText"/>
        <w:rPr>
          <w:lang w:val="en-CA"/>
        </w:rPr>
      </w:pPr>
      <w:r>
        <w:rPr>
          <w:rStyle w:val="FootnoteReference"/>
        </w:rPr>
        <w:footnoteRef/>
      </w:r>
      <w:r>
        <w:t xml:space="preserve"> </w:t>
      </w:r>
      <w:r>
        <w:rPr>
          <w:lang w:val="en-CA"/>
        </w:rPr>
        <w:t>Ibid.</w:t>
      </w:r>
    </w:p>
  </w:footnote>
  <w:footnote w:id="56">
    <w:p w14:paraId="620D6B97" w14:textId="232E40BA" w:rsidR="0013642A" w:rsidRPr="0013642A" w:rsidRDefault="0013642A">
      <w:pPr>
        <w:pStyle w:val="FootnoteText"/>
        <w:rPr>
          <w:lang w:val="en-CA"/>
        </w:rPr>
      </w:pPr>
      <w:r>
        <w:rPr>
          <w:rStyle w:val="FootnoteReference"/>
        </w:rPr>
        <w:footnoteRef/>
      </w:r>
      <w:r>
        <w:t xml:space="preserve"> </w:t>
      </w:r>
      <w:r>
        <w:rPr>
          <w:lang w:val="en-CA"/>
        </w:rPr>
        <w:t>Ibid., 33.</w:t>
      </w:r>
    </w:p>
  </w:footnote>
  <w:footnote w:id="57">
    <w:p w14:paraId="2A9DA64D" w14:textId="5366D718" w:rsidR="0013642A" w:rsidRPr="0013642A" w:rsidRDefault="0013642A">
      <w:pPr>
        <w:pStyle w:val="FootnoteText"/>
        <w:rPr>
          <w:lang w:val="en-CA"/>
        </w:rPr>
      </w:pPr>
      <w:r>
        <w:rPr>
          <w:rStyle w:val="FootnoteReference"/>
        </w:rPr>
        <w:footnoteRef/>
      </w:r>
      <w:r>
        <w:t xml:space="preserve"> </w:t>
      </w:r>
      <w:r w:rsidR="00F52D0C">
        <w:t>Ibid., 34.</w:t>
      </w:r>
    </w:p>
  </w:footnote>
  <w:footnote w:id="58">
    <w:p w14:paraId="31213AA2" w14:textId="396B14E5" w:rsidR="00F52D0C" w:rsidRPr="00F52D0C" w:rsidRDefault="00F52D0C">
      <w:pPr>
        <w:pStyle w:val="FootnoteText"/>
        <w:rPr>
          <w:lang w:val="en-CA"/>
        </w:rPr>
      </w:pPr>
      <w:r>
        <w:rPr>
          <w:rStyle w:val="FootnoteReference"/>
        </w:rPr>
        <w:footnoteRef/>
      </w:r>
      <w:r>
        <w:t xml:space="preserve"> </w:t>
      </w:r>
      <w:r>
        <w:rPr>
          <w:lang w:val="en-CA"/>
        </w:rPr>
        <w:t>Ibid.</w:t>
      </w:r>
    </w:p>
  </w:footnote>
  <w:footnote w:id="59">
    <w:p w14:paraId="7D6295C7" w14:textId="263ED464" w:rsidR="00F52D0C" w:rsidRPr="00F52D0C" w:rsidRDefault="00F52D0C">
      <w:pPr>
        <w:pStyle w:val="FootnoteText"/>
        <w:rPr>
          <w:lang w:val="en-CA"/>
        </w:rPr>
      </w:pPr>
      <w:r>
        <w:rPr>
          <w:rStyle w:val="FootnoteReference"/>
        </w:rPr>
        <w:footnoteRef/>
      </w:r>
      <w:r>
        <w:t xml:space="preserve"> </w:t>
      </w:r>
      <w:r>
        <w:rPr>
          <w:lang w:val="en-CA"/>
        </w:rPr>
        <w:t>ibid., 44.</w:t>
      </w:r>
    </w:p>
  </w:footnote>
  <w:footnote w:id="60">
    <w:p w14:paraId="6C313AAC" w14:textId="61B385F4" w:rsidR="00F52D0C" w:rsidRPr="00F52D0C" w:rsidRDefault="00F52D0C">
      <w:pPr>
        <w:pStyle w:val="FootnoteText"/>
        <w:rPr>
          <w:lang w:val="en-CA"/>
        </w:rPr>
      </w:pPr>
      <w:r>
        <w:rPr>
          <w:rStyle w:val="FootnoteReference"/>
        </w:rPr>
        <w:footnoteRef/>
      </w:r>
      <w:r>
        <w:t xml:space="preserve"> </w:t>
      </w:r>
      <w:r>
        <w:rPr>
          <w:lang w:val="en-CA"/>
        </w:rPr>
        <w:t>Ibid., 51.</w:t>
      </w:r>
    </w:p>
  </w:footnote>
  <w:footnote w:id="61">
    <w:p w14:paraId="64A70749" w14:textId="5AD8463C" w:rsidR="00F52D0C" w:rsidRPr="00F52D0C" w:rsidRDefault="00F52D0C">
      <w:pPr>
        <w:pStyle w:val="FootnoteText"/>
        <w:rPr>
          <w:lang w:val="en-CA"/>
        </w:rPr>
      </w:pPr>
      <w:r>
        <w:rPr>
          <w:rStyle w:val="FootnoteReference"/>
        </w:rPr>
        <w:footnoteRef/>
      </w:r>
      <w:r>
        <w:t xml:space="preserve"> </w:t>
      </w:r>
      <w:r>
        <w:rPr>
          <w:lang w:val="en-CA"/>
        </w:rPr>
        <w:t>Ibid., 39.</w:t>
      </w:r>
    </w:p>
  </w:footnote>
  <w:footnote w:id="62">
    <w:p w14:paraId="23081457" w14:textId="65E923C1" w:rsidR="00F52D0C" w:rsidRPr="00F52D0C" w:rsidRDefault="00F52D0C">
      <w:pPr>
        <w:pStyle w:val="FootnoteText"/>
        <w:rPr>
          <w:lang w:val="en-CA"/>
        </w:rPr>
      </w:pPr>
      <w:r>
        <w:rPr>
          <w:rStyle w:val="FootnoteReference"/>
        </w:rPr>
        <w:footnoteRef/>
      </w:r>
      <w:r>
        <w:t xml:space="preserve"> </w:t>
      </w:r>
      <w:r>
        <w:rPr>
          <w:lang w:val="en-CA"/>
        </w:rPr>
        <w:t>Ibid., 43.</w:t>
      </w:r>
    </w:p>
  </w:footnote>
  <w:footnote w:id="63">
    <w:p w14:paraId="663C1B8D" w14:textId="06EE9C37" w:rsidR="00F52D0C" w:rsidRPr="00F52D0C" w:rsidRDefault="00F52D0C">
      <w:pPr>
        <w:pStyle w:val="FootnoteText"/>
        <w:rPr>
          <w:lang w:val="en-CA"/>
        </w:rPr>
      </w:pPr>
      <w:r>
        <w:rPr>
          <w:rStyle w:val="FootnoteReference"/>
        </w:rPr>
        <w:footnoteRef/>
      </w:r>
      <w:r>
        <w:t xml:space="preserve"> </w:t>
      </w:r>
      <w:r>
        <w:t xml:space="preserve">Andrew Breeze, Did a Woman Write the Four Branches of the Mabinogi? in </w:t>
      </w:r>
      <w:r w:rsidRPr="00990738">
        <w:rPr>
          <w:i/>
        </w:rPr>
        <w:t>The Origin of the Four Branches.</w:t>
      </w:r>
      <w:r>
        <w:t xml:space="preserve"> By Breeze, A. (Gracewing). P.1.</w:t>
      </w:r>
    </w:p>
  </w:footnote>
  <w:footnote w:id="64">
    <w:p w14:paraId="4F465B7B" w14:textId="31713E14" w:rsidR="00F52D0C" w:rsidRPr="00F52D0C" w:rsidRDefault="00F52D0C">
      <w:pPr>
        <w:pStyle w:val="FootnoteText"/>
        <w:rPr>
          <w:lang w:val="en-CA"/>
        </w:rPr>
      </w:pPr>
      <w:r>
        <w:rPr>
          <w:rStyle w:val="FootnoteReference"/>
        </w:rPr>
        <w:footnoteRef/>
      </w:r>
      <w:r>
        <w:t xml:space="preserve"> </w:t>
      </w:r>
      <w:r w:rsidR="00497167">
        <w:t>Ibid.</w:t>
      </w:r>
    </w:p>
  </w:footnote>
  <w:footnote w:id="65">
    <w:p w14:paraId="79BE1CDB" w14:textId="572B5464" w:rsidR="00F52D0C" w:rsidRPr="00F52D0C" w:rsidRDefault="00F52D0C">
      <w:pPr>
        <w:pStyle w:val="FootnoteText"/>
        <w:rPr>
          <w:lang w:val="en-CA"/>
        </w:rPr>
      </w:pPr>
      <w:r>
        <w:rPr>
          <w:rStyle w:val="FootnoteReference"/>
        </w:rPr>
        <w:footnoteRef/>
      </w:r>
      <w:r>
        <w:t xml:space="preserve"> </w:t>
      </w:r>
      <w:r w:rsidR="00497167">
        <w:t>Ibid.</w:t>
      </w:r>
    </w:p>
  </w:footnote>
  <w:footnote w:id="66">
    <w:p w14:paraId="4470513B" w14:textId="48C77960" w:rsidR="00497167" w:rsidRPr="00497167" w:rsidRDefault="00497167">
      <w:pPr>
        <w:pStyle w:val="FootnoteText"/>
        <w:rPr>
          <w:lang w:val="en-CA"/>
        </w:rPr>
      </w:pPr>
      <w:r>
        <w:rPr>
          <w:rStyle w:val="FootnoteReference"/>
        </w:rPr>
        <w:footnoteRef/>
      </w:r>
      <w:r>
        <w:t xml:space="preserve"> </w:t>
      </w:r>
      <w:r>
        <w:t xml:space="preserve">Diana Luft, Review by Diana Luft of The Origin of the Four Branches of the Mabinogi, Celtic Studies, 27 (2010) p. </w:t>
      </w:r>
      <w:r>
        <w:t>10</w:t>
      </w:r>
      <w:r>
        <w:t>.</w:t>
      </w:r>
    </w:p>
  </w:footnote>
  <w:footnote w:id="67">
    <w:p w14:paraId="166DBFED" w14:textId="12867E1F" w:rsidR="00497167" w:rsidRPr="00497167" w:rsidRDefault="00497167">
      <w:pPr>
        <w:pStyle w:val="FootnoteText"/>
        <w:rPr>
          <w:lang w:val="en-CA"/>
        </w:rPr>
      </w:pPr>
      <w:r>
        <w:rPr>
          <w:rStyle w:val="FootnoteReference"/>
        </w:rPr>
        <w:footnoteRef/>
      </w:r>
      <w:r>
        <w:t xml:space="preserve"> </w:t>
      </w:r>
      <w:r>
        <w:rPr>
          <w:lang w:val="en-CA"/>
        </w:rPr>
        <w:t>Ibid.</w:t>
      </w:r>
    </w:p>
  </w:footnote>
  <w:footnote w:id="68">
    <w:p w14:paraId="1FFA4150" w14:textId="4B8A0363" w:rsidR="00497167" w:rsidRPr="00497167" w:rsidRDefault="00497167">
      <w:pPr>
        <w:pStyle w:val="FootnoteText"/>
        <w:rPr>
          <w:lang w:val="en-CA"/>
        </w:rPr>
      </w:pPr>
      <w:r>
        <w:rPr>
          <w:rStyle w:val="FootnoteReference"/>
        </w:rPr>
        <w:footnoteRef/>
      </w:r>
      <w:r>
        <w:t xml:space="preserve"> </w:t>
      </w:r>
      <w:r>
        <w:rPr>
          <w:lang w:val="en-CA"/>
        </w:rPr>
        <w:t>ibid.</w:t>
      </w:r>
    </w:p>
  </w:footnote>
  <w:footnote w:id="69">
    <w:p w14:paraId="51B3BF3F" w14:textId="1604F06F" w:rsidR="00497167" w:rsidRPr="00497167" w:rsidRDefault="00497167">
      <w:pPr>
        <w:pStyle w:val="FootnoteText"/>
        <w:rPr>
          <w:lang w:val="en-CA"/>
        </w:rPr>
      </w:pPr>
      <w:r>
        <w:rPr>
          <w:rStyle w:val="FootnoteReference"/>
        </w:rPr>
        <w:footnoteRef/>
      </w:r>
      <w:r>
        <w:t xml:space="preserve"> </w:t>
      </w:r>
      <w:r>
        <w:rPr>
          <w:lang w:val="en-CA"/>
        </w:rPr>
        <w:t>Ibid.</w:t>
      </w:r>
    </w:p>
  </w:footnote>
  <w:footnote w:id="70">
    <w:p w14:paraId="5702B3B8" w14:textId="607E4FF8" w:rsidR="00497167" w:rsidRPr="00497167" w:rsidRDefault="00497167">
      <w:pPr>
        <w:pStyle w:val="FootnoteText"/>
        <w:rPr>
          <w:lang w:val="en-CA"/>
        </w:rPr>
      </w:pPr>
      <w:r>
        <w:rPr>
          <w:rStyle w:val="FootnoteReference"/>
        </w:rPr>
        <w:footnoteRef/>
      </w:r>
      <w:r>
        <w:t xml:space="preserve"> </w:t>
      </w:r>
      <w:r>
        <w:rPr>
          <w:lang w:val="en-CA"/>
        </w:rPr>
        <w:t>Ibid., 11.</w:t>
      </w:r>
    </w:p>
  </w:footnote>
  <w:footnote w:id="71">
    <w:p w14:paraId="13F11B6D" w14:textId="05B41359" w:rsidR="00C02983" w:rsidRPr="00C02983" w:rsidRDefault="00C02983">
      <w:pPr>
        <w:pStyle w:val="FootnoteText"/>
        <w:rPr>
          <w:lang w:val="en-CA"/>
        </w:rPr>
      </w:pPr>
      <w:r>
        <w:rPr>
          <w:rStyle w:val="FootnoteReference"/>
        </w:rPr>
        <w:footnoteRef/>
      </w:r>
      <w:r>
        <w:t xml:space="preserve"> </w:t>
      </w:r>
      <w:r>
        <w:t xml:space="preserve">Will Parker, </w:t>
      </w:r>
      <w:r w:rsidRPr="00055F1C">
        <w:rPr>
          <w:i/>
        </w:rPr>
        <w:t>The Four Branches of the Mabinogi</w:t>
      </w:r>
      <w:r>
        <w:rPr>
          <w:i/>
        </w:rPr>
        <w:t xml:space="preserve"> </w:t>
      </w:r>
      <w:r>
        <w:t>(USA, Bardi</w:t>
      </w:r>
      <w:r w:rsidR="007900B1">
        <w:t>c Press, 2005) p. 60</w:t>
      </w:r>
      <w:r>
        <w:t>0</w:t>
      </w:r>
      <w:r>
        <w:t>.</w:t>
      </w:r>
    </w:p>
  </w:footnote>
  <w:footnote w:id="72">
    <w:p w14:paraId="5780A36D" w14:textId="02F070E1" w:rsidR="00C02983" w:rsidRPr="00C02983" w:rsidRDefault="00C02983">
      <w:pPr>
        <w:pStyle w:val="FootnoteText"/>
        <w:rPr>
          <w:lang w:val="en-CA"/>
        </w:rPr>
      </w:pPr>
      <w:r>
        <w:rPr>
          <w:rStyle w:val="FootnoteReference"/>
        </w:rPr>
        <w:footnoteRef/>
      </w:r>
      <w:r>
        <w:t xml:space="preserve"> </w:t>
      </w:r>
      <w:r w:rsidR="00412D64">
        <w:t>Ibid., 603.</w:t>
      </w:r>
    </w:p>
  </w:footnote>
  <w:footnote w:id="73">
    <w:p w14:paraId="52FEC36D" w14:textId="2E9218CB" w:rsidR="00412D64" w:rsidRPr="00412D64" w:rsidRDefault="00412D64">
      <w:pPr>
        <w:pStyle w:val="FootnoteText"/>
        <w:rPr>
          <w:lang w:val="en-CA"/>
        </w:rPr>
      </w:pPr>
      <w:r>
        <w:rPr>
          <w:rStyle w:val="FootnoteReference"/>
        </w:rPr>
        <w:footnoteRef/>
      </w:r>
      <w:r>
        <w:t xml:space="preserve"> </w:t>
      </w:r>
      <w:r>
        <w:rPr>
          <w:lang w:val="en-CA"/>
        </w:rPr>
        <w:t>Ibid.</w:t>
      </w:r>
    </w:p>
  </w:footnote>
  <w:footnote w:id="74">
    <w:p w14:paraId="577F1685" w14:textId="220BC99F" w:rsidR="00412D64" w:rsidRPr="00412D64" w:rsidRDefault="00412D64">
      <w:pPr>
        <w:pStyle w:val="FootnoteText"/>
        <w:rPr>
          <w:lang w:val="en-CA"/>
        </w:rPr>
      </w:pPr>
      <w:r>
        <w:rPr>
          <w:rStyle w:val="FootnoteReference"/>
        </w:rPr>
        <w:footnoteRef/>
      </w:r>
      <w:r>
        <w:t xml:space="preserve"> </w:t>
      </w:r>
      <w:r>
        <w:rPr>
          <w:lang w:val="en-CA"/>
        </w:rPr>
        <w:t>Ibid.</w:t>
      </w:r>
    </w:p>
  </w:footnote>
  <w:footnote w:id="75">
    <w:p w14:paraId="4D99DD53" w14:textId="074AE751" w:rsidR="00412D64" w:rsidRPr="00412D64" w:rsidRDefault="00412D64">
      <w:pPr>
        <w:pStyle w:val="FootnoteText"/>
        <w:rPr>
          <w:lang w:val="en-CA"/>
        </w:rPr>
      </w:pPr>
      <w:r>
        <w:rPr>
          <w:rStyle w:val="FootnoteReference"/>
        </w:rPr>
        <w:footnoteRef/>
      </w:r>
      <w:r>
        <w:t xml:space="preserve"> </w:t>
      </w:r>
      <w:r>
        <w:rPr>
          <w:lang w:val="en-CA"/>
        </w:rPr>
        <w:t>Ibid., 604.</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6C2A80"/>
    <w:multiLevelType w:val="hybridMultilevel"/>
    <w:tmpl w:val="3A321ED2"/>
    <w:lvl w:ilvl="0" w:tplc="A88214B0">
      <w:start w:val="1"/>
      <w:numFmt w:val="bullet"/>
      <w:lvlText w:val=""/>
      <w:lvlJc w:val="left"/>
      <w:pPr>
        <w:tabs>
          <w:tab w:val="num" w:pos="720"/>
        </w:tabs>
        <w:ind w:left="720" w:hanging="360"/>
      </w:pPr>
      <w:rPr>
        <w:rFonts w:ascii="Wingdings 3" w:hAnsi="Wingdings 3" w:hint="default"/>
      </w:rPr>
    </w:lvl>
    <w:lvl w:ilvl="1" w:tplc="E804602A" w:tentative="1">
      <w:start w:val="1"/>
      <w:numFmt w:val="bullet"/>
      <w:lvlText w:val=""/>
      <w:lvlJc w:val="left"/>
      <w:pPr>
        <w:tabs>
          <w:tab w:val="num" w:pos="1440"/>
        </w:tabs>
        <w:ind w:left="1440" w:hanging="360"/>
      </w:pPr>
      <w:rPr>
        <w:rFonts w:ascii="Wingdings 3" w:hAnsi="Wingdings 3" w:hint="default"/>
      </w:rPr>
    </w:lvl>
    <w:lvl w:ilvl="2" w:tplc="B1D01A48" w:tentative="1">
      <w:start w:val="1"/>
      <w:numFmt w:val="bullet"/>
      <w:lvlText w:val=""/>
      <w:lvlJc w:val="left"/>
      <w:pPr>
        <w:tabs>
          <w:tab w:val="num" w:pos="2160"/>
        </w:tabs>
        <w:ind w:left="2160" w:hanging="360"/>
      </w:pPr>
      <w:rPr>
        <w:rFonts w:ascii="Wingdings 3" w:hAnsi="Wingdings 3" w:hint="default"/>
      </w:rPr>
    </w:lvl>
    <w:lvl w:ilvl="3" w:tplc="9056DA8C" w:tentative="1">
      <w:start w:val="1"/>
      <w:numFmt w:val="bullet"/>
      <w:lvlText w:val=""/>
      <w:lvlJc w:val="left"/>
      <w:pPr>
        <w:tabs>
          <w:tab w:val="num" w:pos="2880"/>
        </w:tabs>
        <w:ind w:left="2880" w:hanging="360"/>
      </w:pPr>
      <w:rPr>
        <w:rFonts w:ascii="Wingdings 3" w:hAnsi="Wingdings 3" w:hint="default"/>
      </w:rPr>
    </w:lvl>
    <w:lvl w:ilvl="4" w:tplc="C1A46800" w:tentative="1">
      <w:start w:val="1"/>
      <w:numFmt w:val="bullet"/>
      <w:lvlText w:val=""/>
      <w:lvlJc w:val="left"/>
      <w:pPr>
        <w:tabs>
          <w:tab w:val="num" w:pos="3600"/>
        </w:tabs>
        <w:ind w:left="3600" w:hanging="360"/>
      </w:pPr>
      <w:rPr>
        <w:rFonts w:ascii="Wingdings 3" w:hAnsi="Wingdings 3" w:hint="default"/>
      </w:rPr>
    </w:lvl>
    <w:lvl w:ilvl="5" w:tplc="66F2EFDE" w:tentative="1">
      <w:start w:val="1"/>
      <w:numFmt w:val="bullet"/>
      <w:lvlText w:val=""/>
      <w:lvlJc w:val="left"/>
      <w:pPr>
        <w:tabs>
          <w:tab w:val="num" w:pos="4320"/>
        </w:tabs>
        <w:ind w:left="4320" w:hanging="360"/>
      </w:pPr>
      <w:rPr>
        <w:rFonts w:ascii="Wingdings 3" w:hAnsi="Wingdings 3" w:hint="default"/>
      </w:rPr>
    </w:lvl>
    <w:lvl w:ilvl="6" w:tplc="C43A9174" w:tentative="1">
      <w:start w:val="1"/>
      <w:numFmt w:val="bullet"/>
      <w:lvlText w:val=""/>
      <w:lvlJc w:val="left"/>
      <w:pPr>
        <w:tabs>
          <w:tab w:val="num" w:pos="5040"/>
        </w:tabs>
        <w:ind w:left="5040" w:hanging="360"/>
      </w:pPr>
      <w:rPr>
        <w:rFonts w:ascii="Wingdings 3" w:hAnsi="Wingdings 3" w:hint="default"/>
      </w:rPr>
    </w:lvl>
    <w:lvl w:ilvl="7" w:tplc="9A3EC96E" w:tentative="1">
      <w:start w:val="1"/>
      <w:numFmt w:val="bullet"/>
      <w:lvlText w:val=""/>
      <w:lvlJc w:val="left"/>
      <w:pPr>
        <w:tabs>
          <w:tab w:val="num" w:pos="5760"/>
        </w:tabs>
        <w:ind w:left="5760" w:hanging="360"/>
      </w:pPr>
      <w:rPr>
        <w:rFonts w:ascii="Wingdings 3" w:hAnsi="Wingdings 3" w:hint="default"/>
      </w:rPr>
    </w:lvl>
    <w:lvl w:ilvl="8" w:tplc="26C47B8C" w:tentative="1">
      <w:start w:val="1"/>
      <w:numFmt w:val="bullet"/>
      <w:lvlText w:val=""/>
      <w:lvlJc w:val="left"/>
      <w:pPr>
        <w:tabs>
          <w:tab w:val="num" w:pos="6480"/>
        </w:tabs>
        <w:ind w:left="6480" w:hanging="360"/>
      </w:pPr>
      <w:rPr>
        <w:rFonts w:ascii="Wingdings 3" w:hAnsi="Wingdings 3" w:hint="default"/>
      </w:rPr>
    </w:lvl>
  </w:abstractNum>
  <w:abstractNum w:abstractNumId="1">
    <w:nsid w:val="139C03F0"/>
    <w:multiLevelType w:val="hybridMultilevel"/>
    <w:tmpl w:val="581A7160"/>
    <w:lvl w:ilvl="0" w:tplc="E23A81F4">
      <w:start w:val="1"/>
      <w:numFmt w:val="bullet"/>
      <w:lvlText w:val=""/>
      <w:lvlJc w:val="left"/>
      <w:pPr>
        <w:tabs>
          <w:tab w:val="num" w:pos="720"/>
        </w:tabs>
        <w:ind w:left="720" w:hanging="360"/>
      </w:pPr>
      <w:rPr>
        <w:rFonts w:ascii="Wingdings 3" w:hAnsi="Wingdings 3" w:hint="default"/>
      </w:rPr>
    </w:lvl>
    <w:lvl w:ilvl="1" w:tplc="D0FE55F4" w:tentative="1">
      <w:start w:val="1"/>
      <w:numFmt w:val="bullet"/>
      <w:lvlText w:val=""/>
      <w:lvlJc w:val="left"/>
      <w:pPr>
        <w:tabs>
          <w:tab w:val="num" w:pos="1440"/>
        </w:tabs>
        <w:ind w:left="1440" w:hanging="360"/>
      </w:pPr>
      <w:rPr>
        <w:rFonts w:ascii="Wingdings 3" w:hAnsi="Wingdings 3" w:hint="default"/>
      </w:rPr>
    </w:lvl>
    <w:lvl w:ilvl="2" w:tplc="09C8C2AE" w:tentative="1">
      <w:start w:val="1"/>
      <w:numFmt w:val="bullet"/>
      <w:lvlText w:val=""/>
      <w:lvlJc w:val="left"/>
      <w:pPr>
        <w:tabs>
          <w:tab w:val="num" w:pos="2160"/>
        </w:tabs>
        <w:ind w:left="2160" w:hanging="360"/>
      </w:pPr>
      <w:rPr>
        <w:rFonts w:ascii="Wingdings 3" w:hAnsi="Wingdings 3" w:hint="default"/>
      </w:rPr>
    </w:lvl>
    <w:lvl w:ilvl="3" w:tplc="3BEC3DE8" w:tentative="1">
      <w:start w:val="1"/>
      <w:numFmt w:val="bullet"/>
      <w:lvlText w:val=""/>
      <w:lvlJc w:val="left"/>
      <w:pPr>
        <w:tabs>
          <w:tab w:val="num" w:pos="2880"/>
        </w:tabs>
        <w:ind w:left="2880" w:hanging="360"/>
      </w:pPr>
      <w:rPr>
        <w:rFonts w:ascii="Wingdings 3" w:hAnsi="Wingdings 3" w:hint="default"/>
      </w:rPr>
    </w:lvl>
    <w:lvl w:ilvl="4" w:tplc="3FA4C7A6" w:tentative="1">
      <w:start w:val="1"/>
      <w:numFmt w:val="bullet"/>
      <w:lvlText w:val=""/>
      <w:lvlJc w:val="left"/>
      <w:pPr>
        <w:tabs>
          <w:tab w:val="num" w:pos="3600"/>
        </w:tabs>
        <w:ind w:left="3600" w:hanging="360"/>
      </w:pPr>
      <w:rPr>
        <w:rFonts w:ascii="Wingdings 3" w:hAnsi="Wingdings 3" w:hint="default"/>
      </w:rPr>
    </w:lvl>
    <w:lvl w:ilvl="5" w:tplc="A1281E68" w:tentative="1">
      <w:start w:val="1"/>
      <w:numFmt w:val="bullet"/>
      <w:lvlText w:val=""/>
      <w:lvlJc w:val="left"/>
      <w:pPr>
        <w:tabs>
          <w:tab w:val="num" w:pos="4320"/>
        </w:tabs>
        <w:ind w:left="4320" w:hanging="360"/>
      </w:pPr>
      <w:rPr>
        <w:rFonts w:ascii="Wingdings 3" w:hAnsi="Wingdings 3" w:hint="default"/>
      </w:rPr>
    </w:lvl>
    <w:lvl w:ilvl="6" w:tplc="DB9EF9FC" w:tentative="1">
      <w:start w:val="1"/>
      <w:numFmt w:val="bullet"/>
      <w:lvlText w:val=""/>
      <w:lvlJc w:val="left"/>
      <w:pPr>
        <w:tabs>
          <w:tab w:val="num" w:pos="5040"/>
        </w:tabs>
        <w:ind w:left="5040" w:hanging="360"/>
      </w:pPr>
      <w:rPr>
        <w:rFonts w:ascii="Wingdings 3" w:hAnsi="Wingdings 3" w:hint="default"/>
      </w:rPr>
    </w:lvl>
    <w:lvl w:ilvl="7" w:tplc="E5662B56" w:tentative="1">
      <w:start w:val="1"/>
      <w:numFmt w:val="bullet"/>
      <w:lvlText w:val=""/>
      <w:lvlJc w:val="left"/>
      <w:pPr>
        <w:tabs>
          <w:tab w:val="num" w:pos="5760"/>
        </w:tabs>
        <w:ind w:left="5760" w:hanging="360"/>
      </w:pPr>
      <w:rPr>
        <w:rFonts w:ascii="Wingdings 3" w:hAnsi="Wingdings 3" w:hint="default"/>
      </w:rPr>
    </w:lvl>
    <w:lvl w:ilvl="8" w:tplc="EF10C460" w:tentative="1">
      <w:start w:val="1"/>
      <w:numFmt w:val="bullet"/>
      <w:lvlText w:val=""/>
      <w:lvlJc w:val="left"/>
      <w:pPr>
        <w:tabs>
          <w:tab w:val="num" w:pos="6480"/>
        </w:tabs>
        <w:ind w:left="6480" w:hanging="360"/>
      </w:pPr>
      <w:rPr>
        <w:rFonts w:ascii="Wingdings 3" w:hAnsi="Wingdings 3" w:hint="default"/>
      </w:rPr>
    </w:lvl>
  </w:abstractNum>
  <w:abstractNum w:abstractNumId="2">
    <w:nsid w:val="49CB363D"/>
    <w:multiLevelType w:val="hybridMultilevel"/>
    <w:tmpl w:val="FC3AFEAA"/>
    <w:lvl w:ilvl="0" w:tplc="4F56E58C">
      <w:start w:val="1"/>
      <w:numFmt w:val="bullet"/>
      <w:lvlText w:val=""/>
      <w:lvlJc w:val="left"/>
      <w:pPr>
        <w:tabs>
          <w:tab w:val="num" w:pos="720"/>
        </w:tabs>
        <w:ind w:left="720" w:hanging="360"/>
      </w:pPr>
      <w:rPr>
        <w:rFonts w:ascii="Wingdings 3" w:hAnsi="Wingdings 3" w:hint="default"/>
      </w:rPr>
    </w:lvl>
    <w:lvl w:ilvl="1" w:tplc="E60ABD00" w:tentative="1">
      <w:start w:val="1"/>
      <w:numFmt w:val="bullet"/>
      <w:lvlText w:val=""/>
      <w:lvlJc w:val="left"/>
      <w:pPr>
        <w:tabs>
          <w:tab w:val="num" w:pos="1440"/>
        </w:tabs>
        <w:ind w:left="1440" w:hanging="360"/>
      </w:pPr>
      <w:rPr>
        <w:rFonts w:ascii="Wingdings 3" w:hAnsi="Wingdings 3" w:hint="default"/>
      </w:rPr>
    </w:lvl>
    <w:lvl w:ilvl="2" w:tplc="1F0ECDA6" w:tentative="1">
      <w:start w:val="1"/>
      <w:numFmt w:val="bullet"/>
      <w:lvlText w:val=""/>
      <w:lvlJc w:val="left"/>
      <w:pPr>
        <w:tabs>
          <w:tab w:val="num" w:pos="2160"/>
        </w:tabs>
        <w:ind w:left="2160" w:hanging="360"/>
      </w:pPr>
      <w:rPr>
        <w:rFonts w:ascii="Wingdings 3" w:hAnsi="Wingdings 3" w:hint="default"/>
      </w:rPr>
    </w:lvl>
    <w:lvl w:ilvl="3" w:tplc="F168CAA4" w:tentative="1">
      <w:start w:val="1"/>
      <w:numFmt w:val="bullet"/>
      <w:lvlText w:val=""/>
      <w:lvlJc w:val="left"/>
      <w:pPr>
        <w:tabs>
          <w:tab w:val="num" w:pos="2880"/>
        </w:tabs>
        <w:ind w:left="2880" w:hanging="360"/>
      </w:pPr>
      <w:rPr>
        <w:rFonts w:ascii="Wingdings 3" w:hAnsi="Wingdings 3" w:hint="default"/>
      </w:rPr>
    </w:lvl>
    <w:lvl w:ilvl="4" w:tplc="72246014" w:tentative="1">
      <w:start w:val="1"/>
      <w:numFmt w:val="bullet"/>
      <w:lvlText w:val=""/>
      <w:lvlJc w:val="left"/>
      <w:pPr>
        <w:tabs>
          <w:tab w:val="num" w:pos="3600"/>
        </w:tabs>
        <w:ind w:left="3600" w:hanging="360"/>
      </w:pPr>
      <w:rPr>
        <w:rFonts w:ascii="Wingdings 3" w:hAnsi="Wingdings 3" w:hint="default"/>
      </w:rPr>
    </w:lvl>
    <w:lvl w:ilvl="5" w:tplc="7A58DF40" w:tentative="1">
      <w:start w:val="1"/>
      <w:numFmt w:val="bullet"/>
      <w:lvlText w:val=""/>
      <w:lvlJc w:val="left"/>
      <w:pPr>
        <w:tabs>
          <w:tab w:val="num" w:pos="4320"/>
        </w:tabs>
        <w:ind w:left="4320" w:hanging="360"/>
      </w:pPr>
      <w:rPr>
        <w:rFonts w:ascii="Wingdings 3" w:hAnsi="Wingdings 3" w:hint="default"/>
      </w:rPr>
    </w:lvl>
    <w:lvl w:ilvl="6" w:tplc="42CE5F3A" w:tentative="1">
      <w:start w:val="1"/>
      <w:numFmt w:val="bullet"/>
      <w:lvlText w:val=""/>
      <w:lvlJc w:val="left"/>
      <w:pPr>
        <w:tabs>
          <w:tab w:val="num" w:pos="5040"/>
        </w:tabs>
        <w:ind w:left="5040" w:hanging="360"/>
      </w:pPr>
      <w:rPr>
        <w:rFonts w:ascii="Wingdings 3" w:hAnsi="Wingdings 3" w:hint="default"/>
      </w:rPr>
    </w:lvl>
    <w:lvl w:ilvl="7" w:tplc="B502AD58" w:tentative="1">
      <w:start w:val="1"/>
      <w:numFmt w:val="bullet"/>
      <w:lvlText w:val=""/>
      <w:lvlJc w:val="left"/>
      <w:pPr>
        <w:tabs>
          <w:tab w:val="num" w:pos="5760"/>
        </w:tabs>
        <w:ind w:left="5760" w:hanging="360"/>
      </w:pPr>
      <w:rPr>
        <w:rFonts w:ascii="Wingdings 3" w:hAnsi="Wingdings 3" w:hint="default"/>
      </w:rPr>
    </w:lvl>
    <w:lvl w:ilvl="8" w:tplc="90020C50" w:tentative="1">
      <w:start w:val="1"/>
      <w:numFmt w:val="bullet"/>
      <w:lvlText w:val=""/>
      <w:lvlJc w:val="left"/>
      <w:pPr>
        <w:tabs>
          <w:tab w:val="num" w:pos="6480"/>
        </w:tabs>
        <w:ind w:left="6480" w:hanging="360"/>
      </w:pPr>
      <w:rPr>
        <w:rFonts w:ascii="Wingdings 3" w:hAnsi="Wingdings 3" w:hint="default"/>
      </w:rPr>
    </w:lvl>
  </w:abstractNum>
  <w:abstractNum w:abstractNumId="3">
    <w:nsid w:val="516E3963"/>
    <w:multiLevelType w:val="hybridMultilevel"/>
    <w:tmpl w:val="B8EE0582"/>
    <w:lvl w:ilvl="0" w:tplc="94368560">
      <w:start w:val="1"/>
      <w:numFmt w:val="bullet"/>
      <w:lvlText w:val=""/>
      <w:lvlJc w:val="left"/>
      <w:pPr>
        <w:tabs>
          <w:tab w:val="num" w:pos="720"/>
        </w:tabs>
        <w:ind w:left="720" w:hanging="360"/>
      </w:pPr>
      <w:rPr>
        <w:rFonts w:ascii="Wingdings 3" w:hAnsi="Wingdings 3" w:hint="default"/>
      </w:rPr>
    </w:lvl>
    <w:lvl w:ilvl="1" w:tplc="33745BDC" w:tentative="1">
      <w:start w:val="1"/>
      <w:numFmt w:val="bullet"/>
      <w:lvlText w:val=""/>
      <w:lvlJc w:val="left"/>
      <w:pPr>
        <w:tabs>
          <w:tab w:val="num" w:pos="1440"/>
        </w:tabs>
        <w:ind w:left="1440" w:hanging="360"/>
      </w:pPr>
      <w:rPr>
        <w:rFonts w:ascii="Wingdings 3" w:hAnsi="Wingdings 3" w:hint="default"/>
      </w:rPr>
    </w:lvl>
    <w:lvl w:ilvl="2" w:tplc="5ACE22A0" w:tentative="1">
      <w:start w:val="1"/>
      <w:numFmt w:val="bullet"/>
      <w:lvlText w:val=""/>
      <w:lvlJc w:val="left"/>
      <w:pPr>
        <w:tabs>
          <w:tab w:val="num" w:pos="2160"/>
        </w:tabs>
        <w:ind w:left="2160" w:hanging="360"/>
      </w:pPr>
      <w:rPr>
        <w:rFonts w:ascii="Wingdings 3" w:hAnsi="Wingdings 3" w:hint="default"/>
      </w:rPr>
    </w:lvl>
    <w:lvl w:ilvl="3" w:tplc="D1A687BE" w:tentative="1">
      <w:start w:val="1"/>
      <w:numFmt w:val="bullet"/>
      <w:lvlText w:val=""/>
      <w:lvlJc w:val="left"/>
      <w:pPr>
        <w:tabs>
          <w:tab w:val="num" w:pos="2880"/>
        </w:tabs>
        <w:ind w:left="2880" w:hanging="360"/>
      </w:pPr>
      <w:rPr>
        <w:rFonts w:ascii="Wingdings 3" w:hAnsi="Wingdings 3" w:hint="default"/>
      </w:rPr>
    </w:lvl>
    <w:lvl w:ilvl="4" w:tplc="1714C13E" w:tentative="1">
      <w:start w:val="1"/>
      <w:numFmt w:val="bullet"/>
      <w:lvlText w:val=""/>
      <w:lvlJc w:val="left"/>
      <w:pPr>
        <w:tabs>
          <w:tab w:val="num" w:pos="3600"/>
        </w:tabs>
        <w:ind w:left="3600" w:hanging="360"/>
      </w:pPr>
      <w:rPr>
        <w:rFonts w:ascii="Wingdings 3" w:hAnsi="Wingdings 3" w:hint="default"/>
      </w:rPr>
    </w:lvl>
    <w:lvl w:ilvl="5" w:tplc="EA08E33C" w:tentative="1">
      <w:start w:val="1"/>
      <w:numFmt w:val="bullet"/>
      <w:lvlText w:val=""/>
      <w:lvlJc w:val="left"/>
      <w:pPr>
        <w:tabs>
          <w:tab w:val="num" w:pos="4320"/>
        </w:tabs>
        <w:ind w:left="4320" w:hanging="360"/>
      </w:pPr>
      <w:rPr>
        <w:rFonts w:ascii="Wingdings 3" w:hAnsi="Wingdings 3" w:hint="default"/>
      </w:rPr>
    </w:lvl>
    <w:lvl w:ilvl="6" w:tplc="34EA4B0E" w:tentative="1">
      <w:start w:val="1"/>
      <w:numFmt w:val="bullet"/>
      <w:lvlText w:val=""/>
      <w:lvlJc w:val="left"/>
      <w:pPr>
        <w:tabs>
          <w:tab w:val="num" w:pos="5040"/>
        </w:tabs>
        <w:ind w:left="5040" w:hanging="360"/>
      </w:pPr>
      <w:rPr>
        <w:rFonts w:ascii="Wingdings 3" w:hAnsi="Wingdings 3" w:hint="default"/>
      </w:rPr>
    </w:lvl>
    <w:lvl w:ilvl="7" w:tplc="EB1AD4E6" w:tentative="1">
      <w:start w:val="1"/>
      <w:numFmt w:val="bullet"/>
      <w:lvlText w:val=""/>
      <w:lvlJc w:val="left"/>
      <w:pPr>
        <w:tabs>
          <w:tab w:val="num" w:pos="5760"/>
        </w:tabs>
        <w:ind w:left="5760" w:hanging="360"/>
      </w:pPr>
      <w:rPr>
        <w:rFonts w:ascii="Wingdings 3" w:hAnsi="Wingdings 3" w:hint="default"/>
      </w:rPr>
    </w:lvl>
    <w:lvl w:ilvl="8" w:tplc="0D2EF3E8" w:tentative="1">
      <w:start w:val="1"/>
      <w:numFmt w:val="bullet"/>
      <w:lvlText w:val=""/>
      <w:lvlJc w:val="left"/>
      <w:pPr>
        <w:tabs>
          <w:tab w:val="num" w:pos="6480"/>
        </w:tabs>
        <w:ind w:left="6480" w:hanging="360"/>
      </w:pPr>
      <w:rPr>
        <w:rFonts w:ascii="Wingdings 3" w:hAnsi="Wingdings 3" w:hint="default"/>
      </w:rPr>
    </w:lvl>
  </w:abstractNum>
  <w:abstractNum w:abstractNumId="4">
    <w:nsid w:val="57BB5912"/>
    <w:multiLevelType w:val="hybridMultilevel"/>
    <w:tmpl w:val="890C19EE"/>
    <w:lvl w:ilvl="0" w:tplc="151E9318">
      <w:start w:val="1"/>
      <w:numFmt w:val="bullet"/>
      <w:lvlText w:val=""/>
      <w:lvlJc w:val="left"/>
      <w:pPr>
        <w:tabs>
          <w:tab w:val="num" w:pos="720"/>
        </w:tabs>
        <w:ind w:left="720" w:hanging="360"/>
      </w:pPr>
      <w:rPr>
        <w:rFonts w:ascii="Wingdings 3" w:hAnsi="Wingdings 3" w:hint="default"/>
      </w:rPr>
    </w:lvl>
    <w:lvl w:ilvl="1" w:tplc="87C87232" w:tentative="1">
      <w:start w:val="1"/>
      <w:numFmt w:val="bullet"/>
      <w:lvlText w:val=""/>
      <w:lvlJc w:val="left"/>
      <w:pPr>
        <w:tabs>
          <w:tab w:val="num" w:pos="1440"/>
        </w:tabs>
        <w:ind w:left="1440" w:hanging="360"/>
      </w:pPr>
      <w:rPr>
        <w:rFonts w:ascii="Wingdings 3" w:hAnsi="Wingdings 3" w:hint="default"/>
      </w:rPr>
    </w:lvl>
    <w:lvl w:ilvl="2" w:tplc="5BBEEF32" w:tentative="1">
      <w:start w:val="1"/>
      <w:numFmt w:val="bullet"/>
      <w:lvlText w:val=""/>
      <w:lvlJc w:val="left"/>
      <w:pPr>
        <w:tabs>
          <w:tab w:val="num" w:pos="2160"/>
        </w:tabs>
        <w:ind w:left="2160" w:hanging="360"/>
      </w:pPr>
      <w:rPr>
        <w:rFonts w:ascii="Wingdings 3" w:hAnsi="Wingdings 3" w:hint="default"/>
      </w:rPr>
    </w:lvl>
    <w:lvl w:ilvl="3" w:tplc="E9364D76" w:tentative="1">
      <w:start w:val="1"/>
      <w:numFmt w:val="bullet"/>
      <w:lvlText w:val=""/>
      <w:lvlJc w:val="left"/>
      <w:pPr>
        <w:tabs>
          <w:tab w:val="num" w:pos="2880"/>
        </w:tabs>
        <w:ind w:left="2880" w:hanging="360"/>
      </w:pPr>
      <w:rPr>
        <w:rFonts w:ascii="Wingdings 3" w:hAnsi="Wingdings 3" w:hint="default"/>
      </w:rPr>
    </w:lvl>
    <w:lvl w:ilvl="4" w:tplc="35AC73A2" w:tentative="1">
      <w:start w:val="1"/>
      <w:numFmt w:val="bullet"/>
      <w:lvlText w:val=""/>
      <w:lvlJc w:val="left"/>
      <w:pPr>
        <w:tabs>
          <w:tab w:val="num" w:pos="3600"/>
        </w:tabs>
        <w:ind w:left="3600" w:hanging="360"/>
      </w:pPr>
      <w:rPr>
        <w:rFonts w:ascii="Wingdings 3" w:hAnsi="Wingdings 3" w:hint="default"/>
      </w:rPr>
    </w:lvl>
    <w:lvl w:ilvl="5" w:tplc="AD52C6BC" w:tentative="1">
      <w:start w:val="1"/>
      <w:numFmt w:val="bullet"/>
      <w:lvlText w:val=""/>
      <w:lvlJc w:val="left"/>
      <w:pPr>
        <w:tabs>
          <w:tab w:val="num" w:pos="4320"/>
        </w:tabs>
        <w:ind w:left="4320" w:hanging="360"/>
      </w:pPr>
      <w:rPr>
        <w:rFonts w:ascii="Wingdings 3" w:hAnsi="Wingdings 3" w:hint="default"/>
      </w:rPr>
    </w:lvl>
    <w:lvl w:ilvl="6" w:tplc="BB425CAE" w:tentative="1">
      <w:start w:val="1"/>
      <w:numFmt w:val="bullet"/>
      <w:lvlText w:val=""/>
      <w:lvlJc w:val="left"/>
      <w:pPr>
        <w:tabs>
          <w:tab w:val="num" w:pos="5040"/>
        </w:tabs>
        <w:ind w:left="5040" w:hanging="360"/>
      </w:pPr>
      <w:rPr>
        <w:rFonts w:ascii="Wingdings 3" w:hAnsi="Wingdings 3" w:hint="default"/>
      </w:rPr>
    </w:lvl>
    <w:lvl w:ilvl="7" w:tplc="0742F336" w:tentative="1">
      <w:start w:val="1"/>
      <w:numFmt w:val="bullet"/>
      <w:lvlText w:val=""/>
      <w:lvlJc w:val="left"/>
      <w:pPr>
        <w:tabs>
          <w:tab w:val="num" w:pos="5760"/>
        </w:tabs>
        <w:ind w:left="5760" w:hanging="360"/>
      </w:pPr>
      <w:rPr>
        <w:rFonts w:ascii="Wingdings 3" w:hAnsi="Wingdings 3" w:hint="default"/>
      </w:rPr>
    </w:lvl>
    <w:lvl w:ilvl="8" w:tplc="EC30B0C4"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395"/>
    <w:rsid w:val="000040F6"/>
    <w:rsid w:val="0000641B"/>
    <w:rsid w:val="000069F5"/>
    <w:rsid w:val="00014218"/>
    <w:rsid w:val="00022F5D"/>
    <w:rsid w:val="00024C5D"/>
    <w:rsid w:val="0003197B"/>
    <w:rsid w:val="00037131"/>
    <w:rsid w:val="00046B76"/>
    <w:rsid w:val="00051A44"/>
    <w:rsid w:val="00054D7C"/>
    <w:rsid w:val="00055F1C"/>
    <w:rsid w:val="00080A8C"/>
    <w:rsid w:val="000A2F39"/>
    <w:rsid w:val="000B487B"/>
    <w:rsid w:val="000D0A35"/>
    <w:rsid w:val="000D3CB1"/>
    <w:rsid w:val="000F4107"/>
    <w:rsid w:val="001108E3"/>
    <w:rsid w:val="00121099"/>
    <w:rsid w:val="0012584B"/>
    <w:rsid w:val="00127226"/>
    <w:rsid w:val="0013642A"/>
    <w:rsid w:val="00137DFE"/>
    <w:rsid w:val="00170F9E"/>
    <w:rsid w:val="001761AD"/>
    <w:rsid w:val="00196CDC"/>
    <w:rsid w:val="00196F63"/>
    <w:rsid w:val="001A0CF2"/>
    <w:rsid w:val="001C4F35"/>
    <w:rsid w:val="001C6BC5"/>
    <w:rsid w:val="001D0083"/>
    <w:rsid w:val="001F59C3"/>
    <w:rsid w:val="00203868"/>
    <w:rsid w:val="00206F1E"/>
    <w:rsid w:val="00212CE0"/>
    <w:rsid w:val="002263AD"/>
    <w:rsid w:val="00231E8F"/>
    <w:rsid w:val="00243078"/>
    <w:rsid w:val="002513EA"/>
    <w:rsid w:val="00261BA5"/>
    <w:rsid w:val="00291ECB"/>
    <w:rsid w:val="002C249C"/>
    <w:rsid w:val="002D6D9F"/>
    <w:rsid w:val="002E2F61"/>
    <w:rsid w:val="002E38A9"/>
    <w:rsid w:val="002F1A8D"/>
    <w:rsid w:val="002F3B96"/>
    <w:rsid w:val="002F6789"/>
    <w:rsid w:val="002F6E3E"/>
    <w:rsid w:val="00316235"/>
    <w:rsid w:val="00321475"/>
    <w:rsid w:val="003279FC"/>
    <w:rsid w:val="00360D77"/>
    <w:rsid w:val="00376712"/>
    <w:rsid w:val="0039255F"/>
    <w:rsid w:val="00393F9D"/>
    <w:rsid w:val="003E262C"/>
    <w:rsid w:val="003E44B8"/>
    <w:rsid w:val="004065C7"/>
    <w:rsid w:val="00406D0B"/>
    <w:rsid w:val="00412D64"/>
    <w:rsid w:val="00434050"/>
    <w:rsid w:val="00436393"/>
    <w:rsid w:val="00450FC1"/>
    <w:rsid w:val="004573B6"/>
    <w:rsid w:val="00471E2D"/>
    <w:rsid w:val="0047580C"/>
    <w:rsid w:val="00477636"/>
    <w:rsid w:val="004802EC"/>
    <w:rsid w:val="00490A68"/>
    <w:rsid w:val="00497167"/>
    <w:rsid w:val="004A394C"/>
    <w:rsid w:val="004A6CE5"/>
    <w:rsid w:val="004C105F"/>
    <w:rsid w:val="004D1CD0"/>
    <w:rsid w:val="004E5E9C"/>
    <w:rsid w:val="004F6782"/>
    <w:rsid w:val="005135F7"/>
    <w:rsid w:val="00521DEE"/>
    <w:rsid w:val="005467D4"/>
    <w:rsid w:val="00554DFD"/>
    <w:rsid w:val="0057083E"/>
    <w:rsid w:val="00592CA6"/>
    <w:rsid w:val="005A0ED3"/>
    <w:rsid w:val="005A36C2"/>
    <w:rsid w:val="005C6C2F"/>
    <w:rsid w:val="005D0080"/>
    <w:rsid w:val="005F353F"/>
    <w:rsid w:val="0060207C"/>
    <w:rsid w:val="006308C5"/>
    <w:rsid w:val="00636A71"/>
    <w:rsid w:val="006418F9"/>
    <w:rsid w:val="006479D0"/>
    <w:rsid w:val="00665433"/>
    <w:rsid w:val="00667D82"/>
    <w:rsid w:val="00677920"/>
    <w:rsid w:val="00687461"/>
    <w:rsid w:val="006965D0"/>
    <w:rsid w:val="006A064B"/>
    <w:rsid w:val="006A62C0"/>
    <w:rsid w:val="006D338F"/>
    <w:rsid w:val="006E30E9"/>
    <w:rsid w:val="006F427D"/>
    <w:rsid w:val="00714AB8"/>
    <w:rsid w:val="00715A32"/>
    <w:rsid w:val="00723185"/>
    <w:rsid w:val="00733803"/>
    <w:rsid w:val="00737B5E"/>
    <w:rsid w:val="007622DB"/>
    <w:rsid w:val="007739E8"/>
    <w:rsid w:val="00786BAA"/>
    <w:rsid w:val="00787895"/>
    <w:rsid w:val="007900B1"/>
    <w:rsid w:val="00790184"/>
    <w:rsid w:val="0079151F"/>
    <w:rsid w:val="007A470A"/>
    <w:rsid w:val="007D6163"/>
    <w:rsid w:val="007E0072"/>
    <w:rsid w:val="007F5606"/>
    <w:rsid w:val="00811027"/>
    <w:rsid w:val="008623AA"/>
    <w:rsid w:val="00873C5C"/>
    <w:rsid w:val="0088692B"/>
    <w:rsid w:val="008A224B"/>
    <w:rsid w:val="008A4FDD"/>
    <w:rsid w:val="00920556"/>
    <w:rsid w:val="009209B7"/>
    <w:rsid w:val="009220A1"/>
    <w:rsid w:val="0093289E"/>
    <w:rsid w:val="00934A74"/>
    <w:rsid w:val="00935450"/>
    <w:rsid w:val="00964AB8"/>
    <w:rsid w:val="00980086"/>
    <w:rsid w:val="00985172"/>
    <w:rsid w:val="00990738"/>
    <w:rsid w:val="0099336A"/>
    <w:rsid w:val="00993BB0"/>
    <w:rsid w:val="00994E23"/>
    <w:rsid w:val="009B012A"/>
    <w:rsid w:val="009C4338"/>
    <w:rsid w:val="009D778A"/>
    <w:rsid w:val="009E0556"/>
    <w:rsid w:val="009E6DF3"/>
    <w:rsid w:val="00A03A1B"/>
    <w:rsid w:val="00A04FE8"/>
    <w:rsid w:val="00A17701"/>
    <w:rsid w:val="00A248EA"/>
    <w:rsid w:val="00A71394"/>
    <w:rsid w:val="00AC7A8F"/>
    <w:rsid w:val="00AE0A84"/>
    <w:rsid w:val="00AF0B63"/>
    <w:rsid w:val="00AF26AB"/>
    <w:rsid w:val="00AF6F32"/>
    <w:rsid w:val="00B108A6"/>
    <w:rsid w:val="00B4529C"/>
    <w:rsid w:val="00B471F5"/>
    <w:rsid w:val="00B872B2"/>
    <w:rsid w:val="00B95FCF"/>
    <w:rsid w:val="00BA3D14"/>
    <w:rsid w:val="00BA4DFD"/>
    <w:rsid w:val="00BA596C"/>
    <w:rsid w:val="00BA6F80"/>
    <w:rsid w:val="00BB227E"/>
    <w:rsid w:val="00BC3154"/>
    <w:rsid w:val="00BD38FF"/>
    <w:rsid w:val="00C0012D"/>
    <w:rsid w:val="00C02983"/>
    <w:rsid w:val="00C043E1"/>
    <w:rsid w:val="00C04BF3"/>
    <w:rsid w:val="00C1618F"/>
    <w:rsid w:val="00C31F3C"/>
    <w:rsid w:val="00C37FBF"/>
    <w:rsid w:val="00C433F6"/>
    <w:rsid w:val="00C64141"/>
    <w:rsid w:val="00CA0DFA"/>
    <w:rsid w:val="00CA51D6"/>
    <w:rsid w:val="00CB1D96"/>
    <w:rsid w:val="00CC6706"/>
    <w:rsid w:val="00CD5530"/>
    <w:rsid w:val="00CE1395"/>
    <w:rsid w:val="00CE3532"/>
    <w:rsid w:val="00CF3D00"/>
    <w:rsid w:val="00CF71CB"/>
    <w:rsid w:val="00D13D4D"/>
    <w:rsid w:val="00D25FB3"/>
    <w:rsid w:val="00D32F8D"/>
    <w:rsid w:val="00D35C3D"/>
    <w:rsid w:val="00D42C97"/>
    <w:rsid w:val="00D43838"/>
    <w:rsid w:val="00D46C2B"/>
    <w:rsid w:val="00D50702"/>
    <w:rsid w:val="00D55DFC"/>
    <w:rsid w:val="00D57F3C"/>
    <w:rsid w:val="00D922CC"/>
    <w:rsid w:val="00DA560E"/>
    <w:rsid w:val="00DB0A34"/>
    <w:rsid w:val="00DB58BC"/>
    <w:rsid w:val="00DC1510"/>
    <w:rsid w:val="00DC44C7"/>
    <w:rsid w:val="00DC6ACD"/>
    <w:rsid w:val="00DE62B6"/>
    <w:rsid w:val="00DF6417"/>
    <w:rsid w:val="00E011AD"/>
    <w:rsid w:val="00E10C32"/>
    <w:rsid w:val="00E13E91"/>
    <w:rsid w:val="00E24676"/>
    <w:rsid w:val="00E63046"/>
    <w:rsid w:val="00E660AF"/>
    <w:rsid w:val="00E80184"/>
    <w:rsid w:val="00E87419"/>
    <w:rsid w:val="00E92E7D"/>
    <w:rsid w:val="00EF1C30"/>
    <w:rsid w:val="00F04E5B"/>
    <w:rsid w:val="00F0774D"/>
    <w:rsid w:val="00F4738F"/>
    <w:rsid w:val="00F52D0C"/>
    <w:rsid w:val="00F70517"/>
    <w:rsid w:val="00F72E42"/>
    <w:rsid w:val="00F75603"/>
    <w:rsid w:val="00F839AF"/>
    <w:rsid w:val="00F9320E"/>
    <w:rsid w:val="00F9561F"/>
    <w:rsid w:val="00FA3A09"/>
    <w:rsid w:val="00FC4E19"/>
    <w:rsid w:val="00FC5323"/>
    <w:rsid w:val="00FD1B2F"/>
    <w:rsid w:val="00FE4770"/>
    <w:rsid w:val="00FF3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DE31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4A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4A74"/>
    <w:rPr>
      <w:rFonts w:ascii="Segoe UI" w:hAnsi="Segoe UI" w:cs="Segoe UI"/>
      <w:sz w:val="18"/>
      <w:szCs w:val="18"/>
    </w:rPr>
  </w:style>
  <w:style w:type="character" w:styleId="CommentReference">
    <w:name w:val="annotation reference"/>
    <w:basedOn w:val="DefaultParagraphFont"/>
    <w:uiPriority w:val="99"/>
    <w:semiHidden/>
    <w:unhideWhenUsed/>
    <w:rsid w:val="00037131"/>
    <w:rPr>
      <w:sz w:val="16"/>
      <w:szCs w:val="16"/>
    </w:rPr>
  </w:style>
  <w:style w:type="paragraph" w:styleId="CommentText">
    <w:name w:val="annotation text"/>
    <w:basedOn w:val="Normal"/>
    <w:link w:val="CommentTextChar"/>
    <w:uiPriority w:val="99"/>
    <w:semiHidden/>
    <w:unhideWhenUsed/>
    <w:rsid w:val="00037131"/>
    <w:rPr>
      <w:sz w:val="20"/>
      <w:szCs w:val="20"/>
    </w:rPr>
  </w:style>
  <w:style w:type="character" w:customStyle="1" w:styleId="CommentTextChar">
    <w:name w:val="Comment Text Char"/>
    <w:basedOn w:val="DefaultParagraphFont"/>
    <w:link w:val="CommentText"/>
    <w:uiPriority w:val="99"/>
    <w:semiHidden/>
    <w:rsid w:val="00037131"/>
    <w:rPr>
      <w:sz w:val="20"/>
      <w:szCs w:val="20"/>
    </w:rPr>
  </w:style>
  <w:style w:type="paragraph" w:styleId="CommentSubject">
    <w:name w:val="annotation subject"/>
    <w:basedOn w:val="CommentText"/>
    <w:next w:val="CommentText"/>
    <w:link w:val="CommentSubjectChar"/>
    <w:uiPriority w:val="99"/>
    <w:semiHidden/>
    <w:unhideWhenUsed/>
    <w:rsid w:val="00037131"/>
    <w:rPr>
      <w:b/>
      <w:bCs/>
    </w:rPr>
  </w:style>
  <w:style w:type="character" w:customStyle="1" w:styleId="CommentSubjectChar">
    <w:name w:val="Comment Subject Char"/>
    <w:basedOn w:val="CommentTextChar"/>
    <w:link w:val="CommentSubject"/>
    <w:uiPriority w:val="99"/>
    <w:semiHidden/>
    <w:rsid w:val="00037131"/>
    <w:rPr>
      <w:b/>
      <w:bCs/>
      <w:sz w:val="20"/>
      <w:szCs w:val="20"/>
    </w:rPr>
  </w:style>
  <w:style w:type="paragraph" w:styleId="FootnoteText">
    <w:name w:val="footnote text"/>
    <w:basedOn w:val="Normal"/>
    <w:link w:val="FootnoteTextChar"/>
    <w:uiPriority w:val="99"/>
    <w:unhideWhenUsed/>
    <w:rsid w:val="00AF0B63"/>
  </w:style>
  <w:style w:type="character" w:customStyle="1" w:styleId="FootnoteTextChar">
    <w:name w:val="Footnote Text Char"/>
    <w:basedOn w:val="DefaultParagraphFont"/>
    <w:link w:val="FootnoteText"/>
    <w:uiPriority w:val="99"/>
    <w:rsid w:val="00AF0B63"/>
  </w:style>
  <w:style w:type="character" w:styleId="FootnoteReference">
    <w:name w:val="footnote reference"/>
    <w:basedOn w:val="DefaultParagraphFont"/>
    <w:uiPriority w:val="99"/>
    <w:unhideWhenUsed/>
    <w:rsid w:val="00AF0B63"/>
    <w:rPr>
      <w:vertAlign w:val="superscript"/>
    </w:rPr>
  </w:style>
  <w:style w:type="paragraph" w:styleId="ListParagraph">
    <w:name w:val="List Paragraph"/>
    <w:basedOn w:val="Normal"/>
    <w:uiPriority w:val="34"/>
    <w:qFormat/>
    <w:rsid w:val="00DB0A34"/>
    <w:pPr>
      <w:ind w:left="720"/>
      <w:contextualSpacing/>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481832">
      <w:bodyDiv w:val="1"/>
      <w:marLeft w:val="0"/>
      <w:marRight w:val="0"/>
      <w:marTop w:val="0"/>
      <w:marBottom w:val="0"/>
      <w:divBdr>
        <w:top w:val="none" w:sz="0" w:space="0" w:color="auto"/>
        <w:left w:val="none" w:sz="0" w:space="0" w:color="auto"/>
        <w:bottom w:val="none" w:sz="0" w:space="0" w:color="auto"/>
        <w:right w:val="none" w:sz="0" w:space="0" w:color="auto"/>
      </w:divBdr>
      <w:divsChild>
        <w:div w:id="1522931014">
          <w:marLeft w:val="547"/>
          <w:marRight w:val="0"/>
          <w:marTop w:val="200"/>
          <w:marBottom w:val="0"/>
          <w:divBdr>
            <w:top w:val="none" w:sz="0" w:space="0" w:color="auto"/>
            <w:left w:val="none" w:sz="0" w:space="0" w:color="auto"/>
            <w:bottom w:val="none" w:sz="0" w:space="0" w:color="auto"/>
            <w:right w:val="none" w:sz="0" w:space="0" w:color="auto"/>
          </w:divBdr>
        </w:div>
      </w:divsChild>
    </w:div>
    <w:div w:id="890194466">
      <w:bodyDiv w:val="1"/>
      <w:marLeft w:val="0"/>
      <w:marRight w:val="0"/>
      <w:marTop w:val="0"/>
      <w:marBottom w:val="0"/>
      <w:divBdr>
        <w:top w:val="none" w:sz="0" w:space="0" w:color="auto"/>
        <w:left w:val="none" w:sz="0" w:space="0" w:color="auto"/>
        <w:bottom w:val="none" w:sz="0" w:space="0" w:color="auto"/>
        <w:right w:val="none" w:sz="0" w:space="0" w:color="auto"/>
      </w:divBdr>
      <w:divsChild>
        <w:div w:id="1272782578">
          <w:marLeft w:val="547"/>
          <w:marRight w:val="0"/>
          <w:marTop w:val="200"/>
          <w:marBottom w:val="0"/>
          <w:divBdr>
            <w:top w:val="none" w:sz="0" w:space="0" w:color="auto"/>
            <w:left w:val="none" w:sz="0" w:space="0" w:color="auto"/>
            <w:bottom w:val="none" w:sz="0" w:space="0" w:color="auto"/>
            <w:right w:val="none" w:sz="0" w:space="0" w:color="auto"/>
          </w:divBdr>
        </w:div>
      </w:divsChild>
    </w:div>
    <w:div w:id="935211370">
      <w:bodyDiv w:val="1"/>
      <w:marLeft w:val="0"/>
      <w:marRight w:val="0"/>
      <w:marTop w:val="0"/>
      <w:marBottom w:val="0"/>
      <w:divBdr>
        <w:top w:val="none" w:sz="0" w:space="0" w:color="auto"/>
        <w:left w:val="none" w:sz="0" w:space="0" w:color="auto"/>
        <w:bottom w:val="none" w:sz="0" w:space="0" w:color="auto"/>
        <w:right w:val="none" w:sz="0" w:space="0" w:color="auto"/>
      </w:divBdr>
      <w:divsChild>
        <w:div w:id="1577591595">
          <w:marLeft w:val="547"/>
          <w:marRight w:val="0"/>
          <w:marTop w:val="200"/>
          <w:marBottom w:val="0"/>
          <w:divBdr>
            <w:top w:val="none" w:sz="0" w:space="0" w:color="auto"/>
            <w:left w:val="none" w:sz="0" w:space="0" w:color="auto"/>
            <w:bottom w:val="none" w:sz="0" w:space="0" w:color="auto"/>
            <w:right w:val="none" w:sz="0" w:space="0" w:color="auto"/>
          </w:divBdr>
        </w:div>
      </w:divsChild>
    </w:div>
    <w:div w:id="1561136383">
      <w:bodyDiv w:val="1"/>
      <w:marLeft w:val="0"/>
      <w:marRight w:val="0"/>
      <w:marTop w:val="0"/>
      <w:marBottom w:val="0"/>
      <w:divBdr>
        <w:top w:val="none" w:sz="0" w:space="0" w:color="auto"/>
        <w:left w:val="none" w:sz="0" w:space="0" w:color="auto"/>
        <w:bottom w:val="none" w:sz="0" w:space="0" w:color="auto"/>
        <w:right w:val="none" w:sz="0" w:space="0" w:color="auto"/>
      </w:divBdr>
      <w:divsChild>
        <w:div w:id="155611446">
          <w:marLeft w:val="547"/>
          <w:marRight w:val="0"/>
          <w:marTop w:val="200"/>
          <w:marBottom w:val="0"/>
          <w:divBdr>
            <w:top w:val="none" w:sz="0" w:space="0" w:color="auto"/>
            <w:left w:val="none" w:sz="0" w:space="0" w:color="auto"/>
            <w:bottom w:val="none" w:sz="0" w:space="0" w:color="auto"/>
            <w:right w:val="none" w:sz="0" w:space="0" w:color="auto"/>
          </w:divBdr>
        </w:div>
      </w:divsChild>
    </w:div>
    <w:div w:id="1678849782">
      <w:bodyDiv w:val="1"/>
      <w:marLeft w:val="0"/>
      <w:marRight w:val="0"/>
      <w:marTop w:val="0"/>
      <w:marBottom w:val="0"/>
      <w:divBdr>
        <w:top w:val="none" w:sz="0" w:space="0" w:color="auto"/>
        <w:left w:val="none" w:sz="0" w:space="0" w:color="auto"/>
        <w:bottom w:val="none" w:sz="0" w:space="0" w:color="auto"/>
        <w:right w:val="none" w:sz="0" w:space="0" w:color="auto"/>
      </w:divBdr>
      <w:divsChild>
        <w:div w:id="791443984">
          <w:marLeft w:val="547"/>
          <w:marRight w:val="0"/>
          <w:marTop w:val="20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4B9E442-B5E8-C146-BA3E-5890EB66A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17</Pages>
  <Words>3858</Words>
  <Characters>21996</Characters>
  <Application>Microsoft Macintosh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Bryce Robinson</dc:creator>
  <cp:keywords/>
  <dc:description/>
  <cp:lastModifiedBy>Bryce Robinson</cp:lastModifiedBy>
  <cp:revision>3</cp:revision>
  <dcterms:created xsi:type="dcterms:W3CDTF">2017-12-12T06:03:00Z</dcterms:created>
  <dcterms:modified xsi:type="dcterms:W3CDTF">2017-12-12T06:06:00Z</dcterms:modified>
</cp:coreProperties>
</file>