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footer1.xml" ContentType="application/vnd.openxmlformats-officedocument.wordprocessingml.footer+xml"/>
  <Override PartName="/word/styles.xml" ContentType="application/vnd.openxmlformats-officedocument.wordprocessingml.styles+xml"/>
  <Override PartName="/word/media/image1.png" ContentType="image/png"/>
  <Override PartName="/word/footer2.xml" ContentType="application/vnd.openxmlformats-officedocument.wordprocessingml.footer+xml"/>
  <Override PartName="/word/numbering.xml" ContentType="application/vnd.openxmlformats-officedocument.wordprocessingml.numbering+xml"/>
  <Override PartName="/word/footer3.xml" ContentType="application/vnd.openxmlformats-officedocument.wordprocessingml.footer+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word/_rels/document.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
        <w:bidi w:val="0"/>
        <w:spacing w:lineRule="auto" w:line="259"/>
        <w:jc w:val="center"/>
        <w:rPr/>
      </w:pPr>
      <w:r>
        <w:rPr/>
        <w:drawing>
          <wp:inline distT="0" distB="0" distL="0" distR="0">
            <wp:extent cx="1812925" cy="600075"/>
            <wp:effectExtent l="0" t="0" r="0" b="0"/>
            <wp:docPr id="1" name="Picture 1" descr="Discover 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
                    <pic:cNvPicPr>
                      <a:picLocks noChangeAspect="1" noChangeArrowheads="1"/>
                    </pic:cNvPicPr>
                  </pic:nvPicPr>
                  <pic:blipFill>
                    <a:blip r:embed="rId2"/>
                    <a:stretch>
                      <a:fillRect/>
                    </a:stretch>
                  </pic:blipFill>
                  <pic:spPr bwMode="auto">
                    <a:xfrm>
                      <a:off x="0" y="0"/>
                      <a:ext cx="1812925" cy="600075"/>
                    </a:xfrm>
                    <a:prstGeom prst="rect">
                      <a:avLst/>
                    </a:prstGeom>
                  </pic:spPr>
                </pic:pic>
              </a:graphicData>
            </a:graphic>
          </wp:inline>
        </w:drawing>
      </w:r>
    </w:p>
    <w:p>
      <w:pPr>
        <w:pStyle w:val="Normal"/>
        <w:bidi w:val="0"/>
        <w:spacing w:lineRule="auto" w:line="259"/>
        <w:jc w:val="left"/>
        <w:rPr/>
      </w:pPr>
      <w:r>
        <w:rPr/>
      </w:r>
    </w:p>
    <w:p>
      <w:pPr>
        <w:pStyle w:val="Normal"/>
        <w:bidi w:val="0"/>
        <w:spacing w:lineRule="auto" w:line="259"/>
        <w:jc w:val="center"/>
        <w:rPr>
          <w:b/>
          <w:bCs/>
          <w:sz w:val="32"/>
          <w:szCs w:val="28"/>
        </w:rPr>
      </w:pPr>
      <w:r>
        <w:rPr>
          <w:b/>
          <w:bCs/>
          <w:sz w:val="32"/>
          <w:szCs w:val="28"/>
        </w:rPr>
      </w:r>
    </w:p>
    <w:p>
      <w:pPr>
        <w:pStyle w:val="Normal"/>
        <w:bidi w:val="0"/>
        <w:spacing w:lineRule="auto" w:line="259"/>
        <w:jc w:val="center"/>
        <w:rPr>
          <w:b/>
          <w:bCs/>
          <w:sz w:val="32"/>
          <w:szCs w:val="28"/>
        </w:rPr>
      </w:pPr>
      <w:r>
        <w:rPr>
          <w:b/>
          <w:bCs/>
          <w:sz w:val="32"/>
          <w:szCs w:val="28"/>
        </w:rPr>
      </w:r>
    </w:p>
    <w:p>
      <w:pPr>
        <w:pStyle w:val="Normal"/>
        <w:bidi w:val="0"/>
        <w:spacing w:lineRule="auto" w:line="259"/>
        <w:jc w:val="center"/>
        <w:rPr>
          <w:b/>
          <w:bCs/>
          <w:sz w:val="32"/>
          <w:szCs w:val="28"/>
        </w:rPr>
      </w:pPr>
      <w:r>
        <w:rPr>
          <w:b/>
          <w:bCs/>
          <w:sz w:val="32"/>
          <w:szCs w:val="28"/>
        </w:rPr>
      </w:r>
    </w:p>
    <w:p>
      <w:pPr>
        <w:pStyle w:val="Normal"/>
        <w:bidi w:val="0"/>
        <w:spacing w:lineRule="auto" w:line="259"/>
        <w:jc w:val="center"/>
        <w:rPr>
          <w:b/>
          <w:bCs/>
          <w:sz w:val="32"/>
          <w:szCs w:val="28"/>
        </w:rPr>
      </w:pPr>
      <w:r>
        <w:rPr>
          <w:b/>
          <w:bCs/>
          <w:sz w:val="32"/>
          <w:szCs w:val="28"/>
        </w:rPr>
      </w:r>
    </w:p>
    <w:p>
      <w:pPr>
        <w:pStyle w:val="Normal"/>
        <w:bidi w:val="0"/>
        <w:spacing w:lineRule="auto" w:line="259"/>
        <w:jc w:val="center"/>
        <w:rPr>
          <w:b/>
          <w:bCs/>
          <w:sz w:val="32"/>
          <w:szCs w:val="28"/>
        </w:rPr>
      </w:pPr>
      <w:r>
        <w:rPr>
          <w:b/>
          <w:bCs/>
          <w:sz w:val="32"/>
          <w:szCs w:val="28"/>
        </w:rPr>
      </w:r>
    </w:p>
    <w:p>
      <w:pPr>
        <w:pStyle w:val="Normal"/>
        <w:bidi w:val="0"/>
        <w:spacing w:lineRule="auto" w:line="259"/>
        <w:jc w:val="center"/>
        <w:rPr>
          <w:b/>
          <w:bCs/>
          <w:sz w:val="32"/>
          <w:szCs w:val="28"/>
        </w:rPr>
      </w:pPr>
      <w:r>
        <w:rPr>
          <w:b/>
          <w:bCs/>
          <w:sz w:val="32"/>
          <w:szCs w:val="28"/>
        </w:rPr>
      </w:r>
    </w:p>
    <w:p>
      <w:pPr>
        <w:pStyle w:val="Normal"/>
        <w:bidi w:val="0"/>
        <w:spacing w:lineRule="auto" w:line="259"/>
        <w:jc w:val="center"/>
        <w:rPr>
          <w:b/>
          <w:bCs/>
          <w:sz w:val="32"/>
          <w:szCs w:val="28"/>
        </w:rPr>
      </w:pPr>
      <w:r>
        <w:rPr>
          <w:b/>
          <w:bCs/>
          <w:sz w:val="32"/>
          <w:szCs w:val="28"/>
        </w:rPr>
      </w:r>
    </w:p>
    <w:p>
      <w:pPr>
        <w:pStyle w:val="Normal"/>
        <w:bidi w:val="0"/>
        <w:spacing w:lineRule="auto" w:line="259"/>
        <w:jc w:val="center"/>
        <w:rPr>
          <w:rFonts w:ascii="Arial" w:hAnsi="Arial"/>
          <w:sz w:val="48"/>
          <w:szCs w:val="48"/>
        </w:rPr>
      </w:pPr>
      <w:r>
        <w:rPr>
          <w:rFonts w:ascii="Arial" w:hAnsi="Arial"/>
          <w:b/>
          <w:bCs/>
          <w:sz w:val="48"/>
          <w:szCs w:val="48"/>
        </w:rPr>
        <w:t>A Change Management Plan:</w:t>
      </w:r>
    </w:p>
    <w:p>
      <w:pPr>
        <w:pStyle w:val="Normal"/>
        <w:bidi w:val="0"/>
        <w:spacing w:lineRule="auto" w:line="259"/>
        <w:jc w:val="center"/>
        <w:rPr>
          <w:rFonts w:ascii="Arial" w:hAnsi="Arial"/>
          <w:sz w:val="48"/>
          <w:szCs w:val="48"/>
        </w:rPr>
      </w:pPr>
      <w:r>
        <w:rPr>
          <w:rFonts w:ascii="Arial" w:hAnsi="Arial"/>
          <w:b/>
          <w:bCs/>
          <w:sz w:val="48"/>
          <w:szCs w:val="48"/>
        </w:rPr>
        <w:t>Lloyds Bank</w:t>
      </w:r>
    </w:p>
    <w:p>
      <w:pPr>
        <w:pStyle w:val="Normal"/>
        <w:bidi w:val="0"/>
        <w:spacing w:lineRule="auto" w:line="259"/>
        <w:jc w:val="left"/>
        <w:rPr>
          <w:b/>
          <w:bCs/>
        </w:rPr>
      </w:pPr>
      <w:r>
        <w:rPr>
          <w:b/>
          <w:bCs/>
        </w:rPr>
      </w:r>
    </w:p>
    <w:p>
      <w:pPr>
        <w:pStyle w:val="Normal"/>
        <w:bidi w:val="0"/>
        <w:spacing w:lineRule="auto" w:line="259"/>
        <w:jc w:val="left"/>
        <w:rPr>
          <w:b/>
          <w:bCs/>
        </w:rPr>
      </w:pPr>
      <w:r>
        <w:rPr>
          <w:b/>
          <w:bCs/>
        </w:rPr>
      </w:r>
    </w:p>
    <w:p>
      <w:pPr>
        <w:pStyle w:val="Normal"/>
        <w:bidi w:val="0"/>
        <w:spacing w:lineRule="auto" w:line="259"/>
        <w:jc w:val="left"/>
        <w:rPr>
          <w:b/>
          <w:bCs/>
        </w:rPr>
      </w:pPr>
      <w:r>
        <w:rPr>
          <w:b/>
          <w:bCs/>
        </w:rPr>
      </w:r>
    </w:p>
    <w:p>
      <w:pPr>
        <w:pStyle w:val="Normal"/>
        <w:bidi w:val="0"/>
        <w:spacing w:lineRule="auto" w:line="259"/>
        <w:jc w:val="left"/>
        <w:rPr>
          <w:b/>
          <w:bCs/>
        </w:rPr>
      </w:pPr>
      <w:r>
        <w:rPr>
          <w:b/>
          <w:bCs/>
        </w:rPr>
      </w:r>
    </w:p>
    <w:p>
      <w:pPr>
        <w:pStyle w:val="Normal"/>
        <w:bidi w:val="0"/>
        <w:spacing w:lineRule="auto" w:line="259"/>
        <w:jc w:val="left"/>
        <w:rPr>
          <w:b/>
          <w:bCs/>
        </w:rPr>
      </w:pPr>
      <w:r>
        <w:rPr>
          <w:b/>
          <w:bCs/>
        </w:rPr>
      </w:r>
    </w:p>
    <w:p>
      <w:pPr>
        <w:pStyle w:val="Normal"/>
        <w:bidi w:val="0"/>
        <w:spacing w:lineRule="auto" w:line="259"/>
        <w:jc w:val="left"/>
        <w:rPr>
          <w:b/>
          <w:bCs/>
        </w:rPr>
      </w:pPr>
      <w:r>
        <w:rPr>
          <w:b/>
          <w:bCs/>
        </w:rPr>
      </w:r>
    </w:p>
    <w:p>
      <w:pPr>
        <w:pStyle w:val="Normal"/>
        <w:bidi w:val="0"/>
        <w:spacing w:lineRule="auto" w:line="259"/>
        <w:jc w:val="center"/>
        <w:rPr>
          <w:rFonts w:ascii="Arial" w:hAnsi="Arial"/>
          <w:sz w:val="30"/>
          <w:szCs w:val="30"/>
        </w:rPr>
      </w:pPr>
      <w:r>
        <w:rPr>
          <w:rFonts w:ascii="Arial" w:hAnsi="Arial"/>
          <w:b/>
          <w:bCs/>
          <w:sz w:val="30"/>
          <w:szCs w:val="30"/>
        </w:rPr>
        <w:t xml:space="preserve">Program: </w:t>
      </w:r>
      <w:r>
        <w:rPr>
          <w:rFonts w:ascii="Arial" w:hAnsi="Arial"/>
          <w:bCs/>
          <w:sz w:val="30"/>
          <w:szCs w:val="30"/>
        </w:rPr>
        <w:t>BA</w:t>
      </w:r>
      <w:r>
        <w:rPr>
          <w:rFonts w:ascii="Arial" w:hAnsi="Arial"/>
          <w:bCs/>
          <w:spacing w:val="-3"/>
          <w:sz w:val="30"/>
          <w:szCs w:val="30"/>
        </w:rPr>
        <w:t xml:space="preserve"> </w:t>
      </w:r>
      <w:r>
        <w:rPr>
          <w:rFonts w:ascii="Arial" w:hAnsi="Arial"/>
          <w:bCs/>
          <w:sz w:val="30"/>
          <w:szCs w:val="30"/>
        </w:rPr>
        <w:t>Leadership</w:t>
      </w:r>
      <w:r>
        <w:rPr>
          <w:rFonts w:ascii="Arial" w:hAnsi="Arial"/>
          <w:bCs/>
          <w:spacing w:val="-6"/>
          <w:sz w:val="30"/>
          <w:szCs w:val="30"/>
        </w:rPr>
        <w:t xml:space="preserve"> </w:t>
      </w:r>
      <w:r>
        <w:rPr>
          <w:rFonts w:ascii="Arial" w:hAnsi="Arial"/>
          <w:bCs/>
          <w:sz w:val="30"/>
          <w:szCs w:val="30"/>
        </w:rPr>
        <w:t>and</w:t>
      </w:r>
      <w:r>
        <w:rPr>
          <w:rFonts w:ascii="Arial" w:hAnsi="Arial"/>
          <w:bCs/>
          <w:spacing w:val="-5"/>
          <w:sz w:val="30"/>
          <w:szCs w:val="30"/>
        </w:rPr>
        <w:t xml:space="preserve"> </w:t>
      </w:r>
      <w:r>
        <w:rPr>
          <w:rFonts w:ascii="Arial" w:hAnsi="Arial"/>
          <w:bCs/>
          <w:spacing w:val="-2"/>
          <w:sz w:val="30"/>
          <w:szCs w:val="30"/>
        </w:rPr>
        <w:t>Management</w:t>
      </w:r>
    </w:p>
    <w:p>
      <w:pPr>
        <w:pStyle w:val="Normal"/>
        <w:bidi w:val="0"/>
        <w:spacing w:lineRule="auto" w:line="259"/>
        <w:jc w:val="center"/>
        <w:rPr>
          <w:rFonts w:ascii="Arial" w:hAnsi="Arial"/>
          <w:sz w:val="30"/>
          <w:szCs w:val="30"/>
        </w:rPr>
      </w:pPr>
      <w:r>
        <w:rPr>
          <w:rFonts w:ascii="Arial" w:hAnsi="Arial"/>
          <w:b/>
          <w:spacing w:val="-2"/>
          <w:sz w:val="30"/>
          <w:szCs w:val="30"/>
        </w:rPr>
        <w:t xml:space="preserve">Module: </w:t>
      </w:r>
      <w:r>
        <w:rPr>
          <w:rFonts w:ascii="Arial" w:hAnsi="Arial"/>
          <w:b w:val="false"/>
          <w:bCs w:val="false"/>
          <w:spacing w:val="-2"/>
          <w:sz w:val="30"/>
          <w:szCs w:val="30"/>
        </w:rPr>
        <w:t>Leading and Implementing Workplace Change</w:t>
      </w:r>
    </w:p>
    <w:p>
      <w:pPr>
        <w:pStyle w:val="Normal"/>
        <w:bidi w:val="0"/>
        <w:spacing w:lineRule="auto" w:line="259"/>
        <w:jc w:val="center"/>
        <w:rPr>
          <w:rFonts w:ascii="Arial" w:hAnsi="Arial"/>
          <w:sz w:val="30"/>
          <w:szCs w:val="30"/>
        </w:rPr>
      </w:pPr>
      <w:r>
        <w:rPr>
          <w:rFonts w:ascii="Arial" w:hAnsi="Arial"/>
          <w:b/>
          <w:spacing w:val="-2"/>
          <w:sz w:val="30"/>
          <w:szCs w:val="30"/>
        </w:rPr>
        <w:t xml:space="preserve">Module Code: </w:t>
      </w:r>
      <w:r>
        <w:rPr>
          <w:rFonts w:ascii="Arial" w:hAnsi="Arial"/>
          <w:bCs/>
          <w:spacing w:val="-2"/>
          <w:sz w:val="30"/>
          <w:szCs w:val="30"/>
        </w:rPr>
        <w:t>BMSW 6103</w:t>
      </w:r>
    </w:p>
    <w:p>
      <w:pPr>
        <w:pStyle w:val="Normal"/>
        <w:bidi w:val="0"/>
        <w:spacing w:lineRule="auto" w:line="259"/>
        <w:jc w:val="center"/>
        <w:rPr>
          <w:rFonts w:ascii="Arial" w:hAnsi="Arial"/>
          <w:sz w:val="30"/>
          <w:szCs w:val="30"/>
        </w:rPr>
      </w:pPr>
      <w:r>
        <w:rPr>
          <w:rFonts w:ascii="Arial" w:hAnsi="Arial"/>
          <w:b/>
          <w:spacing w:val="-2"/>
          <w:sz w:val="30"/>
          <w:szCs w:val="30"/>
        </w:rPr>
        <w:t>Student Name:</w:t>
      </w:r>
      <w:r>
        <w:rPr>
          <w:rFonts w:ascii="Arial" w:hAnsi="Arial"/>
          <w:b w:val="false"/>
          <w:bCs w:val="false"/>
          <w:spacing w:val="-2"/>
          <w:sz w:val="30"/>
          <w:szCs w:val="30"/>
        </w:rPr>
        <w:t xml:space="preserve"> Asen Chipilov</w:t>
      </w:r>
    </w:p>
    <w:p>
      <w:pPr>
        <w:pStyle w:val="Normal"/>
        <w:bidi w:val="0"/>
        <w:spacing w:lineRule="auto" w:line="259"/>
        <w:jc w:val="center"/>
        <w:rPr>
          <w:rFonts w:ascii="Arial" w:hAnsi="Arial"/>
          <w:sz w:val="30"/>
          <w:szCs w:val="30"/>
        </w:rPr>
      </w:pPr>
      <w:r>
        <w:rPr>
          <w:rFonts w:ascii="Arial" w:hAnsi="Arial"/>
          <w:b/>
          <w:spacing w:val="-2"/>
          <w:sz w:val="30"/>
          <w:szCs w:val="30"/>
        </w:rPr>
        <w:t xml:space="preserve">ID: </w:t>
      </w:r>
      <w:r>
        <w:rPr>
          <w:rFonts w:ascii="Arial" w:hAnsi="Arial"/>
          <w:b w:val="false"/>
          <w:bCs w:val="false"/>
          <w:spacing w:val="-2"/>
          <w:sz w:val="30"/>
          <w:szCs w:val="30"/>
        </w:rPr>
        <w:t>2128091</w:t>
      </w:r>
    </w:p>
    <w:p>
      <w:pPr>
        <w:pStyle w:val="Normal"/>
        <w:bidi w:val="0"/>
        <w:spacing w:lineRule="auto" w:line="259"/>
        <w:jc w:val="center"/>
        <w:rPr>
          <w:rFonts w:ascii="Arial" w:hAnsi="Arial"/>
          <w:sz w:val="30"/>
          <w:szCs w:val="30"/>
        </w:rPr>
      </w:pPr>
      <w:r>
        <w:rPr>
          <w:rFonts w:ascii="Arial" w:hAnsi="Arial"/>
          <w:b/>
          <w:spacing w:val="-2"/>
          <w:sz w:val="30"/>
          <w:szCs w:val="30"/>
        </w:rPr>
        <w:t xml:space="preserve">Lecturer: </w:t>
      </w:r>
      <w:r>
        <w:rPr>
          <w:rFonts w:ascii="Arial" w:hAnsi="Arial"/>
          <w:b w:val="false"/>
          <w:bCs w:val="false"/>
          <w:spacing w:val="-2"/>
          <w:sz w:val="30"/>
          <w:szCs w:val="30"/>
        </w:rPr>
        <w:t>Samuel Ofori</w:t>
      </w:r>
    </w:p>
    <w:p>
      <w:pPr>
        <w:pStyle w:val="Normal"/>
        <w:tabs>
          <w:tab w:val="clear" w:pos="720"/>
          <w:tab w:val="right" w:pos="9350" w:leader="dot"/>
        </w:tabs>
        <w:bidi w:val="0"/>
        <w:jc w:val="left"/>
        <w:rPr>
          <w:rFonts w:ascii="Arial" w:hAnsi="Arial" w:eastAsia="DejaVu Sans" w:asciiTheme="minorHAnsi" w:eastAsiaTheme="minorEastAsia" w:hAnsiTheme="minorHAnsi"/>
          <w:kern w:val="2"/>
          <w:sz w:val="22"/>
          <w:lang w:val="en-US"/>
          <w14:ligatures w14:val="standardContextual"/>
        </w:rPr>
      </w:pPr>
      <w:r>
        <w:rPr>
          <w:rFonts w:eastAsia="DejaVu Sans" w:eastAsiaTheme="minorEastAsia" w:ascii="Arial" w:hAnsi="Arial"/>
          <w:kern w:val="2"/>
          <w:sz w:val="22"/>
          <w:lang w:val="en-US"/>
          <w14:ligatures w14:val="standardContextual"/>
        </w:rPr>
      </w:r>
    </w:p>
    <w:p>
      <w:pPr>
        <w:pStyle w:val="Normal"/>
        <w:tabs>
          <w:tab w:val="clear" w:pos="720"/>
          <w:tab w:val="right" w:pos="9350" w:leader="dot"/>
        </w:tabs>
        <w:bidi w:val="0"/>
        <w:jc w:val="left"/>
        <w:rPr>
          <w:rFonts w:ascii="Arial" w:hAnsi="Arial" w:eastAsia="DejaVu Sans" w:asciiTheme="minorHAnsi" w:eastAsiaTheme="minorEastAsia" w:hAnsiTheme="minorHAnsi"/>
          <w:kern w:val="2"/>
          <w:sz w:val="22"/>
          <w:lang w:val="en-US"/>
          <w14:ligatures w14:val="standardContextual"/>
        </w:rPr>
      </w:pPr>
      <w:r>
        <w:rPr>
          <w:rFonts w:eastAsia="DejaVu Sans" w:eastAsiaTheme="minorEastAsia" w:ascii="Arial" w:hAnsi="Arial"/>
          <w:kern w:val="2"/>
          <w:sz w:val="22"/>
          <w:lang w:val="en-US"/>
          <w14:ligatures w14:val="standardContextual"/>
        </w:rPr>
      </w:r>
    </w:p>
    <w:p>
      <w:pPr>
        <w:pStyle w:val="Normal"/>
        <w:tabs>
          <w:tab w:val="clear" w:pos="720"/>
          <w:tab w:val="right" w:pos="9350" w:leader="dot"/>
        </w:tabs>
        <w:bidi w:val="0"/>
        <w:jc w:val="left"/>
        <w:rPr>
          <w:rFonts w:ascii="Arial" w:hAnsi="Arial" w:eastAsia="DejaVu Sans" w:asciiTheme="minorHAnsi" w:eastAsiaTheme="minorEastAsia" w:hAnsiTheme="minorHAnsi"/>
          <w:kern w:val="2"/>
          <w:sz w:val="22"/>
          <w:lang w:val="en-US"/>
          <w14:ligatures w14:val="standardContextual"/>
        </w:rPr>
      </w:pPr>
      <w:r>
        <w:rPr>
          <w:rFonts w:eastAsia="DejaVu Sans" w:eastAsiaTheme="minorEastAsia" w:ascii="Arial" w:hAnsi="Arial"/>
          <w:kern w:val="2"/>
          <w:sz w:val="22"/>
          <w:lang w:val="en-US"/>
          <w14:ligatures w14:val="standardContextual"/>
        </w:rPr>
      </w:r>
    </w:p>
    <w:p>
      <w:pPr>
        <w:pStyle w:val="Normal"/>
        <w:tabs>
          <w:tab w:val="clear" w:pos="720"/>
          <w:tab w:val="right" w:pos="9350" w:leader="dot"/>
        </w:tabs>
        <w:bidi w:val="0"/>
        <w:jc w:val="left"/>
        <w:rPr>
          <w:rFonts w:ascii="Arial" w:hAnsi="Arial" w:eastAsia="DejaVu Sans" w:asciiTheme="minorHAnsi" w:eastAsiaTheme="minorEastAsia" w:hAnsiTheme="minorHAnsi"/>
          <w:kern w:val="2"/>
          <w:sz w:val="22"/>
          <w:lang w:val="en-US"/>
          <w14:ligatures w14:val="standardContextual"/>
        </w:rPr>
      </w:pPr>
      <w:r>
        <w:rPr>
          <w:rFonts w:eastAsia="DejaVu Sans" w:eastAsiaTheme="minorEastAsia" w:ascii="Arial" w:hAnsi="Arial"/>
          <w:kern w:val="2"/>
          <w:sz w:val="22"/>
          <w:lang w:val="en-US"/>
          <w14:ligatures w14:val="standardContextual"/>
        </w:rPr>
      </w:r>
    </w:p>
    <w:p>
      <w:pPr>
        <w:pStyle w:val="Normal"/>
        <w:tabs>
          <w:tab w:val="clear" w:pos="720"/>
          <w:tab w:val="right" w:pos="9350" w:leader="dot"/>
        </w:tabs>
        <w:bidi w:val="0"/>
        <w:jc w:val="left"/>
        <w:rPr>
          <w:rFonts w:ascii="Arial" w:hAnsi="Arial" w:eastAsia="DejaVu Sans" w:asciiTheme="minorHAnsi" w:eastAsiaTheme="minorEastAsia" w:hAnsiTheme="minorHAnsi"/>
          <w:kern w:val="2"/>
          <w:sz w:val="22"/>
          <w:lang w:val="en-US"/>
          <w14:ligatures w14:val="standardContextual"/>
        </w:rPr>
      </w:pPr>
      <w:r>
        <w:rPr>
          <w:rFonts w:eastAsia="DejaVu Sans" w:eastAsiaTheme="minorEastAsia" w:ascii="Arial" w:hAnsi="Arial"/>
          <w:kern w:val="2"/>
          <w:sz w:val="22"/>
          <w:lang w:val="en-US"/>
          <w14:ligatures w14:val="standardContextual"/>
        </w:rPr>
      </w:r>
    </w:p>
    <w:p>
      <w:pPr>
        <w:pStyle w:val="Normal"/>
        <w:tabs>
          <w:tab w:val="clear" w:pos="720"/>
          <w:tab w:val="right" w:pos="9350" w:leader="dot"/>
        </w:tabs>
        <w:bidi w:val="0"/>
        <w:jc w:val="left"/>
        <w:rPr>
          <w:rFonts w:ascii="Arial" w:hAnsi="Arial" w:eastAsia="DejaVu Sans" w:asciiTheme="minorHAnsi" w:eastAsiaTheme="minorEastAsia" w:hAnsiTheme="minorHAnsi"/>
          <w:kern w:val="2"/>
          <w:sz w:val="22"/>
          <w:lang w:val="en-US"/>
          <w14:ligatures w14:val="standardContextual"/>
        </w:rPr>
      </w:pPr>
      <w:r>
        <w:rPr>
          <w:rFonts w:eastAsia="DejaVu Sans" w:eastAsiaTheme="minorEastAsia" w:ascii="Arial" w:hAnsi="Arial"/>
          <w:kern w:val="2"/>
          <w:sz w:val="22"/>
          <w:lang w:val="en-US"/>
          <w14:ligatures w14:val="standardContextual"/>
        </w:rPr>
      </w:r>
    </w:p>
    <w:p>
      <w:pPr>
        <w:pStyle w:val="Normal"/>
        <w:tabs>
          <w:tab w:val="clear" w:pos="720"/>
          <w:tab w:val="right" w:pos="9350" w:leader="dot"/>
        </w:tabs>
        <w:bidi w:val="0"/>
        <w:jc w:val="left"/>
        <w:rPr>
          <w:rFonts w:ascii="Arial" w:hAnsi="Arial" w:eastAsia="DejaVu Sans" w:asciiTheme="minorHAnsi" w:eastAsiaTheme="minorEastAsia" w:hAnsiTheme="minorHAnsi"/>
          <w:kern w:val="2"/>
          <w:sz w:val="22"/>
          <w:lang w:val="en-US"/>
          <w14:ligatures w14:val="standardContextual"/>
        </w:rPr>
      </w:pPr>
      <w:r>
        <w:rPr>
          <w:rFonts w:eastAsia="DejaVu Sans" w:eastAsiaTheme="minorEastAsia" w:ascii="Arial" w:hAnsi="Arial"/>
          <w:kern w:val="2"/>
          <w:sz w:val="22"/>
          <w:lang w:val="en-US"/>
          <w14:ligatures w14:val="standardContextual"/>
        </w:rPr>
      </w:r>
    </w:p>
    <w:p>
      <w:pPr>
        <w:pStyle w:val="Normal"/>
        <w:tabs>
          <w:tab w:val="clear" w:pos="720"/>
          <w:tab w:val="right" w:pos="9350" w:leader="dot"/>
        </w:tabs>
        <w:bidi w:val="0"/>
        <w:jc w:val="left"/>
        <w:rPr>
          <w:rFonts w:ascii="Arial" w:hAnsi="Arial" w:eastAsia="DejaVu Sans" w:asciiTheme="minorHAnsi" w:eastAsiaTheme="minorEastAsia" w:hAnsiTheme="minorHAnsi"/>
          <w:kern w:val="2"/>
          <w:sz w:val="22"/>
          <w:lang w:val="en-US"/>
          <w14:ligatures w14:val="standardContextual"/>
        </w:rPr>
      </w:pPr>
      <w:r>
        <w:rPr>
          <w:rFonts w:eastAsia="DejaVu Sans" w:eastAsiaTheme="minorEastAsia" w:ascii="Arial" w:hAnsi="Arial"/>
          <w:kern w:val="2"/>
          <w:sz w:val="22"/>
          <w:lang w:val="en-US"/>
          <w14:ligatures w14:val="standardContextual"/>
        </w:rPr>
      </w:r>
    </w:p>
    <w:p>
      <w:pPr>
        <w:pStyle w:val="Normal"/>
        <w:tabs>
          <w:tab w:val="clear" w:pos="720"/>
          <w:tab w:val="right" w:pos="9350" w:leader="dot"/>
        </w:tabs>
        <w:bidi w:val="0"/>
        <w:jc w:val="left"/>
        <w:rPr>
          <w:rFonts w:ascii="Arial" w:hAnsi="Arial" w:eastAsia="DejaVu Sans" w:asciiTheme="minorHAnsi" w:eastAsiaTheme="minorEastAsia" w:hAnsiTheme="minorHAnsi"/>
          <w:kern w:val="2"/>
          <w:sz w:val="22"/>
          <w:lang w:val="en-US"/>
          <w14:ligatures w14:val="standardContextual"/>
        </w:rPr>
      </w:pPr>
      <w:r>
        <w:rPr>
          <w:rFonts w:eastAsia="DejaVu Sans" w:eastAsiaTheme="minorEastAsia" w:ascii="Arial" w:hAnsi="Arial"/>
          <w:kern w:val="2"/>
          <w:sz w:val="22"/>
          <w:lang w:val="en-US"/>
          <w14:ligatures w14:val="standardContextual"/>
        </w:rPr>
      </w:r>
    </w:p>
    <w:p>
      <w:pPr>
        <w:pStyle w:val="Normal"/>
        <w:tabs>
          <w:tab w:val="clear" w:pos="720"/>
          <w:tab w:val="right" w:pos="9350" w:leader="dot"/>
        </w:tabs>
        <w:bidi w:val="0"/>
        <w:jc w:val="left"/>
        <w:rPr>
          <w:rFonts w:ascii="Arial" w:hAnsi="Arial" w:eastAsia="DejaVu Sans" w:asciiTheme="minorHAnsi" w:eastAsiaTheme="minorEastAsia" w:hAnsiTheme="minorHAnsi"/>
          <w:kern w:val="2"/>
          <w:sz w:val="22"/>
          <w:lang w:val="en-US"/>
          <w14:ligatures w14:val="standardContextual"/>
        </w:rPr>
      </w:pPr>
      <w:r>
        <w:rPr>
          <w:rFonts w:eastAsia="DejaVu Sans" w:eastAsiaTheme="minorEastAsia" w:ascii="Arial" w:hAnsi="Arial"/>
          <w:kern w:val="2"/>
          <w:sz w:val="22"/>
          <w:lang w:val="en-US"/>
          <w14:ligatures w14:val="standardContextual"/>
        </w:rPr>
      </w:r>
    </w:p>
    <w:p>
      <w:pPr>
        <w:pStyle w:val="Normal"/>
        <w:tabs>
          <w:tab w:val="clear" w:pos="720"/>
          <w:tab w:val="right" w:pos="9350" w:leader="dot"/>
        </w:tabs>
        <w:bidi w:val="0"/>
        <w:jc w:val="left"/>
        <w:rPr>
          <w:rFonts w:ascii="Arial" w:hAnsi="Arial" w:eastAsia="DejaVu Sans" w:asciiTheme="minorHAnsi" w:eastAsiaTheme="minorEastAsia" w:hAnsiTheme="minorHAnsi"/>
          <w:kern w:val="2"/>
          <w:sz w:val="22"/>
          <w:lang w:val="en-US"/>
          <w14:ligatures w14:val="standardContextual"/>
        </w:rPr>
      </w:pPr>
      <w:r>
        <w:rPr>
          <w:rFonts w:eastAsia="DejaVu Sans" w:eastAsiaTheme="minorEastAsia" w:ascii="Arial" w:hAnsi="Arial"/>
          <w:kern w:val="2"/>
          <w:sz w:val="22"/>
          <w:lang w:val="en-US"/>
          <w14:ligatures w14:val="standardContextual"/>
        </w:rPr>
      </w:r>
    </w:p>
    <w:p>
      <w:pPr>
        <w:pStyle w:val="Normal"/>
        <w:tabs>
          <w:tab w:val="clear" w:pos="720"/>
          <w:tab w:val="right" w:pos="9350" w:leader="dot"/>
        </w:tabs>
        <w:bidi w:val="0"/>
        <w:jc w:val="left"/>
        <w:rPr>
          <w:rFonts w:ascii="Arial" w:hAnsi="Arial" w:eastAsia="DejaVu Sans" w:asciiTheme="minorHAnsi" w:eastAsiaTheme="minorEastAsia" w:hAnsiTheme="minorHAnsi"/>
          <w:kern w:val="2"/>
          <w:sz w:val="22"/>
          <w:lang w:val="en-US"/>
          <w14:ligatures w14:val="standardContextual"/>
        </w:rPr>
      </w:pPr>
      <w:r>
        <w:rPr>
          <w:rFonts w:eastAsia="DejaVu Sans" w:eastAsiaTheme="minorEastAsia" w:ascii="Arial" w:hAnsi="Arial"/>
          <w:kern w:val="2"/>
          <w:sz w:val="22"/>
          <w:lang w:val="en-US"/>
          <w14:ligatures w14:val="standardContextual"/>
        </w:rPr>
      </w:r>
    </w:p>
    <w:p>
      <w:pPr>
        <w:pStyle w:val="Normal"/>
        <w:tabs>
          <w:tab w:val="clear" w:pos="720"/>
          <w:tab w:val="right" w:pos="9350" w:leader="dot"/>
        </w:tabs>
        <w:bidi w:val="0"/>
        <w:jc w:val="left"/>
        <w:rPr>
          <w:rFonts w:ascii="Arial" w:hAnsi="Arial" w:eastAsia="DejaVu Sans" w:asciiTheme="minorHAnsi" w:eastAsiaTheme="minorEastAsia" w:hAnsiTheme="minorHAnsi"/>
          <w:kern w:val="2"/>
          <w:sz w:val="22"/>
          <w:lang w:val="en-US"/>
          <w14:ligatures w14:val="standardContextual"/>
        </w:rPr>
      </w:pPr>
      <w:r>
        <w:rPr>
          <w:rFonts w:eastAsia="DejaVu Sans" w:eastAsiaTheme="minorEastAsia" w:ascii="Arial" w:hAnsi="Arial"/>
          <w:kern w:val="2"/>
          <w:sz w:val="22"/>
          <w:lang w:val="en-US"/>
          <w14:ligatures w14:val="standardContextual"/>
        </w:rPr>
      </w:r>
    </w:p>
    <w:p>
      <w:pPr>
        <w:pStyle w:val="Normal"/>
        <w:tabs>
          <w:tab w:val="clear" w:pos="720"/>
          <w:tab w:val="right" w:pos="9350" w:leader="dot"/>
        </w:tabs>
        <w:bidi w:val="0"/>
        <w:jc w:val="left"/>
        <w:rPr>
          <w:rFonts w:ascii="Arial" w:hAnsi="Arial" w:eastAsia="DejaVu Sans" w:asciiTheme="minorHAnsi" w:eastAsiaTheme="minorEastAsia" w:hAnsiTheme="minorHAnsi"/>
          <w:kern w:val="2"/>
          <w:sz w:val="22"/>
          <w:lang w:val="en-US"/>
          <w14:ligatures w14:val="standardContextual"/>
        </w:rPr>
      </w:pPr>
      <w:r>
        <w:rPr>
          <w:rFonts w:eastAsia="DejaVu Sans" w:eastAsiaTheme="minorEastAsia" w:ascii="Arial" w:hAnsi="Arial"/>
          <w:kern w:val="2"/>
          <w:sz w:val="22"/>
          <w:lang w:val="en-US"/>
          <w14:ligatures w14:val="standardContextual"/>
        </w:rPr>
      </w:r>
    </w:p>
    <w:p>
      <w:pPr>
        <w:pStyle w:val="Normal"/>
        <w:tabs>
          <w:tab w:val="clear" w:pos="720"/>
          <w:tab w:val="right" w:pos="9350" w:leader="dot"/>
        </w:tabs>
        <w:bidi w:val="0"/>
        <w:jc w:val="left"/>
        <w:rPr>
          <w:rFonts w:ascii="Arial" w:hAnsi="Arial" w:eastAsia="DejaVu Sans" w:asciiTheme="minorHAnsi" w:eastAsiaTheme="minorEastAsia" w:hAnsiTheme="minorHAnsi"/>
          <w:kern w:val="2"/>
          <w:sz w:val="22"/>
          <w:lang w:val="en-US"/>
          <w14:ligatures w14:val="standardContextual"/>
        </w:rPr>
      </w:pPr>
      <w:r>
        <w:rPr>
          <w:rFonts w:eastAsia="DejaVu Sans" w:eastAsiaTheme="minorEastAsia" w:ascii="Arial" w:hAnsi="Arial"/>
          <w:kern w:val="2"/>
          <w:sz w:val="22"/>
          <w:lang w:val="en-US"/>
          <w14:ligatures w14:val="standardContextual"/>
        </w:rPr>
      </w:r>
    </w:p>
    <w:p>
      <w:pPr>
        <w:pStyle w:val="Normal"/>
        <w:tabs>
          <w:tab w:val="clear" w:pos="720"/>
          <w:tab w:val="right" w:pos="9350" w:leader="dot"/>
        </w:tabs>
        <w:bidi w:val="0"/>
        <w:jc w:val="left"/>
        <w:rPr>
          <w:rFonts w:ascii="Arial" w:hAnsi="Arial" w:eastAsia="DejaVu Sans" w:asciiTheme="minorHAnsi" w:eastAsiaTheme="minorEastAsia" w:hAnsiTheme="minorHAnsi"/>
          <w:kern w:val="2"/>
          <w:sz w:val="22"/>
          <w:lang w:val="en-US"/>
          <w14:ligatures w14:val="standardContextual"/>
        </w:rPr>
      </w:pPr>
      <w:r>
        <w:rPr>
          <w:rFonts w:eastAsia="DejaVu Sans" w:eastAsiaTheme="minorEastAsia" w:ascii="Arial" w:hAnsi="Arial"/>
          <w:kern w:val="2"/>
          <w:sz w:val="22"/>
          <w:lang w:val="en-US"/>
          <w14:ligatures w14:val="standardContextual"/>
        </w:rPr>
      </w:r>
    </w:p>
    <w:p>
      <w:pPr>
        <w:pStyle w:val="Normal"/>
        <w:tabs>
          <w:tab w:val="clear" w:pos="720"/>
          <w:tab w:val="right" w:pos="9350" w:leader="dot"/>
        </w:tabs>
        <w:bidi w:val="0"/>
        <w:jc w:val="left"/>
        <w:rPr>
          <w:rFonts w:ascii="Arial" w:hAnsi="Arial" w:eastAsia="DejaVu Sans" w:asciiTheme="minorHAnsi" w:eastAsiaTheme="minorEastAsia" w:hAnsiTheme="minorHAnsi"/>
          <w:kern w:val="2"/>
          <w:sz w:val="22"/>
          <w:lang w:val="en-US"/>
          <w14:ligatures w14:val="standardContextual"/>
        </w:rPr>
      </w:pPr>
      <w:r>
        <w:rPr>
          <w:rFonts w:eastAsia="DejaVu Sans" w:eastAsiaTheme="minorEastAsia" w:ascii="Arial" w:hAnsi="Arial"/>
          <w:kern w:val="2"/>
          <w:sz w:val="22"/>
          <w:lang w:val="en-US"/>
          <w14:ligatures w14:val="standardContextual"/>
        </w:rPr>
      </w:r>
    </w:p>
    <w:p>
      <w:pPr>
        <w:pStyle w:val="Normal"/>
        <w:tabs>
          <w:tab w:val="clear" w:pos="720"/>
          <w:tab w:val="right" w:pos="9350" w:leader="dot"/>
        </w:tabs>
        <w:bidi w:val="0"/>
        <w:jc w:val="left"/>
        <w:rPr>
          <w:rFonts w:ascii="Arial" w:hAnsi="Arial" w:eastAsia="DejaVu Sans" w:asciiTheme="minorHAnsi" w:eastAsiaTheme="minorEastAsia" w:hAnsiTheme="minorHAnsi"/>
          <w:kern w:val="2"/>
          <w:sz w:val="22"/>
          <w:lang w:val="en-US"/>
          <w14:ligatures w14:val="standardContextual"/>
        </w:rPr>
      </w:pPr>
      <w:r>
        <w:rPr>
          <w:rFonts w:eastAsia="DejaVu Sans" w:eastAsiaTheme="minorEastAsia" w:ascii="Arial" w:hAnsi="Arial"/>
          <w:kern w:val="2"/>
          <w:sz w:val="22"/>
          <w:lang w:val="en-US"/>
          <w14:ligatures w14:val="standardContextual"/>
        </w:rPr>
      </w:r>
    </w:p>
    <w:p>
      <w:pPr>
        <w:pStyle w:val="Normal"/>
        <w:tabs>
          <w:tab w:val="clear" w:pos="720"/>
          <w:tab w:val="right" w:pos="9350" w:leader="dot"/>
        </w:tabs>
        <w:bidi w:val="0"/>
        <w:jc w:val="center"/>
        <w:rPr>
          <w:rFonts w:ascii="Arial" w:hAnsi="Arial" w:eastAsia="DejaVu Sans" w:asciiTheme="minorHAnsi" w:eastAsiaTheme="minorEastAsia" w:hAnsiTheme="minorHAnsi"/>
          <w:kern w:val="2"/>
          <w:sz w:val="22"/>
          <w:lang w:val="en-US"/>
          <w14:ligatures w14:val="standardContextual"/>
        </w:rPr>
      </w:pPr>
      <w:r>
        <w:rPr>
          <w:rFonts w:eastAsia="DejaVu Sans" w:ascii="Calibri" w:hAnsi="Calibri" w:eastAsiaTheme="minorEastAsia"/>
          <w:b/>
          <w:bCs/>
          <w:kern w:val="2"/>
          <w:sz w:val="30"/>
          <w:szCs w:val="30"/>
          <w:lang w:val="en-US"/>
          <w14:ligatures w14:val="standardContextual"/>
        </w:rPr>
        <w:t>Table of content</w:t>
      </w:r>
    </w:p>
    <w:p>
      <w:pPr>
        <w:pStyle w:val="Normal"/>
        <w:tabs>
          <w:tab w:val="clear" w:pos="720"/>
          <w:tab w:val="right" w:pos="9350" w:leader="dot"/>
        </w:tabs>
        <w:bidi w:val="0"/>
        <w:jc w:val="center"/>
        <w:rPr>
          <w:rFonts w:ascii="Arial" w:hAnsi="Arial" w:eastAsia="DejaVu Sans" w:asciiTheme="minorHAnsi" w:eastAsiaTheme="minorEastAsia" w:hAnsiTheme="minorHAnsi"/>
          <w:kern w:val="2"/>
          <w:sz w:val="22"/>
          <w:lang w:val="en-US"/>
          <w14:ligatures w14:val="standardContextual"/>
        </w:rPr>
      </w:pPr>
      <w:r>
        <w:rPr>
          <w:rFonts w:eastAsia="DejaVu Sans" w:eastAsiaTheme="minorEastAsia" w:ascii="Arial" w:hAnsi="Arial"/>
          <w:kern w:val="2"/>
          <w:sz w:val="22"/>
          <w:lang w:val="en-US"/>
          <w14:ligatures w14:val="standardContextual"/>
        </w:rPr>
      </w:r>
    </w:p>
    <w:p>
      <w:pPr>
        <w:pStyle w:val="Normal"/>
        <w:tabs>
          <w:tab w:val="clear" w:pos="720"/>
          <w:tab w:val="right" w:pos="9350" w:leader="dot"/>
        </w:tabs>
        <w:bidi w:val="0"/>
        <w:jc w:val="center"/>
        <w:rPr>
          <w:rFonts w:ascii="Arial" w:hAnsi="Arial" w:eastAsia="DejaVu Sans" w:asciiTheme="minorHAnsi" w:eastAsiaTheme="minorEastAsia" w:hAnsiTheme="minorHAnsi"/>
          <w:kern w:val="2"/>
          <w:sz w:val="22"/>
          <w:lang w:val="en-US"/>
          <w14:ligatures w14:val="standardContextual"/>
        </w:rPr>
      </w:pPr>
      <w:r>
        <w:rPr>
          <w:rFonts w:eastAsia="DejaVu Sans" w:eastAsiaTheme="minorEastAsia" w:ascii="Arial" w:hAnsi="Arial"/>
          <w:kern w:val="2"/>
          <w:sz w:val="22"/>
          <w:lang w:val="en-US"/>
          <w14:ligatures w14:val="standardContextual"/>
        </w:rPr>
      </w:r>
    </w:p>
    <w:p>
      <w:pPr>
        <w:pStyle w:val="Normal"/>
        <w:tabs>
          <w:tab w:val="clear" w:pos="720"/>
          <w:tab w:val="right" w:pos="9350" w:leader="dot"/>
        </w:tabs>
        <w:bidi w:val="0"/>
        <w:jc w:val="center"/>
        <w:rPr>
          <w:rFonts w:ascii="Arial" w:hAnsi="Arial" w:eastAsia="DejaVu Sans" w:asciiTheme="minorHAnsi" w:eastAsiaTheme="minorEastAsia" w:hAnsiTheme="minorHAnsi"/>
          <w:kern w:val="2"/>
          <w:sz w:val="22"/>
          <w:lang w:val="en-US"/>
          <w14:ligatures w14:val="standardContextual"/>
        </w:rPr>
      </w:pPr>
      <w:r>
        <w:rPr>
          <w:rFonts w:eastAsia="DejaVu Sans" w:eastAsiaTheme="minorEastAsia" w:ascii="Arial" w:hAnsi="Arial"/>
          <w:kern w:val="2"/>
          <w:sz w:val="22"/>
          <w:lang w:val="en-US"/>
          <w14:ligatures w14:val="standardContextual"/>
        </w:rPr>
      </w:r>
    </w:p>
    <w:p>
      <w:pPr>
        <w:pStyle w:val="Normal"/>
        <w:tabs>
          <w:tab w:val="clear" w:pos="720"/>
          <w:tab w:val="right" w:pos="9350" w:leader="dot"/>
        </w:tabs>
        <w:bidi w:val="0"/>
        <w:jc w:val="left"/>
        <w:rPr>
          <w:rFonts w:ascii="Arial" w:hAnsi="Arial" w:eastAsia="DejaVu Sans" w:asciiTheme="minorHAnsi" w:eastAsiaTheme="minorEastAsia" w:hAnsiTheme="minorHAnsi"/>
          <w:kern w:val="2"/>
          <w:sz w:val="22"/>
          <w:lang w:val="en-US"/>
          <w14:ligatures w14:val="standardContextual"/>
        </w:rPr>
      </w:pPr>
      <w:r>
        <w:rPr>
          <w:rFonts w:eastAsia="DejaVu Sans" w:ascii="Arial" w:hAnsi="Arial" w:eastAsiaTheme="minorEastAsia"/>
          <w:kern w:val="2"/>
          <w:sz w:val="22"/>
          <w:lang w:val="en-US"/>
          <w14:ligatures w14:val="standardContextual"/>
        </w:rPr>
        <w:t>1. Introduction……………………………………………………………………………………………..3</w:t>
      </w:r>
    </w:p>
    <w:p>
      <w:pPr>
        <w:pStyle w:val="Normal"/>
        <w:tabs>
          <w:tab w:val="clear" w:pos="720"/>
          <w:tab w:val="right" w:pos="9350" w:leader="dot"/>
        </w:tabs>
        <w:bidi w:val="0"/>
        <w:jc w:val="left"/>
        <w:rPr>
          <w:rFonts w:ascii="Arial" w:hAnsi="Arial" w:eastAsia="DejaVu Sans" w:asciiTheme="minorHAnsi" w:eastAsiaTheme="minorEastAsia" w:hAnsiTheme="minorHAnsi"/>
          <w:kern w:val="2"/>
          <w:sz w:val="22"/>
          <w:lang w:val="en-US"/>
          <w14:ligatures w14:val="standardContextual"/>
        </w:rPr>
      </w:pPr>
      <w:r>
        <w:rPr>
          <w:rFonts w:eastAsia="DejaVu Sans" w:ascii="Arial" w:hAnsi="Arial" w:eastAsiaTheme="minorEastAsia"/>
          <w:kern w:val="2"/>
          <w:sz w:val="22"/>
          <w:lang w:val="en-US"/>
          <w14:ligatures w14:val="standardContextual"/>
        </w:rPr>
        <w:t>2. Current State of Lloyds Bank…………………………………………………………………………3</w:t>
      </w:r>
    </w:p>
    <w:p>
      <w:pPr>
        <w:pStyle w:val="Normal"/>
        <w:tabs>
          <w:tab w:val="clear" w:pos="720"/>
          <w:tab w:val="right" w:pos="9350" w:leader="dot"/>
        </w:tabs>
        <w:bidi w:val="0"/>
        <w:jc w:val="left"/>
        <w:rPr>
          <w:rFonts w:ascii="Arial" w:hAnsi="Arial" w:eastAsia="DejaVu Sans" w:asciiTheme="minorHAnsi" w:eastAsiaTheme="minorEastAsia" w:hAnsiTheme="minorHAnsi"/>
          <w:kern w:val="2"/>
          <w:sz w:val="22"/>
          <w:lang w:val="en-US"/>
          <w14:ligatures w14:val="standardContextual"/>
        </w:rPr>
      </w:pPr>
      <w:r>
        <w:rPr>
          <w:rFonts w:eastAsia="DejaVu Sans" w:ascii="Arial" w:hAnsi="Arial" w:eastAsiaTheme="minorEastAsia"/>
          <w:kern w:val="2"/>
          <w:sz w:val="22"/>
          <w:lang w:val="en-US"/>
          <w14:ligatures w14:val="standardContextual"/>
        </w:rPr>
        <w:t>3. Impact of External Environment on Lloyds Bank…………………………………………………...4</w:t>
      </w:r>
    </w:p>
    <w:p>
      <w:pPr>
        <w:pStyle w:val="Normal"/>
        <w:tabs>
          <w:tab w:val="clear" w:pos="720"/>
          <w:tab w:val="right" w:pos="9350" w:leader="dot"/>
        </w:tabs>
        <w:bidi w:val="0"/>
        <w:jc w:val="left"/>
        <w:rPr>
          <w:rFonts w:ascii="Arial" w:hAnsi="Arial" w:eastAsia="DejaVu Sans" w:asciiTheme="minorHAnsi" w:eastAsiaTheme="minorEastAsia" w:hAnsiTheme="minorHAnsi"/>
          <w:kern w:val="2"/>
          <w:sz w:val="22"/>
          <w:lang w:val="en-US"/>
          <w14:ligatures w14:val="standardContextual"/>
        </w:rPr>
      </w:pPr>
      <w:r>
        <w:rPr>
          <w:rFonts w:eastAsia="DejaVu Sans" w:ascii="Arial" w:hAnsi="Arial" w:eastAsiaTheme="minorEastAsia"/>
          <w:kern w:val="2"/>
          <w:sz w:val="22"/>
          <w:lang w:val="en-US"/>
          <w14:ligatures w14:val="standardContextual"/>
        </w:rPr>
        <w:t xml:space="preserve">4. </w:t>
      </w:r>
      <w:r>
        <w:rPr>
          <w:rStyle w:val="Strong"/>
          <w:rFonts w:eastAsia="DejaVu Sans" w:ascii="Arial" w:hAnsi="Arial" w:eastAsiaTheme="minorEastAsia"/>
          <w:b w:val="false"/>
          <w:bCs w:val="false"/>
          <w:color w:val="000000"/>
          <w:kern w:val="2"/>
          <w:sz w:val="22"/>
          <w:szCs w:val="22"/>
          <w:lang w:val="en-US"/>
          <w14:ligatures w14:val="standardContextual"/>
        </w:rPr>
        <w:t>Analysis of Strategic Change and Change Management Models………………………………..7</w:t>
      </w:r>
    </w:p>
    <w:p>
      <w:pPr>
        <w:pStyle w:val="Normal"/>
        <w:tabs>
          <w:tab w:val="clear" w:pos="720"/>
          <w:tab w:val="right" w:pos="9350" w:leader="dot"/>
        </w:tabs>
        <w:bidi w:val="0"/>
        <w:jc w:val="left"/>
        <w:rPr>
          <w:rFonts w:ascii="Arial" w:hAnsi="Arial" w:eastAsia="DejaVu Sans" w:asciiTheme="minorHAnsi" w:eastAsiaTheme="minorEastAsia" w:hAnsiTheme="minorHAnsi"/>
          <w:kern w:val="2"/>
          <w:sz w:val="22"/>
          <w:lang w:val="en-US"/>
          <w14:ligatures w14:val="standardContextual"/>
        </w:rPr>
      </w:pPr>
      <w:r>
        <w:rPr>
          <w:rStyle w:val="Strong"/>
          <w:rFonts w:eastAsia="DejaVu Sans" w:ascii="Arial" w:hAnsi="Arial" w:eastAsiaTheme="minorEastAsia"/>
          <w:b w:val="false"/>
          <w:bCs w:val="false"/>
          <w:color w:val="000000"/>
          <w:kern w:val="2"/>
          <w:sz w:val="22"/>
          <w:szCs w:val="22"/>
          <w:lang w:val="en-US"/>
          <w14:ligatures w14:val="standardContextual"/>
        </w:rPr>
        <w:t>5. Organizational Culture and its Impact on Change Management………………………………..10</w:t>
      </w:r>
    </w:p>
    <w:p>
      <w:pPr>
        <w:pStyle w:val="Normal"/>
        <w:tabs>
          <w:tab w:val="clear" w:pos="720"/>
          <w:tab w:val="right" w:pos="9350" w:leader="dot"/>
        </w:tabs>
        <w:bidi w:val="0"/>
        <w:jc w:val="left"/>
        <w:rPr>
          <w:rFonts w:ascii="Arial" w:hAnsi="Arial" w:eastAsia="DejaVu Sans" w:asciiTheme="minorHAnsi" w:eastAsiaTheme="minorEastAsia" w:hAnsiTheme="minorHAnsi"/>
          <w:kern w:val="2"/>
          <w:sz w:val="22"/>
          <w:lang w:val="en-US"/>
          <w14:ligatures w14:val="standardContextual"/>
        </w:rPr>
      </w:pPr>
      <w:r>
        <w:rPr>
          <w:rStyle w:val="Strong"/>
          <w:rFonts w:eastAsia="DejaVu Sans" w:ascii="Arial" w:hAnsi="Arial" w:eastAsiaTheme="minorEastAsia"/>
          <w:b w:val="false"/>
          <w:bCs w:val="false"/>
          <w:color w:val="000000"/>
          <w:kern w:val="2"/>
          <w:sz w:val="22"/>
          <w:szCs w:val="22"/>
          <w:lang w:val="en-US"/>
          <w14:ligatures w14:val="standardContextual"/>
        </w:rPr>
        <w:t>6. Conclusion……………………………………………………………………………………………..13</w:t>
      </w:r>
    </w:p>
    <w:p>
      <w:pPr>
        <w:pStyle w:val="Normal"/>
        <w:tabs>
          <w:tab w:val="clear" w:pos="720"/>
          <w:tab w:val="right" w:pos="9350" w:leader="dot"/>
        </w:tabs>
        <w:bidi w:val="0"/>
        <w:jc w:val="left"/>
        <w:rPr>
          <w:rFonts w:ascii="Arial" w:hAnsi="Arial" w:eastAsia="DejaVu Sans" w:asciiTheme="minorHAnsi" w:eastAsiaTheme="minorEastAsia" w:hAnsiTheme="minorHAnsi"/>
          <w:kern w:val="2"/>
          <w:sz w:val="22"/>
          <w:lang w:val="en-US"/>
          <w14:ligatures w14:val="standardContextual"/>
        </w:rPr>
      </w:pPr>
      <w:r>
        <w:rPr>
          <w:rStyle w:val="Strong"/>
          <w:rFonts w:eastAsia="DejaVu Sans" w:ascii="Arial" w:hAnsi="Arial" w:eastAsiaTheme="minorEastAsia"/>
          <w:b w:val="false"/>
          <w:bCs w:val="false"/>
          <w:color w:val="000000"/>
          <w:kern w:val="2"/>
          <w:sz w:val="22"/>
          <w:szCs w:val="22"/>
          <w:lang w:val="en-US"/>
          <w14:ligatures w14:val="standardContextual"/>
        </w:rPr>
        <w:t>7. Reference List………………………………………………………………………………………...14</w:t>
      </w:r>
    </w:p>
    <w:p>
      <w:pPr>
        <w:pStyle w:val="Normal"/>
        <w:tabs>
          <w:tab w:val="clear" w:pos="720"/>
          <w:tab w:val="right" w:pos="9350" w:leader="dot"/>
        </w:tabs>
        <w:bidi w:val="0"/>
        <w:jc w:val="left"/>
        <w:rPr>
          <w:rStyle w:val="Strong"/>
          <w:b w:val="false"/>
          <w:bCs w:val="false"/>
          <w:color w:val="000000"/>
          <w:szCs w:val="22"/>
        </w:rPr>
      </w:pPr>
      <w:r>
        <w:rPr>
          <w:b w:val="false"/>
          <w:bCs w:val="false"/>
          <w:color w:val="000000"/>
          <w:szCs w:val="22"/>
        </w:rPr>
      </w:r>
    </w:p>
    <w:p>
      <w:pPr>
        <w:pStyle w:val="Normal"/>
        <w:tabs>
          <w:tab w:val="clear" w:pos="720"/>
          <w:tab w:val="right" w:pos="9350" w:leader="dot"/>
        </w:tabs>
        <w:bidi w:val="0"/>
        <w:jc w:val="center"/>
        <w:rPr>
          <w:rFonts w:ascii="Arial" w:hAnsi="Arial" w:eastAsia="DejaVu Sans" w:asciiTheme="minorHAnsi" w:eastAsiaTheme="minorEastAsia" w:hAnsiTheme="minorHAnsi"/>
          <w:kern w:val="2"/>
          <w:sz w:val="22"/>
          <w:lang w:val="en-US"/>
          <w14:ligatures w14:val="standardContextual"/>
        </w:rPr>
      </w:pPr>
      <w:r>
        <w:rPr>
          <w:rFonts w:eastAsia="DejaVu Sans" w:eastAsiaTheme="minorEastAsia" w:ascii="Arial" w:hAnsi="Arial"/>
          <w:kern w:val="2"/>
          <w:sz w:val="22"/>
          <w:lang w:val="en-US"/>
          <w14:ligatures w14:val="standardContextual"/>
        </w:rPr>
      </w:r>
    </w:p>
    <w:p>
      <w:pPr>
        <w:pStyle w:val="Normal"/>
        <w:tabs>
          <w:tab w:val="clear" w:pos="720"/>
          <w:tab w:val="right" w:pos="9350" w:leader="dot"/>
        </w:tabs>
        <w:bidi w:val="0"/>
        <w:jc w:val="center"/>
        <w:rPr>
          <w:rFonts w:ascii="Arial" w:hAnsi="Arial" w:eastAsia="DejaVu Sans" w:asciiTheme="minorHAnsi" w:eastAsiaTheme="minorEastAsia" w:hAnsiTheme="minorHAnsi"/>
          <w:kern w:val="2"/>
          <w:sz w:val="22"/>
          <w:lang w:val="en-US"/>
          <w14:ligatures w14:val="standardContextual"/>
        </w:rPr>
      </w:pPr>
      <w:r>
        <w:rPr>
          <w:rFonts w:eastAsia="DejaVu Sans" w:eastAsiaTheme="minorEastAsia" w:ascii="Arial" w:hAnsi="Arial"/>
          <w:kern w:val="2"/>
          <w:sz w:val="22"/>
          <w:lang w:val="en-US"/>
          <w14:ligatures w14:val="standardContextual"/>
        </w:rPr>
      </w:r>
    </w:p>
    <w:p>
      <w:pPr>
        <w:pStyle w:val="Normal"/>
        <w:tabs>
          <w:tab w:val="clear" w:pos="720"/>
          <w:tab w:val="right" w:pos="9350" w:leader="dot"/>
        </w:tabs>
        <w:bidi w:val="0"/>
        <w:jc w:val="center"/>
        <w:rPr>
          <w:rFonts w:ascii="Arial" w:hAnsi="Arial" w:eastAsia="DejaVu Sans" w:asciiTheme="minorHAnsi" w:eastAsiaTheme="minorEastAsia" w:hAnsiTheme="minorHAnsi"/>
          <w:kern w:val="2"/>
          <w:sz w:val="22"/>
          <w:lang w:val="en-US"/>
          <w14:ligatures w14:val="standardContextual"/>
        </w:rPr>
      </w:pPr>
      <w:r>
        <w:rPr>
          <w:rFonts w:eastAsia="DejaVu Sans" w:eastAsiaTheme="minorEastAsia" w:ascii="Arial" w:hAnsi="Arial"/>
          <w:kern w:val="2"/>
          <w:sz w:val="22"/>
          <w:lang w:val="en-US"/>
          <w14:ligatures w14:val="standardContextual"/>
        </w:rPr>
      </w:r>
    </w:p>
    <w:p>
      <w:pPr>
        <w:pStyle w:val="Normal"/>
        <w:tabs>
          <w:tab w:val="clear" w:pos="720"/>
          <w:tab w:val="right" w:pos="9350" w:leader="dot"/>
        </w:tabs>
        <w:bidi w:val="0"/>
        <w:jc w:val="center"/>
        <w:rPr>
          <w:rFonts w:ascii="Arial" w:hAnsi="Arial" w:eastAsia="DejaVu Sans" w:asciiTheme="minorHAnsi" w:eastAsiaTheme="minorEastAsia" w:hAnsiTheme="minorHAnsi"/>
          <w:kern w:val="2"/>
          <w:sz w:val="22"/>
          <w:lang w:val="en-US"/>
          <w14:ligatures w14:val="standardContextual"/>
        </w:rPr>
      </w:pPr>
      <w:r>
        <w:rPr>
          <w:rFonts w:eastAsia="DejaVu Sans" w:eastAsiaTheme="minorEastAsia" w:ascii="Arial" w:hAnsi="Arial"/>
          <w:kern w:val="2"/>
          <w:sz w:val="22"/>
          <w:lang w:val="en-US"/>
          <w14:ligatures w14:val="standardContextual"/>
        </w:rPr>
      </w:r>
    </w:p>
    <w:p>
      <w:pPr>
        <w:pStyle w:val="Normal"/>
        <w:tabs>
          <w:tab w:val="clear" w:pos="720"/>
          <w:tab w:val="right" w:pos="9350" w:leader="dot"/>
        </w:tabs>
        <w:bidi w:val="0"/>
        <w:jc w:val="center"/>
        <w:rPr>
          <w:rFonts w:ascii="Arial" w:hAnsi="Arial" w:eastAsia="DejaVu Sans" w:asciiTheme="minorHAnsi" w:eastAsiaTheme="minorEastAsia" w:hAnsiTheme="minorHAnsi"/>
          <w:kern w:val="2"/>
          <w:sz w:val="22"/>
          <w:lang w:val="en-US"/>
          <w14:ligatures w14:val="standardContextual"/>
        </w:rPr>
      </w:pPr>
      <w:r>
        <w:rPr>
          <w:rFonts w:eastAsia="DejaVu Sans" w:eastAsiaTheme="minorEastAsia" w:ascii="Arial" w:hAnsi="Arial"/>
          <w:kern w:val="2"/>
          <w:sz w:val="22"/>
          <w:lang w:val="en-US"/>
          <w14:ligatures w14:val="standardContextual"/>
        </w:rPr>
      </w:r>
    </w:p>
    <w:p>
      <w:pPr>
        <w:pStyle w:val="Normal"/>
        <w:tabs>
          <w:tab w:val="clear" w:pos="720"/>
          <w:tab w:val="right" w:pos="9350" w:leader="dot"/>
        </w:tabs>
        <w:bidi w:val="0"/>
        <w:jc w:val="center"/>
        <w:rPr>
          <w:rFonts w:ascii="Arial" w:hAnsi="Arial" w:eastAsia="DejaVu Sans" w:asciiTheme="minorHAnsi" w:eastAsiaTheme="minorEastAsia" w:hAnsiTheme="minorHAnsi"/>
          <w:kern w:val="2"/>
          <w:sz w:val="22"/>
          <w:lang w:val="en-US"/>
          <w14:ligatures w14:val="standardContextual"/>
        </w:rPr>
      </w:pPr>
      <w:r>
        <w:rPr>
          <w:rFonts w:eastAsia="DejaVu Sans" w:eastAsiaTheme="minorEastAsia" w:ascii="Arial" w:hAnsi="Arial"/>
          <w:kern w:val="2"/>
          <w:sz w:val="22"/>
          <w:lang w:val="en-US"/>
          <w14:ligatures w14:val="standardContextual"/>
        </w:rPr>
      </w:r>
    </w:p>
    <w:p>
      <w:pPr>
        <w:pStyle w:val="Normal"/>
        <w:tabs>
          <w:tab w:val="clear" w:pos="720"/>
          <w:tab w:val="right" w:pos="9350" w:leader="dot"/>
        </w:tabs>
        <w:bidi w:val="0"/>
        <w:jc w:val="center"/>
        <w:rPr>
          <w:rFonts w:ascii="Arial" w:hAnsi="Arial" w:eastAsia="DejaVu Sans" w:asciiTheme="minorHAnsi" w:eastAsiaTheme="minorEastAsia" w:hAnsiTheme="minorHAnsi"/>
          <w:kern w:val="2"/>
          <w:sz w:val="22"/>
          <w:lang w:val="en-US"/>
          <w14:ligatures w14:val="standardContextual"/>
        </w:rPr>
      </w:pPr>
      <w:r>
        <w:rPr>
          <w:rFonts w:eastAsia="DejaVu Sans" w:eastAsiaTheme="minorEastAsia" w:ascii="Arial" w:hAnsi="Arial"/>
          <w:kern w:val="2"/>
          <w:sz w:val="22"/>
          <w:lang w:val="en-US"/>
          <w14:ligatures w14:val="standardContextual"/>
        </w:rPr>
      </w:r>
    </w:p>
    <w:p>
      <w:pPr>
        <w:pStyle w:val="Normal"/>
        <w:tabs>
          <w:tab w:val="clear" w:pos="720"/>
          <w:tab w:val="right" w:pos="9350" w:leader="dot"/>
        </w:tabs>
        <w:bidi w:val="0"/>
        <w:jc w:val="center"/>
        <w:rPr>
          <w:rFonts w:ascii="Arial" w:hAnsi="Arial" w:eastAsia="DejaVu Sans" w:asciiTheme="minorHAnsi" w:eastAsiaTheme="minorEastAsia" w:hAnsiTheme="minorHAnsi"/>
          <w:kern w:val="2"/>
          <w:sz w:val="22"/>
          <w:lang w:val="en-US"/>
          <w14:ligatures w14:val="standardContextual"/>
        </w:rPr>
      </w:pPr>
      <w:r>
        <w:rPr>
          <w:rFonts w:eastAsia="DejaVu Sans" w:eastAsiaTheme="minorEastAsia" w:ascii="Arial" w:hAnsi="Arial"/>
          <w:kern w:val="2"/>
          <w:sz w:val="22"/>
          <w:lang w:val="en-US"/>
          <w14:ligatures w14:val="standardContextual"/>
        </w:rPr>
      </w:r>
    </w:p>
    <w:p>
      <w:pPr>
        <w:pStyle w:val="Normal"/>
        <w:tabs>
          <w:tab w:val="clear" w:pos="720"/>
          <w:tab w:val="right" w:pos="9350" w:leader="dot"/>
        </w:tabs>
        <w:bidi w:val="0"/>
        <w:jc w:val="center"/>
        <w:rPr>
          <w:rFonts w:ascii="Arial" w:hAnsi="Arial" w:eastAsia="DejaVu Sans" w:asciiTheme="minorHAnsi" w:eastAsiaTheme="minorEastAsia" w:hAnsiTheme="minorHAnsi"/>
          <w:kern w:val="2"/>
          <w:sz w:val="22"/>
          <w:lang w:val="en-US"/>
          <w14:ligatures w14:val="standardContextual"/>
        </w:rPr>
      </w:pPr>
      <w:r>
        <w:rPr>
          <w:rFonts w:eastAsia="DejaVu Sans" w:eastAsiaTheme="minorEastAsia" w:ascii="Arial" w:hAnsi="Arial"/>
          <w:kern w:val="2"/>
          <w:sz w:val="22"/>
          <w:lang w:val="en-US"/>
          <w14:ligatures w14:val="standardContextual"/>
        </w:rPr>
      </w:r>
    </w:p>
    <w:p>
      <w:pPr>
        <w:pStyle w:val="Normal"/>
        <w:tabs>
          <w:tab w:val="clear" w:pos="720"/>
          <w:tab w:val="right" w:pos="9350" w:leader="dot"/>
        </w:tabs>
        <w:bidi w:val="0"/>
        <w:jc w:val="center"/>
        <w:rPr>
          <w:rFonts w:ascii="Arial" w:hAnsi="Arial" w:eastAsia="DejaVu Sans" w:asciiTheme="minorHAnsi" w:eastAsiaTheme="minorEastAsia" w:hAnsiTheme="minorHAnsi"/>
          <w:kern w:val="2"/>
          <w:sz w:val="22"/>
          <w:lang w:val="en-US"/>
          <w14:ligatures w14:val="standardContextual"/>
        </w:rPr>
      </w:pPr>
      <w:r>
        <w:rPr>
          <w:rFonts w:eastAsia="DejaVu Sans" w:eastAsiaTheme="minorEastAsia" w:ascii="Arial" w:hAnsi="Arial"/>
          <w:kern w:val="2"/>
          <w:sz w:val="22"/>
          <w:lang w:val="en-US"/>
          <w14:ligatures w14:val="standardContextual"/>
        </w:rPr>
      </w:r>
    </w:p>
    <w:p>
      <w:pPr>
        <w:pStyle w:val="Normal"/>
        <w:tabs>
          <w:tab w:val="clear" w:pos="720"/>
          <w:tab w:val="right" w:pos="9350" w:leader="dot"/>
        </w:tabs>
        <w:bidi w:val="0"/>
        <w:jc w:val="center"/>
        <w:rPr>
          <w:rFonts w:ascii="Arial" w:hAnsi="Arial" w:eastAsia="DejaVu Sans" w:asciiTheme="minorHAnsi" w:eastAsiaTheme="minorEastAsia" w:hAnsiTheme="minorHAnsi"/>
          <w:kern w:val="2"/>
          <w:sz w:val="22"/>
          <w:lang w:val="en-US"/>
          <w14:ligatures w14:val="standardContextual"/>
        </w:rPr>
      </w:pPr>
      <w:r>
        <w:rPr>
          <w:rFonts w:eastAsia="DejaVu Sans" w:eastAsiaTheme="minorEastAsia" w:ascii="Arial" w:hAnsi="Arial"/>
          <w:kern w:val="2"/>
          <w:sz w:val="22"/>
          <w:lang w:val="en-US"/>
          <w14:ligatures w14:val="standardContextual"/>
        </w:rPr>
      </w:r>
    </w:p>
    <w:p>
      <w:pPr>
        <w:pStyle w:val="Normal"/>
        <w:tabs>
          <w:tab w:val="clear" w:pos="720"/>
          <w:tab w:val="right" w:pos="9350" w:leader="dot"/>
        </w:tabs>
        <w:bidi w:val="0"/>
        <w:jc w:val="center"/>
        <w:rPr>
          <w:rFonts w:ascii="Arial" w:hAnsi="Arial" w:eastAsia="DejaVu Sans" w:asciiTheme="minorHAnsi" w:eastAsiaTheme="minorEastAsia" w:hAnsiTheme="minorHAnsi"/>
          <w:kern w:val="2"/>
          <w:sz w:val="22"/>
          <w:lang w:val="en-US"/>
          <w14:ligatures w14:val="standardContextual"/>
        </w:rPr>
      </w:pPr>
      <w:r>
        <w:rPr>
          <w:rFonts w:eastAsia="DejaVu Sans" w:eastAsiaTheme="minorEastAsia" w:ascii="Arial" w:hAnsi="Arial"/>
          <w:kern w:val="2"/>
          <w:sz w:val="22"/>
          <w:lang w:val="en-US"/>
          <w14:ligatures w14:val="standardContextual"/>
        </w:rPr>
      </w:r>
    </w:p>
    <w:p>
      <w:pPr>
        <w:pStyle w:val="Normal"/>
        <w:tabs>
          <w:tab w:val="clear" w:pos="720"/>
          <w:tab w:val="right" w:pos="9350" w:leader="dot"/>
        </w:tabs>
        <w:bidi w:val="0"/>
        <w:jc w:val="center"/>
        <w:rPr>
          <w:rFonts w:ascii="Arial" w:hAnsi="Arial" w:eastAsia="DejaVu Sans" w:asciiTheme="minorHAnsi" w:eastAsiaTheme="minorEastAsia" w:hAnsiTheme="minorHAnsi"/>
          <w:kern w:val="2"/>
          <w:sz w:val="22"/>
          <w:lang w:val="en-US"/>
          <w14:ligatures w14:val="standardContextual"/>
        </w:rPr>
      </w:pPr>
      <w:r>
        <w:rPr>
          <w:rFonts w:eastAsia="DejaVu Sans" w:eastAsiaTheme="minorEastAsia" w:ascii="Arial" w:hAnsi="Arial"/>
          <w:kern w:val="2"/>
          <w:sz w:val="22"/>
          <w:lang w:val="en-US"/>
          <w14:ligatures w14:val="standardContextual"/>
        </w:rPr>
      </w:r>
    </w:p>
    <w:p>
      <w:pPr>
        <w:pStyle w:val="Normal"/>
        <w:tabs>
          <w:tab w:val="clear" w:pos="720"/>
          <w:tab w:val="right" w:pos="9350" w:leader="dot"/>
        </w:tabs>
        <w:bidi w:val="0"/>
        <w:jc w:val="center"/>
        <w:rPr>
          <w:rFonts w:ascii="Arial" w:hAnsi="Arial" w:eastAsia="DejaVu Sans" w:asciiTheme="minorHAnsi" w:eastAsiaTheme="minorEastAsia" w:hAnsiTheme="minorHAnsi"/>
          <w:kern w:val="2"/>
          <w:sz w:val="22"/>
          <w:lang w:val="en-US"/>
          <w14:ligatures w14:val="standardContextual"/>
        </w:rPr>
      </w:pPr>
      <w:r>
        <w:rPr>
          <w:rFonts w:eastAsia="DejaVu Sans" w:eastAsiaTheme="minorEastAsia" w:ascii="Arial" w:hAnsi="Arial"/>
          <w:kern w:val="2"/>
          <w:sz w:val="22"/>
          <w:lang w:val="en-US"/>
          <w14:ligatures w14:val="standardContextual"/>
        </w:rPr>
      </w:r>
    </w:p>
    <w:p>
      <w:pPr>
        <w:pStyle w:val="Normal"/>
        <w:tabs>
          <w:tab w:val="clear" w:pos="720"/>
          <w:tab w:val="right" w:pos="9350" w:leader="dot"/>
        </w:tabs>
        <w:bidi w:val="0"/>
        <w:jc w:val="center"/>
        <w:rPr>
          <w:rFonts w:ascii="Arial" w:hAnsi="Arial" w:eastAsia="DejaVu Sans" w:asciiTheme="minorHAnsi" w:eastAsiaTheme="minorEastAsia" w:hAnsiTheme="minorHAnsi"/>
          <w:kern w:val="2"/>
          <w:sz w:val="22"/>
          <w:lang w:val="en-US"/>
          <w14:ligatures w14:val="standardContextual"/>
        </w:rPr>
      </w:pPr>
      <w:r>
        <w:rPr>
          <w:rFonts w:eastAsia="DejaVu Sans" w:eastAsiaTheme="minorEastAsia" w:ascii="Arial" w:hAnsi="Arial"/>
          <w:kern w:val="2"/>
          <w:sz w:val="22"/>
          <w:lang w:val="en-US"/>
          <w14:ligatures w14:val="standardContextual"/>
        </w:rPr>
      </w:r>
    </w:p>
    <w:p>
      <w:pPr>
        <w:pStyle w:val="Normal"/>
        <w:tabs>
          <w:tab w:val="clear" w:pos="720"/>
          <w:tab w:val="right" w:pos="9350" w:leader="dot"/>
        </w:tabs>
        <w:bidi w:val="0"/>
        <w:jc w:val="center"/>
        <w:rPr>
          <w:rFonts w:ascii="Arial" w:hAnsi="Arial" w:eastAsia="DejaVu Sans" w:asciiTheme="minorHAnsi" w:eastAsiaTheme="minorEastAsia" w:hAnsiTheme="minorHAnsi"/>
          <w:kern w:val="2"/>
          <w:sz w:val="22"/>
          <w:lang w:val="en-US"/>
          <w14:ligatures w14:val="standardContextual"/>
        </w:rPr>
      </w:pPr>
      <w:r>
        <w:rPr>
          <w:rFonts w:eastAsia="DejaVu Sans" w:eastAsiaTheme="minorEastAsia" w:ascii="Arial" w:hAnsi="Arial"/>
          <w:kern w:val="2"/>
          <w:sz w:val="22"/>
          <w:lang w:val="en-US"/>
          <w14:ligatures w14:val="standardContextual"/>
        </w:rPr>
      </w:r>
    </w:p>
    <w:p>
      <w:pPr>
        <w:pStyle w:val="Normal"/>
        <w:tabs>
          <w:tab w:val="clear" w:pos="720"/>
          <w:tab w:val="right" w:pos="9350" w:leader="dot"/>
        </w:tabs>
        <w:bidi w:val="0"/>
        <w:jc w:val="center"/>
        <w:rPr>
          <w:rFonts w:ascii="Arial" w:hAnsi="Arial" w:eastAsia="DejaVu Sans" w:asciiTheme="minorHAnsi" w:eastAsiaTheme="minorEastAsia" w:hAnsiTheme="minorHAnsi"/>
          <w:kern w:val="2"/>
          <w:sz w:val="22"/>
          <w:lang w:val="en-US"/>
          <w14:ligatures w14:val="standardContextual"/>
        </w:rPr>
      </w:pPr>
      <w:r>
        <w:rPr>
          <w:rFonts w:eastAsia="DejaVu Sans" w:eastAsiaTheme="minorEastAsia" w:ascii="Arial" w:hAnsi="Arial"/>
          <w:kern w:val="2"/>
          <w:sz w:val="22"/>
          <w:lang w:val="en-US"/>
          <w14:ligatures w14:val="standardContextual"/>
        </w:rPr>
      </w:r>
    </w:p>
    <w:p>
      <w:pPr>
        <w:pStyle w:val="Normal"/>
        <w:tabs>
          <w:tab w:val="clear" w:pos="720"/>
          <w:tab w:val="right" w:pos="9350" w:leader="dot"/>
        </w:tabs>
        <w:bidi w:val="0"/>
        <w:jc w:val="center"/>
        <w:rPr>
          <w:rFonts w:ascii="Arial" w:hAnsi="Arial" w:eastAsia="DejaVu Sans" w:asciiTheme="minorHAnsi" w:eastAsiaTheme="minorEastAsia" w:hAnsiTheme="minorHAnsi"/>
          <w:kern w:val="2"/>
          <w:sz w:val="22"/>
          <w:lang w:val="en-US"/>
          <w14:ligatures w14:val="standardContextual"/>
        </w:rPr>
      </w:pPr>
      <w:r>
        <w:rPr>
          <w:rFonts w:eastAsia="DejaVu Sans" w:eastAsiaTheme="minorEastAsia" w:ascii="Arial" w:hAnsi="Arial"/>
          <w:kern w:val="2"/>
          <w:sz w:val="22"/>
          <w:lang w:val="en-US"/>
          <w14:ligatures w14:val="standardContextual"/>
        </w:rPr>
      </w:r>
    </w:p>
    <w:p>
      <w:pPr>
        <w:pStyle w:val="Normal"/>
        <w:tabs>
          <w:tab w:val="clear" w:pos="720"/>
          <w:tab w:val="right" w:pos="9350" w:leader="dot"/>
        </w:tabs>
        <w:bidi w:val="0"/>
        <w:jc w:val="center"/>
        <w:rPr>
          <w:rFonts w:ascii="Arial" w:hAnsi="Arial" w:eastAsia="DejaVu Sans" w:asciiTheme="minorHAnsi" w:eastAsiaTheme="minorEastAsia" w:hAnsiTheme="minorHAnsi"/>
          <w:kern w:val="2"/>
          <w:sz w:val="22"/>
          <w:lang w:val="en-US"/>
          <w14:ligatures w14:val="standardContextual"/>
        </w:rPr>
      </w:pPr>
      <w:r>
        <w:rPr>
          <w:rFonts w:eastAsia="DejaVu Sans" w:eastAsiaTheme="minorEastAsia" w:ascii="Arial" w:hAnsi="Arial"/>
          <w:kern w:val="2"/>
          <w:sz w:val="22"/>
          <w:lang w:val="en-US"/>
          <w14:ligatures w14:val="standardContextual"/>
        </w:rPr>
      </w:r>
    </w:p>
    <w:p>
      <w:pPr>
        <w:pStyle w:val="Normal"/>
        <w:tabs>
          <w:tab w:val="clear" w:pos="720"/>
          <w:tab w:val="right" w:pos="9350" w:leader="dot"/>
        </w:tabs>
        <w:bidi w:val="0"/>
        <w:jc w:val="center"/>
        <w:rPr>
          <w:rFonts w:ascii="Arial" w:hAnsi="Arial" w:eastAsia="DejaVu Sans" w:asciiTheme="minorHAnsi" w:eastAsiaTheme="minorEastAsia" w:hAnsiTheme="minorHAnsi"/>
          <w:kern w:val="2"/>
          <w:sz w:val="22"/>
          <w:lang w:val="en-US"/>
          <w14:ligatures w14:val="standardContextual"/>
        </w:rPr>
      </w:pPr>
      <w:r>
        <w:rPr>
          <w:rFonts w:eastAsia="DejaVu Sans" w:eastAsiaTheme="minorEastAsia" w:ascii="Arial" w:hAnsi="Arial"/>
          <w:kern w:val="2"/>
          <w:sz w:val="22"/>
          <w:lang w:val="en-US"/>
          <w14:ligatures w14:val="standardContextual"/>
        </w:rPr>
      </w:r>
    </w:p>
    <w:p>
      <w:pPr>
        <w:pStyle w:val="Normal"/>
        <w:tabs>
          <w:tab w:val="clear" w:pos="720"/>
          <w:tab w:val="right" w:pos="9350" w:leader="dot"/>
        </w:tabs>
        <w:bidi w:val="0"/>
        <w:jc w:val="center"/>
        <w:rPr>
          <w:rFonts w:ascii="Arial" w:hAnsi="Arial" w:eastAsia="DejaVu Sans" w:asciiTheme="minorHAnsi" w:eastAsiaTheme="minorEastAsia" w:hAnsiTheme="minorHAnsi"/>
          <w:kern w:val="2"/>
          <w:sz w:val="22"/>
          <w:lang w:val="en-US"/>
          <w14:ligatures w14:val="standardContextual"/>
        </w:rPr>
      </w:pPr>
      <w:r>
        <w:rPr>
          <w:rFonts w:eastAsia="DejaVu Sans" w:eastAsiaTheme="minorEastAsia" w:ascii="Arial" w:hAnsi="Arial"/>
          <w:kern w:val="2"/>
          <w:sz w:val="22"/>
          <w:lang w:val="en-US"/>
          <w14:ligatures w14:val="standardContextual"/>
        </w:rPr>
      </w:r>
    </w:p>
    <w:p>
      <w:pPr>
        <w:pStyle w:val="Normal"/>
        <w:tabs>
          <w:tab w:val="clear" w:pos="720"/>
          <w:tab w:val="right" w:pos="9350" w:leader="dot"/>
        </w:tabs>
        <w:bidi w:val="0"/>
        <w:jc w:val="center"/>
        <w:rPr>
          <w:rFonts w:ascii="Arial" w:hAnsi="Arial" w:eastAsia="DejaVu Sans" w:asciiTheme="minorHAnsi" w:eastAsiaTheme="minorEastAsia" w:hAnsiTheme="minorHAnsi"/>
          <w:kern w:val="2"/>
          <w:sz w:val="22"/>
          <w:lang w:val="en-US"/>
          <w14:ligatures w14:val="standardContextual"/>
        </w:rPr>
      </w:pPr>
      <w:r>
        <w:rPr>
          <w:rFonts w:eastAsia="DejaVu Sans" w:eastAsiaTheme="minorEastAsia" w:ascii="Arial" w:hAnsi="Arial"/>
          <w:kern w:val="2"/>
          <w:sz w:val="22"/>
          <w:lang w:val="en-US"/>
          <w14:ligatures w14:val="standardContextual"/>
        </w:rPr>
      </w:r>
    </w:p>
    <w:p>
      <w:pPr>
        <w:pStyle w:val="Normal"/>
        <w:tabs>
          <w:tab w:val="clear" w:pos="720"/>
          <w:tab w:val="right" w:pos="9350" w:leader="dot"/>
        </w:tabs>
        <w:bidi w:val="0"/>
        <w:jc w:val="center"/>
        <w:rPr>
          <w:rFonts w:ascii="Arial" w:hAnsi="Arial" w:eastAsia="DejaVu Sans" w:asciiTheme="minorHAnsi" w:eastAsiaTheme="minorEastAsia" w:hAnsiTheme="minorHAnsi"/>
          <w:kern w:val="2"/>
          <w:sz w:val="22"/>
          <w:lang w:val="en-US"/>
          <w14:ligatures w14:val="standardContextual"/>
        </w:rPr>
      </w:pPr>
      <w:r>
        <w:rPr>
          <w:rFonts w:eastAsia="DejaVu Sans" w:eastAsiaTheme="minorEastAsia" w:ascii="Arial" w:hAnsi="Arial"/>
          <w:kern w:val="2"/>
          <w:sz w:val="22"/>
          <w:lang w:val="en-US"/>
          <w14:ligatures w14:val="standardContextual"/>
        </w:rPr>
      </w:r>
    </w:p>
    <w:p>
      <w:pPr>
        <w:pStyle w:val="Normal"/>
        <w:tabs>
          <w:tab w:val="clear" w:pos="720"/>
          <w:tab w:val="right" w:pos="9350" w:leader="dot"/>
        </w:tabs>
        <w:bidi w:val="0"/>
        <w:jc w:val="center"/>
        <w:rPr>
          <w:rFonts w:ascii="Arial" w:hAnsi="Arial" w:eastAsia="DejaVu Sans" w:asciiTheme="minorHAnsi" w:eastAsiaTheme="minorEastAsia" w:hAnsiTheme="minorHAnsi"/>
          <w:kern w:val="2"/>
          <w:sz w:val="22"/>
          <w:lang w:val="en-US"/>
          <w14:ligatures w14:val="standardContextual"/>
        </w:rPr>
      </w:pPr>
      <w:r>
        <w:rPr>
          <w:rFonts w:eastAsia="DejaVu Sans" w:eastAsiaTheme="minorEastAsia" w:ascii="Arial" w:hAnsi="Arial"/>
          <w:kern w:val="2"/>
          <w:sz w:val="22"/>
          <w:lang w:val="en-US"/>
          <w14:ligatures w14:val="standardContextual"/>
        </w:rPr>
      </w:r>
    </w:p>
    <w:p>
      <w:pPr>
        <w:pStyle w:val="Normal"/>
        <w:tabs>
          <w:tab w:val="clear" w:pos="720"/>
          <w:tab w:val="right" w:pos="9350" w:leader="dot"/>
        </w:tabs>
        <w:bidi w:val="0"/>
        <w:jc w:val="center"/>
        <w:rPr>
          <w:rFonts w:ascii="Arial" w:hAnsi="Arial" w:eastAsia="DejaVu Sans" w:asciiTheme="minorHAnsi" w:eastAsiaTheme="minorEastAsia" w:hAnsiTheme="minorHAnsi"/>
          <w:kern w:val="2"/>
          <w:sz w:val="22"/>
          <w:lang w:val="en-US"/>
          <w14:ligatures w14:val="standardContextual"/>
        </w:rPr>
      </w:pPr>
      <w:r>
        <w:rPr>
          <w:rFonts w:eastAsia="DejaVu Sans" w:eastAsiaTheme="minorEastAsia" w:ascii="Arial" w:hAnsi="Arial"/>
          <w:kern w:val="2"/>
          <w:sz w:val="22"/>
          <w:lang w:val="en-US"/>
          <w14:ligatures w14:val="standardContextual"/>
        </w:rPr>
      </w:r>
    </w:p>
    <w:p>
      <w:pPr>
        <w:pStyle w:val="Normal"/>
        <w:tabs>
          <w:tab w:val="clear" w:pos="720"/>
          <w:tab w:val="right" w:pos="9350" w:leader="dot"/>
        </w:tabs>
        <w:bidi w:val="0"/>
        <w:jc w:val="center"/>
        <w:rPr>
          <w:rFonts w:ascii="Arial" w:hAnsi="Arial" w:eastAsia="DejaVu Sans" w:asciiTheme="minorHAnsi" w:eastAsiaTheme="minorEastAsia" w:hAnsiTheme="minorHAnsi"/>
          <w:kern w:val="2"/>
          <w:sz w:val="22"/>
          <w:lang w:val="en-US"/>
          <w14:ligatures w14:val="standardContextual"/>
        </w:rPr>
      </w:pPr>
      <w:r>
        <w:rPr>
          <w:rFonts w:eastAsia="DejaVu Sans" w:eastAsiaTheme="minorEastAsia" w:ascii="Arial" w:hAnsi="Arial"/>
          <w:kern w:val="2"/>
          <w:sz w:val="22"/>
          <w:lang w:val="en-US"/>
          <w14:ligatures w14:val="standardContextual"/>
        </w:rPr>
      </w:r>
    </w:p>
    <w:p>
      <w:pPr>
        <w:pStyle w:val="Normal"/>
        <w:tabs>
          <w:tab w:val="clear" w:pos="720"/>
          <w:tab w:val="right" w:pos="9350" w:leader="dot"/>
        </w:tabs>
        <w:bidi w:val="0"/>
        <w:jc w:val="center"/>
        <w:rPr>
          <w:rFonts w:ascii="Arial" w:hAnsi="Arial" w:eastAsia="DejaVu Sans" w:asciiTheme="minorHAnsi" w:eastAsiaTheme="minorEastAsia" w:hAnsiTheme="minorHAnsi"/>
          <w:kern w:val="2"/>
          <w:sz w:val="22"/>
          <w:lang w:val="en-US"/>
          <w14:ligatures w14:val="standardContextual"/>
        </w:rPr>
      </w:pPr>
      <w:r>
        <w:rPr>
          <w:rFonts w:eastAsia="DejaVu Sans" w:eastAsiaTheme="minorEastAsia" w:ascii="Arial" w:hAnsi="Arial"/>
          <w:kern w:val="2"/>
          <w:sz w:val="22"/>
          <w:lang w:val="en-US"/>
          <w14:ligatures w14:val="standardContextual"/>
        </w:rPr>
      </w:r>
    </w:p>
    <w:p>
      <w:pPr>
        <w:pStyle w:val="Normal"/>
        <w:tabs>
          <w:tab w:val="clear" w:pos="720"/>
          <w:tab w:val="right" w:pos="9350" w:leader="dot"/>
        </w:tabs>
        <w:bidi w:val="0"/>
        <w:jc w:val="center"/>
        <w:rPr>
          <w:rFonts w:ascii="Arial" w:hAnsi="Arial" w:eastAsia="DejaVu Sans" w:asciiTheme="minorHAnsi" w:eastAsiaTheme="minorEastAsia" w:hAnsiTheme="minorHAnsi"/>
          <w:kern w:val="2"/>
          <w:sz w:val="22"/>
          <w:lang w:val="en-US"/>
          <w14:ligatures w14:val="standardContextual"/>
        </w:rPr>
      </w:pPr>
      <w:r>
        <w:rPr>
          <w:rFonts w:eastAsia="DejaVu Sans" w:eastAsiaTheme="minorEastAsia" w:ascii="Arial" w:hAnsi="Arial"/>
          <w:kern w:val="2"/>
          <w:sz w:val="22"/>
          <w:lang w:val="en-US"/>
          <w14:ligatures w14:val="standardContextual"/>
        </w:rPr>
      </w:r>
    </w:p>
    <w:p>
      <w:pPr>
        <w:pStyle w:val="Normal"/>
        <w:tabs>
          <w:tab w:val="clear" w:pos="720"/>
          <w:tab w:val="right" w:pos="9350" w:leader="dot"/>
        </w:tabs>
        <w:bidi w:val="0"/>
        <w:jc w:val="center"/>
        <w:rPr>
          <w:rFonts w:ascii="Arial" w:hAnsi="Arial" w:eastAsia="DejaVu Sans" w:asciiTheme="minorHAnsi" w:eastAsiaTheme="minorEastAsia" w:hAnsiTheme="minorHAnsi"/>
          <w:kern w:val="2"/>
          <w:sz w:val="22"/>
          <w:lang w:val="en-US"/>
          <w14:ligatures w14:val="standardContextual"/>
        </w:rPr>
      </w:pPr>
      <w:r>
        <w:rPr>
          <w:rFonts w:eastAsia="DejaVu Sans" w:eastAsiaTheme="minorEastAsia" w:ascii="Arial" w:hAnsi="Arial"/>
          <w:kern w:val="2"/>
          <w:sz w:val="22"/>
          <w:lang w:val="en-US"/>
          <w14:ligatures w14:val="standardContextual"/>
        </w:rPr>
      </w:r>
    </w:p>
    <w:p>
      <w:pPr>
        <w:pStyle w:val="Normal"/>
        <w:tabs>
          <w:tab w:val="clear" w:pos="720"/>
          <w:tab w:val="right" w:pos="9350" w:leader="dot"/>
        </w:tabs>
        <w:bidi w:val="0"/>
        <w:jc w:val="center"/>
        <w:rPr>
          <w:rFonts w:ascii="Arial" w:hAnsi="Arial" w:eastAsia="DejaVu Sans" w:asciiTheme="minorHAnsi" w:eastAsiaTheme="minorEastAsia" w:hAnsiTheme="minorHAnsi"/>
          <w:kern w:val="2"/>
          <w:sz w:val="22"/>
          <w:lang w:val="en-US"/>
          <w14:ligatures w14:val="standardContextual"/>
        </w:rPr>
      </w:pPr>
      <w:r>
        <w:rPr>
          <w:rFonts w:eastAsia="DejaVu Sans" w:eastAsiaTheme="minorEastAsia" w:ascii="Arial" w:hAnsi="Arial"/>
          <w:kern w:val="2"/>
          <w:sz w:val="22"/>
          <w:lang w:val="en-US"/>
          <w14:ligatures w14:val="standardContextual"/>
        </w:rPr>
      </w:r>
    </w:p>
    <w:p>
      <w:pPr>
        <w:pStyle w:val="Normal"/>
        <w:tabs>
          <w:tab w:val="clear" w:pos="720"/>
          <w:tab w:val="right" w:pos="9350" w:leader="dot"/>
        </w:tabs>
        <w:bidi w:val="0"/>
        <w:jc w:val="center"/>
        <w:rPr>
          <w:rFonts w:ascii="Arial" w:hAnsi="Arial" w:eastAsia="DejaVu Sans" w:asciiTheme="minorHAnsi" w:eastAsiaTheme="minorEastAsia" w:hAnsiTheme="minorHAnsi"/>
          <w:kern w:val="2"/>
          <w:sz w:val="22"/>
          <w:lang w:val="en-US"/>
          <w14:ligatures w14:val="standardContextual"/>
        </w:rPr>
      </w:pPr>
      <w:r>
        <w:rPr>
          <w:rFonts w:eastAsia="DejaVu Sans" w:eastAsiaTheme="minorEastAsia" w:ascii="Arial" w:hAnsi="Arial"/>
          <w:kern w:val="2"/>
          <w:sz w:val="22"/>
          <w:lang w:val="en-US"/>
          <w14:ligatures w14:val="standardContextual"/>
        </w:rPr>
      </w:r>
    </w:p>
    <w:p>
      <w:pPr>
        <w:pStyle w:val="Normal"/>
        <w:tabs>
          <w:tab w:val="clear" w:pos="720"/>
          <w:tab w:val="right" w:pos="9350" w:leader="dot"/>
        </w:tabs>
        <w:bidi w:val="0"/>
        <w:jc w:val="center"/>
        <w:rPr>
          <w:rFonts w:ascii="Arial" w:hAnsi="Arial" w:eastAsia="DejaVu Sans" w:asciiTheme="minorHAnsi" w:eastAsiaTheme="minorEastAsia" w:hAnsiTheme="minorHAnsi"/>
          <w:kern w:val="2"/>
          <w:sz w:val="22"/>
          <w:lang w:val="en-US"/>
          <w14:ligatures w14:val="standardContextual"/>
        </w:rPr>
      </w:pPr>
      <w:r>
        <w:rPr>
          <w:rFonts w:eastAsia="DejaVu Sans" w:eastAsiaTheme="minorEastAsia" w:ascii="Arial" w:hAnsi="Arial"/>
          <w:kern w:val="2"/>
          <w:sz w:val="22"/>
          <w:lang w:val="en-US"/>
          <w14:ligatures w14:val="standardContextual"/>
        </w:rPr>
      </w:r>
    </w:p>
    <w:p>
      <w:pPr>
        <w:pStyle w:val="Normal"/>
        <w:tabs>
          <w:tab w:val="clear" w:pos="720"/>
          <w:tab w:val="right" w:pos="9350" w:leader="dot"/>
        </w:tabs>
        <w:bidi w:val="0"/>
        <w:jc w:val="center"/>
        <w:rPr>
          <w:rFonts w:ascii="Arial" w:hAnsi="Arial" w:eastAsia="DejaVu Sans" w:asciiTheme="minorHAnsi" w:eastAsiaTheme="minorEastAsia" w:hAnsiTheme="minorHAnsi"/>
          <w:kern w:val="2"/>
          <w:sz w:val="22"/>
          <w:lang w:val="en-US"/>
          <w14:ligatures w14:val="standardContextual"/>
        </w:rPr>
      </w:pPr>
      <w:r>
        <w:rPr>
          <w:rFonts w:eastAsia="DejaVu Sans" w:eastAsiaTheme="minorEastAsia" w:ascii="Arial" w:hAnsi="Arial"/>
          <w:kern w:val="2"/>
          <w:sz w:val="22"/>
          <w:lang w:val="en-US"/>
          <w14:ligatures w14:val="standardContextual"/>
        </w:rPr>
      </w:r>
    </w:p>
    <w:p>
      <w:pPr>
        <w:pStyle w:val="Normal"/>
        <w:tabs>
          <w:tab w:val="clear" w:pos="720"/>
          <w:tab w:val="right" w:pos="9350" w:leader="dot"/>
        </w:tabs>
        <w:bidi w:val="0"/>
        <w:jc w:val="center"/>
        <w:rPr>
          <w:rFonts w:ascii="Arial" w:hAnsi="Arial" w:eastAsia="DejaVu Sans" w:asciiTheme="minorHAnsi" w:eastAsiaTheme="minorEastAsia" w:hAnsiTheme="minorHAnsi"/>
          <w:kern w:val="2"/>
          <w:sz w:val="22"/>
          <w:lang w:val="en-US"/>
          <w14:ligatures w14:val="standardContextual"/>
        </w:rPr>
      </w:pPr>
      <w:r>
        <w:rPr>
          <w:rFonts w:eastAsia="DejaVu Sans" w:eastAsiaTheme="minorEastAsia" w:ascii="Arial" w:hAnsi="Arial"/>
          <w:kern w:val="2"/>
          <w:sz w:val="22"/>
          <w:lang w:val="en-US"/>
          <w14:ligatures w14:val="standardContextual"/>
        </w:rPr>
      </w:r>
    </w:p>
    <w:p>
      <w:pPr>
        <w:pStyle w:val="Normal"/>
        <w:tabs>
          <w:tab w:val="clear" w:pos="720"/>
          <w:tab w:val="right" w:pos="9350" w:leader="dot"/>
        </w:tabs>
        <w:bidi w:val="0"/>
        <w:jc w:val="center"/>
        <w:rPr>
          <w:rFonts w:ascii="Arial" w:hAnsi="Arial" w:eastAsia="DejaVu Sans" w:asciiTheme="minorHAnsi" w:eastAsiaTheme="minorEastAsia" w:hAnsiTheme="minorHAnsi"/>
          <w:kern w:val="2"/>
          <w:sz w:val="22"/>
          <w:lang w:val="en-US"/>
          <w14:ligatures w14:val="standardContextual"/>
        </w:rPr>
      </w:pPr>
      <w:r>
        <w:rPr>
          <w:rFonts w:eastAsia="DejaVu Sans" w:eastAsiaTheme="minorEastAsia" w:ascii="Arial" w:hAnsi="Arial"/>
          <w:kern w:val="2"/>
          <w:sz w:val="22"/>
          <w:lang w:val="en-US"/>
          <w14:ligatures w14:val="standardContextual"/>
        </w:rPr>
      </w:r>
    </w:p>
    <w:p>
      <w:pPr>
        <w:pStyle w:val="Normal"/>
        <w:tabs>
          <w:tab w:val="clear" w:pos="720"/>
          <w:tab w:val="right" w:pos="9350" w:leader="dot"/>
        </w:tabs>
        <w:bidi w:val="0"/>
        <w:jc w:val="left"/>
        <w:rPr>
          <w:rFonts w:ascii="Arial" w:hAnsi="Arial" w:eastAsia="DejaVu Sans" w:asciiTheme="minorHAnsi" w:eastAsiaTheme="minorEastAsia" w:hAnsiTheme="minorHAnsi"/>
          <w:kern w:val="2"/>
          <w:sz w:val="22"/>
          <w:lang w:val="en-US"/>
          <w14:ligatures w14:val="standardContextual"/>
        </w:rPr>
      </w:pPr>
      <w:r>
        <w:rPr>
          <w:rFonts w:eastAsia="DejaVu Sans" w:ascii="Arial" w:hAnsi="Arial" w:eastAsiaTheme="minorEastAsia"/>
          <w:b/>
          <w:bCs/>
          <w:kern w:val="2"/>
          <w:sz w:val="36"/>
          <w:szCs w:val="36"/>
          <w:lang w:val="en-US"/>
          <w14:ligatures w14:val="standardContextual"/>
        </w:rPr>
        <w:t>Introduction</w:t>
        <w:br/>
      </w:r>
    </w:p>
    <w:p>
      <w:pPr>
        <w:pStyle w:val="Normal"/>
        <w:tabs>
          <w:tab w:val="clear" w:pos="720"/>
          <w:tab w:val="right" w:pos="9350" w:leader="dot"/>
        </w:tabs>
        <w:bidi w:val="0"/>
        <w:jc w:val="left"/>
        <w:rPr>
          <w:rFonts w:ascii="Arial" w:hAnsi="Arial" w:eastAsia="DejaVu Sans" w:asciiTheme="minorHAnsi" w:eastAsiaTheme="minorEastAsia" w:hAnsiTheme="minorHAnsi"/>
          <w:kern w:val="2"/>
          <w:sz w:val="22"/>
          <w:lang w:val="en-US"/>
          <w14:ligatures w14:val="standardContextual"/>
        </w:rPr>
      </w:pPr>
      <w:r>
        <w:rPr>
          <w:rFonts w:eastAsia="DejaVu Sans" w:ascii="Arial" w:hAnsi="Arial" w:eastAsiaTheme="minorEastAsia"/>
          <w:b w:val="false"/>
          <w:bCs w:val="false"/>
          <w:kern w:val="2"/>
          <w:sz w:val="22"/>
          <w:szCs w:val="22"/>
          <w:lang w:val="en-US"/>
          <w14:ligatures w14:val="standardContextual"/>
        </w:rPr>
        <w:tab/>
        <w:t xml:space="preserve">  Nowadays business environment has become more and more competitive, and the need for a change has become essential for the growth and sustain of any business.  </w:t>
      </w:r>
      <w:r>
        <w:rPr>
          <w:rFonts w:eastAsia="DejaVu Sans" w:ascii="Arial" w:hAnsi="Arial" w:eastAsiaTheme="minorEastAsia"/>
          <w:b w:val="false"/>
          <w:bCs w:val="false"/>
          <w:color w:val="000000"/>
          <w:kern w:val="2"/>
          <w:sz w:val="22"/>
          <w:szCs w:val="22"/>
          <w:lang w:val="en-US"/>
          <w14:ligatures w14:val="standardContextual"/>
        </w:rPr>
        <w:t>According to Champy and Nohria (1996), three major drivers have accelerated organizational change: technological advancements, governmental regulations, and globalization.</w:t>
      </w:r>
      <w:r>
        <w:rPr>
          <w:rFonts w:eastAsia="DejaVu Sans" w:ascii="Arial" w:hAnsi="Arial" w:eastAsiaTheme="minorEastAsia"/>
          <w:b w:val="false"/>
          <w:bCs w:val="false"/>
          <w:color w:val="C9211E"/>
          <w:kern w:val="2"/>
          <w:sz w:val="22"/>
          <w:szCs w:val="22"/>
          <w:lang w:val="en-US"/>
          <w14:ligatures w14:val="standardContextual"/>
        </w:rPr>
        <w:t xml:space="preserve"> </w:t>
      </w:r>
      <w:r>
        <w:rPr>
          <w:rFonts w:eastAsia="DejaVu Sans" w:ascii="Arial" w:hAnsi="Arial" w:eastAsiaTheme="minorEastAsia"/>
          <w:b w:val="false"/>
          <w:bCs w:val="false"/>
          <w:color w:val="000000"/>
          <w:kern w:val="2"/>
          <w:sz w:val="22"/>
          <w:szCs w:val="22"/>
          <w:lang w:val="en-US"/>
          <w14:ligatures w14:val="standardContextual"/>
        </w:rPr>
        <w:t>These factors, together with rising customers’ expectations and sudden jump in digitalized business services are forcing more businesses to be agile and adapt to this trend.</w:t>
      </w:r>
    </w:p>
    <w:p>
      <w:pPr>
        <w:pStyle w:val="Normal"/>
        <w:tabs>
          <w:tab w:val="clear" w:pos="720"/>
          <w:tab w:val="right" w:pos="9350" w:leader="dot"/>
        </w:tabs>
        <w:bidi w:val="0"/>
        <w:jc w:val="left"/>
        <w:rPr>
          <w:rFonts w:ascii="Arial" w:hAnsi="Arial" w:eastAsia="DejaVu Sans" w:asciiTheme="minorHAnsi" w:eastAsiaTheme="minorEastAsia" w:hAnsiTheme="minorHAnsi"/>
          <w:kern w:val="2"/>
          <w:sz w:val="22"/>
          <w:lang w:val="en-US"/>
          <w14:ligatures w14:val="standardContextual"/>
        </w:rPr>
      </w:pPr>
      <w:r>
        <w:rPr>
          <w:rFonts w:eastAsia="DejaVu Sans" w:ascii="Arial" w:hAnsi="Arial" w:eastAsiaTheme="minorEastAsia"/>
          <w:b w:val="false"/>
          <w:bCs w:val="false"/>
          <w:color w:val="000000"/>
          <w:kern w:val="2"/>
          <w:sz w:val="22"/>
          <w:szCs w:val="22"/>
          <w:lang w:val="en-US"/>
          <w14:ligatures w14:val="standardContextual"/>
        </w:rPr>
        <w:t xml:space="preserve">   </w:t>
      </w:r>
      <w:r>
        <w:rPr>
          <w:rFonts w:eastAsia="DejaVu Sans" w:ascii="Arial" w:hAnsi="Arial" w:eastAsiaTheme="minorEastAsia"/>
          <w:b w:val="false"/>
          <w:bCs w:val="false"/>
          <w:color w:val="000000"/>
          <w:kern w:val="2"/>
          <w:sz w:val="22"/>
          <w:szCs w:val="22"/>
          <w:lang w:val="en-US"/>
          <w14:ligatures w14:val="standardContextual"/>
        </w:rPr>
        <w:t>One of the leading companies in the UK banking industry is Lloyds Bank, and they were able maintain their competitive edge and remain successful by managing the upcoming change effectively. For instance, the banking sector has faced numerous disruptions due to advances in financial technology , economic volatility, and regulatory changes. Therefore, the role of change management – constantly noting emerging new challenges and implementing respective strategies for them – is highly important for maintaining the company’s success and ensuring future prospect objectives are met.</w:t>
      </w:r>
    </w:p>
    <w:p>
      <w:pPr>
        <w:pStyle w:val="Normal"/>
        <w:tabs>
          <w:tab w:val="clear" w:pos="720"/>
          <w:tab w:val="right" w:pos="9350" w:leader="dot"/>
        </w:tabs>
        <w:bidi w:val="0"/>
        <w:jc w:val="left"/>
        <w:rPr>
          <w:rFonts w:ascii="Arial" w:hAnsi="Arial" w:eastAsia="DejaVu Sans" w:asciiTheme="minorHAnsi" w:eastAsiaTheme="minorEastAsia" w:hAnsiTheme="minorHAnsi"/>
          <w:kern w:val="2"/>
          <w:sz w:val="22"/>
          <w:lang w:val="en-US"/>
          <w14:ligatures w14:val="standardContextual"/>
        </w:rPr>
      </w:pPr>
      <w:r>
        <w:rPr>
          <w:rFonts w:eastAsia="DejaVu Sans" w:ascii="Arial" w:hAnsi="Arial" w:eastAsiaTheme="minorEastAsia"/>
          <w:b w:val="false"/>
          <w:bCs w:val="false"/>
          <w:color w:val="000000"/>
          <w:kern w:val="2"/>
          <w:sz w:val="22"/>
          <w:szCs w:val="22"/>
          <w:lang w:val="en-US"/>
          <w14:ligatures w14:val="standardContextual"/>
        </w:rPr>
        <w:t xml:space="preserve">   </w:t>
      </w:r>
      <w:r>
        <w:rPr>
          <w:rFonts w:eastAsia="DejaVu Sans" w:ascii="Arial" w:hAnsi="Arial" w:eastAsiaTheme="minorEastAsia"/>
          <w:b w:val="false"/>
          <w:bCs w:val="false"/>
          <w:color w:val="000000"/>
          <w:kern w:val="2"/>
          <w:sz w:val="22"/>
          <w:szCs w:val="22"/>
          <w:lang w:val="en-US"/>
          <w14:ligatures w14:val="standardContextual"/>
        </w:rPr>
        <w:t xml:space="preserve">This paper examines the management of change by Lloyds Bank that has been driven by exogenous change where digital disruption and economic change have existed, and reviews the role played by organizational culture and by leadership in relation to change. </w:t>
      </w:r>
    </w:p>
    <w:p>
      <w:pPr>
        <w:pStyle w:val="Normal"/>
        <w:tabs>
          <w:tab w:val="clear" w:pos="720"/>
          <w:tab w:val="right" w:pos="9350" w:leader="dot"/>
        </w:tabs>
        <w:bidi w:val="0"/>
        <w:jc w:val="left"/>
        <w:rPr>
          <w:rFonts w:ascii="Arial" w:hAnsi="Arial" w:eastAsia="DejaVu Sans" w:asciiTheme="minorHAnsi" w:eastAsiaTheme="minorEastAsia" w:hAnsiTheme="minorHAnsi"/>
          <w:kern w:val="2"/>
          <w:sz w:val="22"/>
          <w:lang w:val="en-US"/>
          <w14:ligatures w14:val="standardContextual"/>
        </w:rPr>
      </w:pPr>
      <w:r>
        <w:rPr>
          <w:rFonts w:eastAsia="DejaVu Sans" w:eastAsiaTheme="minorEastAsia" w:ascii="Arial" w:hAnsi="Arial"/>
          <w:kern w:val="2"/>
          <w:sz w:val="22"/>
          <w:lang w:val="en-US"/>
          <w14:ligatures w14:val="standardContextual"/>
        </w:rPr>
      </w:r>
    </w:p>
    <w:p>
      <w:pPr>
        <w:pStyle w:val="Normal"/>
        <w:tabs>
          <w:tab w:val="clear" w:pos="720"/>
          <w:tab w:val="right" w:pos="9350" w:leader="dot"/>
        </w:tabs>
        <w:bidi w:val="0"/>
        <w:jc w:val="left"/>
        <w:rPr>
          <w:rFonts w:ascii="Arial" w:hAnsi="Arial" w:eastAsia="DejaVu Sans" w:asciiTheme="minorHAnsi" w:eastAsiaTheme="minorEastAsia" w:hAnsiTheme="minorHAnsi"/>
          <w:kern w:val="2"/>
          <w:sz w:val="22"/>
          <w:lang w:val="en-US"/>
          <w14:ligatures w14:val="standardContextual"/>
        </w:rPr>
      </w:pPr>
      <w:r>
        <w:rPr>
          <w:rFonts w:eastAsia="DejaVu Sans" w:ascii="Arial" w:hAnsi="Arial" w:eastAsiaTheme="minorEastAsia"/>
          <w:b/>
          <w:bCs/>
          <w:color w:val="000000"/>
          <w:kern w:val="2"/>
          <w:sz w:val="36"/>
          <w:szCs w:val="36"/>
          <w:lang w:val="en-US"/>
          <w14:ligatures w14:val="standardContextual"/>
        </w:rPr>
        <w:t>Current State of Lloyds Bank</w:t>
      </w:r>
    </w:p>
    <w:p>
      <w:pPr>
        <w:pStyle w:val="Normal"/>
        <w:tabs>
          <w:tab w:val="clear" w:pos="720"/>
          <w:tab w:val="right" w:pos="9350" w:leader="dot"/>
        </w:tabs>
        <w:bidi w:val="0"/>
        <w:jc w:val="left"/>
        <w:rPr>
          <w:rFonts w:ascii="Arial" w:hAnsi="Arial" w:eastAsia="DejaVu Sans" w:asciiTheme="minorHAnsi" w:eastAsiaTheme="minorEastAsia" w:hAnsiTheme="minorHAnsi"/>
          <w:kern w:val="2"/>
          <w:sz w:val="22"/>
          <w:lang w:val="en-US"/>
          <w14:ligatures w14:val="standardContextual"/>
        </w:rPr>
      </w:pPr>
      <w:r>
        <w:rPr>
          <w:rFonts w:eastAsia="DejaVu Sans" w:eastAsiaTheme="minorEastAsia" w:ascii="Arial" w:hAnsi="Arial"/>
          <w:kern w:val="2"/>
          <w:sz w:val="22"/>
          <w:lang w:val="en-US"/>
          <w14:ligatures w14:val="standardContextual"/>
        </w:rPr>
      </w:r>
    </w:p>
    <w:p>
      <w:pPr>
        <w:pStyle w:val="Normal"/>
        <w:tabs>
          <w:tab w:val="clear" w:pos="720"/>
          <w:tab w:val="right" w:pos="9350" w:leader="dot"/>
        </w:tabs>
        <w:bidi w:val="0"/>
        <w:jc w:val="left"/>
        <w:rPr>
          <w:rFonts w:ascii="Arial" w:hAnsi="Arial" w:eastAsia="DejaVu Sans" w:asciiTheme="minorHAnsi" w:eastAsiaTheme="minorEastAsia" w:hAnsiTheme="minorHAnsi"/>
          <w:kern w:val="2"/>
          <w:sz w:val="22"/>
          <w:lang w:val="en-US"/>
          <w14:ligatures w14:val="standardContextual"/>
        </w:rPr>
      </w:pPr>
      <w:r>
        <w:rPr>
          <w:rFonts w:eastAsia="DejaVu Sans" w:ascii="Arial" w:hAnsi="Arial" w:eastAsiaTheme="minorEastAsia"/>
          <w:b w:val="false"/>
          <w:bCs w:val="false"/>
          <w:color w:val="5983B0"/>
          <w:kern w:val="2"/>
          <w:sz w:val="22"/>
          <w:szCs w:val="22"/>
          <w:lang w:val="en-US"/>
          <w14:ligatures w14:val="standardContextual"/>
        </w:rPr>
        <w:t xml:space="preserve">   </w:t>
      </w:r>
      <w:r>
        <w:rPr>
          <w:rFonts w:eastAsia="DejaVu Sans" w:ascii="Arial" w:hAnsi="Arial" w:eastAsiaTheme="minorEastAsia"/>
          <w:b w:val="false"/>
          <w:bCs w:val="false"/>
          <w:color w:val="000000"/>
          <w:kern w:val="2"/>
          <w:sz w:val="22"/>
          <w:szCs w:val="22"/>
          <w:lang w:val="en-US"/>
          <w14:ligatures w14:val="standardContextual"/>
        </w:rPr>
        <w:t>Lloyds bank is one of the oldest financial institutions in the UK. Being part of Lloyds banking group with history dating back to 1765, the bank has become highly respected in the banking sector, providing a range of services like personal and commercial banking, savings and mortgage management. Lloyds has a wide customer base, catering to millions of people and companies in the UK. The bank has presence through a network of branches, the Internet, and (third party) partnerships in order to guarantee accessibility to its broad customer base.</w:t>
        <w:br/>
        <w:br/>
      </w:r>
      <w:r>
        <w:rPr>
          <w:rFonts w:eastAsia="DejaVu Sans" w:ascii="Arial" w:hAnsi="Arial" w:eastAsiaTheme="minorEastAsia"/>
          <w:b/>
          <w:bCs/>
          <w:color w:val="000000"/>
          <w:kern w:val="2"/>
          <w:sz w:val="30"/>
          <w:szCs w:val="30"/>
          <w:lang w:val="en-US"/>
          <w14:ligatures w14:val="standardContextual"/>
        </w:rPr>
        <w:t>1.</w:t>
      </w:r>
      <w:r>
        <w:rPr>
          <w:rFonts w:eastAsia="DejaVu Sans" w:ascii="Arial" w:hAnsi="Arial" w:eastAsiaTheme="minorEastAsia"/>
          <w:b w:val="false"/>
          <w:bCs w:val="false"/>
          <w:color w:val="000000"/>
          <w:kern w:val="2"/>
          <w:sz w:val="22"/>
          <w:szCs w:val="22"/>
          <w:lang w:val="en-US"/>
          <w14:ligatures w14:val="standardContextual"/>
        </w:rPr>
        <w:t xml:space="preserve"> </w:t>
      </w:r>
      <w:r>
        <w:rPr>
          <w:rFonts w:eastAsia="DejaVu Sans" w:ascii="Arial" w:hAnsi="Arial" w:eastAsiaTheme="minorEastAsia"/>
          <w:b/>
          <w:bCs/>
          <w:color w:val="000000"/>
          <w:kern w:val="2"/>
          <w:sz w:val="30"/>
          <w:szCs w:val="30"/>
          <w:lang w:val="en-US"/>
          <w14:ligatures w14:val="standardContextual"/>
        </w:rPr>
        <w:t>Financial Performance</w:t>
      </w:r>
      <w:r>
        <w:rPr>
          <w:rFonts w:eastAsia="DejaVu Sans" w:ascii="Arial" w:hAnsi="Arial" w:eastAsiaTheme="minorEastAsia"/>
          <w:b w:val="false"/>
          <w:bCs w:val="false"/>
          <w:color w:val="000000"/>
          <w:kern w:val="2"/>
          <w:sz w:val="22"/>
          <w:szCs w:val="22"/>
          <w:lang w:val="en-US"/>
          <w14:ligatures w14:val="standardContextual"/>
        </w:rPr>
        <w:br/>
        <w:br/>
        <w:t>At 2024, Lloyds Bank still represents one of the most stable financial players in the UK market, but it continues to run into great challenges because the banking sector environment is rapidly becoming more competitive. As per its 2023 annual report, the bank showed stable profitability, with a primary focus on cost optimisation and digitalisation. Nevertheless, economic instability, rising interest rates, and inflation have affected the consumer behavior, as well as the bank profitability. Lloyds has had to balance its traditional banking services with growing demands for digital innovation, placing greater emphasis on online services and reducing its physical branch network.</w:t>
      </w:r>
    </w:p>
    <w:p>
      <w:pPr>
        <w:pStyle w:val="Normal"/>
        <w:tabs>
          <w:tab w:val="clear" w:pos="720"/>
          <w:tab w:val="right" w:pos="9350" w:leader="dot"/>
        </w:tabs>
        <w:bidi w:val="0"/>
        <w:jc w:val="left"/>
        <w:rPr>
          <w:rFonts w:ascii="Arial" w:hAnsi="Arial" w:eastAsia="DejaVu Sans" w:asciiTheme="minorHAnsi" w:eastAsiaTheme="minorEastAsia" w:hAnsiTheme="minorHAnsi"/>
          <w:kern w:val="2"/>
          <w:sz w:val="22"/>
          <w:lang w:val="en-US"/>
          <w14:ligatures w14:val="standardContextual"/>
        </w:rPr>
      </w:pPr>
      <w:r>
        <w:rPr>
          <w:rFonts w:eastAsia="DejaVu Sans" w:eastAsiaTheme="minorEastAsia" w:ascii="Arial" w:hAnsi="Arial"/>
          <w:kern w:val="2"/>
          <w:sz w:val="22"/>
          <w:lang w:val="en-US"/>
          <w14:ligatures w14:val="standardContextual"/>
        </w:rPr>
      </w:r>
    </w:p>
    <w:p>
      <w:pPr>
        <w:pStyle w:val="Normal"/>
        <w:tabs>
          <w:tab w:val="clear" w:pos="720"/>
          <w:tab w:val="right" w:pos="9350" w:leader="dot"/>
        </w:tabs>
        <w:bidi w:val="0"/>
        <w:jc w:val="left"/>
        <w:rPr>
          <w:rFonts w:ascii="Arial" w:hAnsi="Arial" w:eastAsia="DejaVu Sans" w:asciiTheme="minorHAnsi" w:eastAsiaTheme="minorEastAsia" w:hAnsiTheme="minorHAnsi"/>
          <w:kern w:val="2"/>
          <w:sz w:val="22"/>
          <w:lang w:val="en-US"/>
          <w14:ligatures w14:val="standardContextual"/>
        </w:rPr>
      </w:pPr>
      <w:r>
        <w:rPr>
          <w:rFonts w:eastAsia="DejaVu Sans" w:ascii="Arial" w:hAnsi="Arial" w:eastAsiaTheme="minorEastAsia"/>
          <w:b/>
          <w:bCs/>
          <w:color w:val="000000"/>
          <w:kern w:val="2"/>
          <w:sz w:val="30"/>
          <w:szCs w:val="30"/>
          <w:lang w:val="en-US"/>
          <w14:ligatures w14:val="standardContextual"/>
        </w:rPr>
        <w:t>2. Digital Transformation</w:t>
      </w:r>
    </w:p>
    <w:p>
      <w:pPr>
        <w:pStyle w:val="Normal"/>
        <w:tabs>
          <w:tab w:val="clear" w:pos="720"/>
          <w:tab w:val="right" w:pos="9350" w:leader="dot"/>
        </w:tabs>
        <w:bidi w:val="0"/>
        <w:jc w:val="left"/>
        <w:rPr>
          <w:rFonts w:ascii="Arial" w:hAnsi="Arial" w:eastAsia="DejaVu Sans" w:asciiTheme="minorHAnsi" w:eastAsiaTheme="minorEastAsia" w:hAnsiTheme="minorHAnsi"/>
          <w:kern w:val="2"/>
          <w:sz w:val="22"/>
          <w:lang w:val="en-US"/>
          <w14:ligatures w14:val="standardContextual"/>
        </w:rPr>
      </w:pPr>
      <w:r>
        <w:rPr>
          <w:rFonts w:eastAsia="DejaVu Sans" w:eastAsiaTheme="minorEastAsia" w:ascii="Arial" w:hAnsi="Arial"/>
          <w:kern w:val="2"/>
          <w:sz w:val="22"/>
          <w:lang w:val="en-US"/>
          <w14:ligatures w14:val="standardContextual"/>
        </w:rPr>
      </w:r>
    </w:p>
    <w:p>
      <w:pPr>
        <w:pStyle w:val="Normal"/>
        <w:tabs>
          <w:tab w:val="clear" w:pos="720"/>
          <w:tab w:val="right" w:pos="9350" w:leader="dot"/>
        </w:tabs>
        <w:bidi w:val="0"/>
        <w:jc w:val="left"/>
        <w:rPr>
          <w:rFonts w:ascii="Arial" w:hAnsi="Arial" w:eastAsia="DejaVu Sans" w:asciiTheme="minorHAnsi" w:eastAsiaTheme="minorEastAsia" w:hAnsiTheme="minorHAnsi"/>
          <w:kern w:val="2"/>
          <w:sz w:val="22"/>
          <w:lang w:val="en-US"/>
          <w14:ligatures w14:val="standardContextual"/>
        </w:rPr>
      </w:pPr>
      <w:r>
        <w:rPr>
          <w:rFonts w:eastAsia="DejaVu Sans" w:ascii="Arial" w:hAnsi="Arial" w:eastAsiaTheme="minorEastAsia"/>
          <w:b w:val="false"/>
          <w:bCs w:val="false"/>
          <w:color w:val="000000"/>
          <w:kern w:val="2"/>
          <w:sz w:val="22"/>
          <w:szCs w:val="22"/>
          <w:u w:val="none"/>
          <w:lang w:val="en-US"/>
          <w14:ligatures w14:val="standardContextual"/>
        </w:rPr>
        <w:t>‘</w:t>
      </w:r>
      <w:r>
        <w:rPr>
          <w:rFonts w:eastAsia="DejaVu Sans" w:ascii="Arial" w:hAnsi="Arial" w:eastAsiaTheme="minorEastAsia"/>
          <w:b w:val="false"/>
          <w:bCs w:val="false"/>
          <w:color w:val="000000"/>
          <w:kern w:val="2"/>
          <w:sz w:val="22"/>
          <w:szCs w:val="22"/>
          <w:u w:val="none"/>
          <w:lang w:val="en-US"/>
          <w14:ligatures w14:val="standardContextual"/>
        </w:rPr>
        <w:t>Digital</w:t>
      </w:r>
      <w:r>
        <w:rPr>
          <w:rFonts w:eastAsia="DejaVu Sans" w:ascii="Arial" w:hAnsi="Arial" w:eastAsiaTheme="minorEastAsia"/>
          <w:b w:val="false"/>
          <w:bCs w:val="false"/>
          <w:color w:val="000000"/>
          <w:kern w:val="2"/>
          <w:sz w:val="22"/>
          <w:szCs w:val="22"/>
          <w:lang w:val="en-US"/>
          <w14:ligatures w14:val="standardContextual"/>
        </w:rPr>
        <w:t xml:space="preserve"> transformation has become essential for banks to remain competitive and meet evolving customer expectations’ (Deloitte, 2020, p. 22). Trying to stay competitive in a world driven by digital and financial technologies the Lloyds has made great improvements in reduction of operational costs as well as customer experience. Reports show that by 2023 more than 75% of Lloyds bank’s personal clients have moved onto and have been actively using their digital app platform to access the bank’s services, showing the success of their investment in digital technology.</w:t>
      </w:r>
    </w:p>
    <w:p>
      <w:pPr>
        <w:pStyle w:val="Normal"/>
        <w:tabs>
          <w:tab w:val="clear" w:pos="720"/>
          <w:tab w:val="right" w:pos="9350" w:leader="dot"/>
        </w:tabs>
        <w:bidi w:val="0"/>
        <w:jc w:val="left"/>
        <w:rPr>
          <w:rFonts w:ascii="Arial" w:hAnsi="Arial" w:eastAsia="DejaVu Sans" w:asciiTheme="minorHAnsi" w:eastAsiaTheme="minorEastAsia" w:hAnsiTheme="minorHAnsi"/>
          <w:kern w:val="2"/>
          <w:sz w:val="22"/>
          <w:lang w:val="en-US"/>
          <w14:ligatures w14:val="standardContextual"/>
        </w:rPr>
      </w:pPr>
      <w:r>
        <w:rPr>
          <w:rFonts w:eastAsia="DejaVu Sans" w:eastAsiaTheme="minorEastAsia" w:ascii="Arial" w:hAnsi="Arial"/>
          <w:kern w:val="2"/>
          <w:sz w:val="22"/>
          <w:lang w:val="en-US"/>
          <w14:ligatures w14:val="standardContextual"/>
        </w:rPr>
      </w:r>
    </w:p>
    <w:p>
      <w:pPr>
        <w:pStyle w:val="Normal"/>
        <w:tabs>
          <w:tab w:val="clear" w:pos="720"/>
          <w:tab w:val="right" w:pos="9350" w:leader="dot"/>
        </w:tabs>
        <w:bidi w:val="0"/>
        <w:jc w:val="left"/>
        <w:rPr>
          <w:rFonts w:ascii="Arial" w:hAnsi="Arial" w:eastAsia="DejaVu Sans" w:asciiTheme="minorHAnsi" w:eastAsiaTheme="minorEastAsia" w:hAnsiTheme="minorHAnsi"/>
          <w:kern w:val="2"/>
          <w:sz w:val="22"/>
          <w:lang w:val="en-US"/>
          <w14:ligatures w14:val="standardContextual"/>
        </w:rPr>
      </w:pPr>
      <w:r>
        <w:rPr>
          <w:rFonts w:eastAsia="DejaVu Sans" w:eastAsiaTheme="minorEastAsia" w:ascii="Arial" w:hAnsi="Arial"/>
          <w:kern w:val="2"/>
          <w:sz w:val="22"/>
          <w:lang w:val="en-US"/>
          <w14:ligatures w14:val="standardContextual"/>
        </w:rPr>
      </w:r>
    </w:p>
    <w:p>
      <w:pPr>
        <w:pStyle w:val="Normal"/>
        <w:tabs>
          <w:tab w:val="clear" w:pos="720"/>
          <w:tab w:val="right" w:pos="9350" w:leader="dot"/>
        </w:tabs>
        <w:bidi w:val="0"/>
        <w:jc w:val="left"/>
        <w:rPr>
          <w:rFonts w:ascii="Arial" w:hAnsi="Arial" w:eastAsia="DejaVu Sans" w:asciiTheme="minorHAnsi" w:eastAsiaTheme="minorEastAsia" w:hAnsiTheme="minorHAnsi"/>
          <w:kern w:val="2"/>
          <w:sz w:val="22"/>
          <w:lang w:val="en-US"/>
          <w14:ligatures w14:val="standardContextual"/>
        </w:rPr>
      </w:pPr>
      <w:r>
        <w:rPr>
          <w:rFonts w:eastAsia="DejaVu Sans" w:ascii="Arial" w:hAnsi="Arial" w:eastAsiaTheme="minorEastAsia"/>
          <w:b/>
          <w:bCs/>
          <w:color w:val="000000"/>
          <w:kern w:val="2"/>
          <w:sz w:val="30"/>
          <w:szCs w:val="30"/>
          <w:lang w:val="en-US"/>
          <w14:ligatures w14:val="standardContextual"/>
        </w:rPr>
        <w:t>3. Challenges</w:t>
      </w:r>
    </w:p>
    <w:p>
      <w:pPr>
        <w:pStyle w:val="Normal"/>
        <w:tabs>
          <w:tab w:val="clear" w:pos="720"/>
          <w:tab w:val="right" w:pos="9350" w:leader="dot"/>
        </w:tabs>
        <w:bidi w:val="0"/>
        <w:jc w:val="left"/>
        <w:rPr>
          <w:rFonts w:ascii="Arial" w:hAnsi="Arial" w:eastAsia="DejaVu Sans" w:asciiTheme="minorHAnsi" w:eastAsiaTheme="minorEastAsia" w:hAnsiTheme="minorHAnsi"/>
          <w:kern w:val="2"/>
          <w:sz w:val="22"/>
          <w:lang w:val="en-US"/>
          <w14:ligatures w14:val="standardContextual"/>
        </w:rPr>
      </w:pPr>
      <w:r>
        <w:rPr>
          <w:rFonts w:eastAsia="DejaVu Sans" w:eastAsiaTheme="minorEastAsia" w:ascii="Arial" w:hAnsi="Arial"/>
          <w:kern w:val="2"/>
          <w:sz w:val="22"/>
          <w:lang w:val="en-US"/>
          <w14:ligatures w14:val="standardContextual"/>
        </w:rPr>
      </w:r>
    </w:p>
    <w:p>
      <w:pPr>
        <w:pStyle w:val="Normal"/>
        <w:tabs>
          <w:tab w:val="clear" w:pos="720"/>
          <w:tab w:val="right" w:pos="9350" w:leader="dot"/>
        </w:tabs>
        <w:bidi w:val="0"/>
        <w:jc w:val="left"/>
        <w:rPr>
          <w:rFonts w:ascii="Arial" w:hAnsi="Arial" w:eastAsia="DejaVu Sans" w:asciiTheme="minorHAnsi" w:eastAsiaTheme="minorEastAsia" w:hAnsiTheme="minorHAnsi"/>
          <w:kern w:val="2"/>
          <w:sz w:val="22"/>
          <w:lang w:val="en-US"/>
          <w14:ligatures w14:val="standardContextual"/>
        </w:rPr>
      </w:pPr>
      <w:r>
        <w:rPr>
          <w:rFonts w:eastAsia="DejaVu Sans" w:ascii="Arial" w:hAnsi="Arial" w:eastAsiaTheme="minorEastAsia"/>
          <w:b w:val="false"/>
          <w:bCs w:val="false"/>
          <w:color w:val="000000"/>
          <w:kern w:val="2"/>
          <w:sz w:val="22"/>
          <w:szCs w:val="22"/>
          <w:lang w:val="en-US"/>
          <w14:ligatures w14:val="standardContextual"/>
        </w:rPr>
        <w:t xml:space="preserve">   </w:t>
      </w:r>
      <w:r>
        <w:rPr>
          <w:rFonts w:eastAsia="DejaVu Sans" w:ascii="Arial" w:hAnsi="Arial" w:eastAsiaTheme="minorEastAsia"/>
          <w:b w:val="false"/>
          <w:bCs w:val="false"/>
          <w:color w:val="000000"/>
          <w:kern w:val="2"/>
          <w:sz w:val="22"/>
          <w:szCs w:val="22"/>
          <w:lang w:val="en-US"/>
          <w14:ligatures w14:val="standardContextual"/>
        </w:rPr>
        <w:t>Although Lloyds is a strong name in the banking industry they face significant challenges with the emergence of financial and digital technologies. Such companies, like Monzo and Starling, have become serious competitors in the digital banking services. These newly emerged digital banks appeal to younger, tech-savvy customers offering streamlined, tech-centric solutions. The diversified customer base on Lloyds bank has forced them to find balance between meeting the needs of their older customers and accumulating new customers through innovation.</w:t>
      </w:r>
    </w:p>
    <w:p>
      <w:pPr>
        <w:pStyle w:val="Normal"/>
        <w:tabs>
          <w:tab w:val="clear" w:pos="720"/>
          <w:tab w:val="right" w:pos="9350" w:leader="dot"/>
        </w:tabs>
        <w:bidi w:val="0"/>
        <w:jc w:val="left"/>
        <w:rPr>
          <w:rFonts w:ascii="Arial" w:hAnsi="Arial" w:eastAsia="DejaVu Sans" w:asciiTheme="minorHAnsi" w:eastAsiaTheme="minorEastAsia" w:hAnsiTheme="minorHAnsi"/>
          <w:kern w:val="2"/>
          <w:sz w:val="22"/>
          <w:lang w:val="en-US"/>
          <w14:ligatures w14:val="standardContextual"/>
        </w:rPr>
      </w:pPr>
      <w:r>
        <w:rPr>
          <w:rFonts w:eastAsia="DejaVu Sans" w:ascii="Arial" w:hAnsi="Arial" w:eastAsiaTheme="minorEastAsia"/>
          <w:b w:val="false"/>
          <w:bCs w:val="false"/>
          <w:color w:val="000000"/>
          <w:kern w:val="2"/>
          <w:sz w:val="22"/>
          <w:szCs w:val="22"/>
          <w:lang w:val="en-US"/>
          <w14:ligatures w14:val="standardContextual"/>
        </w:rPr>
        <w:t xml:space="preserve">   </w:t>
      </w:r>
      <w:r>
        <w:rPr>
          <w:rFonts w:eastAsia="DejaVu Sans" w:ascii="Arial" w:hAnsi="Arial" w:eastAsiaTheme="minorEastAsia"/>
          <w:b w:val="false"/>
          <w:bCs w:val="false"/>
          <w:color w:val="000000"/>
          <w:kern w:val="2"/>
          <w:sz w:val="22"/>
          <w:szCs w:val="22"/>
          <w:lang w:val="en-US"/>
          <w14:ligatures w14:val="standardContextual"/>
        </w:rPr>
        <w:t>Moreover, the banking industry is being increasingly regulated with the advancement of technology and emergence of AI. The banks are being pressured by regulators to enhance cybersecurity, reduce risks and improve transparency. To remain profitable and avoid unpleasant surprises, a strategic planning ahead is required and continuous adaptation.</w:t>
      </w:r>
    </w:p>
    <w:p>
      <w:pPr>
        <w:pStyle w:val="Normal"/>
        <w:tabs>
          <w:tab w:val="clear" w:pos="720"/>
          <w:tab w:val="right" w:pos="9350" w:leader="dot"/>
        </w:tabs>
        <w:bidi w:val="0"/>
        <w:jc w:val="left"/>
        <w:rPr>
          <w:rFonts w:ascii="Arial" w:hAnsi="Arial" w:eastAsia="DejaVu Sans" w:asciiTheme="minorHAnsi" w:eastAsiaTheme="minorEastAsia" w:hAnsiTheme="minorHAnsi"/>
          <w:kern w:val="2"/>
          <w:sz w:val="22"/>
          <w:lang w:val="en-US"/>
          <w14:ligatures w14:val="standardContextual"/>
        </w:rPr>
      </w:pPr>
      <w:r>
        <w:rPr>
          <w:rFonts w:eastAsia="DejaVu Sans" w:eastAsiaTheme="minorEastAsia" w:ascii="Arial" w:hAnsi="Arial"/>
          <w:kern w:val="2"/>
          <w:sz w:val="22"/>
          <w:lang w:val="en-US"/>
          <w14:ligatures w14:val="standardContextual"/>
        </w:rPr>
      </w:r>
    </w:p>
    <w:p>
      <w:pPr>
        <w:pStyle w:val="Normal"/>
        <w:tabs>
          <w:tab w:val="clear" w:pos="720"/>
          <w:tab w:val="right" w:pos="9350" w:leader="dot"/>
        </w:tabs>
        <w:bidi w:val="0"/>
        <w:jc w:val="left"/>
        <w:rPr>
          <w:rFonts w:ascii="Arial" w:hAnsi="Arial" w:eastAsia="DejaVu Sans" w:asciiTheme="minorHAnsi" w:eastAsiaTheme="minorEastAsia" w:hAnsiTheme="minorHAnsi"/>
          <w:kern w:val="2"/>
          <w:sz w:val="22"/>
          <w:lang w:val="en-US"/>
          <w14:ligatures w14:val="standardContextual"/>
        </w:rPr>
      </w:pPr>
      <w:r>
        <w:rPr>
          <w:rFonts w:eastAsia="DejaVu Sans" w:ascii="Arial" w:hAnsi="Arial" w:eastAsiaTheme="minorEastAsia"/>
          <w:b/>
          <w:bCs/>
          <w:color w:val="000000"/>
          <w:kern w:val="2"/>
          <w:sz w:val="30"/>
          <w:szCs w:val="30"/>
          <w:lang w:val="en-US"/>
          <w14:ligatures w14:val="standardContextual"/>
        </w:rPr>
        <w:t>4. Current Leadership and Strategic Focus</w:t>
      </w:r>
    </w:p>
    <w:p>
      <w:pPr>
        <w:pStyle w:val="Normal"/>
        <w:tabs>
          <w:tab w:val="clear" w:pos="720"/>
          <w:tab w:val="right" w:pos="9350" w:leader="dot"/>
        </w:tabs>
        <w:bidi w:val="0"/>
        <w:jc w:val="left"/>
        <w:rPr>
          <w:rFonts w:ascii="Arial" w:hAnsi="Arial" w:eastAsia="DejaVu Sans" w:asciiTheme="minorHAnsi" w:eastAsiaTheme="minorEastAsia" w:hAnsiTheme="minorHAnsi"/>
          <w:kern w:val="2"/>
          <w:sz w:val="22"/>
          <w:lang w:val="en-US"/>
          <w14:ligatures w14:val="standardContextual"/>
        </w:rPr>
      </w:pPr>
      <w:r>
        <w:rPr>
          <w:rFonts w:eastAsia="DejaVu Sans" w:eastAsiaTheme="minorEastAsia" w:ascii="Arial" w:hAnsi="Arial"/>
          <w:kern w:val="2"/>
          <w:sz w:val="22"/>
          <w:lang w:val="en-US"/>
          <w14:ligatures w14:val="standardContextual"/>
        </w:rPr>
      </w:r>
    </w:p>
    <w:p>
      <w:pPr>
        <w:pStyle w:val="Normal"/>
        <w:tabs>
          <w:tab w:val="clear" w:pos="720"/>
          <w:tab w:val="right" w:pos="9350" w:leader="dot"/>
        </w:tabs>
        <w:bidi w:val="0"/>
        <w:jc w:val="left"/>
        <w:rPr>
          <w:rFonts w:ascii="Arial" w:hAnsi="Arial" w:eastAsia="DejaVu Sans" w:asciiTheme="minorHAnsi" w:eastAsiaTheme="minorEastAsia" w:hAnsiTheme="minorHAnsi"/>
          <w:kern w:val="2"/>
          <w:sz w:val="22"/>
          <w:lang w:val="en-US"/>
          <w14:ligatures w14:val="standardContextual"/>
        </w:rPr>
      </w:pPr>
      <w:r>
        <w:rPr>
          <w:rFonts w:eastAsia="DejaVu Sans" w:ascii="Arial" w:hAnsi="Arial" w:eastAsiaTheme="minorEastAsia"/>
          <w:b w:val="false"/>
          <w:bCs w:val="false"/>
          <w:color w:val="000000"/>
          <w:kern w:val="2"/>
          <w:sz w:val="22"/>
          <w:szCs w:val="22"/>
          <w:lang w:val="en-US"/>
          <w14:ligatures w14:val="standardContextual"/>
        </w:rPr>
        <w:t xml:space="preserve">   </w:t>
      </w:r>
      <w:r>
        <w:rPr>
          <w:rFonts w:eastAsia="DejaVu Sans" w:ascii="Arial" w:hAnsi="Arial" w:eastAsiaTheme="minorEastAsia"/>
          <w:b w:val="false"/>
          <w:bCs w:val="false"/>
          <w:color w:val="000000"/>
          <w:kern w:val="2"/>
          <w:sz w:val="22"/>
          <w:szCs w:val="22"/>
          <w:lang w:val="en-US"/>
          <w14:ligatures w14:val="standardContextual"/>
        </w:rPr>
        <w:t>Lloyds bank current leadership has made significant changes to their business model focusing on 3 major areas: improving digital services, improving efficiency and enhancing sustainable finance initiatives. Since 2021, Charlie Nunn took over as the new CEO and under his leadership the bank had put an extra effort to position itself as a one of the leaders in sustainable banking practices by focusing on environmental, social and governance factors. This includes supporting clients in embracing more sustainable practices, to being up-to-date with the current global environmental landscape.</w:t>
      </w:r>
    </w:p>
    <w:p>
      <w:pPr>
        <w:pStyle w:val="Normal"/>
        <w:tabs>
          <w:tab w:val="clear" w:pos="720"/>
          <w:tab w:val="right" w:pos="9350" w:leader="dot"/>
        </w:tabs>
        <w:bidi w:val="0"/>
        <w:jc w:val="left"/>
        <w:rPr>
          <w:rFonts w:ascii="Arial" w:hAnsi="Arial" w:eastAsia="DejaVu Sans" w:asciiTheme="minorHAnsi" w:eastAsiaTheme="minorEastAsia" w:hAnsiTheme="minorHAnsi"/>
          <w:kern w:val="2"/>
          <w:sz w:val="22"/>
          <w:lang w:val="en-US"/>
          <w14:ligatures w14:val="standardContextual"/>
        </w:rPr>
      </w:pPr>
      <w:r>
        <w:rPr>
          <w:rFonts w:eastAsia="DejaVu Sans" w:eastAsiaTheme="minorEastAsia" w:ascii="Arial" w:hAnsi="Arial"/>
          <w:kern w:val="2"/>
          <w:sz w:val="22"/>
          <w:lang w:val="en-US"/>
          <w14:ligatures w14:val="standardContextual"/>
        </w:rPr>
      </w:r>
    </w:p>
    <w:p>
      <w:pPr>
        <w:pStyle w:val="Normal"/>
        <w:tabs>
          <w:tab w:val="clear" w:pos="720"/>
          <w:tab w:val="right" w:pos="9350" w:leader="dot"/>
        </w:tabs>
        <w:bidi w:val="0"/>
        <w:jc w:val="left"/>
        <w:rPr>
          <w:rFonts w:ascii="Arial" w:hAnsi="Arial" w:eastAsia="DejaVu Sans" w:asciiTheme="minorHAnsi" w:eastAsiaTheme="minorEastAsia" w:hAnsiTheme="minorHAnsi"/>
          <w:kern w:val="2"/>
          <w:sz w:val="22"/>
          <w:lang w:val="en-US"/>
          <w14:ligatures w14:val="standardContextual"/>
        </w:rPr>
      </w:pPr>
      <w:r>
        <w:rPr>
          <w:rFonts w:eastAsia="DejaVu Sans" w:ascii="Arial" w:hAnsi="Arial" w:eastAsiaTheme="minorEastAsia"/>
          <w:b/>
          <w:bCs/>
          <w:color w:val="000000"/>
          <w:kern w:val="2"/>
          <w:sz w:val="36"/>
          <w:szCs w:val="36"/>
          <w:lang w:val="en-US"/>
          <w14:ligatures w14:val="standardContextual"/>
        </w:rPr>
        <w:t>Impact of External Environment on Lloyds Bank</w:t>
      </w:r>
    </w:p>
    <w:p>
      <w:pPr>
        <w:pStyle w:val="Normal"/>
        <w:tabs>
          <w:tab w:val="clear" w:pos="720"/>
          <w:tab w:val="right" w:pos="9350" w:leader="dot"/>
        </w:tabs>
        <w:bidi w:val="0"/>
        <w:jc w:val="left"/>
        <w:rPr>
          <w:rFonts w:ascii="Arial" w:hAnsi="Arial" w:eastAsia="DejaVu Sans" w:asciiTheme="minorHAnsi" w:eastAsiaTheme="minorEastAsia" w:hAnsiTheme="minorHAnsi"/>
          <w:kern w:val="2"/>
          <w:sz w:val="22"/>
          <w:lang w:val="en-US"/>
          <w14:ligatures w14:val="standardContextual"/>
        </w:rPr>
      </w:pPr>
      <w:r>
        <w:rPr>
          <w:rFonts w:eastAsia="DejaVu Sans" w:eastAsiaTheme="minorEastAsia" w:ascii="Arial" w:hAnsi="Arial"/>
          <w:kern w:val="2"/>
          <w:sz w:val="22"/>
          <w:lang w:val="en-US"/>
          <w14:ligatures w14:val="standardContextual"/>
        </w:rPr>
      </w:r>
    </w:p>
    <w:p>
      <w:pPr>
        <w:pStyle w:val="Normal"/>
        <w:tabs>
          <w:tab w:val="clear" w:pos="720"/>
          <w:tab w:val="right" w:pos="9350" w:leader="dot"/>
        </w:tabs>
        <w:bidi w:val="0"/>
        <w:jc w:val="left"/>
        <w:rPr>
          <w:rFonts w:ascii="Arial" w:hAnsi="Arial" w:eastAsia="DejaVu Sans" w:asciiTheme="minorHAnsi" w:eastAsiaTheme="minorEastAsia" w:hAnsiTheme="minorHAnsi"/>
          <w:kern w:val="2"/>
          <w:sz w:val="22"/>
          <w:lang w:val="en-US"/>
          <w14:ligatures w14:val="standardContextual"/>
        </w:rPr>
      </w:pPr>
      <w:r>
        <w:rPr>
          <w:rFonts w:eastAsia="DejaVu Sans" w:ascii="Arial" w:hAnsi="Arial" w:eastAsiaTheme="minorEastAsia"/>
          <w:b w:val="false"/>
          <w:bCs w:val="false"/>
          <w:color w:val="000000"/>
          <w:kern w:val="2"/>
          <w:sz w:val="22"/>
          <w:szCs w:val="22"/>
          <w:lang w:val="en-US"/>
          <w14:ligatures w14:val="standardContextual"/>
        </w:rPr>
        <w:t xml:space="preserve">   </w:t>
      </w:r>
      <w:r>
        <w:rPr>
          <w:rFonts w:eastAsia="DejaVu Sans" w:ascii="Arial" w:hAnsi="Arial" w:eastAsiaTheme="minorEastAsia"/>
          <w:b w:val="false"/>
          <w:bCs w:val="false"/>
          <w:color w:val="000000"/>
          <w:kern w:val="2"/>
          <w:sz w:val="22"/>
          <w:szCs w:val="22"/>
          <w:lang w:val="en-US"/>
          <w14:ligatures w14:val="standardContextual"/>
        </w:rPr>
        <w:t>The external environment in which Lloyds Bank operates has changed a lot for the past ten years. Mainly in areas like digital disruptions, regulations and economic uncertainty these changes have reformed the banking industry, making Lloyds Bank seek innovations and changes in its business model.</w:t>
      </w:r>
    </w:p>
    <w:p>
      <w:pPr>
        <w:pStyle w:val="Normal"/>
        <w:tabs>
          <w:tab w:val="clear" w:pos="720"/>
          <w:tab w:val="right" w:pos="9350" w:leader="dot"/>
        </w:tabs>
        <w:bidi w:val="0"/>
        <w:jc w:val="left"/>
        <w:rPr>
          <w:rFonts w:ascii="Arial" w:hAnsi="Arial" w:eastAsia="DejaVu Sans" w:asciiTheme="minorHAnsi" w:eastAsiaTheme="minorEastAsia" w:hAnsiTheme="minorHAnsi"/>
          <w:kern w:val="2"/>
          <w:sz w:val="22"/>
          <w:lang w:val="en-US"/>
          <w14:ligatures w14:val="standardContextual"/>
        </w:rPr>
      </w:pPr>
      <w:r>
        <w:rPr>
          <w:rFonts w:eastAsia="DejaVu Sans" w:eastAsiaTheme="minorEastAsia" w:ascii="Arial" w:hAnsi="Arial"/>
          <w:kern w:val="2"/>
          <w:sz w:val="22"/>
          <w:lang w:val="en-US"/>
          <w14:ligatures w14:val="standardContextual"/>
        </w:rPr>
      </w:r>
    </w:p>
    <w:p>
      <w:pPr>
        <w:pStyle w:val="Normal"/>
        <w:tabs>
          <w:tab w:val="clear" w:pos="720"/>
          <w:tab w:val="right" w:pos="9350" w:leader="dot"/>
        </w:tabs>
        <w:bidi w:val="0"/>
        <w:jc w:val="left"/>
        <w:rPr>
          <w:rFonts w:ascii="Arial" w:hAnsi="Arial" w:eastAsia="DejaVu Sans" w:asciiTheme="minorHAnsi" w:eastAsiaTheme="minorEastAsia" w:hAnsiTheme="minorHAnsi"/>
          <w:kern w:val="2"/>
          <w:sz w:val="22"/>
          <w:lang w:val="en-US"/>
          <w14:ligatures w14:val="standardContextual"/>
        </w:rPr>
      </w:pPr>
      <w:r>
        <w:rPr>
          <w:rFonts w:eastAsia="DejaVu Sans" w:ascii="Arial" w:hAnsi="Arial" w:eastAsiaTheme="minorEastAsia"/>
          <w:b/>
          <w:bCs/>
          <w:color w:val="000000"/>
          <w:kern w:val="2"/>
          <w:sz w:val="30"/>
          <w:szCs w:val="30"/>
          <w:lang w:val="en-US"/>
          <w14:ligatures w14:val="standardContextual"/>
        </w:rPr>
        <w:t>1. Digital Disruption</w:t>
      </w:r>
    </w:p>
    <w:p>
      <w:pPr>
        <w:pStyle w:val="Normal"/>
        <w:tabs>
          <w:tab w:val="clear" w:pos="720"/>
          <w:tab w:val="right" w:pos="9350" w:leader="dot"/>
        </w:tabs>
        <w:bidi w:val="0"/>
        <w:jc w:val="left"/>
        <w:rPr>
          <w:rFonts w:ascii="Arial" w:hAnsi="Arial" w:eastAsia="DejaVu Sans" w:asciiTheme="minorHAnsi" w:eastAsiaTheme="minorEastAsia" w:hAnsiTheme="minorHAnsi"/>
          <w:kern w:val="2"/>
          <w:sz w:val="22"/>
          <w:lang w:val="en-US"/>
          <w14:ligatures w14:val="standardContextual"/>
        </w:rPr>
      </w:pPr>
      <w:r>
        <w:rPr>
          <w:rFonts w:eastAsia="DejaVu Sans" w:eastAsiaTheme="minorEastAsia" w:ascii="Arial" w:hAnsi="Arial"/>
          <w:kern w:val="2"/>
          <w:sz w:val="22"/>
          <w:lang w:val="en-US"/>
          <w14:ligatures w14:val="standardContextual"/>
        </w:rPr>
      </w:r>
    </w:p>
    <w:p>
      <w:pPr>
        <w:pStyle w:val="Normal"/>
        <w:tabs>
          <w:tab w:val="clear" w:pos="720"/>
          <w:tab w:val="right" w:pos="9350" w:leader="dot"/>
        </w:tabs>
        <w:bidi w:val="0"/>
        <w:jc w:val="left"/>
        <w:rPr>
          <w:rFonts w:ascii="Arial" w:hAnsi="Arial" w:eastAsia="DejaVu Sans" w:asciiTheme="minorHAnsi" w:eastAsiaTheme="minorEastAsia" w:hAnsiTheme="minorHAnsi"/>
          <w:kern w:val="2"/>
          <w:sz w:val="22"/>
          <w:lang w:val="en-US"/>
          <w14:ligatures w14:val="standardContextual"/>
        </w:rPr>
      </w:pPr>
      <w:r>
        <w:rPr>
          <w:rFonts w:eastAsia="" w:ascii="Arial" w:hAnsi="Arial"/>
          <w:b w:val="false"/>
          <w:bCs w:val="false"/>
          <w:color w:val="000000"/>
          <w:kern w:val="2"/>
          <w:sz w:val="22"/>
          <w:szCs w:val="22"/>
          <w:lang w:val="en-US"/>
        </w:rPr>
        <w:t xml:space="preserve">   </w:t>
      </w:r>
      <w:r>
        <w:rPr>
          <w:rFonts w:eastAsia="" w:ascii="Arial" w:hAnsi="Arial"/>
          <w:b w:val="false"/>
          <w:bCs w:val="false"/>
          <w:color w:val="000000"/>
          <w:kern w:val="2"/>
          <w:sz w:val="22"/>
          <w:szCs w:val="22"/>
          <w:lang w:val="en-US"/>
        </w:rPr>
        <w:t>According to a McKinsey report, ‘digital disruption is reshaping the banking industry, requiring banks to rethink their business models and embrace technological change’ (McKinsey &amp; Company, 2021, p. 2).</w:t>
      </w:r>
    </w:p>
    <w:p>
      <w:pPr>
        <w:pStyle w:val="Normal"/>
        <w:tabs>
          <w:tab w:val="clear" w:pos="720"/>
          <w:tab w:val="right" w:pos="9350" w:leader="dot"/>
        </w:tabs>
        <w:bidi w:val="0"/>
        <w:jc w:val="left"/>
        <w:rPr>
          <w:rFonts w:ascii="Arial" w:hAnsi="Arial" w:eastAsia="DejaVu Sans" w:asciiTheme="minorHAnsi" w:eastAsiaTheme="minorEastAsia" w:hAnsiTheme="minorHAnsi"/>
          <w:kern w:val="2"/>
          <w:sz w:val="22"/>
          <w:lang w:val="en-US"/>
          <w14:ligatures w14:val="standardContextual"/>
        </w:rPr>
      </w:pPr>
      <w:r>
        <w:rPr>
          <w:rFonts w:eastAsia="" w:ascii="Arial" w:hAnsi="Arial"/>
          <w:b w:val="false"/>
          <w:bCs w:val="false"/>
          <w:color w:val="000000"/>
          <w:kern w:val="2"/>
          <w:sz w:val="22"/>
          <w:szCs w:val="22"/>
          <w:lang w:val="en-US"/>
        </w:rPr>
        <w:t>With the rise of financial technologies the banking industry landscape has faced significant transformations. Digital disruption refers to the impact that new technologies on the traditional banking practices. Technologies like Artificial Intelligence (AI), blockchain, mobile banking apps have had a huge effect on how Lloyds Bank interact with its customers.</w:t>
      </w:r>
    </w:p>
    <w:p>
      <w:pPr>
        <w:pStyle w:val="Normal"/>
        <w:tabs>
          <w:tab w:val="clear" w:pos="720"/>
          <w:tab w:val="right" w:pos="9350" w:leader="dot"/>
        </w:tabs>
        <w:bidi w:val="0"/>
        <w:jc w:val="left"/>
        <w:rPr>
          <w:rFonts w:ascii="Arial" w:hAnsi="Arial" w:eastAsia="DejaVu Sans" w:asciiTheme="minorHAnsi" w:eastAsiaTheme="minorEastAsia" w:hAnsiTheme="minorHAnsi"/>
          <w:kern w:val="2"/>
          <w:sz w:val="22"/>
          <w:lang w:val="en-US"/>
          <w14:ligatures w14:val="standardContextual"/>
        </w:rPr>
      </w:pPr>
      <w:r>
        <w:rPr>
          <w:rFonts w:eastAsia="DejaVu Sans" w:eastAsiaTheme="minorEastAsia" w:ascii="Arial" w:hAnsi="Arial"/>
          <w:kern w:val="2"/>
          <w:sz w:val="22"/>
          <w:lang w:val="en-US"/>
          <w14:ligatures w14:val="standardContextual"/>
        </w:rPr>
      </w:r>
    </w:p>
    <w:p>
      <w:pPr>
        <w:pStyle w:val="BodyText"/>
        <w:numPr>
          <w:ilvl w:val="0"/>
          <w:numId w:val="1"/>
        </w:numPr>
        <w:tabs>
          <w:tab w:val="clear" w:pos="720"/>
          <w:tab w:val="left" w:pos="1418" w:leader="none"/>
        </w:tabs>
        <w:bidi w:val="0"/>
        <w:ind w:hanging="283" w:left="709"/>
        <w:jc w:val="left"/>
        <w:rPr/>
      </w:pPr>
      <w:r>
        <w:rPr>
          <w:rStyle w:val="Strong"/>
          <w:rFonts w:ascii="Arial" w:hAnsi="Arial"/>
          <w:sz w:val="22"/>
          <w:szCs w:val="22"/>
        </w:rPr>
        <w:t>Mobile and Online Banking</w:t>
      </w:r>
      <w:r>
        <w:rPr>
          <w:rFonts w:ascii="Arial" w:hAnsi="Arial"/>
          <w:sz w:val="22"/>
          <w:szCs w:val="22"/>
        </w:rPr>
        <w:t>: As a response to digital disruptions Lloyds has invested heavily in digital banking. The improvements on the banking app, such as customer engagement tools, online services offer a great support for customers who increasingly demand 24/7 banking services via their smartphone or computers. The bank’s investment in these areas has been crucial in maintaining customer satisfaction and loyalty. However, Lloyds Bank still meets challenges from digital banks, such as Monzo and Starling, which are only digital and often more agile.</w:t>
      </w:r>
    </w:p>
    <w:p>
      <w:pPr>
        <w:pStyle w:val="BodyText"/>
        <w:numPr>
          <w:ilvl w:val="0"/>
          <w:numId w:val="1"/>
        </w:numPr>
        <w:tabs>
          <w:tab w:val="clear" w:pos="720"/>
          <w:tab w:val="left" w:pos="1418" w:leader="none"/>
        </w:tabs>
        <w:bidi w:val="0"/>
        <w:ind w:hanging="283" w:left="709"/>
        <w:jc w:val="left"/>
        <w:rPr/>
      </w:pPr>
      <w:r>
        <w:rPr>
          <w:rStyle w:val="Strong"/>
          <w:rFonts w:ascii="Arial" w:hAnsi="Arial"/>
          <w:sz w:val="22"/>
          <w:szCs w:val="22"/>
        </w:rPr>
        <w:t>Automation and AI</w:t>
      </w:r>
      <w:r>
        <w:rPr>
          <w:rFonts w:ascii="Arial" w:hAnsi="Arial"/>
          <w:sz w:val="22"/>
          <w:szCs w:val="22"/>
        </w:rPr>
        <w:t>: Lloyds has also incorporated automation and AI into their online banking to improve operational efficiency and enhance customer experience. Chatbots and automated customer service systems are now used to handle routine inquiries, freeing up human resources for more complex tasks. AI is also being applied in areas such as fraud detection and personalized financial advice, making banking more secure and user-friendly..Although it was a necessary change the initial investment in technology and staff training have impacted the bank’s cost structure.</w:t>
      </w:r>
    </w:p>
    <w:p>
      <w:pPr>
        <w:pStyle w:val="Heading3"/>
        <w:bidi w:val="0"/>
        <w:jc w:val="left"/>
        <w:rPr/>
      </w:pPr>
      <w:r>
        <w:rPr>
          <w:rStyle w:val="Strong"/>
          <w:rFonts w:ascii="Arial" w:hAnsi="Arial"/>
          <w:b/>
          <w:bCs/>
          <w:color w:val="000000"/>
          <w:sz w:val="30"/>
          <w:szCs w:val="30"/>
        </w:rPr>
        <w:t>2. Economic Uncertainty</w:t>
      </w:r>
    </w:p>
    <w:p>
      <w:pPr>
        <w:pStyle w:val="BodyText"/>
        <w:bidi w:val="0"/>
        <w:jc w:val="left"/>
        <w:rPr/>
      </w:pPr>
      <w:r>
        <w:rPr>
          <w:rStyle w:val="Strong"/>
          <w:rFonts w:ascii="Arial" w:hAnsi="Arial"/>
          <w:b w:val="false"/>
          <w:bCs w:val="false"/>
          <w:color w:val="000000"/>
          <w:sz w:val="22"/>
          <w:szCs w:val="22"/>
        </w:rPr>
        <w:t xml:space="preserve">   </w:t>
      </w:r>
      <w:r>
        <w:rPr>
          <w:rStyle w:val="Strong"/>
          <w:rFonts w:ascii="Arial" w:hAnsi="Arial"/>
          <w:b w:val="false"/>
          <w:bCs w:val="false"/>
          <w:color w:val="000000"/>
          <w:sz w:val="22"/>
          <w:szCs w:val="22"/>
        </w:rPr>
        <w:t>The UK economy has encountered numerous challenges in recent years—ranging from disruptions linked to Brexit to the economic repercussions of the COVID-19 pandemic. These challenges have fostered an atmosphere of uncertainty; fluctuating interest rates, rising inflation and alterations in consumer behavior have all exerted a direct influence on Lloyds Bank's operations.</w:t>
      </w:r>
    </w:p>
    <w:p>
      <w:pPr>
        <w:pStyle w:val="BodyText"/>
        <w:numPr>
          <w:ilvl w:val="0"/>
          <w:numId w:val="1"/>
        </w:numPr>
        <w:bidi w:val="0"/>
        <w:jc w:val="left"/>
        <w:rPr/>
      </w:pPr>
      <w:r>
        <w:rPr>
          <w:rStyle w:val="Strong"/>
          <w:rFonts w:ascii="Arial" w:hAnsi="Arial"/>
          <w:color w:val="000000"/>
          <w:sz w:val="22"/>
          <w:szCs w:val="22"/>
        </w:rPr>
        <w:t>Post-Brexit Economy</w:t>
      </w:r>
      <w:r>
        <w:rPr>
          <w:rStyle w:val="Strong"/>
          <w:rFonts w:ascii="Arial" w:hAnsi="Arial"/>
          <w:b/>
          <w:bCs/>
          <w:color w:val="000000"/>
          <w:sz w:val="22"/>
          <w:szCs w:val="22"/>
        </w:rPr>
        <w:t>:</w:t>
      </w:r>
      <w:r>
        <w:rPr>
          <w:rStyle w:val="Strong"/>
          <w:rFonts w:ascii="Arial" w:hAnsi="Arial"/>
          <w:b w:val="false"/>
          <w:bCs w:val="false"/>
          <w:color w:val="000000"/>
          <w:sz w:val="22"/>
          <w:szCs w:val="22"/>
        </w:rPr>
        <w:t xml:space="preserve">  After the UK’s departure from the European Union the entire banking sector suffered economic instability.</w:t>
      </w:r>
      <w:r>
        <w:rPr>
          <w:rStyle w:val="Strong"/>
          <w:rFonts w:ascii="Arial" w:hAnsi="Arial"/>
          <w:b w:val="false"/>
          <w:bCs w:val="false"/>
          <w:color w:val="729FCF"/>
          <w:sz w:val="22"/>
          <w:szCs w:val="22"/>
        </w:rPr>
        <w:t xml:space="preserve"> </w:t>
      </w:r>
      <w:r>
        <w:rPr>
          <w:rStyle w:val="Strong"/>
          <w:rFonts w:ascii="Arial" w:hAnsi="Arial"/>
          <w:b w:val="false"/>
          <w:bCs w:val="false"/>
          <w:color w:val="000000"/>
          <w:sz w:val="22"/>
          <w:szCs w:val="22"/>
        </w:rPr>
        <w:t>This forced Lloyds to navigate new regulatory frameworks adapting to shifting trade relationships and changes in the financial market. However, although the bank has succeeded in maintaining its resilience, the ambiguity surrounding Brexit and its long-term economic consequences has necessitated continual adjustments in strategy—particularly regarding risk management and financial planning—because the landscape remains unpredictable.</w:t>
      </w:r>
    </w:p>
    <w:p>
      <w:pPr>
        <w:pStyle w:val="BodyText"/>
        <w:numPr>
          <w:ilvl w:val="0"/>
          <w:numId w:val="1"/>
        </w:numPr>
        <w:bidi w:val="0"/>
        <w:jc w:val="left"/>
        <w:rPr/>
      </w:pPr>
      <w:r>
        <w:rPr>
          <w:rStyle w:val="Strong"/>
          <w:rFonts w:ascii="Arial" w:hAnsi="Arial"/>
          <w:b/>
          <w:bCs/>
          <w:color w:val="000000"/>
          <w:sz w:val="22"/>
          <w:szCs w:val="22"/>
        </w:rPr>
        <w:t>Inflation and Rising Interest Rates:</w:t>
      </w:r>
      <w:r>
        <w:rPr>
          <w:rStyle w:val="Strong"/>
          <w:rFonts w:ascii="Arial" w:hAnsi="Arial"/>
          <w:b w:val="false"/>
          <w:bCs w:val="false"/>
          <w:color w:val="000000"/>
          <w:sz w:val="22"/>
          <w:szCs w:val="22"/>
        </w:rPr>
        <w:t xml:space="preserve"> The worldwide increase in inflation, coupled with escalating interest rates in the UK, has significantly impacted both consumer expenditure and borrowing patterns. For Lloyds, this situation has resulted in augmented interest income from loans; however, it has also raised the potential for loan defaults. Higher rates can exert financial pressure on both enterprises and individuals. The bank must navigate the delicate balance of its lending strategies to reduce risk while simultaneously fostering economic recovery. </w:t>
      </w:r>
    </w:p>
    <w:p>
      <w:pPr>
        <w:pStyle w:val="BodyText"/>
        <w:numPr>
          <w:ilvl w:val="0"/>
          <w:numId w:val="1"/>
        </w:numPr>
        <w:bidi w:val="0"/>
        <w:jc w:val="left"/>
        <w:rPr/>
      </w:pPr>
      <w:r>
        <w:rPr>
          <w:rStyle w:val="Strong"/>
          <w:rFonts w:ascii="Arial" w:hAnsi="Arial"/>
          <w:b/>
          <w:bCs/>
          <w:color w:val="000000"/>
          <w:sz w:val="22"/>
          <w:szCs w:val="22"/>
        </w:rPr>
        <w:t>Pandemic Recovery:</w:t>
      </w:r>
      <w:r>
        <w:rPr>
          <w:rStyle w:val="Strong"/>
          <w:rFonts w:ascii="Arial" w:hAnsi="Arial"/>
          <w:b w:val="false"/>
          <w:bCs w:val="false"/>
          <w:color w:val="000000"/>
          <w:sz w:val="22"/>
          <w:szCs w:val="22"/>
        </w:rPr>
        <w:t xml:space="preserve"> The COVID-19 pandemic has caused enormous challenges for the banking sector.</w:t>
      </w:r>
      <w:r>
        <w:rPr>
          <w:rStyle w:val="Strong"/>
          <w:rFonts w:ascii="Arial" w:hAnsi="Arial"/>
          <w:b w:val="false"/>
          <w:bCs w:val="false"/>
          <w:color w:val="729FCF"/>
          <w:sz w:val="22"/>
          <w:szCs w:val="22"/>
        </w:rPr>
        <w:t> </w:t>
      </w:r>
      <w:r>
        <w:rPr>
          <w:rStyle w:val="Strong"/>
          <w:rFonts w:ascii="Arial" w:hAnsi="Arial"/>
          <w:b w:val="false"/>
          <w:bCs w:val="false"/>
          <w:color w:val="000000"/>
          <w:sz w:val="22"/>
          <w:szCs w:val="22"/>
        </w:rPr>
        <w:t>It has caused Lloyds to transition quickly towards digital services</w:t>
      </w:r>
      <w:r>
        <w:rPr>
          <w:rStyle w:val="Strong"/>
          <w:rFonts w:ascii="Arial" w:hAnsi="Arial"/>
          <w:b w:val="false"/>
          <w:bCs w:val="false"/>
          <w:color w:val="729FCF"/>
          <w:sz w:val="22"/>
          <w:szCs w:val="22"/>
        </w:rPr>
        <w:t>,</w:t>
      </w:r>
      <w:r>
        <w:rPr>
          <w:rStyle w:val="Strong"/>
          <w:rFonts w:ascii="Arial" w:hAnsi="Arial"/>
          <w:b w:val="false"/>
          <w:bCs w:val="false"/>
          <w:color w:val="000000"/>
          <w:sz w:val="22"/>
          <w:szCs w:val="22"/>
        </w:rPr>
        <w:t xml:space="preserve"> as an increasing number of customers opted for online and mobile banking options. Nonetheless, the bank (also) had to maneuver through heightened demands for loan forbearance, government-backed loans and assistance for enterprises in distress. Although Lloyds surfaced from the pandemic in a fairly strong position, the bank continues to face struggles linked to the lasting effects of the pandemic on consumer behavior, such as shifts in spending habits and preferences.</w:t>
      </w:r>
    </w:p>
    <w:p>
      <w:pPr>
        <w:pStyle w:val="BodyText"/>
        <w:bidi w:val="0"/>
        <w:spacing w:before="0" w:after="140"/>
        <w:jc w:val="left"/>
        <w:rPr/>
      </w:pPr>
      <w:r>
        <w:rPr>
          <w:rStyle w:val="Strong"/>
          <w:rFonts w:ascii="Arial" w:hAnsi="Arial"/>
          <w:b w:val="false"/>
          <w:bCs w:val="false"/>
          <w:color w:val="000000"/>
          <w:sz w:val="22"/>
          <w:szCs w:val="22"/>
        </w:rPr>
        <w:br/>
      </w:r>
      <w:r>
        <w:rPr>
          <w:rStyle w:val="Strong"/>
          <w:rFonts w:ascii="Arial" w:hAnsi="Arial"/>
          <w:b/>
          <w:bCs/>
          <w:color w:val="000000"/>
          <w:sz w:val="30"/>
          <w:szCs w:val="30"/>
        </w:rPr>
        <w:t>3. Regulatory and Compliance Pressures</w:t>
      </w:r>
      <w:r>
        <w:rPr>
          <w:rStyle w:val="Strong"/>
          <w:rFonts w:ascii="Arial" w:hAnsi="Arial"/>
          <w:b w:val="false"/>
          <w:bCs w:val="false"/>
          <w:color w:val="000000"/>
          <w:sz w:val="22"/>
          <w:szCs w:val="22"/>
        </w:rPr>
        <w:br/>
        <w:br/>
        <w:t xml:space="preserve">   Lloyds bank works in a highly regulated business sector</w:t>
      </w:r>
      <w:r>
        <w:rPr>
          <w:rStyle w:val="Strong"/>
          <w:rFonts w:ascii="Arial" w:hAnsi="Arial"/>
          <w:b w:val="false"/>
          <w:bCs w:val="false"/>
          <w:color w:val="729FCF"/>
          <w:sz w:val="22"/>
          <w:szCs w:val="22"/>
        </w:rPr>
        <w:t xml:space="preserve">. </w:t>
      </w:r>
      <w:r>
        <w:rPr>
          <w:rStyle w:val="Strong"/>
          <w:rFonts w:ascii="Arial" w:hAnsi="Arial"/>
          <w:b w:val="false"/>
          <w:bCs w:val="false"/>
          <w:color w:val="000000"/>
          <w:sz w:val="22"/>
          <w:szCs w:val="22"/>
        </w:rPr>
        <w:t>Governmental and financial authorities have enacted new regulations intended to protect consumers, mitigate systemic risks and foster financial stability. </w:t>
      </w:r>
    </w:p>
    <w:p>
      <w:pPr>
        <w:pStyle w:val="BodyText"/>
        <w:numPr>
          <w:ilvl w:val="0"/>
          <w:numId w:val="1"/>
        </w:numPr>
        <w:bidi w:val="0"/>
        <w:jc w:val="left"/>
        <w:rPr/>
      </w:pPr>
      <w:r>
        <w:rPr>
          <w:rStyle w:val="Strong"/>
          <w:rFonts w:ascii="Arial" w:hAnsi="Arial"/>
          <w:b/>
          <w:bCs/>
          <w:color w:val="000000"/>
          <w:sz w:val="22"/>
          <w:szCs w:val="22"/>
        </w:rPr>
        <w:t>Regulatory Reforms:</w:t>
      </w:r>
      <w:r>
        <w:rPr>
          <w:rStyle w:val="Strong"/>
          <w:rFonts w:ascii="Arial" w:hAnsi="Arial"/>
          <w:b w:val="false"/>
          <w:bCs w:val="false"/>
          <w:color w:val="000000"/>
          <w:sz w:val="22"/>
          <w:szCs w:val="22"/>
        </w:rPr>
        <w:t xml:space="preserve"> Regulatory reforms emerged after the 2008 financial crisis, (for example) when the UK government, along with the European Union, instituted a series of regulatory changes aimed at averting future financial upheavals. Lloyds and other banking institutions has had to follow these regulations strictly focusing on capital requirements, enhanced transparency and more strict lending standards.</w:t>
      </w:r>
      <w:r>
        <w:rPr>
          <w:rStyle w:val="Strong"/>
          <w:rFonts w:ascii="Arial" w:hAnsi="Arial"/>
          <w:b w:val="false"/>
          <w:bCs w:val="false"/>
          <w:color w:val="729FCF"/>
          <w:sz w:val="22"/>
          <w:szCs w:val="22"/>
        </w:rPr>
        <w:t> </w:t>
      </w:r>
      <w:r>
        <w:rPr>
          <w:rStyle w:val="Strong"/>
          <w:rFonts w:ascii="Arial" w:hAnsi="Arial"/>
          <w:b w:val="false"/>
          <w:bCs w:val="false"/>
          <w:color w:val="000000"/>
          <w:sz w:val="22"/>
          <w:szCs w:val="22"/>
        </w:rPr>
        <w:t>Although these regulations have pressured the banking sector, it is essential for Lloyds to maintain financial stability, and pursue growth.</w:t>
      </w:r>
    </w:p>
    <w:p>
      <w:pPr>
        <w:pStyle w:val="BodyText"/>
        <w:numPr>
          <w:ilvl w:val="0"/>
          <w:numId w:val="1"/>
        </w:numPr>
        <w:bidi w:val="0"/>
        <w:spacing w:before="0" w:after="140"/>
        <w:jc w:val="left"/>
        <w:rPr/>
      </w:pPr>
      <w:r>
        <w:rPr>
          <w:rStyle w:val="Strong"/>
          <w:rFonts w:ascii="Arial" w:hAnsi="Arial"/>
          <w:b/>
          <w:bCs/>
          <w:color w:val="000000"/>
          <w:sz w:val="22"/>
          <w:szCs w:val="22"/>
        </w:rPr>
        <w:t>Cybersecurity and Data Protection:</w:t>
      </w:r>
      <w:r>
        <w:rPr>
          <w:rStyle w:val="Strong"/>
          <w:rFonts w:ascii="Arial" w:hAnsi="Arial"/>
          <w:b w:val="false"/>
          <w:bCs w:val="false"/>
          <w:color w:val="000000"/>
          <w:sz w:val="22"/>
          <w:szCs w:val="22"/>
        </w:rPr>
        <w:t xml:space="preserve"> As the threat of cyber attack and data breaches has increased significantly in recent years with the digitalization of the banking sector, Lloyds has had to invest heavily in cybersecurity measures to protect customers personal data</w:t>
      </w:r>
      <w:r>
        <w:rPr>
          <w:rStyle w:val="Strong"/>
          <w:rFonts w:ascii="Arial" w:hAnsi="Arial"/>
          <w:b w:val="false"/>
          <w:bCs w:val="false"/>
          <w:color w:val="729FCF"/>
          <w:sz w:val="22"/>
          <w:szCs w:val="22"/>
        </w:rPr>
        <w:t xml:space="preserve">. </w:t>
      </w:r>
      <w:r>
        <w:rPr>
          <w:rStyle w:val="Strong"/>
          <w:rFonts w:ascii="Arial" w:hAnsi="Arial"/>
          <w:b w:val="false"/>
          <w:bCs w:val="false"/>
          <w:color w:val="000000"/>
          <w:sz w:val="22"/>
          <w:szCs w:val="22"/>
        </w:rPr>
        <w:t xml:space="preserve"> The introduction of the General Data Protection Regulation (GDPR) in 2018 imposed stringent rules on how banks manage personal data; this has added yet another layer of complexity to the bank’s operations. However, because of these challenges, many institutions are reevaluating their security protocols. Although progress is being made, the ever-changing landscape of cyber threats continues to pose a formidable challenge for the industry. </w:t>
      </w:r>
    </w:p>
    <w:p>
      <w:pPr>
        <w:pStyle w:val="BodyText"/>
        <w:bidi w:val="0"/>
        <w:spacing w:before="0" w:after="140"/>
        <w:jc w:val="left"/>
        <w:rPr>
          <w:rStyle w:val="Strong"/>
          <w:rFonts w:ascii="Arial" w:hAnsi="Arial"/>
          <w:b w:val="false"/>
          <w:bCs w:val="false"/>
          <w:color w:val="000000"/>
          <w:sz w:val="22"/>
          <w:szCs w:val="22"/>
        </w:rPr>
      </w:pPr>
      <w:r>
        <w:rPr>
          <w:rFonts w:ascii="Arial" w:hAnsi="Arial"/>
          <w:b w:val="false"/>
          <w:bCs w:val="false"/>
          <w:color w:val="000000"/>
          <w:sz w:val="22"/>
          <w:szCs w:val="22"/>
        </w:rPr>
      </w:r>
    </w:p>
    <w:p>
      <w:pPr>
        <w:pStyle w:val="BodyText"/>
        <w:bidi w:val="0"/>
        <w:spacing w:before="0" w:after="140"/>
        <w:jc w:val="left"/>
        <w:rPr/>
      </w:pPr>
      <w:r>
        <w:rPr>
          <w:rStyle w:val="Strong"/>
          <w:rFonts w:ascii="Arial" w:hAnsi="Arial"/>
          <w:b/>
          <w:bCs/>
          <w:color w:val="000000"/>
          <w:sz w:val="30"/>
          <w:szCs w:val="30"/>
        </w:rPr>
        <w:t>4. Competitive Landscape and Globalization</w:t>
      </w:r>
    </w:p>
    <w:p>
      <w:pPr>
        <w:pStyle w:val="BodyText"/>
        <w:bidi w:val="0"/>
        <w:spacing w:before="0" w:after="140"/>
        <w:jc w:val="left"/>
        <w:rPr/>
      </w:pPr>
      <w:r>
        <w:rPr>
          <w:rStyle w:val="Strong"/>
          <w:rFonts w:ascii="Arial" w:hAnsi="Arial"/>
          <w:b w:val="false"/>
          <w:bCs w:val="false"/>
          <w:color w:val="000000"/>
          <w:sz w:val="22"/>
          <w:szCs w:val="22"/>
        </w:rPr>
        <w:t xml:space="preserve">   </w:t>
      </w:r>
      <w:r>
        <w:rPr>
          <w:rStyle w:val="Strong"/>
          <w:rFonts w:ascii="Arial" w:hAnsi="Arial"/>
          <w:b w:val="false"/>
          <w:bCs w:val="false"/>
          <w:color w:val="000000"/>
          <w:sz w:val="22"/>
          <w:szCs w:val="22"/>
        </w:rPr>
        <w:t xml:space="preserve">The globalization of financial services has introduced new competitive pressures for Lloyds Bank. Although Lloyds primarily operates in the UK, it competes with international financial institutions and financial technology companies that deliver innovative services and products. </w:t>
      </w:r>
    </w:p>
    <w:p>
      <w:pPr>
        <w:pStyle w:val="BodyText"/>
        <w:numPr>
          <w:ilvl w:val="0"/>
          <w:numId w:val="1"/>
        </w:numPr>
        <w:bidi w:val="0"/>
        <w:spacing w:before="0" w:after="140"/>
        <w:jc w:val="left"/>
        <w:rPr/>
      </w:pPr>
      <w:r>
        <w:rPr>
          <w:rStyle w:val="Strong"/>
          <w:rFonts w:ascii="Arial" w:hAnsi="Arial"/>
          <w:b/>
          <w:bCs/>
          <w:color w:val="000000"/>
          <w:sz w:val="22"/>
          <w:szCs w:val="22"/>
        </w:rPr>
        <w:t>Competition from Financial Technology:</w:t>
      </w:r>
      <w:r>
        <w:rPr>
          <w:rStyle w:val="Strong"/>
          <w:rFonts w:ascii="Arial" w:hAnsi="Arial"/>
          <w:b w:val="false"/>
          <w:bCs w:val="false"/>
          <w:color w:val="000000"/>
          <w:sz w:val="22"/>
          <w:szCs w:val="22"/>
        </w:rPr>
        <w:t xml:space="preserve"> Competition from digital banks is particularly intense: as noted previously, companies such as Monzo, Starling and Revolut have disrupted the traditional banking model because they provide mobile-first, low-cost banking solutions. These digital banks draw in a younger, more tech-savvy demographic, which places pressure on Lloyds to innovate and adapt. This competition is not only local; Lloyds also confronts challenges from global players that operate within the UK market, including online payment services like PayPal and cross-border payment solutions, such as TransferWise (now known as Wise). </w:t>
      </w:r>
    </w:p>
    <w:p>
      <w:pPr>
        <w:pStyle w:val="Normal"/>
        <w:numPr>
          <w:ilvl w:val="0"/>
          <w:numId w:val="1"/>
        </w:numPr>
        <w:bidi w:val="0"/>
        <w:spacing w:before="0" w:after="140"/>
        <w:jc w:val="left"/>
        <w:rPr/>
      </w:pPr>
      <w:r>
        <w:rPr>
          <w:rStyle w:val="Strong"/>
          <w:rFonts w:ascii="Arial" w:hAnsi="Arial"/>
          <w:b/>
          <w:bCs/>
          <w:color w:val="000000"/>
          <w:sz w:val="22"/>
          <w:szCs w:val="22"/>
        </w:rPr>
        <w:t xml:space="preserve">Global Economic Trends: </w:t>
      </w:r>
      <w:bookmarkStart w:id="0" w:name="input-sentence~0"/>
      <w:bookmarkEnd w:id="0"/>
      <w:r>
        <w:rPr>
          <w:rStyle w:val="Strong"/>
          <w:rFonts w:ascii="Arial" w:hAnsi="Arial"/>
          <w:b w:val="false"/>
          <w:bCs w:val="false"/>
          <w:color w:val="000000"/>
          <w:sz w:val="22"/>
          <w:szCs w:val="22"/>
        </w:rPr>
        <w:t xml:space="preserve">The global economic landscape is shaped by multiple factors ,like fluctuations in commodity prices, interest rate volatility in key economies and the evolution of international trade policies, that significantly impact Lloyds Bank. However, while these elements introduce challenges, they also create opportunities for growth at the same time. This complex environment requires careful analysis and strategic planning because success depends on the ability to adapt quickly. As a prominent financial institution, Lloyds must remain vigilant regarding global market conditions and modify its strategies accordingly. This involves managing currency risk, navigating international investments and facilitating cross-border transactions—all of which are, due to persistent global economic trends, subject to constant influence. Although these trends can present challenges, they also offer pathways for growth and innovation. </w:t>
      </w:r>
    </w:p>
    <w:p>
      <w:pPr>
        <w:pStyle w:val="BodyText"/>
        <w:bidi w:val="0"/>
        <w:spacing w:before="0" w:after="140"/>
        <w:jc w:val="left"/>
        <w:rPr>
          <w:rStyle w:val="Strong"/>
          <w:rFonts w:ascii="Arial" w:hAnsi="Arial"/>
          <w:b w:val="false"/>
          <w:bCs w:val="false"/>
          <w:color w:val="000000"/>
          <w:sz w:val="22"/>
          <w:szCs w:val="22"/>
        </w:rPr>
      </w:pPr>
      <w:r>
        <w:rPr>
          <w:rFonts w:ascii="Arial" w:hAnsi="Arial"/>
          <w:b w:val="false"/>
          <w:bCs w:val="false"/>
          <w:color w:val="000000"/>
          <w:sz w:val="22"/>
          <w:szCs w:val="22"/>
        </w:rPr>
      </w:r>
    </w:p>
    <w:p>
      <w:pPr>
        <w:pStyle w:val="BodyText"/>
        <w:bidi w:val="0"/>
        <w:spacing w:before="0" w:after="140"/>
        <w:jc w:val="left"/>
        <w:rPr/>
      </w:pPr>
      <w:r>
        <w:rPr>
          <w:rStyle w:val="Strong"/>
          <w:rFonts w:ascii="Arial" w:hAnsi="Arial"/>
          <w:b/>
          <w:bCs/>
          <w:color w:val="000000"/>
          <w:sz w:val="36"/>
          <w:szCs w:val="36"/>
        </w:rPr>
        <w:t>Analysis of Strategic Change and Change Management Models</w:t>
      </w:r>
    </w:p>
    <w:p>
      <w:pPr>
        <w:pStyle w:val="Normal"/>
        <w:bidi w:val="0"/>
        <w:spacing w:before="0" w:after="140"/>
        <w:jc w:val="left"/>
        <w:rPr/>
      </w:pPr>
      <w:r>
        <w:rPr>
          <w:rStyle w:val="Strong"/>
          <w:rFonts w:ascii="Arial" w:hAnsi="Arial"/>
          <w:b w:val="false"/>
          <w:bCs w:val="false"/>
          <w:color w:val="000000"/>
          <w:sz w:val="22"/>
          <w:szCs w:val="22"/>
        </w:rPr>
        <w:t xml:space="preserve">  </w:t>
      </w:r>
      <w:r>
        <w:rPr>
          <w:rStyle w:val="Strong"/>
          <w:rFonts w:ascii="Arial" w:hAnsi="Arial"/>
          <w:b w:val="false"/>
          <w:bCs w:val="false"/>
          <w:color w:val="000000"/>
          <w:sz w:val="22"/>
          <w:szCs w:val="22"/>
        </w:rPr>
        <w:t>Effectively managing change within large and intricate organizations (such as Lloyds Bank) requires a methodical approach to guarantee that strategic objectives are achieved. However, this process must be carried out without inflicting undue disruption on operations. Numerous change management models have emerged to aid organizations in navigating such transitions. Lloyds Bank has had to depend on these frameworks to successfully enact changes in reaction to external pressures (which include digital disruption and economic instability). This section will critically assess significant change management models and explore their applicability to the strategic shifts at Lloyds, as well as the leadership styles adopted throughout the change management proce</w:t>
      </w:r>
      <w:bookmarkStart w:id="1" w:name="input-sentence~2"/>
      <w:bookmarkEnd w:id="1"/>
      <w:r>
        <w:rPr>
          <w:rStyle w:val="Strong"/>
          <w:rFonts w:ascii="Arial" w:hAnsi="Arial"/>
          <w:b w:val="false"/>
          <w:bCs w:val="false"/>
          <w:color w:val="000000"/>
          <w:sz w:val="22"/>
          <w:szCs w:val="22"/>
        </w:rPr>
        <w:t>sses.</w:t>
        <w:br/>
        <w:br/>
      </w:r>
      <w:r>
        <w:rPr>
          <w:rStyle w:val="Strong"/>
          <w:rFonts w:ascii="Arial" w:hAnsi="Arial"/>
          <w:b/>
          <w:bCs/>
          <w:color w:val="000000"/>
          <w:sz w:val="30"/>
          <w:szCs w:val="30"/>
        </w:rPr>
        <w:t>1. Change Management Models:</w:t>
      </w:r>
    </w:p>
    <w:p>
      <w:pPr>
        <w:pStyle w:val="Normal"/>
        <w:bidi w:val="0"/>
        <w:spacing w:before="0" w:after="140"/>
        <w:jc w:val="left"/>
        <w:rPr/>
      </w:pPr>
      <w:r>
        <w:rPr>
          <w:rStyle w:val="Strong"/>
          <w:rFonts w:ascii="Arial" w:hAnsi="Arial"/>
          <w:b/>
          <w:bCs/>
          <w:color w:val="000000"/>
          <w:sz w:val="22"/>
          <w:szCs w:val="22"/>
        </w:rPr>
        <w:t>Kotter’s 8-Step Change Model</w:t>
      </w:r>
      <w:r>
        <w:rPr>
          <w:rStyle w:val="Strong"/>
          <w:rFonts w:ascii="Arial" w:hAnsi="Arial"/>
          <w:b w:val="false"/>
          <w:bCs w:val="false"/>
          <w:color w:val="000000"/>
          <w:sz w:val="22"/>
          <w:szCs w:val="22"/>
        </w:rPr>
        <w:t xml:space="preserve"> </w:t>
        <w:br/>
        <w:t xml:space="preserve">   Among the most well-known change management frameworks is Kotter’s 8-Step Model. Although it provides valuable insights, it is not free from criticism. Some contend that the model oversimplifies the intricacies of change. But in practice, many organizations find it advantageous because it outlines definitive steps to follow. </w:t>
      </w:r>
    </w:p>
    <w:p>
      <w:pPr>
        <w:pStyle w:val="BodyText"/>
        <w:bidi w:val="0"/>
        <w:jc w:val="left"/>
        <w:rPr/>
      </w:pPr>
      <w:r>
        <w:rPr>
          <w:rStyle w:val="Strong"/>
          <w:rFonts w:ascii="Arial" w:hAnsi="Arial"/>
          <w:b w:val="false"/>
          <w:bCs w:val="false"/>
          <w:color w:val="000000"/>
          <w:sz w:val="22"/>
          <w:szCs w:val="22"/>
        </w:rPr>
        <w:t xml:space="preserve">   </w:t>
      </w:r>
      <w:r>
        <w:rPr>
          <w:rStyle w:val="Strong"/>
          <w:rFonts w:ascii="Arial" w:hAnsi="Arial"/>
          <w:b w:val="false"/>
          <w:bCs w:val="false"/>
          <w:color w:val="000000"/>
          <w:sz w:val="22"/>
          <w:szCs w:val="22"/>
        </w:rPr>
        <w:t>For Lloyds Bank, Kotter’s model is particularly relevant because it emphasizes the importance of leadership and communication in driving change. The bank’s digital transformation efforts, for example, required a clear vision from leadership and effective communication across all levels of the organization. Lloyds’ leadership created a sense of urgency around digital disruption, recognizing that failing to adapt to financial technology innovations could erode its market share. By forming a guiding coalition of leaders and investing in digital technologies, Lloyds was able to execute its transformation strategy while keeping employees engaged and aligned with the bank’s objectives.</w:t>
      </w:r>
    </w:p>
    <w:p>
      <w:pPr>
        <w:pStyle w:val="BodyText"/>
        <w:numPr>
          <w:ilvl w:val="0"/>
          <w:numId w:val="2"/>
        </w:numPr>
        <w:tabs>
          <w:tab w:val="clear" w:pos="720"/>
          <w:tab w:val="left" w:pos="709" w:leader="none"/>
        </w:tabs>
        <w:bidi w:val="0"/>
        <w:ind w:hanging="283" w:left="709"/>
        <w:jc w:val="left"/>
        <w:rPr/>
      </w:pPr>
      <w:r>
        <w:rPr>
          <w:rStyle w:val="Strong"/>
          <w:rFonts w:ascii="Arial" w:hAnsi="Arial"/>
        </w:rPr>
        <w:t>Strengths of Kotter’s Model</w:t>
      </w:r>
      <w:r>
        <w:rPr>
          <w:rFonts w:ascii="Arial" w:hAnsi="Arial"/>
        </w:rPr>
        <w:t xml:space="preserve">: The advantages of Kotter’s Model are apparent in its focus on forming a coalition of leaders and achieving short-term victories; this method aligns effectively with Lloyds’ need to maintain momentum during periods of transformation. Moreover, the model emphasizes communication, which is essential because it allows employees to understand the reasoning behind the changes, thus reducing potential resistance </w:t>
      </w:r>
    </w:p>
    <w:p>
      <w:pPr>
        <w:pStyle w:val="BodyText"/>
        <w:numPr>
          <w:ilvl w:val="0"/>
          <w:numId w:val="2"/>
        </w:numPr>
        <w:tabs>
          <w:tab w:val="clear" w:pos="720"/>
          <w:tab w:val="left" w:pos="709" w:leader="none"/>
        </w:tabs>
        <w:bidi w:val="0"/>
        <w:ind w:hanging="283" w:left="709"/>
        <w:jc w:val="left"/>
        <w:rPr/>
      </w:pPr>
      <w:r>
        <w:rPr>
          <w:rStyle w:val="Strong"/>
          <w:rFonts w:ascii="Arial" w:hAnsi="Arial"/>
          <w:color w:val="000000"/>
          <w:sz w:val="22"/>
          <w:szCs w:val="22"/>
        </w:rPr>
        <w:t>Challenges for Lloyds</w:t>
      </w:r>
      <w:r>
        <w:rPr>
          <w:rStyle w:val="Strong"/>
          <w:rFonts w:ascii="Arial" w:hAnsi="Arial"/>
          <w:b w:val="false"/>
          <w:bCs w:val="false"/>
          <w:color w:val="000000"/>
          <w:sz w:val="22"/>
          <w:szCs w:val="22"/>
        </w:rPr>
        <w:t>: Although Kotter’s model is beneficial, it can be time-consuming and in an industry as rapidly evolving as banking, there may be significant pressure to proceed with the changes more swiftly. Additionally, while the model highlights the importance of leadership, it may overlook the profound cultural challenges that can emerge during change initiatives—challenges that Lloyds might experience given its considerable size and history.</w:t>
      </w:r>
    </w:p>
    <w:p>
      <w:pPr>
        <w:pStyle w:val="BodyText"/>
        <w:widowControl/>
        <w:numPr>
          <w:ilvl w:val="0"/>
          <w:numId w:val="0"/>
        </w:numPr>
        <w:suppressAutoHyphens w:val="true"/>
        <w:bidi w:val="0"/>
        <w:spacing w:lineRule="auto" w:line="276" w:before="0" w:after="140"/>
        <w:ind w:hanging="0" w:left="0" w:right="0"/>
        <w:jc w:val="left"/>
        <w:rPr/>
      </w:pPr>
      <w:r>
        <w:rPr>
          <w:rStyle w:val="Strong"/>
          <w:rFonts w:ascii="Arial" w:hAnsi="Arial"/>
          <w:b/>
          <w:bCs/>
          <w:color w:val="000000"/>
          <w:sz w:val="22"/>
          <w:szCs w:val="22"/>
        </w:rPr>
        <w:t>Lewin’s Change Model</w:t>
      </w:r>
    </w:p>
    <w:p>
      <w:pPr>
        <w:pStyle w:val="BodyText"/>
        <w:widowControl/>
        <w:tabs>
          <w:tab w:val="clear" w:pos="720"/>
          <w:tab w:val="left" w:pos="709" w:leader="none"/>
        </w:tabs>
        <w:suppressAutoHyphens w:val="true"/>
        <w:bidi w:val="0"/>
        <w:spacing w:lineRule="auto" w:line="276" w:before="0" w:after="140"/>
        <w:ind w:hanging="0" w:left="0" w:right="0"/>
        <w:jc w:val="left"/>
        <w:rPr/>
      </w:pPr>
      <w:r>
        <w:rPr>
          <w:rStyle w:val="Strong"/>
          <w:rFonts w:ascii="Arial" w:hAnsi="Arial"/>
          <w:b w:val="false"/>
          <w:bCs w:val="false"/>
          <w:color w:val="000000"/>
          <w:sz w:val="22"/>
          <w:szCs w:val="22"/>
        </w:rPr>
        <w:t xml:space="preserve">   </w:t>
      </w:r>
      <w:r>
        <w:rPr>
          <w:rStyle w:val="Strong"/>
          <w:rFonts w:ascii="Arial" w:hAnsi="Arial"/>
          <w:b w:val="false"/>
          <w:bCs w:val="false"/>
          <w:color w:val="000000"/>
          <w:sz w:val="22"/>
          <w:szCs w:val="22"/>
        </w:rPr>
        <w:t>Lewin’s model suggests that ‘successful change involves unfreezing the current situation, moving to a new state, and refreezing the new situation to make the change permanent’ (Lewin, 1947, p. 5).</w:t>
      </w:r>
    </w:p>
    <w:p>
      <w:pPr>
        <w:pStyle w:val="BodyText"/>
        <w:widowControl/>
        <w:suppressAutoHyphens w:val="true"/>
        <w:bidi w:val="0"/>
        <w:spacing w:lineRule="auto" w:line="276" w:before="0" w:after="140"/>
        <w:ind w:hanging="0" w:left="0" w:right="0"/>
        <w:jc w:val="left"/>
        <w:rPr/>
      </w:pPr>
      <w:r>
        <w:rPr>
          <w:rStyle w:val="Strong"/>
          <w:rFonts w:ascii="Arial" w:hAnsi="Arial"/>
          <w:b w:val="false"/>
          <w:bCs w:val="false"/>
          <w:color w:val="000000"/>
          <w:sz w:val="22"/>
          <w:szCs w:val="22"/>
        </w:rPr>
        <w:t xml:space="preserve">    </w:t>
      </w:r>
      <w:r>
        <w:rPr>
          <w:rStyle w:val="Strong"/>
          <w:rFonts w:ascii="Arial" w:hAnsi="Arial"/>
          <w:b w:val="false"/>
          <w:bCs w:val="false"/>
          <w:color w:val="000000"/>
          <w:sz w:val="22"/>
          <w:szCs w:val="22"/>
        </w:rPr>
        <w:t xml:space="preserve">In this model, the first stage—unfreezing—necessitates cultivating awareness regarding the necessity for change, which may entail overcoming resistance. The second stage—changing—requires the implementation of new practices or behaviors. Finally, the third stage—refreezing—serves to solidify these changes, thereby integrating them into the organization’s routine. </w:t>
      </w:r>
    </w:p>
    <w:p>
      <w:pPr>
        <w:pStyle w:val="Normal"/>
        <w:widowControl/>
        <w:suppressAutoHyphens w:val="true"/>
        <w:bidi w:val="0"/>
        <w:spacing w:before="0" w:after="0"/>
        <w:ind w:hanging="0" w:left="0" w:right="0"/>
        <w:jc w:val="both"/>
        <w:rPr/>
      </w:pPr>
      <w:r>
        <w:rPr>
          <w:rStyle w:val="Strong"/>
          <w:rFonts w:ascii="Arial" w:hAnsi="Arial"/>
          <w:b w:val="false"/>
          <w:bCs w:val="false"/>
          <w:color w:val="000000"/>
          <w:sz w:val="22"/>
          <w:szCs w:val="22"/>
        </w:rPr>
        <w:t xml:space="preserve">    </w:t>
      </w:r>
      <w:r>
        <w:rPr>
          <w:rStyle w:val="Strong"/>
          <w:rFonts w:ascii="Arial" w:hAnsi="Arial"/>
          <w:b w:val="false"/>
          <w:bCs w:val="false"/>
          <w:color w:val="000000"/>
          <w:sz w:val="22"/>
          <w:szCs w:val="22"/>
        </w:rPr>
        <w:t xml:space="preserve">In the context of Lloyds Bank, Lewin’s model is particularly relevant in addressing the initial resistance that may surface when new technologies or processes are introduced. For instance, the bank’s shift toward digital services likely required considerable unfreezing, especially among employees who were familiar with traditional banking methods. The changing phase (however) would entail providing training on these new systems and integrating these digital tools into everyday operations, because this is essential for a smooth transition. The concluding phase of refreezing would concentrate on embedding these changes within the organization’s culture, ensuring that digital solutions become an integral part of the bank’s standard service offerings. However, this process is not without its challenges; although resistance may be expected, it is crucial to navigate these hurdles effectively. </w:t>
      </w:r>
    </w:p>
    <w:p>
      <w:pPr>
        <w:pStyle w:val="BodyText"/>
        <w:widowControl/>
        <w:numPr>
          <w:ilvl w:val="0"/>
          <w:numId w:val="0"/>
        </w:numPr>
        <w:suppressAutoHyphens w:val="true"/>
        <w:bidi w:val="0"/>
        <w:spacing w:lineRule="auto" w:line="276" w:before="0" w:after="140"/>
        <w:ind w:hanging="0" w:left="720" w:right="0"/>
        <w:jc w:val="left"/>
        <w:rPr>
          <w:rStyle w:val="Strong"/>
          <w:rFonts w:ascii="Arial" w:hAnsi="Arial"/>
          <w:b w:val="false"/>
          <w:bCs w:val="false"/>
          <w:color w:val="000000"/>
          <w:sz w:val="22"/>
          <w:szCs w:val="22"/>
        </w:rPr>
      </w:pPr>
      <w:r>
        <w:rPr>
          <w:rFonts w:ascii="Arial" w:hAnsi="Arial"/>
          <w:b w:val="false"/>
          <w:bCs w:val="false"/>
          <w:color w:val="000000"/>
          <w:sz w:val="22"/>
          <w:szCs w:val="22"/>
        </w:rPr>
      </w:r>
    </w:p>
    <w:p>
      <w:pPr>
        <w:pStyle w:val="BodyText"/>
        <w:tabs>
          <w:tab w:val="clear" w:pos="720"/>
          <w:tab w:val="left" w:pos="709" w:leader="none"/>
        </w:tabs>
        <w:bidi w:val="0"/>
        <w:ind w:hanging="283" w:left="709"/>
        <w:jc w:val="left"/>
        <w:rPr>
          <w:rStyle w:val="Strong"/>
          <w:rFonts w:ascii="Arial" w:hAnsi="Arial"/>
          <w:b/>
          <w:bCs/>
          <w:color w:val="000000"/>
          <w:sz w:val="22"/>
          <w:szCs w:val="22"/>
        </w:rPr>
      </w:pPr>
      <w:r>
        <w:rPr>
          <w:rFonts w:ascii="Arial" w:hAnsi="Arial"/>
          <w:b/>
          <w:bCs/>
          <w:color w:val="000000"/>
          <w:sz w:val="22"/>
          <w:szCs w:val="22"/>
        </w:rPr>
      </w:r>
    </w:p>
    <w:p>
      <w:pPr>
        <w:pStyle w:val="BodyText"/>
        <w:numPr>
          <w:ilvl w:val="0"/>
          <w:numId w:val="3"/>
        </w:numPr>
        <w:tabs>
          <w:tab w:val="clear" w:pos="720"/>
          <w:tab w:val="left" w:pos="709" w:leader="none"/>
        </w:tabs>
        <w:bidi w:val="0"/>
        <w:ind w:hanging="283" w:left="709"/>
        <w:jc w:val="left"/>
        <w:rPr/>
      </w:pPr>
      <w:r>
        <w:rPr>
          <w:rStyle w:val="Strong"/>
          <w:rFonts w:ascii="Arial" w:hAnsi="Arial"/>
          <w:sz w:val="22"/>
          <w:szCs w:val="22"/>
        </w:rPr>
        <w:t>Strengths of Lewin’s Model</w:t>
      </w:r>
      <w:r>
        <w:rPr>
          <w:rFonts w:ascii="Arial" w:hAnsi="Arial"/>
          <w:sz w:val="22"/>
          <w:szCs w:val="22"/>
        </w:rPr>
        <w:t xml:space="preserve">: The straightforwardness and transparency of Lewin’s model render it advantageous for steering extensive transformations. For Lloyds, this model facilitates the assurance that changes are not merely temporary; they become ingrained in long-term practices. </w:t>
      </w:r>
    </w:p>
    <w:p>
      <w:pPr>
        <w:pStyle w:val="BodyText"/>
        <w:numPr>
          <w:ilvl w:val="0"/>
          <w:numId w:val="3"/>
        </w:numPr>
        <w:tabs>
          <w:tab w:val="clear" w:pos="720"/>
          <w:tab w:val="left" w:pos="709" w:leader="none"/>
        </w:tabs>
        <w:bidi w:val="0"/>
        <w:ind w:hanging="283" w:left="709"/>
        <w:jc w:val="left"/>
        <w:rPr/>
      </w:pPr>
      <w:r>
        <w:rPr>
          <w:rStyle w:val="Strong"/>
          <w:rFonts w:ascii="Arial" w:hAnsi="Arial"/>
          <w:color w:val="000000"/>
          <w:sz w:val="22"/>
          <w:szCs w:val="22"/>
        </w:rPr>
        <w:t>Challenges for Lloyds</w:t>
      </w:r>
      <w:r>
        <w:rPr>
          <w:rStyle w:val="Strong"/>
          <w:rFonts w:ascii="Arial" w:hAnsi="Arial"/>
          <w:b w:val="false"/>
          <w:bCs w:val="false"/>
          <w:color w:val="000000"/>
          <w:sz w:val="22"/>
          <w:szCs w:val="22"/>
        </w:rPr>
        <w:t xml:space="preserve">: The refreezing stage can prove challenging in rapidly changing sectors (such as banking) because continuous innovation may imply that “freezing” into a singular state is less feasible. However, the linear characteristic of the model may not adequately address the iterative and ongoing modifications that Lloyds must undertake (this could be a significant oversight). </w:t>
      </w:r>
    </w:p>
    <w:p>
      <w:pPr>
        <w:pStyle w:val="BodyText"/>
        <w:widowControl/>
        <w:tabs>
          <w:tab w:val="clear" w:pos="720"/>
          <w:tab w:val="left" w:pos="709" w:leader="none"/>
        </w:tabs>
        <w:suppressAutoHyphens w:val="true"/>
        <w:bidi w:val="0"/>
        <w:spacing w:lineRule="auto" w:line="276" w:before="0" w:after="140"/>
        <w:ind w:hanging="0" w:left="0" w:right="0"/>
        <w:jc w:val="left"/>
        <w:rPr/>
      </w:pPr>
      <w:r>
        <w:rPr>
          <w:rStyle w:val="Strong"/>
          <w:rFonts w:ascii="Arial" w:hAnsi="Arial"/>
          <w:b/>
          <w:bCs/>
          <w:color w:val="000000"/>
          <w:sz w:val="22"/>
          <w:szCs w:val="22"/>
        </w:rPr>
        <w:t>ADKAR Model</w:t>
      </w:r>
    </w:p>
    <w:p>
      <w:pPr>
        <w:pStyle w:val="BodyText"/>
        <w:bidi w:val="0"/>
        <w:jc w:val="left"/>
        <w:rPr/>
      </w:pPr>
      <w:r>
        <w:rPr>
          <w:rStyle w:val="Strong"/>
          <w:rFonts w:ascii="Arial" w:hAnsi="Arial"/>
          <w:b w:val="false"/>
          <w:bCs w:val="false"/>
          <w:color w:val="000000"/>
          <w:sz w:val="22"/>
          <w:szCs w:val="22"/>
        </w:rPr>
        <w:t xml:space="preserve">Hiatt states that ‘the ADKAR model helps focus on the individual level of change, ensuring that each person understands and adopts new behaviors’ (Hiatt, 2006, p. 12). </w:t>
      </w:r>
    </w:p>
    <w:p>
      <w:pPr>
        <w:pStyle w:val="BodyText"/>
        <w:bidi w:val="0"/>
        <w:jc w:val="left"/>
        <w:rPr/>
      </w:pPr>
      <w:r>
        <w:rPr>
          <w:rStyle w:val="Strong"/>
          <w:rFonts w:ascii="Arial" w:hAnsi="Arial"/>
          <w:b w:val="false"/>
          <w:bCs w:val="false"/>
          <w:color w:val="000000"/>
          <w:sz w:val="22"/>
          <w:szCs w:val="22"/>
        </w:rPr>
        <w:t>For Lloyds Bank, this model could be particularly useful in managing employee responses to change initiatives. For example, when introducing new digital tools or reshaping internal processes, the ADKAR model emphasizes building awareness of the need for change, fostering a desire to participate, equipping employees with the knowledge and ability to implement the changes, and finally ensuring reinforcement so the changes stick.</w:t>
      </w:r>
    </w:p>
    <w:p>
      <w:pPr>
        <w:pStyle w:val="BodyText"/>
        <w:numPr>
          <w:ilvl w:val="0"/>
          <w:numId w:val="4"/>
        </w:numPr>
        <w:tabs>
          <w:tab w:val="clear" w:pos="720"/>
          <w:tab w:val="left" w:pos="709" w:leader="none"/>
        </w:tabs>
        <w:bidi w:val="0"/>
        <w:ind w:hanging="283" w:left="709"/>
        <w:jc w:val="left"/>
        <w:rPr/>
      </w:pPr>
      <w:r>
        <w:rPr>
          <w:rStyle w:val="Strong"/>
          <w:rFonts w:ascii="Arial" w:hAnsi="Arial"/>
          <w:sz w:val="22"/>
          <w:szCs w:val="22"/>
        </w:rPr>
        <w:t>Strengths of the ADKAR Model</w:t>
      </w:r>
      <w:r>
        <w:rPr>
          <w:rFonts w:ascii="Arial" w:hAnsi="Arial"/>
          <w:sz w:val="22"/>
          <w:szCs w:val="22"/>
        </w:rPr>
        <w:t xml:space="preserve">: </w:t>
      </w:r>
      <w:r>
        <w:rPr>
          <w:rStyle w:val="Strong"/>
          <w:rFonts w:ascii="Arial" w:hAnsi="Arial"/>
          <w:b w:val="false"/>
          <w:bCs w:val="false"/>
          <w:color w:val="000000"/>
          <w:sz w:val="22"/>
          <w:szCs w:val="22"/>
        </w:rPr>
        <w:t>its emphasis on individual behaviors and reactions to change effectively addresses the human aspect of transformation, which can be crucial in an organization as vast and varied as Lloyds. By ensuring that employees are motivated (and adequately prepared) to accept change, this model significantly diminishes resistance.</w:t>
      </w:r>
    </w:p>
    <w:p>
      <w:pPr>
        <w:pStyle w:val="BodyText"/>
        <w:numPr>
          <w:ilvl w:val="0"/>
          <w:numId w:val="4"/>
        </w:numPr>
        <w:tabs>
          <w:tab w:val="clear" w:pos="720"/>
          <w:tab w:val="left" w:pos="709" w:leader="none"/>
        </w:tabs>
        <w:bidi w:val="0"/>
        <w:ind w:hanging="283" w:left="709"/>
        <w:jc w:val="left"/>
        <w:rPr/>
      </w:pPr>
      <w:r>
        <w:rPr>
          <w:rStyle w:val="Strong"/>
          <w:rFonts w:ascii="Arial" w:hAnsi="Arial"/>
          <w:color w:val="000000"/>
          <w:sz w:val="22"/>
          <w:szCs w:val="22"/>
        </w:rPr>
        <w:t>Challenges for Lloyds</w:t>
      </w:r>
      <w:r>
        <w:rPr>
          <w:rStyle w:val="Strong"/>
          <w:rFonts w:ascii="Arial" w:hAnsi="Arial"/>
          <w:b w:val="false"/>
          <w:bCs w:val="false"/>
          <w:color w:val="000000"/>
          <w:sz w:val="22"/>
          <w:szCs w:val="22"/>
        </w:rPr>
        <w:t>:  Although the ADKAR model proves valuable in managing changes at the individual level, it may not offer enough structure for large-scale strategic transitions. Because broader organizational changes often demand a more comprehensive approach, other models may be necessary to complement ADKAR in such contexts</w:t>
      </w:r>
    </w:p>
    <w:p>
      <w:pPr>
        <w:pStyle w:val="BodyText"/>
        <w:numPr>
          <w:ilvl w:val="0"/>
          <w:numId w:val="0"/>
        </w:numPr>
        <w:tabs>
          <w:tab w:val="clear" w:pos="720"/>
          <w:tab w:val="left" w:pos="709" w:leader="none"/>
        </w:tabs>
        <w:bidi w:val="0"/>
        <w:ind w:hanging="0" w:left="709"/>
        <w:jc w:val="left"/>
        <w:rPr>
          <w:rStyle w:val="Strong"/>
          <w:rFonts w:ascii="Arial" w:hAnsi="Arial"/>
          <w:b w:val="false"/>
          <w:bCs w:val="false"/>
          <w:color w:val="000000"/>
          <w:sz w:val="22"/>
          <w:szCs w:val="22"/>
        </w:rPr>
      </w:pPr>
      <w:r>
        <w:rPr>
          <w:rFonts w:ascii="Arial" w:hAnsi="Arial"/>
          <w:b w:val="false"/>
          <w:bCs w:val="false"/>
          <w:color w:val="000000"/>
          <w:sz w:val="22"/>
          <w:szCs w:val="22"/>
        </w:rPr>
      </w:r>
    </w:p>
    <w:p>
      <w:pPr>
        <w:pStyle w:val="Normal"/>
        <w:bidi w:val="0"/>
        <w:jc w:val="left"/>
        <w:rPr/>
      </w:pPr>
      <w:r>
        <w:rPr>
          <w:rStyle w:val="Strong"/>
          <w:rFonts w:ascii="Arial" w:hAnsi="Arial"/>
          <w:b/>
          <w:bCs/>
          <w:color w:val="000000"/>
          <w:sz w:val="30"/>
          <w:szCs w:val="30"/>
        </w:rPr>
        <w:t>2. Strategic Changes at Lloyds</w:t>
      </w:r>
    </w:p>
    <w:p>
      <w:pPr>
        <w:pStyle w:val="BodyText"/>
        <w:bidi w:val="0"/>
        <w:jc w:val="left"/>
        <w:rPr>
          <w:rStyle w:val="Strong"/>
          <w:rFonts w:ascii="Arial" w:hAnsi="Arial"/>
          <w:b w:val="false"/>
          <w:bCs w:val="false"/>
          <w:color w:val="000000"/>
          <w:sz w:val="22"/>
          <w:szCs w:val="22"/>
        </w:rPr>
      </w:pPr>
      <w:r>
        <w:rPr>
          <w:rFonts w:ascii="Arial" w:hAnsi="Arial"/>
          <w:b w:val="false"/>
          <w:bCs w:val="false"/>
          <w:color w:val="000000"/>
          <w:sz w:val="22"/>
          <w:szCs w:val="22"/>
        </w:rPr>
      </w:r>
    </w:p>
    <w:p>
      <w:pPr>
        <w:pStyle w:val="Normal"/>
        <w:widowControl/>
        <w:tabs>
          <w:tab w:val="clear" w:pos="720"/>
          <w:tab w:val="left" w:pos="709" w:leader="none"/>
        </w:tabs>
        <w:suppressAutoHyphens w:val="true"/>
        <w:bidi w:val="0"/>
        <w:spacing w:before="0" w:after="0"/>
        <w:ind w:hanging="0" w:left="0" w:right="0"/>
        <w:jc w:val="left"/>
        <w:rPr/>
      </w:pPr>
      <w:bookmarkStart w:id="2" w:name="input-sentence~0_Copy_6_Copy_1"/>
      <w:bookmarkEnd w:id="2"/>
      <w:r>
        <w:rPr>
          <w:rStyle w:val="Strong"/>
          <w:rFonts w:ascii="Arial" w:hAnsi="Arial"/>
          <w:b w:val="false"/>
          <w:bCs w:val="false"/>
          <w:color w:val="000000"/>
          <w:sz w:val="22"/>
          <w:szCs w:val="22"/>
        </w:rPr>
        <w:t>Lloyds Bank has implemented a range of strategic modifications in recent years to respond to external pressures and maintain its competitive edge. Key areas of strategic change (including) digital transformation and sustainability initiatives are essential; however, the bank encounters challenges in executing these plans.</w:t>
      </w:r>
      <w:bookmarkStart w:id="3" w:name="input-sentence~1_Copy_2_Copy_1"/>
      <w:bookmarkEnd w:id="3"/>
      <w:r>
        <w:rPr>
          <w:rStyle w:val="Strong"/>
          <w:rFonts w:ascii="Arial" w:hAnsi="Arial"/>
          <w:b w:val="false"/>
          <w:bCs w:val="false"/>
          <w:color w:val="000000"/>
          <w:sz w:val="22"/>
          <w:szCs w:val="22"/>
        </w:rPr>
        <w:t xml:space="preserve"> This undertaking is vital, although it necessitates considerable investment. The landscape is changing rapidly (because) companies must evolve to stay relevant.</w:t>
      </w:r>
    </w:p>
    <w:p>
      <w:pPr>
        <w:pStyle w:val="Normal"/>
        <w:widowControl/>
        <w:tabs>
          <w:tab w:val="clear" w:pos="720"/>
          <w:tab w:val="left" w:pos="709" w:leader="none"/>
        </w:tabs>
        <w:suppressAutoHyphens w:val="true"/>
        <w:bidi w:val="0"/>
        <w:spacing w:before="0" w:after="0"/>
        <w:ind w:hanging="0" w:left="0" w:right="0"/>
        <w:jc w:val="left"/>
        <w:rPr/>
      </w:pPr>
      <w:r>
        <w:rPr/>
      </w:r>
    </w:p>
    <w:p>
      <w:pPr>
        <w:pStyle w:val="BodyText"/>
        <w:numPr>
          <w:ilvl w:val="0"/>
          <w:numId w:val="5"/>
        </w:numPr>
        <w:tabs>
          <w:tab w:val="clear" w:pos="720"/>
          <w:tab w:val="left" w:pos="709" w:leader="none"/>
        </w:tabs>
        <w:bidi w:val="0"/>
        <w:ind w:hanging="283" w:left="709"/>
        <w:jc w:val="left"/>
        <w:rPr/>
      </w:pPr>
      <w:r>
        <w:rPr>
          <w:rStyle w:val="Strong"/>
          <w:rFonts w:ascii="Arial" w:hAnsi="Arial"/>
          <w:color w:val="000000"/>
          <w:sz w:val="22"/>
          <w:szCs w:val="22"/>
        </w:rPr>
        <w:t>Digital Transformation</w:t>
      </w:r>
      <w:r>
        <w:rPr>
          <w:rStyle w:val="Strong"/>
          <w:rFonts w:ascii="Arial" w:hAnsi="Arial"/>
          <w:b w:val="false"/>
          <w:bCs w:val="false"/>
          <w:color w:val="000000"/>
          <w:sz w:val="22"/>
          <w:szCs w:val="22"/>
        </w:rPr>
        <w:t>: As previously discussed, Lloyds Bank has undertaken significant investments in technology to modernize its services and satisfy the changing expectations of customers. This transformation encompassed the enhancement of its mobile banking platforms, the implementation of AI-driven customer service tools and the automation of back-end processes</w:t>
      </w:r>
      <w:bookmarkStart w:id="4" w:name="input-sentence~0_Copy_4"/>
      <w:bookmarkEnd w:id="4"/>
      <w:r>
        <w:rPr>
          <w:rStyle w:val="Strong"/>
          <w:rFonts w:ascii="Arial" w:hAnsi="Arial"/>
          <w:b w:val="false"/>
          <w:bCs w:val="false"/>
          <w:color w:val="000000"/>
          <w:sz w:val="22"/>
          <w:szCs w:val="22"/>
        </w:rPr>
        <w:t>. The shift towards digital banking platforms necessitated a comprehensive change management strategy to align employees, customers and stakeholders with the newly established operational framework. However, this transition was not without its challenges; it required a substantial degree of adaptability from all parties involved.</w:t>
      </w:r>
      <w:bookmarkStart w:id="5" w:name="input-sentence~1"/>
      <w:bookmarkEnd w:id="5"/>
      <w:r>
        <w:rPr>
          <w:rStyle w:val="Strong"/>
          <w:rFonts w:ascii="Arial" w:hAnsi="Arial"/>
          <w:b w:val="false"/>
          <w:bCs w:val="false"/>
          <w:color w:val="000000"/>
          <w:sz w:val="22"/>
          <w:szCs w:val="22"/>
        </w:rPr>
        <w:t xml:space="preserve"> Although the process was intricate, the bank sought to enhance user experience and improve operational efficiency. This endeavor, however, highlighted the vital role of collaboration and communication throughout the process, because success relied on the collective effort of the team.</w:t>
      </w:r>
    </w:p>
    <w:p>
      <w:pPr>
        <w:pStyle w:val="BodyText"/>
        <w:numPr>
          <w:ilvl w:val="0"/>
          <w:numId w:val="5"/>
        </w:numPr>
        <w:tabs>
          <w:tab w:val="clear" w:pos="720"/>
          <w:tab w:val="left" w:pos="709" w:leader="none"/>
        </w:tabs>
        <w:bidi w:val="0"/>
        <w:ind w:hanging="283" w:left="709"/>
        <w:jc w:val="left"/>
        <w:rPr/>
      </w:pPr>
      <w:r>
        <w:rPr>
          <w:rStyle w:val="Strong"/>
          <w:rFonts w:ascii="Arial" w:hAnsi="Arial"/>
          <w:b/>
          <w:bCs/>
          <w:color w:val="000000"/>
          <w:sz w:val="22"/>
          <w:szCs w:val="22"/>
        </w:rPr>
        <w:t>Sustainability and ESG Initiatives:</w:t>
      </w:r>
      <w:r>
        <w:rPr>
          <w:rStyle w:val="Strong"/>
          <w:rFonts w:ascii="Arial" w:hAnsi="Arial"/>
          <w:b w:val="false"/>
          <w:bCs w:val="false"/>
          <w:color w:val="000000"/>
          <w:sz w:val="22"/>
          <w:szCs w:val="22"/>
        </w:rPr>
        <w:t xml:space="preserve"> In reaction to increasing societal expectations regarding corporate responsibility, Lloyds has also adopted sustainability initiatives as part of its larger strategy. This encompasses financing green projects and assisting businesses in minimizing their carbon footprint. Such alterations are integral to the bank’s commitment to environmental, social and governance (ESG) principles, which demand shifts in both operations and corporate culture. </w:t>
      </w:r>
    </w:p>
    <w:p>
      <w:pPr>
        <w:pStyle w:val="BodyText"/>
        <w:bidi w:val="0"/>
        <w:jc w:val="left"/>
        <w:rPr/>
      </w:pPr>
      <w:r>
        <w:rPr>
          <w:rStyle w:val="Strong"/>
          <w:rFonts w:ascii="Arial" w:hAnsi="Arial"/>
          <w:b/>
          <w:bCs/>
          <w:i w:val="false"/>
          <w:iCs w:val="false"/>
          <w:color w:val="000000"/>
          <w:sz w:val="30"/>
          <w:szCs w:val="30"/>
        </w:rPr>
        <w:t>3. Leadership Styles at Lloyds Bank</w:t>
      </w:r>
    </w:p>
    <w:p>
      <w:pPr>
        <w:pStyle w:val="BodyText"/>
        <w:widowControl/>
        <w:tabs>
          <w:tab w:val="clear" w:pos="720"/>
          <w:tab w:val="left" w:pos="709" w:leader="none"/>
        </w:tabs>
        <w:suppressAutoHyphens w:val="true"/>
        <w:bidi w:val="0"/>
        <w:spacing w:lineRule="auto" w:line="276" w:before="0" w:after="140"/>
        <w:ind w:hanging="0" w:left="0" w:right="0"/>
        <w:jc w:val="left"/>
        <w:rPr/>
      </w:pPr>
      <w:r>
        <w:rPr>
          <w:rStyle w:val="Strong"/>
          <w:rFonts w:ascii="Arial" w:hAnsi="Arial"/>
          <w:b w:val="false"/>
          <w:bCs w:val="false"/>
          <w:color w:val="000000"/>
          <w:sz w:val="22"/>
          <w:szCs w:val="22"/>
        </w:rPr>
        <w:t xml:space="preserve"> </w:t>
      </w:r>
      <w:r>
        <w:rPr>
          <w:rStyle w:val="Strong"/>
          <w:rFonts w:ascii="Arial" w:hAnsi="Arial"/>
          <w:b w:val="false"/>
          <w:bCs w:val="false"/>
          <w:color w:val="000000"/>
          <w:sz w:val="22"/>
          <w:szCs w:val="22"/>
        </w:rPr>
        <w:t xml:space="preserve">At Lloyds Bank, a blend of transformational and transactional leadership styles has been utilized in navigating change. </w:t>
      </w:r>
    </w:p>
    <w:p>
      <w:pPr>
        <w:pStyle w:val="Normal"/>
        <w:numPr>
          <w:ilvl w:val="0"/>
          <w:numId w:val="6"/>
        </w:numPr>
        <w:tabs>
          <w:tab w:val="clear" w:pos="720"/>
          <w:tab w:val="left" w:pos="709" w:leader="none"/>
        </w:tabs>
        <w:bidi w:val="0"/>
        <w:ind w:hanging="283" w:left="709"/>
        <w:jc w:val="left"/>
        <w:rPr/>
      </w:pPr>
      <w:r>
        <w:rPr>
          <w:rStyle w:val="Strong"/>
          <w:rFonts w:ascii="Arial" w:hAnsi="Arial"/>
          <w:b/>
          <w:bCs/>
          <w:color w:val="000000"/>
          <w:sz w:val="22"/>
          <w:szCs w:val="22"/>
        </w:rPr>
        <w:t>Transformational leadership</w:t>
      </w:r>
      <w:r>
        <w:rPr>
          <w:rStyle w:val="Strong"/>
          <w:rFonts w:ascii="Arial" w:hAnsi="Arial"/>
          <w:b w:val="false"/>
          <w:bCs w:val="false"/>
          <w:color w:val="000000"/>
          <w:sz w:val="22"/>
          <w:szCs w:val="22"/>
        </w:rPr>
        <w:t>, for instance, has been crucial for Lloyds Bank’s digital transformation and sustainability initiatives.</w:t>
      </w:r>
      <w:bookmarkStart w:id="6" w:name="input-sentence~1_Copy_3_Copy_1"/>
      <w:bookmarkEnd w:id="6"/>
      <w:r>
        <w:rPr>
          <w:rStyle w:val="Strong"/>
          <w:rFonts w:ascii="Arial" w:hAnsi="Arial"/>
          <w:b w:val="false"/>
          <w:bCs w:val="false"/>
          <w:color w:val="000000"/>
          <w:sz w:val="22"/>
          <w:szCs w:val="22"/>
        </w:rPr>
        <w:t xml:space="preserve"> This style prioritizes the inspiration of employees, motivating them to accept change by articulating a clear vision for the future. Under the guidance of CEO Charlie Nunn, Lloyds has conveyed its vision for a bank that is both digitally advanced and socially responsible.</w:t>
      </w:r>
      <w:bookmarkStart w:id="7" w:name="input-sentence~2_Copy_2_Copy_1"/>
      <w:bookmarkEnd w:id="7"/>
      <w:r>
        <w:rPr>
          <w:rStyle w:val="Strong"/>
          <w:rFonts w:ascii="Arial" w:hAnsi="Arial"/>
          <w:b w:val="false"/>
          <w:bCs w:val="false"/>
          <w:color w:val="000000"/>
          <w:sz w:val="22"/>
          <w:szCs w:val="22"/>
        </w:rPr>
        <w:t xml:space="preserve"> Nunn’s leadership has been instrumental in propelling these transformations, particularly because of his effective communication and the empowerment of employees to engage in the bank’s ongoing transformation efforts. However, challenges remain and the success of such initiatives depends on various factors.</w:t>
      </w:r>
      <w:bookmarkStart w:id="8" w:name="input-sentence~3_Copy_1"/>
      <w:bookmarkEnd w:id="8"/>
      <w:r>
        <w:rPr>
          <w:rStyle w:val="Strong"/>
          <w:rFonts w:ascii="Arial" w:hAnsi="Arial"/>
          <w:b w:val="false"/>
          <w:bCs w:val="false"/>
          <w:color w:val="000000"/>
          <w:sz w:val="22"/>
          <w:szCs w:val="22"/>
        </w:rPr>
        <w:t xml:space="preserve"> While transformational leadership can inspire, it is essential to balance it with transactional elements to ensure efficacy.</w:t>
      </w:r>
    </w:p>
    <w:p>
      <w:pPr>
        <w:pStyle w:val="Normal"/>
        <w:numPr>
          <w:ilvl w:val="0"/>
          <w:numId w:val="6"/>
        </w:numPr>
        <w:tabs>
          <w:tab w:val="clear" w:pos="720"/>
          <w:tab w:val="left" w:pos="709" w:leader="none"/>
        </w:tabs>
        <w:bidi w:val="0"/>
        <w:ind w:hanging="283" w:left="709"/>
        <w:jc w:val="left"/>
        <w:rPr/>
      </w:pPr>
      <w:bookmarkStart w:id="9" w:name="input-sentence~0_Copy_8_Copy_1"/>
      <w:bookmarkEnd w:id="9"/>
      <w:r>
        <w:rPr>
          <w:rStyle w:val="Strong"/>
          <w:rFonts w:ascii="Arial" w:hAnsi="Arial"/>
          <w:b/>
          <w:bCs/>
          <w:color w:val="000000"/>
          <w:sz w:val="22"/>
          <w:szCs w:val="22"/>
        </w:rPr>
        <w:t>Transactional Leadership:</w:t>
      </w:r>
      <w:r>
        <w:rPr>
          <w:rStyle w:val="Strong"/>
          <w:rFonts w:ascii="Arial" w:hAnsi="Arial"/>
          <w:b w:val="false"/>
          <w:bCs w:val="false"/>
          <w:color w:val="000000"/>
          <w:sz w:val="22"/>
          <w:szCs w:val="22"/>
        </w:rPr>
        <w:t xml:space="preserve"> In various domains—especially those concerning compliance and risk management—a more transactional approach to leadership has been implemented.</w:t>
      </w:r>
      <w:bookmarkStart w:id="10" w:name="input-sentence~1_Copy_4_Copy_1"/>
      <w:bookmarkEnd w:id="10"/>
      <w:r>
        <w:rPr>
          <w:rStyle w:val="Strong"/>
          <w:rFonts w:ascii="Arial" w:hAnsi="Arial"/>
          <w:b w:val="false"/>
          <w:bCs w:val="false"/>
          <w:color w:val="000000"/>
          <w:sz w:val="22"/>
          <w:szCs w:val="22"/>
        </w:rPr>
        <w:t xml:space="preserve"> This style tends to emphasize structure, supervision and performance. As Lloyds navigated regulatory changes, leadership made certain that strict processes were adhered to and that clear goals and rewards were established to manage compliance-related tasks. However, some might argue that this focus could stifle innovation, because it prioritizes control over creativity. Although effective in maintaining order, it may also limit flexibility in response to unforeseen challenges.</w:t>
      </w:r>
    </w:p>
    <w:p>
      <w:pPr>
        <w:pStyle w:val="Normal"/>
        <w:tabs>
          <w:tab w:val="clear" w:pos="720"/>
          <w:tab w:val="left" w:pos="709" w:leader="none"/>
        </w:tabs>
        <w:bidi w:val="0"/>
        <w:ind w:hanging="283" w:left="709"/>
        <w:jc w:val="left"/>
        <w:rPr/>
      </w:pPr>
      <w:r>
        <w:rPr>
          <w:rStyle w:val="Strong"/>
          <w:rFonts w:ascii="Arial" w:hAnsi="Arial"/>
          <w:b w:val="false"/>
          <w:bCs w:val="false"/>
          <w:color w:val="000000"/>
          <w:sz w:val="22"/>
          <w:szCs w:val="22"/>
        </w:rPr>
        <w:t xml:space="preserve"> </w:t>
      </w:r>
    </w:p>
    <w:p>
      <w:pPr>
        <w:pStyle w:val="BodyText"/>
        <w:widowControl/>
        <w:tabs>
          <w:tab w:val="clear" w:pos="720"/>
          <w:tab w:val="left" w:pos="718" w:leader="none"/>
        </w:tabs>
        <w:suppressAutoHyphens w:val="true"/>
        <w:bidi w:val="0"/>
        <w:spacing w:lineRule="auto" w:line="276" w:before="0" w:after="140"/>
        <w:ind w:hanging="0" w:left="0" w:right="0"/>
        <w:jc w:val="left"/>
        <w:rPr/>
      </w:pPr>
      <w:r>
        <w:rPr>
          <w:rStyle w:val="Strong"/>
          <w:rFonts w:ascii="Arial" w:hAnsi="Arial"/>
          <w:b/>
          <w:bCs/>
          <w:color w:val="000000"/>
          <w:sz w:val="36"/>
          <w:szCs w:val="36"/>
        </w:rPr>
        <w:t>Organizational Culture and its Impact on Change Management</w:t>
      </w:r>
    </w:p>
    <w:p>
      <w:pPr>
        <w:pStyle w:val="Normal"/>
        <w:widowControl/>
        <w:tabs>
          <w:tab w:val="clear" w:pos="720"/>
          <w:tab w:val="left" w:pos="709" w:leader="none"/>
        </w:tabs>
        <w:suppressAutoHyphens w:val="true"/>
        <w:bidi w:val="0"/>
        <w:spacing w:before="0" w:after="0"/>
        <w:ind w:hanging="0" w:left="0" w:right="0"/>
        <w:jc w:val="left"/>
        <w:rPr/>
      </w:pPr>
      <w:r>
        <w:rPr>
          <w:rStyle w:val="Strong"/>
          <w:rFonts w:ascii="Arial" w:hAnsi="Arial"/>
          <w:b w:val="false"/>
          <w:bCs w:val="false"/>
          <w:color w:val="000000"/>
          <w:sz w:val="22"/>
          <w:szCs w:val="22"/>
        </w:rPr>
        <w:t xml:space="preserve">   ‘</w:t>
      </w:r>
      <w:r>
        <w:rPr>
          <w:rStyle w:val="Strong"/>
          <w:rFonts w:ascii="Arial" w:hAnsi="Arial"/>
          <w:b w:val="false"/>
          <w:bCs w:val="false"/>
          <w:color w:val="000000"/>
          <w:sz w:val="22"/>
          <w:szCs w:val="22"/>
        </w:rPr>
        <w:t>A strong organizational culture can serve as a source of sustained competitive advantage, especially during periods of change’ (Barney, 1986, p. 656).</w:t>
      </w:r>
    </w:p>
    <w:p>
      <w:pPr>
        <w:pStyle w:val="Normal"/>
        <w:widowControl/>
        <w:tabs>
          <w:tab w:val="clear" w:pos="720"/>
          <w:tab w:val="left" w:pos="709" w:leader="none"/>
        </w:tabs>
        <w:suppressAutoHyphens w:val="true"/>
        <w:bidi w:val="0"/>
        <w:spacing w:before="0" w:after="0"/>
        <w:ind w:hanging="0" w:left="0" w:right="0"/>
        <w:jc w:val="left"/>
        <w:rPr/>
      </w:pPr>
      <w:r>
        <w:rPr>
          <w:rStyle w:val="Strong"/>
          <w:rFonts w:ascii="Arial" w:hAnsi="Arial"/>
          <w:b w:val="false"/>
          <w:bCs w:val="false"/>
          <w:color w:val="000000"/>
          <w:sz w:val="22"/>
          <w:szCs w:val="22"/>
        </w:rPr>
        <w:t xml:space="preserve">Organizational culture refers to how an organization operates. At Lloyds Bank, this culture has been instrumental in shaping its capacity to implement strategic changes. However, it is important to recognize that such cultural factors can also create resistance to change; this can happen because employees may feel insecure about new directions. Although the culture supports innovation, it can also lead to challenges when adapting to new paradigms. This highlights the importance of actively managing cultural dynamics, because the impact can be profound. Although some may underestimate its significance, the reality is that a strong organizational culture is essential for success. </w:t>
      </w:r>
    </w:p>
    <w:p>
      <w:pPr>
        <w:pStyle w:val="Normal"/>
        <w:widowControl/>
        <w:tabs>
          <w:tab w:val="clear" w:pos="720"/>
          <w:tab w:val="left" w:pos="709" w:leader="none"/>
        </w:tabs>
        <w:suppressAutoHyphens w:val="true"/>
        <w:bidi w:val="0"/>
        <w:spacing w:before="0" w:after="0"/>
        <w:ind w:hanging="0" w:left="0" w:right="0"/>
        <w:jc w:val="left"/>
        <w:rPr>
          <w:rStyle w:val="Strong"/>
          <w:rFonts w:ascii="Arial" w:hAnsi="Arial"/>
          <w:b w:val="false"/>
          <w:bCs w:val="false"/>
          <w:color w:val="000000"/>
          <w:sz w:val="22"/>
          <w:szCs w:val="22"/>
        </w:rPr>
      </w:pPr>
      <w:r>
        <w:rPr>
          <w:rFonts w:ascii="Arial" w:hAnsi="Arial"/>
          <w:b w:val="false"/>
          <w:bCs w:val="false"/>
          <w:color w:val="000000"/>
          <w:sz w:val="22"/>
          <w:szCs w:val="22"/>
        </w:rPr>
      </w:r>
    </w:p>
    <w:p>
      <w:pPr>
        <w:pStyle w:val="Normal"/>
        <w:widowControl/>
        <w:tabs>
          <w:tab w:val="clear" w:pos="720"/>
          <w:tab w:val="left" w:pos="709" w:leader="none"/>
        </w:tabs>
        <w:suppressAutoHyphens w:val="true"/>
        <w:bidi w:val="0"/>
        <w:spacing w:before="0" w:after="0"/>
        <w:ind w:hanging="0" w:left="0" w:right="0"/>
        <w:jc w:val="left"/>
        <w:rPr/>
      </w:pPr>
      <w:bookmarkStart w:id="11" w:name="input-sentence~20"/>
      <w:bookmarkEnd w:id="11"/>
      <w:r>
        <w:rPr>
          <w:rFonts w:ascii="Arial" w:hAnsi="Arial"/>
          <w:b/>
          <w:bCs/>
          <w:sz w:val="30"/>
          <w:szCs w:val="30"/>
        </w:rPr>
        <w:t>1. Lloyds Bank’s Organizational Culture</w:t>
      </w:r>
      <w:r>
        <w:rPr>
          <w:rFonts w:ascii="Arial" w:hAnsi="Arial"/>
        </w:rPr>
        <w:br/>
        <w:br/>
        <w:t xml:space="preserve">   ‘Organizational culture is the foundation for long-term business performance and shapes how change initiatives are implemented’ (Schein, 2004, p. 31).</w:t>
      </w:r>
    </w:p>
    <w:p>
      <w:pPr>
        <w:pStyle w:val="Normal"/>
        <w:widowControl/>
        <w:tabs>
          <w:tab w:val="clear" w:pos="720"/>
          <w:tab w:val="left" w:pos="709" w:leader="none"/>
        </w:tabs>
        <w:suppressAutoHyphens w:val="true"/>
        <w:bidi w:val="0"/>
        <w:spacing w:before="0" w:after="0"/>
        <w:ind w:hanging="0" w:left="0" w:right="0"/>
        <w:jc w:val="left"/>
        <w:rPr/>
      </w:pPr>
      <w:r>
        <w:rPr>
          <w:rFonts w:ascii="Arial" w:hAnsi="Arial"/>
          <w:sz w:val="22"/>
          <w:szCs w:val="22"/>
        </w:rPr>
        <w:t xml:space="preserve">Lloyds Bank's culture is profoundly entrenched in its rich history and tradition of delivering dependable banking services to clients throughout the UK.. Although the bank has maintained its fundamental values, it recognizes that adaptation is essential because the financial landscape is in a constant state of evolution.  </w:t>
      </w:r>
    </w:p>
    <w:p>
      <w:pPr>
        <w:pStyle w:val="BodyText"/>
        <w:tabs>
          <w:tab w:val="clear" w:pos="720"/>
          <w:tab w:val="left" w:pos="709" w:leader="none"/>
        </w:tabs>
        <w:bidi w:val="0"/>
        <w:ind w:hanging="283" w:left="709"/>
        <w:jc w:val="left"/>
        <w:rPr/>
      </w:pPr>
      <w:r>
        <w:rPr/>
      </w:r>
    </w:p>
    <w:p>
      <w:pPr>
        <w:pStyle w:val="BodyText"/>
        <w:numPr>
          <w:ilvl w:val="0"/>
          <w:numId w:val="7"/>
        </w:numPr>
        <w:tabs>
          <w:tab w:val="clear" w:pos="720"/>
          <w:tab w:val="left" w:pos="709" w:leader="none"/>
        </w:tabs>
        <w:bidi w:val="0"/>
        <w:ind w:hanging="283" w:left="709"/>
        <w:jc w:val="left"/>
        <w:rPr/>
      </w:pPr>
      <w:r>
        <w:rPr>
          <w:rStyle w:val="Strong"/>
          <w:rFonts w:ascii="Arial" w:hAnsi="Arial"/>
          <w:sz w:val="22"/>
          <w:szCs w:val="22"/>
        </w:rPr>
        <w:t>Customer-centric focus</w:t>
      </w:r>
      <w:r>
        <w:rPr>
          <w:rFonts w:ascii="Arial" w:hAnsi="Arial"/>
          <w:sz w:val="22"/>
          <w:szCs w:val="22"/>
        </w:rPr>
        <w:t>: Lloyds Bank has historically prioritized customer service as a fundamental principle. This customer-centric approach is integral to the bank’s mission to provide high-quality financial services tailored to the diverse needs of individuals and businesses. As competition within the banking sector has intensified, Lloyds has endeavored to sustain this focus; however, it has simultaneously sought to enhance the digital customer experience, reflecting a notable shift in its cultural priorities.</w:t>
      </w:r>
    </w:p>
    <w:p>
      <w:pPr>
        <w:pStyle w:val="BodyText"/>
        <w:numPr>
          <w:ilvl w:val="0"/>
          <w:numId w:val="7"/>
        </w:numPr>
        <w:tabs>
          <w:tab w:val="clear" w:pos="720"/>
          <w:tab w:val="left" w:pos="709" w:leader="none"/>
        </w:tabs>
        <w:bidi w:val="0"/>
        <w:ind w:hanging="283" w:left="709"/>
        <w:jc w:val="left"/>
        <w:rPr>
          <w:rFonts w:ascii="Arial" w:hAnsi="Arial"/>
          <w:sz w:val="22"/>
          <w:szCs w:val="22"/>
        </w:rPr>
      </w:pPr>
      <w:r>
        <w:rPr>
          <w:rFonts w:ascii="Arial" w:hAnsi="Arial"/>
          <w:b/>
          <w:bCs/>
          <w:sz w:val="22"/>
          <w:szCs w:val="22"/>
        </w:rPr>
        <w:t>Innovation and Agility:</w:t>
      </w:r>
      <w:r>
        <w:rPr>
          <w:rFonts w:ascii="Arial" w:hAnsi="Arial"/>
          <w:sz w:val="22"/>
          <w:szCs w:val="22"/>
        </w:rPr>
        <w:t xml:space="preserve"> In response to the swift technological advancements in the banking arena, Lloyds has actively pursued a culture of innovation—this has included encouraging employees to embrace emerging technologies and adopt agile work practices. Although the shift toward innovation has received substantial support from leadership, which has championed a culture of continuous improvement, the willingness to entertain new ideas remains crucial because it drives the bank’s digital transformation efforts.</w:t>
      </w:r>
    </w:p>
    <w:p>
      <w:pPr>
        <w:pStyle w:val="BodyText"/>
        <w:numPr>
          <w:ilvl w:val="0"/>
          <w:numId w:val="7"/>
        </w:numPr>
        <w:tabs>
          <w:tab w:val="clear" w:pos="720"/>
          <w:tab w:val="left" w:pos="709" w:leader="none"/>
        </w:tabs>
        <w:bidi w:val="0"/>
        <w:ind w:hanging="283" w:left="709"/>
        <w:jc w:val="left"/>
        <w:rPr>
          <w:rFonts w:ascii="Arial" w:hAnsi="Arial"/>
          <w:sz w:val="22"/>
          <w:szCs w:val="22"/>
        </w:rPr>
      </w:pPr>
      <w:r>
        <w:rPr>
          <w:rFonts w:ascii="Arial" w:hAnsi="Arial"/>
          <w:b/>
          <w:bCs/>
          <w:sz w:val="22"/>
          <w:szCs w:val="22"/>
        </w:rPr>
        <w:t>Risk management and Compliance:</w:t>
      </w:r>
      <w:r>
        <w:rPr>
          <w:rFonts w:ascii="Arial" w:hAnsi="Arial"/>
          <w:sz w:val="22"/>
          <w:szCs w:val="22"/>
        </w:rPr>
        <w:t xml:space="preserve"> Given its status as one of the largest banks in the UK, Lloyds places significant emphasis on risk management and regulatory compliance (this is essential). This facet of the bank's culture guarantees that modifications are executed in a controlled fashion, with meticulous attention to reducing risks for both the organization and its clientele. However, this risk-averse culture, although crucial for sustaining financial stability, can occasionally hinder the speed of innovation. It may also complicate the swift execution of large-scale changes, because stakeholders frequently favor prudence over rapid transformations.</w:t>
      </w:r>
    </w:p>
    <w:p>
      <w:pPr>
        <w:pStyle w:val="Heading3"/>
        <w:bidi w:val="0"/>
        <w:jc w:val="left"/>
        <w:rPr/>
      </w:pPr>
      <w:r>
        <w:rPr>
          <w:rStyle w:val="Strong"/>
          <w:rFonts w:ascii="Arial" w:hAnsi="Arial"/>
          <w:b/>
          <w:bCs/>
          <w:sz w:val="30"/>
          <w:szCs w:val="30"/>
        </w:rPr>
        <w:t>2. Impact of Culture on Change Management at Lloyds</w:t>
      </w:r>
    </w:p>
    <w:p>
      <w:pPr>
        <w:pStyle w:val="BodyText"/>
        <w:widowControl/>
        <w:tabs>
          <w:tab w:val="clear" w:pos="720"/>
          <w:tab w:val="left" w:pos="709" w:leader="none"/>
        </w:tabs>
        <w:suppressAutoHyphens w:val="true"/>
        <w:bidi w:val="0"/>
        <w:spacing w:lineRule="auto" w:line="276" w:before="0" w:after="140"/>
        <w:ind w:hanging="0" w:left="0" w:right="0"/>
        <w:jc w:val="left"/>
        <w:rPr/>
      </w:pPr>
      <w:r>
        <w:rPr/>
        <w:t xml:space="preserve">   </w:t>
      </w:r>
      <w:r>
        <w:rPr>
          <w:rFonts w:ascii="Arial" w:hAnsi="Arial"/>
          <w:sz w:val="22"/>
          <w:szCs w:val="22"/>
        </w:rPr>
        <w:t>Lloyds Bank's organizational culture has produced both beneficial and detrimental impacts on its change management initiatives, especially concerning its digital transformation and sustainability efforts.</w:t>
      </w:r>
    </w:p>
    <w:p>
      <w:pPr>
        <w:pStyle w:val="BodyText"/>
        <w:numPr>
          <w:ilvl w:val="0"/>
          <w:numId w:val="8"/>
        </w:numPr>
        <w:tabs>
          <w:tab w:val="clear" w:pos="720"/>
          <w:tab w:val="left" w:pos="709" w:leader="none"/>
        </w:tabs>
        <w:bidi w:val="0"/>
        <w:ind w:hanging="283" w:left="709"/>
        <w:jc w:val="left"/>
        <w:rPr/>
      </w:pPr>
      <w:r>
        <w:rPr>
          <w:rStyle w:val="Strong"/>
          <w:rFonts w:ascii="Arial" w:hAnsi="Arial"/>
          <w:sz w:val="22"/>
          <w:szCs w:val="22"/>
        </w:rPr>
        <w:t>Cultural Alignment with Digital Transformation</w:t>
      </w:r>
      <w:r>
        <w:rPr>
          <w:rFonts w:ascii="Arial" w:hAnsi="Arial"/>
          <w:sz w:val="22"/>
          <w:szCs w:val="22"/>
        </w:rPr>
        <w:t>: Lloyds' commitment to customer service has served as a significant enabler of its digital evolution. Employees understand the necessity of prioritizing customer experiences through technology, however, this has facilitated their adaptation to the digital banking landscape. The increasing focus on innovation has motivated employees to embrace new tools and practices, thus smoothing the transition process. Although the leadership has made considerable efforts to communicate the advantages of digitalization, investing in employee training has also been essential to aligning the bank's culture with its strategic goals.</w:t>
      </w:r>
    </w:p>
    <w:p>
      <w:pPr>
        <w:pStyle w:val="BodyText"/>
        <w:numPr>
          <w:ilvl w:val="0"/>
          <w:numId w:val="8"/>
        </w:numPr>
        <w:tabs>
          <w:tab w:val="clear" w:pos="720"/>
          <w:tab w:val="left" w:pos="709" w:leader="none"/>
        </w:tabs>
        <w:bidi w:val="0"/>
        <w:ind w:hanging="283" w:left="709"/>
        <w:jc w:val="left"/>
        <w:rPr/>
      </w:pPr>
      <w:r>
        <w:rPr>
          <w:rStyle w:val="Strong"/>
          <w:rFonts w:ascii="Arial" w:hAnsi="Arial"/>
          <w:b/>
          <w:bCs/>
          <w:sz w:val="22"/>
          <w:szCs w:val="22"/>
        </w:rPr>
        <w:t>Cultural Resistance to Change</w:t>
      </w:r>
      <w:r>
        <w:rPr>
          <w:rFonts w:ascii="Arial" w:hAnsi="Arial"/>
          <w:b/>
          <w:bCs/>
          <w:sz w:val="22"/>
          <w:szCs w:val="22"/>
        </w:rPr>
        <w:t xml:space="preserve">: </w:t>
      </w:r>
    </w:p>
    <w:p>
      <w:pPr>
        <w:pStyle w:val="BodyText"/>
        <w:numPr>
          <w:ilvl w:val="0"/>
          <w:numId w:val="0"/>
        </w:numPr>
        <w:tabs>
          <w:tab w:val="clear" w:pos="720"/>
          <w:tab w:val="left" w:pos="709" w:leader="none"/>
        </w:tabs>
        <w:bidi w:val="0"/>
        <w:ind w:hanging="0" w:left="709"/>
        <w:jc w:val="left"/>
        <w:rPr>
          <w:b w:val="false"/>
          <w:bCs w:val="false"/>
        </w:rPr>
      </w:pPr>
      <w:r>
        <w:rPr>
          <w:rFonts w:ascii="Arial" w:hAnsi="Arial"/>
          <w:b w:val="false"/>
          <w:bCs w:val="false"/>
          <w:sz w:val="22"/>
          <w:szCs w:val="22"/>
        </w:rPr>
        <w:t xml:space="preserve">    </w:t>
      </w:r>
      <w:r>
        <w:rPr>
          <w:rFonts w:ascii="Arial" w:hAnsi="Arial"/>
          <w:b w:val="false"/>
          <w:bCs w:val="false"/>
          <w:sz w:val="22"/>
          <w:szCs w:val="22"/>
        </w:rPr>
        <w:t>Dent and Goldberg argue that ‘resistance to change is not always a barrier but can serve as a source of useful feedback to improve the change process’ (Dent &amp; Goldberg, 1999, p. 28).</w:t>
      </w:r>
    </w:p>
    <w:p>
      <w:pPr>
        <w:pStyle w:val="BodyText"/>
        <w:numPr>
          <w:ilvl w:val="0"/>
          <w:numId w:val="0"/>
        </w:numPr>
        <w:tabs>
          <w:tab w:val="clear" w:pos="720"/>
          <w:tab w:val="left" w:pos="709" w:leader="none"/>
        </w:tabs>
        <w:bidi w:val="0"/>
        <w:ind w:hanging="0" w:left="709"/>
        <w:jc w:val="left"/>
        <w:rPr/>
      </w:pPr>
      <w:r>
        <w:rPr>
          <w:rFonts w:ascii="Arial" w:hAnsi="Arial"/>
          <w:b/>
          <w:bCs/>
          <w:sz w:val="22"/>
          <w:szCs w:val="22"/>
        </w:rPr>
        <w:t xml:space="preserve">    </w:t>
      </w:r>
      <w:r>
        <w:rPr>
          <w:rFonts w:ascii="Arial" w:hAnsi="Arial"/>
          <w:b w:val="false"/>
          <w:bCs w:val="false"/>
          <w:sz w:val="22"/>
          <w:szCs w:val="22"/>
        </w:rPr>
        <w:t>Lloyds' historical emphasis on stability and risk management has also fostered a certain resistance to change. In large organizations such as Lloyds, cultural inertia can slow down the change process. Some employees may be reluctant to adopt new technologies or alternative methods of working. This resistance is especially pronounced among long-serving employees, because they may feel less comfortable with the swift pace of digital innovation, although change is often necessary for growth.</w:t>
      </w:r>
    </w:p>
    <w:p>
      <w:pPr>
        <w:pStyle w:val="BodyText"/>
        <w:numPr>
          <w:ilvl w:val="0"/>
          <w:numId w:val="8"/>
        </w:numPr>
        <w:tabs>
          <w:tab w:val="clear" w:pos="720"/>
          <w:tab w:val="left" w:pos="709" w:leader="none"/>
        </w:tabs>
        <w:bidi w:val="0"/>
        <w:ind w:hanging="283" w:left="709"/>
        <w:jc w:val="left"/>
        <w:rPr/>
      </w:pPr>
      <w:r>
        <w:rPr>
          <w:rFonts w:ascii="Arial" w:hAnsi="Arial"/>
          <w:b/>
          <w:bCs/>
          <w:sz w:val="22"/>
          <w:szCs w:val="22"/>
        </w:rPr>
        <w:t xml:space="preserve">Supporting Sustainability Initiatives: </w:t>
      </w:r>
    </w:p>
    <w:p>
      <w:pPr>
        <w:pStyle w:val="BodyText"/>
        <w:numPr>
          <w:ilvl w:val="0"/>
          <w:numId w:val="0"/>
        </w:numPr>
        <w:tabs>
          <w:tab w:val="clear" w:pos="720"/>
          <w:tab w:val="left" w:pos="709" w:leader="none"/>
        </w:tabs>
        <w:bidi w:val="0"/>
        <w:ind w:hanging="0" w:left="709"/>
        <w:jc w:val="left"/>
        <w:rPr/>
      </w:pPr>
      <w:r>
        <w:rPr>
          <w:rFonts w:ascii="Arial" w:hAnsi="Arial"/>
          <w:b/>
          <w:bCs/>
          <w:sz w:val="22"/>
          <w:szCs w:val="22"/>
        </w:rPr>
        <w:t xml:space="preserve">   </w:t>
      </w:r>
      <w:r>
        <w:rPr>
          <w:rFonts w:ascii="Arial" w:hAnsi="Arial"/>
          <w:b w:val="false"/>
          <w:bCs w:val="false"/>
          <w:sz w:val="22"/>
          <w:szCs w:val="22"/>
        </w:rPr>
        <w:t>Lloyds Bank has committed to ‘integrating sustainability into all aspects of its operations, with a focus on reducing its carbon footprint and supporting green finance’" (Lloyds Banking Group, 2023, p. 5).</w:t>
      </w:r>
      <w:r>
        <w:rPr>
          <w:rFonts w:ascii="Arial" w:hAnsi="Arial"/>
          <w:b/>
          <w:bCs/>
          <w:sz w:val="22"/>
          <w:szCs w:val="22"/>
        </w:rPr>
        <w:t xml:space="preserve"> </w:t>
      </w:r>
      <w:r>
        <w:rPr>
          <w:rFonts w:ascii="Arial" w:hAnsi="Arial"/>
          <w:sz w:val="22"/>
          <w:szCs w:val="22"/>
        </w:rPr>
        <w:t xml:space="preserve"> As the bank increasingly underscores the importance of environmental, social and governance (ESG) factors, employees are urged to synchronize their work with these guiding principles. Lloyds' leadership passionately champions the significance of sustainability, thus, promoting the incorporation of these values into the company’s operations and decision-making processes. The bank's culture of accountability facilitates the enactment of sustainability initiatives, because employees feel inspired to contribute to the bank's efforts to generate a positive impact on society. However, challenges may still emerge, although the overall trajectory remains encouraging.</w:t>
      </w:r>
    </w:p>
    <w:p>
      <w:pPr>
        <w:pStyle w:val="Heading3"/>
        <w:bidi w:val="0"/>
        <w:jc w:val="left"/>
        <w:rPr/>
      </w:pPr>
      <w:r>
        <w:rPr>
          <w:rStyle w:val="Strong"/>
          <w:rFonts w:ascii="Arial" w:hAnsi="Arial"/>
          <w:b/>
          <w:bCs/>
          <w:sz w:val="30"/>
          <w:szCs w:val="30"/>
        </w:rPr>
        <w:t>3. Managing Cultural Change at Lloyds</w:t>
      </w:r>
    </w:p>
    <w:p>
      <w:pPr>
        <w:pStyle w:val="BodyText"/>
        <w:bidi w:val="0"/>
        <w:jc w:val="left"/>
        <w:rPr/>
      </w:pPr>
      <w:r>
        <w:rPr>
          <w:rStyle w:val="Strong"/>
          <w:rFonts w:ascii="Arial" w:hAnsi="Arial"/>
          <w:b w:val="false"/>
          <w:bCs w:val="false"/>
          <w:sz w:val="22"/>
          <w:szCs w:val="22"/>
        </w:rPr>
        <w:t>Cultural change is one of the most challenging aspects of organizational transformation, and Lloyds Bank has taken several steps to manage this process effectively.</w:t>
      </w:r>
    </w:p>
    <w:p>
      <w:pPr>
        <w:pStyle w:val="BodyText"/>
        <w:numPr>
          <w:ilvl w:val="0"/>
          <w:numId w:val="9"/>
        </w:numPr>
        <w:tabs>
          <w:tab w:val="clear" w:pos="720"/>
          <w:tab w:val="left" w:pos="709" w:leader="none"/>
        </w:tabs>
        <w:bidi w:val="0"/>
        <w:ind w:hanging="283" w:left="709"/>
        <w:jc w:val="left"/>
        <w:rPr/>
      </w:pPr>
      <w:r>
        <w:rPr>
          <w:rStyle w:val="Strong"/>
          <w:rFonts w:ascii="Arial" w:hAnsi="Arial"/>
          <w:b/>
          <w:bCs/>
          <w:sz w:val="22"/>
          <w:szCs w:val="22"/>
        </w:rPr>
        <w:t xml:space="preserve">Leadership and Vision: </w:t>
      </w:r>
      <w:r>
        <w:rPr>
          <w:rStyle w:val="Strong"/>
          <w:rFonts w:ascii="Arial" w:hAnsi="Arial"/>
          <w:b w:val="false"/>
          <w:bCs w:val="false"/>
          <w:sz w:val="22"/>
          <w:szCs w:val="22"/>
        </w:rPr>
        <w:t>Leadership plays a crucial role in shaping organizational culture. Lloyds has been driving cultural transformation by exemplifying robust values and demonstrating a commitment to innovation, sustainability and customer-centricity. The leadership has enabled a transition towards a culture marked by greater agility and a readiness to embrace change. However, this transformation requires continuous effort.</w:t>
      </w:r>
    </w:p>
    <w:p>
      <w:pPr>
        <w:pStyle w:val="BodyText"/>
        <w:numPr>
          <w:ilvl w:val="0"/>
          <w:numId w:val="9"/>
        </w:numPr>
        <w:tabs>
          <w:tab w:val="clear" w:pos="720"/>
          <w:tab w:val="left" w:pos="709" w:leader="none"/>
        </w:tabs>
        <w:bidi w:val="0"/>
        <w:ind w:hanging="283" w:left="709"/>
        <w:jc w:val="left"/>
        <w:rPr>
          <w:rFonts w:ascii="Arial" w:hAnsi="Arial"/>
          <w:sz w:val="22"/>
          <w:szCs w:val="22"/>
        </w:rPr>
      </w:pPr>
      <w:r>
        <w:rPr>
          <w:rStyle w:val="Strong"/>
          <w:rFonts w:ascii="Arial" w:hAnsi="Arial"/>
          <w:b/>
          <w:bCs/>
          <w:sz w:val="22"/>
          <w:szCs w:val="22"/>
        </w:rPr>
        <w:t>Employee Engagement and Communication:</w:t>
      </w:r>
      <w:r>
        <w:rPr>
          <w:rStyle w:val="Strong"/>
          <w:rFonts w:ascii="Arial" w:hAnsi="Arial"/>
          <w:b w:val="false"/>
          <w:bCs w:val="false"/>
          <w:sz w:val="22"/>
          <w:szCs w:val="22"/>
        </w:rPr>
        <w:t xml:space="preserve"> One of the primary strategies Lloyds has employed to navigate cultural change is fostering employee engagement. Regular communications from leadership regarding the significance of embracing change and the advantages of new initiatives have proven essential in mitigating resistance. The bank has also offered extensive training and development opportunities to aid employees in acquiring the skills necessary to thrive in a rapidly evolving environment. Because of its investment in people, Lloyds has succeeded in cultivating a culture that is increasingly adaptable to change. </w:t>
      </w:r>
    </w:p>
    <w:p>
      <w:pPr>
        <w:pStyle w:val="BodyText"/>
        <w:numPr>
          <w:ilvl w:val="0"/>
          <w:numId w:val="9"/>
        </w:numPr>
        <w:tabs>
          <w:tab w:val="clear" w:pos="720"/>
          <w:tab w:val="left" w:pos="709" w:leader="none"/>
        </w:tabs>
        <w:bidi w:val="0"/>
        <w:ind w:hanging="283" w:left="709"/>
        <w:jc w:val="left"/>
        <w:rPr>
          <w:rFonts w:ascii="Arial" w:hAnsi="Arial"/>
          <w:sz w:val="22"/>
          <w:szCs w:val="22"/>
        </w:rPr>
      </w:pPr>
      <w:r>
        <w:rPr>
          <w:rStyle w:val="Strong"/>
          <w:rFonts w:ascii="Arial" w:hAnsi="Arial"/>
          <w:b/>
          <w:bCs/>
          <w:sz w:val="22"/>
          <w:szCs w:val="22"/>
        </w:rPr>
        <w:t>Aligning Incentives with Cultural Goals:</w:t>
      </w:r>
      <w:r>
        <w:rPr>
          <w:rStyle w:val="Strong"/>
          <w:rFonts w:ascii="Arial" w:hAnsi="Arial"/>
          <w:b w:val="false"/>
          <w:bCs w:val="false"/>
          <w:sz w:val="22"/>
          <w:szCs w:val="22"/>
        </w:rPr>
        <w:t xml:space="preserve"> A further important element of overseeing cultural transformation at Lloyds is the alignment of incentives with the intended cultural outcomes. The bank has instituted performance metrics and reward systems that promote behaviors in line with its strategic goals—like innovation, customer service excellence and sustainability. This approach not only strengthens the cultural transition but also motivates them to engage actively in the bank’s transformation initiatives. However, although these strategies seem effective, challenges continue to exist. </w:t>
      </w:r>
    </w:p>
    <w:p>
      <w:pPr>
        <w:pStyle w:val="Heading3"/>
        <w:bidi w:val="0"/>
        <w:jc w:val="left"/>
        <w:rPr/>
      </w:pPr>
      <w:r>
        <w:rPr>
          <w:rStyle w:val="Strong"/>
          <w:rFonts w:ascii="Arial" w:hAnsi="Arial"/>
          <w:b/>
          <w:bCs/>
          <w:sz w:val="30"/>
          <w:szCs w:val="30"/>
        </w:rPr>
        <w:t>4. Proposed Change Management Plan</w:t>
      </w:r>
    </w:p>
    <w:p>
      <w:pPr>
        <w:pStyle w:val="BodyText"/>
        <w:bidi w:val="0"/>
        <w:jc w:val="left"/>
        <w:rPr>
          <w:rFonts w:ascii="Arial" w:hAnsi="Arial"/>
          <w:sz w:val="22"/>
          <w:szCs w:val="22"/>
        </w:rPr>
      </w:pPr>
      <w:r>
        <w:rPr>
          <w:rFonts w:ascii="Arial" w:hAnsi="Arial"/>
          <w:sz w:val="22"/>
          <w:szCs w:val="22"/>
        </w:rPr>
        <w:t>Building on the analysis of Lloyds Bank’s organizational culture, the following change management plan is proposed to support future strategic changes, particularly related to continued digital innovation and sustainability efforts:</w:t>
      </w:r>
    </w:p>
    <w:p>
      <w:pPr>
        <w:pStyle w:val="BodyText"/>
        <w:numPr>
          <w:ilvl w:val="0"/>
          <w:numId w:val="10"/>
        </w:numPr>
        <w:tabs>
          <w:tab w:val="clear" w:pos="720"/>
          <w:tab w:val="left" w:pos="709" w:leader="none"/>
        </w:tabs>
        <w:bidi w:val="0"/>
        <w:ind w:hanging="283" w:left="709"/>
        <w:jc w:val="left"/>
        <w:rPr/>
      </w:pPr>
      <w:r>
        <w:rPr>
          <w:rStyle w:val="Strong"/>
          <w:rFonts w:ascii="Arial" w:hAnsi="Arial"/>
          <w:sz w:val="22"/>
          <w:szCs w:val="22"/>
        </w:rPr>
        <w:t>Proposed Change</w:t>
      </w:r>
      <w:r>
        <w:rPr>
          <w:rFonts w:ascii="Arial" w:hAnsi="Arial"/>
          <w:sz w:val="22"/>
          <w:szCs w:val="22"/>
        </w:rPr>
        <w:t>: The proposed change involves accelerating Lloyds Bank’s transition to a fully digital-first bank while further embedding sustainability into its core operations. This would include enhancing digital tools, expanding the bank’s mobile banking offerings, and integrating sustainability considerations into all lending and investment decisions.</w:t>
      </w:r>
    </w:p>
    <w:p>
      <w:pPr>
        <w:pStyle w:val="BodyText"/>
        <w:numPr>
          <w:ilvl w:val="0"/>
          <w:numId w:val="10"/>
        </w:numPr>
        <w:tabs>
          <w:tab w:val="clear" w:pos="720"/>
          <w:tab w:val="left" w:pos="709" w:leader="none"/>
        </w:tabs>
        <w:bidi w:val="0"/>
        <w:ind w:hanging="283" w:left="709"/>
        <w:jc w:val="left"/>
        <w:rPr/>
      </w:pPr>
      <w:r>
        <w:rPr>
          <w:rStyle w:val="Strong"/>
          <w:rFonts w:ascii="Arial" w:hAnsi="Arial"/>
          <w:sz w:val="22"/>
          <w:szCs w:val="22"/>
        </w:rPr>
        <w:t>Financial Plan</w:t>
      </w:r>
      <w:r>
        <w:rPr>
          <w:rFonts w:ascii="Arial" w:hAnsi="Arial"/>
          <w:sz w:val="22"/>
          <w:szCs w:val="22"/>
        </w:rPr>
        <w:t>: The digital transformation would require ongoing investments in technology infrastructure, cybersecurity, and employee training. A portion of the bank’s annual budget should be allocated to upgrading systems and ensuring that all employees are equipped with the necessary skills to support digital initiatives. Additionally, sustainability projects would involve allocating funds to green finance products and supporting customers in their own transitions to sustainable practices.</w:t>
      </w:r>
    </w:p>
    <w:p>
      <w:pPr>
        <w:pStyle w:val="BodyText"/>
        <w:numPr>
          <w:ilvl w:val="0"/>
          <w:numId w:val="10"/>
        </w:numPr>
        <w:tabs>
          <w:tab w:val="clear" w:pos="720"/>
          <w:tab w:val="left" w:pos="709" w:leader="none"/>
        </w:tabs>
        <w:bidi w:val="0"/>
        <w:ind w:hanging="283" w:left="709"/>
        <w:jc w:val="left"/>
        <w:rPr/>
      </w:pPr>
      <w:r>
        <w:rPr>
          <w:rStyle w:val="Strong"/>
          <w:rFonts w:ascii="Arial" w:hAnsi="Arial"/>
          <w:sz w:val="22"/>
          <w:szCs w:val="22"/>
        </w:rPr>
        <w:t>Communication Plan</w:t>
      </w:r>
      <w:r>
        <w:rPr>
          <w:rFonts w:ascii="Arial" w:hAnsi="Arial"/>
          <w:sz w:val="22"/>
          <w:szCs w:val="22"/>
        </w:rPr>
        <w:t>: Effective communication will be critical to ensuring that employees understand the rationale behind the proposed changes and are motivated to support them. Regular updates from leadership, town hall meetings, and targeted communication campaigns should be used to keep employees informed and engaged. It will also be important to communicate the benefits of the changes to customers, emphasizing the improved digital experience and the bank’s commitment to sustainability.</w:t>
      </w:r>
    </w:p>
    <w:p>
      <w:pPr>
        <w:pStyle w:val="BodyText"/>
        <w:numPr>
          <w:ilvl w:val="0"/>
          <w:numId w:val="10"/>
        </w:numPr>
        <w:tabs>
          <w:tab w:val="clear" w:pos="720"/>
          <w:tab w:val="left" w:pos="709" w:leader="none"/>
        </w:tabs>
        <w:bidi w:val="0"/>
        <w:ind w:hanging="283" w:left="709"/>
        <w:jc w:val="left"/>
        <w:rPr/>
      </w:pPr>
      <w:r>
        <w:rPr>
          <w:rStyle w:val="Strong"/>
          <w:rFonts w:ascii="Arial" w:hAnsi="Arial"/>
          <w:sz w:val="22"/>
          <w:szCs w:val="22"/>
        </w:rPr>
        <w:t>Evaluation Plan</w:t>
      </w:r>
      <w:r>
        <w:rPr>
          <w:rFonts w:ascii="Arial" w:hAnsi="Arial"/>
          <w:sz w:val="22"/>
          <w:szCs w:val="22"/>
        </w:rPr>
        <w:t>: To measure the success of the proposed changes, Lloyds should establish clear metrics related to customer satisfaction, digital adoption rates, and the bank’s performance in meeting sustainability targets. Regular feedback from employees and customers should be gathered to assess progress and make adjustments as needed. The evaluation plan should also include regular reviews of the bank’s cultural alignment with its strategic goals, ensuring that any cultural barriers to change are addressed promptly.</w:t>
      </w:r>
    </w:p>
    <w:p>
      <w:pPr>
        <w:pStyle w:val="BodyText"/>
        <w:numPr>
          <w:ilvl w:val="0"/>
          <w:numId w:val="0"/>
        </w:numPr>
        <w:tabs>
          <w:tab w:val="clear" w:pos="720"/>
          <w:tab w:val="left" w:pos="709" w:leader="none"/>
        </w:tabs>
        <w:bidi w:val="0"/>
        <w:ind w:hanging="0" w:left="709"/>
        <w:jc w:val="left"/>
        <w:rPr>
          <w:rFonts w:ascii="Arial" w:hAnsi="Arial"/>
          <w:sz w:val="22"/>
          <w:szCs w:val="22"/>
        </w:rPr>
      </w:pPr>
      <w:r>
        <w:rPr>
          <w:rFonts w:ascii="Arial" w:hAnsi="Arial"/>
          <w:sz w:val="22"/>
          <w:szCs w:val="22"/>
        </w:rPr>
      </w:r>
    </w:p>
    <w:p>
      <w:pPr>
        <w:pStyle w:val="Heading2"/>
        <w:bidi w:val="0"/>
        <w:jc w:val="left"/>
        <w:rPr/>
      </w:pPr>
      <w:r>
        <w:rPr>
          <w:rStyle w:val="Strong"/>
          <w:rFonts w:ascii="Arial" w:hAnsi="Arial"/>
          <w:b/>
          <w:bCs/>
        </w:rPr>
        <w:t>Conclusion</w:t>
      </w:r>
    </w:p>
    <w:p>
      <w:pPr>
        <w:pStyle w:val="BodyText"/>
        <w:bidi w:val="0"/>
        <w:jc w:val="left"/>
        <w:rPr>
          <w:rFonts w:ascii="Arial" w:hAnsi="Arial"/>
          <w:sz w:val="22"/>
          <w:szCs w:val="22"/>
        </w:rPr>
      </w:pPr>
      <w:r>
        <w:rPr>
          <w:rFonts w:ascii="Arial" w:hAnsi="Arial"/>
          <w:sz w:val="22"/>
          <w:szCs w:val="22"/>
        </w:rPr>
        <w:t>In an ever-evolving business environment, Lloyds Bank faces numerous external pressures, including digital disruption, economic uncertainty, and shifting customer expectations. These challenges have driven the need for strategic changes, particularly in the areas of digital transformation and sustainability. As explored in this report, Lloyds has responded to these changes by leveraging a combination of change management models, leadership styles, and organizational culture shifts to navigate its transformation.</w:t>
      </w:r>
    </w:p>
    <w:p>
      <w:pPr>
        <w:pStyle w:val="BodyText"/>
        <w:bidi w:val="0"/>
        <w:jc w:val="left"/>
        <w:rPr>
          <w:rFonts w:ascii="Arial" w:hAnsi="Arial"/>
          <w:sz w:val="22"/>
          <w:szCs w:val="22"/>
        </w:rPr>
      </w:pPr>
      <w:r>
        <w:rPr>
          <w:rFonts w:ascii="Arial" w:hAnsi="Arial"/>
          <w:sz w:val="22"/>
          <w:szCs w:val="22"/>
        </w:rPr>
        <w:t>Change management models like Kotter’s 8-Step Model, Lewin’s Change Model, and the ADKAR Model provide valuable frameworks for understanding the steps required to implement successful change. For Lloyds, Kotter’s emphasis on leadership and communication, Lewin’s focus on addressing resistance, and ADKAR’s people-centered approach have all played crucial roles in its ability to manage change effectively.</w:t>
      </w:r>
    </w:p>
    <w:p>
      <w:pPr>
        <w:pStyle w:val="BodyText"/>
        <w:bidi w:val="0"/>
        <w:jc w:val="left"/>
        <w:rPr>
          <w:rFonts w:ascii="Arial" w:hAnsi="Arial"/>
          <w:sz w:val="22"/>
          <w:szCs w:val="22"/>
        </w:rPr>
      </w:pPr>
      <w:r>
        <w:rPr>
          <w:rFonts w:ascii="Arial" w:hAnsi="Arial"/>
          <w:sz w:val="22"/>
          <w:szCs w:val="22"/>
        </w:rPr>
        <w:t>Leadership at Lloyds has been instrumental in driving these changes, with a combination of transformational leadership—motivating employees to embrace innovation—and transactional leadership—ensuring compliance and risk management. CEO Charlie Nunn’s vision for a more digitally advanced and sustainable bank has guided these initiatives, supported by strong communication and engagement efforts across the organization.</w:t>
      </w:r>
    </w:p>
    <w:p>
      <w:pPr>
        <w:pStyle w:val="BodyText"/>
        <w:bidi w:val="0"/>
        <w:jc w:val="left"/>
        <w:rPr>
          <w:rFonts w:ascii="Arial" w:hAnsi="Arial"/>
          <w:sz w:val="22"/>
          <w:szCs w:val="22"/>
        </w:rPr>
      </w:pPr>
      <w:r>
        <w:rPr>
          <w:rFonts w:ascii="Arial" w:hAnsi="Arial"/>
          <w:sz w:val="22"/>
          <w:szCs w:val="22"/>
        </w:rPr>
        <w:t>However, organizational culture remains a critical factor in the success of any change initiative. Lloyds Bank’s culture of customer service, risk management, and innovation has both supported and challenged its ability to implement change. While the bank’s focus on customer-centricity has facilitated digital improvements, resistance to change, particularly among long-serving employees, has presented some obstacles.</w:t>
      </w:r>
    </w:p>
    <w:p>
      <w:pPr>
        <w:pStyle w:val="BodyText"/>
        <w:bidi w:val="0"/>
        <w:jc w:val="left"/>
        <w:rPr>
          <w:rFonts w:ascii="Arial" w:hAnsi="Arial"/>
          <w:sz w:val="22"/>
          <w:szCs w:val="22"/>
        </w:rPr>
      </w:pPr>
      <w:r>
        <w:rPr>
          <w:rFonts w:ascii="Arial" w:hAnsi="Arial"/>
          <w:sz w:val="22"/>
          <w:szCs w:val="22"/>
        </w:rPr>
        <w:t>Looking ahead, Lloyds Bank’s success will depend on its ability to continue evolving its culture to embrace agility and sustainability. The proposed change management plan outlined in this report provides a roadmap for accelerating Lloyds’ digital transformation and embedding sustainability into its core operations. By aligning its culture, leadership, and change management strategies with these goals, Lloyds can position itself as a leader in the banking industry, well-equipped to navigate future challenges and opportunities.</w:t>
      </w:r>
    </w:p>
    <w:p>
      <w:pPr>
        <w:pStyle w:val="BodyText"/>
        <w:tabs>
          <w:tab w:val="clear" w:pos="720"/>
          <w:tab w:val="left" w:pos="709" w:leader="none"/>
        </w:tabs>
        <w:bidi w:val="0"/>
        <w:ind w:hanging="283" w:left="709"/>
        <w:jc w:val="left"/>
        <w:rPr>
          <w:rFonts w:ascii="Arial" w:hAnsi="Arial"/>
          <w:sz w:val="22"/>
          <w:szCs w:val="22"/>
        </w:rPr>
      </w:pPr>
      <w:r>
        <w:rPr>
          <w:rFonts w:ascii="Arial" w:hAnsi="Arial"/>
          <w:sz w:val="22"/>
          <w:szCs w:val="22"/>
        </w:rPr>
      </w:r>
    </w:p>
    <w:p>
      <w:pPr>
        <w:pStyle w:val="BodyText"/>
        <w:tabs>
          <w:tab w:val="clear" w:pos="720"/>
          <w:tab w:val="left" w:pos="709" w:leader="none"/>
        </w:tabs>
        <w:bidi w:val="0"/>
        <w:ind w:hanging="283" w:left="709"/>
        <w:jc w:val="left"/>
        <w:rPr>
          <w:rFonts w:ascii="Arial" w:hAnsi="Arial"/>
          <w:sz w:val="22"/>
          <w:szCs w:val="22"/>
        </w:rPr>
      </w:pPr>
      <w:r>
        <w:rPr>
          <w:rFonts w:ascii="Arial" w:hAnsi="Arial"/>
          <w:sz w:val="22"/>
          <w:szCs w:val="22"/>
        </w:rPr>
      </w:r>
    </w:p>
    <w:p>
      <w:pPr>
        <w:pStyle w:val="Normal"/>
        <w:tabs>
          <w:tab w:val="clear" w:pos="720"/>
          <w:tab w:val="left" w:pos="709" w:leader="none"/>
        </w:tabs>
        <w:bidi w:val="0"/>
        <w:ind w:hanging="283" w:left="709"/>
        <w:jc w:val="left"/>
        <w:rPr>
          <w:rStyle w:val="Strong"/>
          <w:rFonts w:ascii="Arial" w:hAnsi="Arial"/>
          <w:b w:val="false"/>
          <w:bCs w:val="false"/>
          <w:color w:val="000000"/>
          <w:sz w:val="22"/>
          <w:szCs w:val="22"/>
        </w:rPr>
      </w:pPr>
      <w:r>
        <w:rPr>
          <w:rFonts w:ascii="Arial" w:hAnsi="Arial"/>
          <w:b w:val="false"/>
          <w:bCs w:val="false"/>
          <w:color w:val="000000"/>
          <w:sz w:val="22"/>
          <w:szCs w:val="22"/>
        </w:rPr>
      </w:r>
    </w:p>
    <w:p>
      <w:pPr>
        <w:pStyle w:val="BodyText"/>
        <w:tabs>
          <w:tab w:val="clear" w:pos="720"/>
          <w:tab w:val="left" w:pos="709" w:leader="none"/>
        </w:tabs>
        <w:bidi w:val="0"/>
        <w:spacing w:before="0" w:after="140"/>
        <w:ind w:hanging="0" w:left="709"/>
        <w:jc w:val="left"/>
        <w:rPr>
          <w:rFonts w:ascii="Arial" w:hAnsi="Arial"/>
          <w:b w:val="false"/>
          <w:bCs w:val="false"/>
          <w:color w:val="000000"/>
          <w:sz w:val="22"/>
          <w:szCs w:val="22"/>
        </w:rPr>
      </w:pPr>
      <w:r>
        <w:rPr>
          <w:rFonts w:ascii="Arial" w:hAnsi="Arial"/>
          <w:b w:val="false"/>
          <w:bCs w:val="false"/>
          <w:color w:val="000000"/>
          <w:sz w:val="22"/>
          <w:szCs w:val="22"/>
        </w:rPr>
      </w:r>
    </w:p>
    <w:p>
      <w:pPr>
        <w:pStyle w:val="BodyText"/>
        <w:tabs>
          <w:tab w:val="clear" w:pos="720"/>
          <w:tab w:val="left" w:pos="709" w:leader="none"/>
        </w:tabs>
        <w:bidi w:val="0"/>
        <w:spacing w:before="0" w:after="140"/>
        <w:ind w:hanging="283" w:left="709"/>
        <w:jc w:val="center"/>
        <w:rPr/>
      </w:pPr>
      <w:r>
        <w:rPr>
          <w:rFonts w:ascii="Arial" w:hAnsi="Arial"/>
          <w:b/>
          <w:bCs/>
          <w:color w:val="000000"/>
          <w:sz w:val="30"/>
          <w:szCs w:val="30"/>
        </w:rPr>
        <w:t>Reference List</w:t>
      </w:r>
    </w:p>
    <w:p>
      <w:pPr>
        <w:pStyle w:val="BodyText"/>
        <w:tabs>
          <w:tab w:val="clear" w:pos="720"/>
          <w:tab w:val="left" w:pos="709" w:leader="none"/>
        </w:tabs>
        <w:bidi w:val="0"/>
        <w:spacing w:before="0" w:after="140"/>
        <w:ind w:hanging="283" w:left="709"/>
        <w:jc w:val="center"/>
        <w:rPr>
          <w:rFonts w:ascii="Arial" w:hAnsi="Arial"/>
          <w:b/>
          <w:bCs/>
          <w:color w:val="000000"/>
          <w:sz w:val="30"/>
          <w:szCs w:val="30"/>
        </w:rPr>
      </w:pPr>
      <w:r>
        <w:rPr>
          <w:rFonts w:ascii="Arial" w:hAnsi="Arial"/>
          <w:b/>
          <w:bCs/>
          <w:color w:val="000000"/>
          <w:sz w:val="30"/>
          <w:szCs w:val="30"/>
        </w:rPr>
      </w:r>
    </w:p>
    <w:p>
      <w:pPr>
        <w:pStyle w:val="BodyText"/>
        <w:numPr>
          <w:ilvl w:val="0"/>
          <w:numId w:val="4"/>
        </w:numPr>
        <w:tabs>
          <w:tab w:val="clear" w:pos="720"/>
          <w:tab w:val="left" w:pos="0" w:leader="none"/>
        </w:tabs>
        <w:ind w:hanging="283" w:left="709"/>
        <w:rPr/>
      </w:pPr>
      <w:r>
        <w:rPr>
          <w:rFonts w:ascii="Arial" w:hAnsi="Arial"/>
          <w:sz w:val="22"/>
          <w:szCs w:val="22"/>
        </w:rPr>
        <w:t xml:space="preserve">Armenakis, A.A., Harris, S.G., &amp; Mossholder, K.W. (1993). ‘Creating readiness for organizational change’, </w:t>
      </w:r>
      <w:r>
        <w:rPr>
          <w:rStyle w:val="Emphasis"/>
          <w:rFonts w:ascii="Arial" w:hAnsi="Arial"/>
          <w:sz w:val="22"/>
          <w:szCs w:val="22"/>
        </w:rPr>
        <w:t>Human Relations</w:t>
      </w:r>
      <w:r>
        <w:rPr>
          <w:rFonts w:ascii="Arial" w:hAnsi="Arial"/>
          <w:sz w:val="22"/>
          <w:szCs w:val="22"/>
        </w:rPr>
        <w:t>, 46(6), pp. 681-703.</w:t>
      </w:r>
    </w:p>
    <w:p>
      <w:pPr>
        <w:pStyle w:val="BodyText"/>
        <w:numPr>
          <w:ilvl w:val="0"/>
          <w:numId w:val="4"/>
        </w:numPr>
        <w:tabs>
          <w:tab w:val="clear" w:pos="720"/>
          <w:tab w:val="left" w:pos="0" w:leader="none"/>
        </w:tabs>
        <w:ind w:hanging="283" w:left="709"/>
        <w:rPr/>
      </w:pPr>
      <w:r>
        <w:rPr>
          <w:rFonts w:ascii="Arial" w:hAnsi="Arial"/>
          <w:sz w:val="22"/>
          <w:szCs w:val="22"/>
        </w:rPr>
        <w:t xml:space="preserve">Barney, J.B. (1986). ‘Organizational culture: Can it be a source of sustained competitive advantage?’, </w:t>
      </w:r>
      <w:r>
        <w:rPr>
          <w:rStyle w:val="Emphasis"/>
          <w:rFonts w:ascii="Arial" w:hAnsi="Arial"/>
          <w:sz w:val="22"/>
          <w:szCs w:val="22"/>
        </w:rPr>
        <w:t>Academy of Management Review</w:t>
      </w:r>
      <w:r>
        <w:rPr>
          <w:rFonts w:ascii="Arial" w:hAnsi="Arial"/>
          <w:sz w:val="22"/>
          <w:szCs w:val="22"/>
        </w:rPr>
        <w:t>, 11(3), pp. 656-665.</w:t>
      </w:r>
    </w:p>
    <w:p>
      <w:pPr>
        <w:pStyle w:val="BodyText"/>
        <w:numPr>
          <w:ilvl w:val="0"/>
          <w:numId w:val="4"/>
        </w:numPr>
        <w:tabs>
          <w:tab w:val="clear" w:pos="720"/>
          <w:tab w:val="left" w:pos="0" w:leader="none"/>
        </w:tabs>
        <w:ind w:hanging="283" w:left="709"/>
        <w:rPr/>
      </w:pPr>
      <w:r>
        <w:rPr>
          <w:rFonts w:ascii="Arial" w:hAnsi="Arial"/>
          <w:sz w:val="22"/>
          <w:szCs w:val="22"/>
        </w:rPr>
        <w:t xml:space="preserve">Bass, B.M. (1985). </w:t>
      </w:r>
      <w:r>
        <w:rPr>
          <w:rStyle w:val="Emphasis"/>
          <w:rFonts w:ascii="Arial" w:hAnsi="Arial"/>
          <w:sz w:val="22"/>
          <w:szCs w:val="22"/>
        </w:rPr>
        <w:t>Leadership and performance beyond expectations</w:t>
      </w:r>
      <w:r>
        <w:rPr>
          <w:rFonts w:ascii="Arial" w:hAnsi="Arial"/>
          <w:sz w:val="22"/>
          <w:szCs w:val="22"/>
        </w:rPr>
        <w:t>. New York: Free Press.</w:t>
      </w:r>
    </w:p>
    <w:p>
      <w:pPr>
        <w:pStyle w:val="BodyText"/>
        <w:numPr>
          <w:ilvl w:val="0"/>
          <w:numId w:val="4"/>
        </w:numPr>
        <w:tabs>
          <w:tab w:val="clear" w:pos="720"/>
          <w:tab w:val="left" w:pos="0" w:leader="none"/>
        </w:tabs>
        <w:ind w:hanging="283" w:left="709"/>
        <w:rPr/>
      </w:pPr>
      <w:r>
        <w:rPr>
          <w:rFonts w:ascii="Arial" w:hAnsi="Arial"/>
          <w:sz w:val="22"/>
          <w:szCs w:val="22"/>
        </w:rPr>
        <w:t xml:space="preserve">Burnes, B. (2009). </w:t>
      </w:r>
      <w:r>
        <w:rPr>
          <w:rStyle w:val="Emphasis"/>
          <w:rFonts w:ascii="Arial" w:hAnsi="Arial"/>
          <w:sz w:val="22"/>
          <w:szCs w:val="22"/>
        </w:rPr>
        <w:t>Managing change: A strategic approach to organisational dynamics</w:t>
      </w:r>
      <w:r>
        <w:rPr>
          <w:rFonts w:ascii="Arial" w:hAnsi="Arial"/>
          <w:sz w:val="22"/>
          <w:szCs w:val="22"/>
        </w:rPr>
        <w:t>. 5th ed. Harlow: Pearson Education.</w:t>
      </w:r>
    </w:p>
    <w:p>
      <w:pPr>
        <w:pStyle w:val="BodyText"/>
        <w:numPr>
          <w:ilvl w:val="0"/>
          <w:numId w:val="4"/>
        </w:numPr>
        <w:tabs>
          <w:tab w:val="clear" w:pos="720"/>
          <w:tab w:val="left" w:pos="0" w:leader="none"/>
        </w:tabs>
        <w:ind w:hanging="283" w:left="709"/>
        <w:rPr/>
      </w:pPr>
      <w:r>
        <w:rPr>
          <w:rFonts w:ascii="Arial" w:hAnsi="Arial"/>
          <w:sz w:val="22"/>
          <w:szCs w:val="22"/>
        </w:rPr>
        <w:t xml:space="preserve">Champy, J., &amp; Nohria, N. (1996). </w:t>
      </w:r>
      <w:r>
        <w:rPr>
          <w:rStyle w:val="Emphasis"/>
          <w:rFonts w:ascii="Arial" w:hAnsi="Arial"/>
          <w:sz w:val="22"/>
          <w:szCs w:val="22"/>
        </w:rPr>
        <w:t>Fast forward: The best ideas on managing business change</w:t>
      </w:r>
      <w:r>
        <w:rPr>
          <w:rFonts w:ascii="Arial" w:hAnsi="Arial"/>
          <w:sz w:val="22"/>
          <w:szCs w:val="22"/>
        </w:rPr>
        <w:t>. Boston: Harvard Business Review Press.</w:t>
      </w:r>
    </w:p>
    <w:p>
      <w:pPr>
        <w:pStyle w:val="BodyText"/>
        <w:numPr>
          <w:ilvl w:val="0"/>
          <w:numId w:val="4"/>
        </w:numPr>
        <w:tabs>
          <w:tab w:val="clear" w:pos="720"/>
          <w:tab w:val="left" w:pos="0" w:leader="none"/>
        </w:tabs>
        <w:ind w:hanging="283" w:left="709"/>
        <w:rPr/>
      </w:pPr>
      <w:r>
        <w:rPr>
          <w:rFonts w:ascii="Arial" w:hAnsi="Arial"/>
          <w:sz w:val="22"/>
          <w:szCs w:val="22"/>
        </w:rPr>
        <w:t xml:space="preserve">Deloitte. (2020). </w:t>
      </w:r>
      <w:r>
        <w:rPr>
          <w:rStyle w:val="Emphasis"/>
          <w:rFonts w:ascii="Arial" w:hAnsi="Arial"/>
          <w:sz w:val="22"/>
          <w:szCs w:val="22"/>
        </w:rPr>
        <w:t>Digital transformation in banking: Digital maturity as a driver of value creation</w:t>
      </w:r>
      <w:r>
        <w:rPr>
          <w:rFonts w:ascii="Arial" w:hAnsi="Arial"/>
          <w:sz w:val="22"/>
          <w:szCs w:val="22"/>
        </w:rPr>
        <w:t xml:space="preserve">.  Available at: </w:t>
      </w:r>
      <w:hyperlink r:id="rId3" w:tgtFrame="_new">
        <w:r>
          <w:rPr>
            <w:rStyle w:val="Hyperlink"/>
            <w:rFonts w:ascii="Arial" w:hAnsi="Arial"/>
            <w:sz w:val="22"/>
            <w:szCs w:val="22"/>
          </w:rPr>
          <w:t>https://www2.deloitte.com</w:t>
        </w:r>
      </w:hyperlink>
      <w:r>
        <w:rPr>
          <w:rFonts w:ascii="Arial" w:hAnsi="Arial"/>
          <w:sz w:val="22"/>
          <w:szCs w:val="22"/>
        </w:rPr>
        <w:t xml:space="preserve"> </w:t>
      </w:r>
      <w:r>
        <w:rPr>
          <w:rFonts w:ascii="Arial" w:hAnsi="Arial"/>
          <w:sz w:val="22"/>
          <w:szCs w:val="22"/>
        </w:rPr>
        <w:t>(</w:t>
      </w:r>
      <w:r>
        <w:rPr>
          <w:rFonts w:ascii="Arial" w:hAnsi="Arial"/>
          <w:sz w:val="22"/>
          <w:szCs w:val="22"/>
        </w:rPr>
        <w:t>Accessed 12 Oct. 2024</w:t>
      </w:r>
      <w:r>
        <w:rPr>
          <w:rFonts w:ascii="Arial" w:hAnsi="Arial"/>
          <w:sz w:val="22"/>
          <w:szCs w:val="22"/>
        </w:rPr>
        <w:t>)</w:t>
      </w:r>
      <w:r>
        <w:rPr>
          <w:rFonts w:ascii="Arial" w:hAnsi="Arial"/>
          <w:sz w:val="22"/>
          <w:szCs w:val="22"/>
        </w:rPr>
        <w:t>.</w:t>
      </w:r>
    </w:p>
    <w:p>
      <w:pPr>
        <w:pStyle w:val="BodyText"/>
        <w:numPr>
          <w:ilvl w:val="0"/>
          <w:numId w:val="4"/>
        </w:numPr>
        <w:tabs>
          <w:tab w:val="clear" w:pos="720"/>
          <w:tab w:val="left" w:pos="0" w:leader="none"/>
        </w:tabs>
        <w:ind w:hanging="283" w:left="709"/>
        <w:rPr/>
      </w:pPr>
      <w:r>
        <w:rPr>
          <w:rFonts w:ascii="Arial" w:hAnsi="Arial"/>
          <w:sz w:val="22"/>
          <w:szCs w:val="22"/>
        </w:rPr>
        <w:t xml:space="preserve">Dent, E.B., &amp; Goldberg, S.G. (1999). ‘Challenging “resistance to change”’, </w:t>
      </w:r>
      <w:r>
        <w:rPr>
          <w:rStyle w:val="Emphasis"/>
          <w:rFonts w:ascii="Arial" w:hAnsi="Arial"/>
          <w:sz w:val="22"/>
          <w:szCs w:val="22"/>
        </w:rPr>
        <w:t>The Journal of Applied Behavioral Science</w:t>
      </w:r>
      <w:r>
        <w:rPr>
          <w:rFonts w:ascii="Arial" w:hAnsi="Arial"/>
          <w:sz w:val="22"/>
          <w:szCs w:val="22"/>
        </w:rPr>
        <w:t>, 35(1), pp. 25-41.</w:t>
      </w:r>
    </w:p>
    <w:p>
      <w:pPr>
        <w:pStyle w:val="BodyText"/>
        <w:numPr>
          <w:ilvl w:val="0"/>
          <w:numId w:val="4"/>
        </w:numPr>
        <w:tabs>
          <w:tab w:val="clear" w:pos="720"/>
          <w:tab w:val="left" w:pos="0" w:leader="none"/>
        </w:tabs>
        <w:ind w:hanging="283" w:left="709"/>
        <w:rPr/>
      </w:pPr>
      <w:r>
        <w:rPr>
          <w:rFonts w:ascii="Arial" w:hAnsi="Arial"/>
          <w:sz w:val="22"/>
          <w:szCs w:val="22"/>
        </w:rPr>
        <w:t xml:space="preserve">Gill, R. (2003). ‘Change management – or change leadership?’, </w:t>
      </w:r>
      <w:r>
        <w:rPr>
          <w:rStyle w:val="Emphasis"/>
          <w:rFonts w:ascii="Arial" w:hAnsi="Arial"/>
          <w:sz w:val="22"/>
          <w:szCs w:val="22"/>
        </w:rPr>
        <w:t>Journal of Change Management</w:t>
      </w:r>
      <w:r>
        <w:rPr>
          <w:rFonts w:ascii="Arial" w:hAnsi="Arial"/>
          <w:sz w:val="22"/>
          <w:szCs w:val="22"/>
        </w:rPr>
        <w:t>, 3(4), pp. 307-318.</w:t>
      </w:r>
    </w:p>
    <w:p>
      <w:pPr>
        <w:pStyle w:val="BodyText"/>
        <w:numPr>
          <w:ilvl w:val="0"/>
          <w:numId w:val="4"/>
        </w:numPr>
        <w:tabs>
          <w:tab w:val="clear" w:pos="720"/>
          <w:tab w:val="left" w:pos="0" w:leader="none"/>
        </w:tabs>
        <w:ind w:hanging="283" w:left="709"/>
        <w:rPr/>
      </w:pPr>
      <w:r>
        <w:rPr>
          <w:rFonts w:ascii="Arial" w:hAnsi="Arial"/>
          <w:sz w:val="22"/>
          <w:szCs w:val="22"/>
        </w:rPr>
        <w:t xml:space="preserve">Heifetz, R.A., &amp; Linsky, M. (2002). </w:t>
      </w:r>
      <w:r>
        <w:rPr>
          <w:rStyle w:val="Emphasis"/>
          <w:rFonts w:ascii="Arial" w:hAnsi="Arial"/>
          <w:sz w:val="22"/>
          <w:szCs w:val="22"/>
        </w:rPr>
        <w:t>Leadership on the line: Staying alive through the dangers of leading</w:t>
      </w:r>
      <w:r>
        <w:rPr>
          <w:rFonts w:ascii="Arial" w:hAnsi="Arial"/>
          <w:sz w:val="22"/>
          <w:szCs w:val="22"/>
        </w:rPr>
        <w:t>. Boston: Harvard Business Review Press.</w:t>
      </w:r>
    </w:p>
    <w:p>
      <w:pPr>
        <w:pStyle w:val="BodyText"/>
        <w:numPr>
          <w:ilvl w:val="0"/>
          <w:numId w:val="4"/>
        </w:numPr>
        <w:tabs>
          <w:tab w:val="clear" w:pos="720"/>
          <w:tab w:val="left" w:pos="0" w:leader="none"/>
        </w:tabs>
        <w:ind w:hanging="283" w:left="709"/>
        <w:rPr/>
      </w:pPr>
      <w:r>
        <w:rPr>
          <w:rFonts w:ascii="Arial" w:hAnsi="Arial"/>
          <w:sz w:val="22"/>
          <w:szCs w:val="22"/>
        </w:rPr>
        <w:t xml:space="preserve">Hiatt, J. (2006). </w:t>
      </w:r>
      <w:r>
        <w:rPr>
          <w:rStyle w:val="Emphasis"/>
          <w:rFonts w:ascii="Arial" w:hAnsi="Arial"/>
          <w:sz w:val="22"/>
          <w:szCs w:val="22"/>
        </w:rPr>
        <w:t>ADKAR: A model for change in business, government, and our community</w:t>
      </w:r>
      <w:r>
        <w:rPr>
          <w:rFonts w:ascii="Arial" w:hAnsi="Arial"/>
          <w:sz w:val="22"/>
          <w:szCs w:val="22"/>
        </w:rPr>
        <w:t>. Loveland: Prosci Learning Center Publications.</w:t>
      </w:r>
    </w:p>
    <w:p>
      <w:pPr>
        <w:pStyle w:val="BodyText"/>
        <w:numPr>
          <w:ilvl w:val="0"/>
          <w:numId w:val="4"/>
        </w:numPr>
        <w:tabs>
          <w:tab w:val="clear" w:pos="720"/>
          <w:tab w:val="left" w:pos="0" w:leader="none"/>
        </w:tabs>
        <w:ind w:hanging="283" w:left="709"/>
        <w:rPr/>
      </w:pPr>
      <w:r>
        <w:rPr>
          <w:rFonts w:ascii="Arial" w:hAnsi="Arial"/>
          <w:sz w:val="22"/>
          <w:szCs w:val="22"/>
        </w:rPr>
        <w:t xml:space="preserve">Kotter, J.P. (1996). </w:t>
      </w:r>
      <w:r>
        <w:rPr>
          <w:rStyle w:val="Emphasis"/>
          <w:rFonts w:ascii="Arial" w:hAnsi="Arial"/>
          <w:sz w:val="22"/>
          <w:szCs w:val="22"/>
        </w:rPr>
        <w:t>Leading change</w:t>
      </w:r>
      <w:r>
        <w:rPr>
          <w:rFonts w:ascii="Arial" w:hAnsi="Arial"/>
          <w:sz w:val="22"/>
          <w:szCs w:val="22"/>
        </w:rPr>
        <w:t>. Boston: Harvard Business School Press.</w:t>
      </w:r>
    </w:p>
    <w:p>
      <w:pPr>
        <w:pStyle w:val="BodyText"/>
        <w:numPr>
          <w:ilvl w:val="0"/>
          <w:numId w:val="4"/>
        </w:numPr>
        <w:tabs>
          <w:tab w:val="clear" w:pos="720"/>
          <w:tab w:val="left" w:pos="0" w:leader="none"/>
        </w:tabs>
        <w:ind w:hanging="283" w:left="709"/>
        <w:rPr/>
      </w:pPr>
      <w:r>
        <w:rPr>
          <w:rFonts w:ascii="Arial" w:hAnsi="Arial"/>
          <w:sz w:val="22"/>
          <w:szCs w:val="22"/>
        </w:rPr>
        <w:t xml:space="preserve">Kotter, J.P. (2007). ‘Leading change: Why transformation efforts fail’, </w:t>
      </w:r>
      <w:r>
        <w:rPr>
          <w:rStyle w:val="Emphasis"/>
          <w:rFonts w:ascii="Arial" w:hAnsi="Arial"/>
          <w:sz w:val="22"/>
          <w:szCs w:val="22"/>
        </w:rPr>
        <w:t>Harvard Business Review</w:t>
      </w:r>
      <w:r>
        <w:rPr>
          <w:rFonts w:ascii="Arial" w:hAnsi="Arial"/>
          <w:sz w:val="22"/>
          <w:szCs w:val="22"/>
        </w:rPr>
        <w:t>, 85(1), pp. 96-103.</w:t>
      </w:r>
    </w:p>
    <w:p>
      <w:pPr>
        <w:pStyle w:val="BodyText"/>
        <w:numPr>
          <w:ilvl w:val="0"/>
          <w:numId w:val="4"/>
        </w:numPr>
        <w:tabs>
          <w:tab w:val="clear" w:pos="720"/>
          <w:tab w:val="left" w:pos="0" w:leader="none"/>
        </w:tabs>
        <w:ind w:hanging="283" w:left="709"/>
        <w:rPr/>
      </w:pPr>
      <w:r>
        <w:rPr>
          <w:rFonts w:ascii="Arial" w:hAnsi="Arial"/>
          <w:sz w:val="22"/>
          <w:szCs w:val="22"/>
        </w:rPr>
        <w:t xml:space="preserve">Kotter, J.P., &amp; Schlesinger, L.A. (2008). ‘Choosing strategies for change’, </w:t>
      </w:r>
      <w:r>
        <w:rPr>
          <w:rStyle w:val="Emphasis"/>
          <w:rFonts w:ascii="Arial" w:hAnsi="Arial"/>
          <w:sz w:val="22"/>
          <w:szCs w:val="22"/>
        </w:rPr>
        <w:t>Harvard Business Review</w:t>
      </w:r>
      <w:r>
        <w:rPr>
          <w:rFonts w:ascii="Arial" w:hAnsi="Arial"/>
          <w:sz w:val="22"/>
          <w:szCs w:val="22"/>
        </w:rPr>
        <w:t>, 86(7/8), pp. 130-139.</w:t>
      </w:r>
    </w:p>
    <w:p>
      <w:pPr>
        <w:pStyle w:val="BodyText"/>
        <w:numPr>
          <w:ilvl w:val="0"/>
          <w:numId w:val="4"/>
        </w:numPr>
        <w:tabs>
          <w:tab w:val="clear" w:pos="720"/>
          <w:tab w:val="left" w:pos="0" w:leader="none"/>
        </w:tabs>
        <w:ind w:hanging="283" w:left="709"/>
        <w:rPr/>
      </w:pPr>
      <w:r>
        <w:rPr>
          <w:rFonts w:ascii="Arial" w:hAnsi="Arial"/>
          <w:sz w:val="22"/>
          <w:szCs w:val="22"/>
        </w:rPr>
        <w:t xml:space="preserve">Lewin, K. (1947). ‘Frontiers in group dynamics: Concept, method and reality in social science; social equilibria and social change’, </w:t>
      </w:r>
      <w:r>
        <w:rPr>
          <w:rStyle w:val="Emphasis"/>
          <w:rFonts w:ascii="Arial" w:hAnsi="Arial"/>
          <w:sz w:val="22"/>
          <w:szCs w:val="22"/>
        </w:rPr>
        <w:t>Human Relations</w:t>
      </w:r>
      <w:r>
        <w:rPr>
          <w:rFonts w:ascii="Arial" w:hAnsi="Arial"/>
          <w:sz w:val="22"/>
          <w:szCs w:val="22"/>
        </w:rPr>
        <w:t>, 1(1), pp. 5-41.</w:t>
      </w:r>
    </w:p>
    <w:p>
      <w:pPr>
        <w:pStyle w:val="BodyText"/>
        <w:numPr>
          <w:ilvl w:val="0"/>
          <w:numId w:val="4"/>
        </w:numPr>
        <w:tabs>
          <w:tab w:val="clear" w:pos="720"/>
          <w:tab w:val="left" w:pos="0" w:leader="none"/>
        </w:tabs>
        <w:ind w:hanging="283" w:left="709"/>
        <w:rPr/>
      </w:pPr>
      <w:r>
        <w:rPr>
          <w:rFonts w:ascii="Arial" w:hAnsi="Arial"/>
          <w:sz w:val="22"/>
          <w:szCs w:val="22"/>
        </w:rPr>
        <w:t xml:space="preserve">Lloyds Banking Group. (2023). </w:t>
      </w:r>
      <w:r>
        <w:rPr>
          <w:rStyle w:val="Emphasis"/>
          <w:rFonts w:ascii="Arial" w:hAnsi="Arial"/>
          <w:sz w:val="22"/>
          <w:szCs w:val="22"/>
        </w:rPr>
        <w:t>Sustainability report 2023</w:t>
      </w:r>
      <w:r>
        <w:rPr>
          <w:rFonts w:ascii="Arial" w:hAnsi="Arial"/>
          <w:sz w:val="22"/>
          <w:szCs w:val="22"/>
        </w:rPr>
        <w:t xml:space="preserve">. Available at: </w:t>
      </w:r>
      <w:hyperlink r:id="rId4" w:tgtFrame="_new">
        <w:r>
          <w:rPr>
            <w:rStyle w:val="Hyperlink"/>
            <w:rFonts w:ascii="Arial" w:hAnsi="Arial"/>
            <w:sz w:val="22"/>
            <w:szCs w:val="22"/>
          </w:rPr>
          <w:t>https://www.lloydsbankinggroup.com</w:t>
        </w:r>
      </w:hyperlink>
      <w:r>
        <w:rPr>
          <w:rFonts w:ascii="Arial" w:hAnsi="Arial"/>
          <w:sz w:val="22"/>
          <w:szCs w:val="22"/>
        </w:rPr>
        <w:t xml:space="preserve"> </w:t>
      </w:r>
      <w:r>
        <w:rPr>
          <w:rFonts w:ascii="Arial" w:hAnsi="Arial"/>
          <w:sz w:val="22"/>
          <w:szCs w:val="22"/>
        </w:rPr>
        <w:t>(</w:t>
      </w:r>
      <w:r>
        <w:rPr>
          <w:rFonts w:ascii="Arial" w:hAnsi="Arial"/>
          <w:sz w:val="22"/>
          <w:szCs w:val="22"/>
        </w:rPr>
        <w:t>Accessed 12 Oct. 2024</w:t>
      </w:r>
      <w:r>
        <w:rPr>
          <w:rFonts w:ascii="Arial" w:hAnsi="Arial"/>
          <w:sz w:val="22"/>
          <w:szCs w:val="22"/>
        </w:rPr>
        <w:t>)</w:t>
      </w:r>
      <w:r>
        <w:rPr>
          <w:rFonts w:ascii="Arial" w:hAnsi="Arial"/>
          <w:sz w:val="22"/>
          <w:szCs w:val="22"/>
        </w:rPr>
        <w:t>.</w:t>
      </w:r>
    </w:p>
    <w:p>
      <w:pPr>
        <w:pStyle w:val="BodyText"/>
        <w:numPr>
          <w:ilvl w:val="0"/>
          <w:numId w:val="4"/>
        </w:numPr>
        <w:tabs>
          <w:tab w:val="clear" w:pos="720"/>
          <w:tab w:val="left" w:pos="0" w:leader="none"/>
        </w:tabs>
        <w:ind w:hanging="283" w:left="709"/>
        <w:rPr/>
      </w:pPr>
      <w:r>
        <w:rPr>
          <w:rFonts w:ascii="Arial" w:hAnsi="Arial"/>
          <w:sz w:val="22"/>
          <w:szCs w:val="22"/>
        </w:rPr>
        <w:t xml:space="preserve">McKinsey &amp; Company. (2021). </w:t>
      </w:r>
      <w:r>
        <w:rPr>
          <w:rStyle w:val="Emphasis"/>
          <w:rFonts w:ascii="Arial" w:hAnsi="Arial"/>
          <w:sz w:val="22"/>
          <w:szCs w:val="22"/>
        </w:rPr>
        <w:t>Digital disruption in banking: The end of an era?</w:t>
      </w:r>
      <w:r>
        <w:rPr>
          <w:rFonts w:ascii="Arial" w:hAnsi="Arial"/>
          <w:sz w:val="22"/>
          <w:szCs w:val="22"/>
        </w:rPr>
        <w:t xml:space="preserve">  Available at: </w:t>
      </w:r>
      <w:hyperlink r:id="rId5" w:tgtFrame="_new">
        <w:r>
          <w:rPr>
            <w:rStyle w:val="Hyperlink"/>
            <w:rFonts w:ascii="Arial" w:hAnsi="Arial"/>
            <w:sz w:val="22"/>
            <w:szCs w:val="22"/>
          </w:rPr>
          <w:t>https://www.mckinsey.com</w:t>
        </w:r>
      </w:hyperlink>
      <w:r>
        <w:rPr>
          <w:rFonts w:ascii="Arial" w:hAnsi="Arial"/>
          <w:sz w:val="22"/>
          <w:szCs w:val="22"/>
        </w:rPr>
        <w:t xml:space="preserve"> </w:t>
      </w:r>
      <w:r>
        <w:rPr>
          <w:rFonts w:ascii="Arial" w:hAnsi="Arial"/>
          <w:sz w:val="22"/>
          <w:szCs w:val="22"/>
        </w:rPr>
        <w:t>(</w:t>
      </w:r>
      <w:r>
        <w:rPr>
          <w:rFonts w:ascii="Arial" w:hAnsi="Arial"/>
          <w:sz w:val="22"/>
          <w:szCs w:val="22"/>
        </w:rPr>
        <w:t>Accessed 12 Oct. 2024</w:t>
      </w:r>
      <w:r>
        <w:rPr>
          <w:rFonts w:ascii="Arial" w:hAnsi="Arial"/>
          <w:sz w:val="22"/>
          <w:szCs w:val="22"/>
        </w:rPr>
        <w:t>)</w:t>
      </w:r>
      <w:r>
        <w:rPr>
          <w:rFonts w:ascii="Arial" w:hAnsi="Arial"/>
          <w:sz w:val="22"/>
          <w:szCs w:val="22"/>
        </w:rPr>
        <w:t>.</w:t>
      </w:r>
    </w:p>
    <w:p>
      <w:pPr>
        <w:pStyle w:val="BodyText"/>
        <w:numPr>
          <w:ilvl w:val="0"/>
          <w:numId w:val="4"/>
        </w:numPr>
        <w:tabs>
          <w:tab w:val="clear" w:pos="720"/>
          <w:tab w:val="left" w:pos="0" w:leader="none"/>
        </w:tabs>
        <w:ind w:hanging="283" w:left="709"/>
        <w:rPr/>
      </w:pPr>
      <w:r>
        <w:rPr>
          <w:rFonts w:ascii="Arial" w:hAnsi="Arial"/>
          <w:sz w:val="22"/>
          <w:szCs w:val="22"/>
        </w:rPr>
        <w:t xml:space="preserve">Northouse, P.G. (2018). </w:t>
      </w:r>
      <w:r>
        <w:rPr>
          <w:rStyle w:val="Emphasis"/>
          <w:rFonts w:ascii="Arial" w:hAnsi="Arial"/>
          <w:sz w:val="22"/>
          <w:szCs w:val="22"/>
        </w:rPr>
        <w:t>Leadership: Theory and practice</w:t>
      </w:r>
      <w:r>
        <w:rPr>
          <w:rFonts w:ascii="Arial" w:hAnsi="Arial"/>
          <w:sz w:val="22"/>
          <w:szCs w:val="22"/>
        </w:rPr>
        <w:t>. 8th ed. Thousand Oaks: Sage Publications.</w:t>
      </w:r>
    </w:p>
    <w:p>
      <w:pPr>
        <w:pStyle w:val="BodyText"/>
        <w:numPr>
          <w:ilvl w:val="0"/>
          <w:numId w:val="4"/>
        </w:numPr>
        <w:tabs>
          <w:tab w:val="clear" w:pos="720"/>
          <w:tab w:val="left" w:pos="0" w:leader="none"/>
        </w:tabs>
        <w:ind w:hanging="283" w:left="709"/>
        <w:rPr/>
      </w:pPr>
      <w:r>
        <w:rPr>
          <w:rFonts w:ascii="Arial" w:hAnsi="Arial"/>
          <w:sz w:val="22"/>
          <w:szCs w:val="22"/>
        </w:rPr>
        <w:t xml:space="preserve">Prosci. (2019). </w:t>
      </w:r>
      <w:r>
        <w:rPr>
          <w:rStyle w:val="Emphasis"/>
          <w:rFonts w:ascii="Arial" w:hAnsi="Arial"/>
          <w:sz w:val="22"/>
          <w:szCs w:val="22"/>
        </w:rPr>
        <w:t>Best practices in change management</w:t>
      </w:r>
      <w:r>
        <w:rPr>
          <w:rFonts w:ascii="Arial" w:hAnsi="Arial"/>
          <w:sz w:val="22"/>
          <w:szCs w:val="22"/>
        </w:rPr>
        <w:t xml:space="preserve">. Available at: </w:t>
      </w:r>
      <w:hyperlink r:id="rId6" w:tgtFrame="_new">
        <w:r>
          <w:rPr>
            <w:rStyle w:val="Hyperlink"/>
            <w:rFonts w:ascii="Arial" w:hAnsi="Arial"/>
            <w:sz w:val="22"/>
            <w:szCs w:val="22"/>
          </w:rPr>
          <w:t>https://www.prosci.com</w:t>
        </w:r>
      </w:hyperlink>
      <w:r>
        <w:rPr>
          <w:rFonts w:ascii="Arial" w:hAnsi="Arial"/>
          <w:sz w:val="22"/>
          <w:szCs w:val="22"/>
        </w:rPr>
        <w:t xml:space="preserve"> </w:t>
      </w:r>
      <w:r>
        <w:rPr>
          <w:rFonts w:ascii="Arial" w:hAnsi="Arial"/>
          <w:sz w:val="22"/>
          <w:szCs w:val="22"/>
        </w:rPr>
        <w:t>(</w:t>
      </w:r>
      <w:r>
        <w:rPr>
          <w:rFonts w:ascii="Arial" w:hAnsi="Arial"/>
          <w:sz w:val="22"/>
          <w:szCs w:val="22"/>
        </w:rPr>
        <w:t>Accessed 12 Oct. 2024</w:t>
      </w:r>
      <w:r>
        <w:rPr>
          <w:rFonts w:ascii="Arial" w:hAnsi="Arial"/>
          <w:sz w:val="22"/>
          <w:szCs w:val="22"/>
        </w:rPr>
        <w:t>)</w:t>
      </w:r>
      <w:r>
        <w:rPr>
          <w:rFonts w:ascii="Arial" w:hAnsi="Arial"/>
          <w:sz w:val="22"/>
          <w:szCs w:val="22"/>
        </w:rPr>
        <w:t>.</w:t>
      </w:r>
    </w:p>
    <w:p>
      <w:pPr>
        <w:pStyle w:val="BodyText"/>
        <w:numPr>
          <w:ilvl w:val="0"/>
          <w:numId w:val="4"/>
        </w:numPr>
        <w:tabs>
          <w:tab w:val="clear" w:pos="720"/>
          <w:tab w:val="left" w:pos="0" w:leader="none"/>
        </w:tabs>
        <w:ind w:hanging="283" w:left="709"/>
        <w:rPr/>
      </w:pPr>
      <w:r>
        <w:rPr>
          <w:rFonts w:ascii="Arial" w:hAnsi="Arial"/>
          <w:sz w:val="22"/>
          <w:szCs w:val="22"/>
        </w:rPr>
        <w:t xml:space="preserve">Schein, E.H. (2004). </w:t>
      </w:r>
      <w:r>
        <w:rPr>
          <w:rStyle w:val="Emphasis"/>
          <w:rFonts w:ascii="Arial" w:hAnsi="Arial"/>
          <w:sz w:val="22"/>
          <w:szCs w:val="22"/>
        </w:rPr>
        <w:t>Organizational culture and leadership</w:t>
      </w:r>
      <w:r>
        <w:rPr>
          <w:rFonts w:ascii="Arial" w:hAnsi="Arial"/>
          <w:sz w:val="22"/>
          <w:szCs w:val="22"/>
        </w:rPr>
        <w:t>. 3rd ed. San Francisco: Jossey-Bass.</w:t>
      </w:r>
    </w:p>
    <w:p>
      <w:pPr>
        <w:pStyle w:val="BodyText"/>
        <w:numPr>
          <w:ilvl w:val="0"/>
          <w:numId w:val="4"/>
        </w:numPr>
        <w:tabs>
          <w:tab w:val="clear" w:pos="720"/>
          <w:tab w:val="left" w:pos="0" w:leader="none"/>
        </w:tabs>
        <w:spacing w:before="0" w:after="140"/>
        <w:ind w:hanging="283" w:left="709"/>
        <w:rPr/>
      </w:pPr>
      <w:r>
        <w:rPr>
          <w:rFonts w:ascii="Arial" w:hAnsi="Arial"/>
          <w:sz w:val="22"/>
          <w:szCs w:val="22"/>
        </w:rPr>
        <w:t xml:space="preserve">Towers Watson. (2012). </w:t>
      </w:r>
      <w:r>
        <w:rPr>
          <w:rStyle w:val="Emphasis"/>
          <w:rFonts w:ascii="Arial" w:hAnsi="Arial"/>
          <w:sz w:val="22"/>
          <w:szCs w:val="22"/>
        </w:rPr>
        <w:t>Global workforce study 2012: Engagement at risk</w:t>
      </w:r>
      <w:r>
        <w:rPr>
          <w:rFonts w:ascii="Arial" w:hAnsi="Arial"/>
          <w:sz w:val="22"/>
          <w:szCs w:val="22"/>
        </w:rPr>
        <w:t xml:space="preserve">. Available at: </w:t>
      </w:r>
      <w:hyperlink r:id="rId7" w:tgtFrame="_new">
        <w:r>
          <w:rPr>
            <w:rStyle w:val="Hyperlink"/>
            <w:rFonts w:ascii="Arial" w:hAnsi="Arial"/>
            <w:sz w:val="22"/>
            <w:szCs w:val="22"/>
          </w:rPr>
          <w:t>https://www.wtwco.com</w:t>
        </w:r>
      </w:hyperlink>
      <w:r>
        <w:rPr>
          <w:rFonts w:ascii="Arial" w:hAnsi="Arial"/>
          <w:sz w:val="22"/>
          <w:szCs w:val="22"/>
        </w:rPr>
        <w:t xml:space="preserve"> </w:t>
      </w:r>
      <w:r>
        <w:rPr>
          <w:rFonts w:ascii="Arial" w:hAnsi="Arial"/>
          <w:sz w:val="22"/>
          <w:szCs w:val="22"/>
        </w:rPr>
        <w:t>(</w:t>
      </w:r>
      <w:r>
        <w:rPr>
          <w:rFonts w:ascii="Arial" w:hAnsi="Arial"/>
          <w:sz w:val="22"/>
          <w:szCs w:val="22"/>
        </w:rPr>
        <w:t>Accessed 12 Oct. 2024</w:t>
      </w:r>
      <w:r>
        <w:rPr>
          <w:rFonts w:ascii="Arial" w:hAnsi="Arial"/>
          <w:sz w:val="22"/>
          <w:szCs w:val="22"/>
        </w:rPr>
        <w:t>)</w:t>
      </w:r>
      <w:r>
        <w:rPr>
          <w:rFonts w:ascii="Arial" w:hAnsi="Arial"/>
          <w:sz w:val="22"/>
          <w:szCs w:val="22"/>
        </w:rPr>
        <w:t>.</w:t>
      </w:r>
    </w:p>
    <w:sectPr>
      <w:footerReference w:type="even" r:id="rId8"/>
      <w:footerReference w:type="default" r:id="rId9"/>
      <w:footerReference w:type="first" r:id="rId10"/>
      <w:type w:val="nextPage"/>
      <w:pgSz w:w="12240" w:h="15840"/>
      <w:pgMar w:left="1134" w:right="1134" w:gutter="0" w:header="0" w:top="1134" w:footer="1134" w:bottom="1693"/>
      <w:pgNumType w:fmt="decimal"/>
      <w:formProt w:val="false"/>
      <w:textDirection w:val="lrTb"/>
      <w:docGrid w:type="default" w:linePitch="10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Liberation Serif">
    <w:altName w:val="Times New Roman"/>
    <w:charset w:val="00"/>
    <w:family w:val="swiss"/>
    <w:pitch w:val="variable"/>
  </w:font>
  <w:font w:name="Liberation Sans">
    <w:altName w:val="Arial"/>
    <w:charset w:val="00"/>
    <w:family w:val="roman"/>
    <w:pitch w:val="variable"/>
  </w:font>
  <w:font w:name="Arial">
    <w:charset w:val="00"/>
    <w:family w:val="roman"/>
    <w:pitch w:val="variable"/>
  </w:font>
  <w:font w:name="Calibri">
    <w:charset w:val="00"/>
    <w:family w:val="roman"/>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rPr/>
    </w:pPr>
    <w:r>
      <w:rPr/>
    </w:r>
  </w:p>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rPr/>
    </w:pPr>
    <w:r>
      <w:rPr/>
      <w:fldChar w:fldCharType="begin"/>
    </w:r>
    <w:r>
      <w:rPr/>
      <w:instrText xml:space="preserve"> PAGE </w:instrText>
    </w:r>
    <w:r>
      <w:rPr/>
      <w:fldChar w:fldCharType="separate"/>
    </w:r>
    <w:r>
      <w:rPr/>
      <w:t>15</w:t>
    </w:r>
    <w:r>
      <w:rPr/>
      <w:fldChar w:fldCharType="end"/>
    </w:r>
  </w:p>
</w:ftr>
</file>

<file path=word/footer3.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rPr/>
    </w:pPr>
    <w:r>
      <w:rPr/>
      <w:fldChar w:fldCharType="begin"/>
    </w:r>
    <w:r>
      <w:rPr/>
      <w:instrText xml:space="preserve"> PAGE </w:instrText>
    </w:r>
    <w:r>
      <w:rPr/>
      <w:fldChar w:fldCharType="separate"/>
    </w:r>
    <w:r>
      <w:rPr/>
      <w:t>15</w:t>
    </w:r>
    <w:r>
      <w:rPr/>
      <w:fldChar w:fldCharType="end"/>
    </w:r>
  </w:p>
</w:ftr>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bullet"/>
      <w:lvlText w:val=""/>
      <w:lvlJc w:val="left"/>
      <w:pPr>
        <w:tabs>
          <w:tab w:val="num" w:pos="709"/>
        </w:tabs>
        <w:ind w:left="709" w:hanging="283"/>
      </w:pPr>
      <w:rPr>
        <w:rFonts w:ascii="Symbol" w:hAnsi="Symbol" w:cs="Symbol" w:hint="default"/>
      </w:rPr>
    </w:lvl>
    <w:lvl w:ilvl="1">
      <w:start w:val="1"/>
      <w:numFmt w:val="bullet"/>
      <w:lvlText w:val=""/>
      <w:lvlJc w:val="left"/>
      <w:pPr>
        <w:tabs>
          <w:tab w:val="num" w:pos="1418"/>
        </w:tabs>
        <w:ind w:left="1418" w:hanging="283"/>
      </w:pPr>
      <w:rPr>
        <w:rFonts w:ascii="Symbol" w:hAnsi="Symbol" w:cs="Symbol" w:hint="default"/>
      </w:rPr>
    </w:lvl>
    <w:lvl w:ilvl="2">
      <w:start w:val="1"/>
      <w:numFmt w:val="bullet"/>
      <w:lvlText w:val=""/>
      <w:lvlJc w:val="left"/>
      <w:pPr>
        <w:tabs>
          <w:tab w:val="num" w:pos="2127"/>
        </w:tabs>
        <w:ind w:left="2127" w:hanging="283"/>
      </w:pPr>
      <w:rPr>
        <w:rFonts w:ascii="Symbol" w:hAnsi="Symbol" w:cs="Symbol" w:hint="default"/>
      </w:rPr>
    </w:lvl>
    <w:lvl w:ilvl="3">
      <w:start w:val="1"/>
      <w:numFmt w:val="bullet"/>
      <w:lvlText w:val=""/>
      <w:lvlJc w:val="left"/>
      <w:pPr>
        <w:tabs>
          <w:tab w:val="num" w:pos="2836"/>
        </w:tabs>
        <w:ind w:left="2836" w:hanging="283"/>
      </w:pPr>
      <w:rPr>
        <w:rFonts w:ascii="Symbol" w:hAnsi="Symbol" w:cs="Symbol" w:hint="default"/>
      </w:rPr>
    </w:lvl>
    <w:lvl w:ilvl="4">
      <w:start w:val="1"/>
      <w:numFmt w:val="bullet"/>
      <w:lvlText w:val=""/>
      <w:lvlJc w:val="left"/>
      <w:pPr>
        <w:tabs>
          <w:tab w:val="num" w:pos="3545"/>
        </w:tabs>
        <w:ind w:left="3545" w:hanging="283"/>
      </w:pPr>
      <w:rPr>
        <w:rFonts w:ascii="Symbol" w:hAnsi="Symbol" w:cs="Symbol" w:hint="default"/>
      </w:rPr>
    </w:lvl>
    <w:lvl w:ilvl="5">
      <w:start w:val="1"/>
      <w:numFmt w:val="bullet"/>
      <w:lvlText w:val=""/>
      <w:lvlJc w:val="left"/>
      <w:pPr>
        <w:tabs>
          <w:tab w:val="num" w:pos="4254"/>
        </w:tabs>
        <w:ind w:left="4254" w:hanging="283"/>
      </w:pPr>
      <w:rPr>
        <w:rFonts w:ascii="Symbol" w:hAnsi="Symbol" w:cs="Symbol" w:hint="default"/>
      </w:rPr>
    </w:lvl>
    <w:lvl w:ilvl="6">
      <w:start w:val="1"/>
      <w:numFmt w:val="bullet"/>
      <w:lvlText w:val=""/>
      <w:lvlJc w:val="left"/>
      <w:pPr>
        <w:tabs>
          <w:tab w:val="num" w:pos="4963"/>
        </w:tabs>
        <w:ind w:left="4963" w:hanging="283"/>
      </w:pPr>
      <w:rPr>
        <w:rFonts w:ascii="Symbol" w:hAnsi="Symbol" w:cs="Symbol" w:hint="default"/>
      </w:rPr>
    </w:lvl>
    <w:lvl w:ilvl="7">
      <w:start w:val="1"/>
      <w:numFmt w:val="bullet"/>
      <w:lvlText w:val=""/>
      <w:lvlJc w:val="left"/>
      <w:pPr>
        <w:tabs>
          <w:tab w:val="num" w:pos="5672"/>
        </w:tabs>
        <w:ind w:left="5672" w:hanging="283"/>
      </w:pPr>
      <w:rPr>
        <w:rFonts w:ascii="Symbol" w:hAnsi="Symbol" w:cs="Symbol" w:hint="default"/>
      </w:rPr>
    </w:lvl>
    <w:lvl w:ilvl="8">
      <w:start w:val="1"/>
      <w:numFmt w:val="bullet"/>
      <w:lvlText w:val=""/>
      <w:lvlJc w:val="left"/>
      <w:pPr>
        <w:tabs>
          <w:tab w:val="num" w:pos="6381"/>
        </w:tabs>
        <w:ind w:left="6381" w:hanging="283"/>
      </w:pPr>
      <w:rPr>
        <w:rFonts w:ascii="Symbol" w:hAnsi="Symbol" w:cs="Symbol" w:hint="default"/>
      </w:rPr>
    </w:lvl>
  </w:abstractNum>
  <w:abstractNum w:abstractNumId="2">
    <w:lvl w:ilvl="0">
      <w:start w:val="1"/>
      <w:numFmt w:val="bullet"/>
      <w:lvlText w:val=""/>
      <w:lvlJc w:val="left"/>
      <w:pPr>
        <w:tabs>
          <w:tab w:val="num" w:pos="709"/>
        </w:tabs>
        <w:ind w:left="709" w:hanging="283"/>
      </w:pPr>
      <w:rPr>
        <w:rFonts w:ascii="Symbol" w:hAnsi="Symbol" w:cs="Symbol" w:hint="default"/>
      </w:rPr>
    </w:lvl>
    <w:lvl w:ilvl="1">
      <w:start w:val="1"/>
      <w:numFmt w:val="bullet"/>
      <w:lvlText w:val=""/>
      <w:lvlJc w:val="left"/>
      <w:pPr>
        <w:tabs>
          <w:tab w:val="num" w:pos="1418"/>
        </w:tabs>
        <w:ind w:left="1418" w:hanging="283"/>
      </w:pPr>
      <w:rPr>
        <w:rFonts w:ascii="Symbol" w:hAnsi="Symbol" w:cs="Symbol" w:hint="default"/>
      </w:rPr>
    </w:lvl>
    <w:lvl w:ilvl="2">
      <w:start w:val="1"/>
      <w:numFmt w:val="bullet"/>
      <w:lvlText w:val=""/>
      <w:lvlJc w:val="left"/>
      <w:pPr>
        <w:tabs>
          <w:tab w:val="num" w:pos="2127"/>
        </w:tabs>
        <w:ind w:left="2127" w:hanging="283"/>
      </w:pPr>
      <w:rPr>
        <w:rFonts w:ascii="Symbol" w:hAnsi="Symbol" w:cs="Symbol" w:hint="default"/>
      </w:rPr>
    </w:lvl>
    <w:lvl w:ilvl="3">
      <w:start w:val="1"/>
      <w:numFmt w:val="bullet"/>
      <w:lvlText w:val=""/>
      <w:lvlJc w:val="left"/>
      <w:pPr>
        <w:tabs>
          <w:tab w:val="num" w:pos="2836"/>
        </w:tabs>
        <w:ind w:left="2836" w:hanging="283"/>
      </w:pPr>
      <w:rPr>
        <w:rFonts w:ascii="Symbol" w:hAnsi="Symbol" w:cs="Symbol" w:hint="default"/>
      </w:rPr>
    </w:lvl>
    <w:lvl w:ilvl="4">
      <w:start w:val="1"/>
      <w:numFmt w:val="bullet"/>
      <w:lvlText w:val=""/>
      <w:lvlJc w:val="left"/>
      <w:pPr>
        <w:tabs>
          <w:tab w:val="num" w:pos="3545"/>
        </w:tabs>
        <w:ind w:left="3545" w:hanging="283"/>
      </w:pPr>
      <w:rPr>
        <w:rFonts w:ascii="Symbol" w:hAnsi="Symbol" w:cs="Symbol" w:hint="default"/>
      </w:rPr>
    </w:lvl>
    <w:lvl w:ilvl="5">
      <w:start w:val="1"/>
      <w:numFmt w:val="bullet"/>
      <w:lvlText w:val=""/>
      <w:lvlJc w:val="left"/>
      <w:pPr>
        <w:tabs>
          <w:tab w:val="num" w:pos="4254"/>
        </w:tabs>
        <w:ind w:left="4254" w:hanging="283"/>
      </w:pPr>
      <w:rPr>
        <w:rFonts w:ascii="Symbol" w:hAnsi="Symbol" w:cs="Symbol" w:hint="default"/>
      </w:rPr>
    </w:lvl>
    <w:lvl w:ilvl="6">
      <w:start w:val="1"/>
      <w:numFmt w:val="bullet"/>
      <w:lvlText w:val=""/>
      <w:lvlJc w:val="left"/>
      <w:pPr>
        <w:tabs>
          <w:tab w:val="num" w:pos="4963"/>
        </w:tabs>
        <w:ind w:left="4963" w:hanging="283"/>
      </w:pPr>
      <w:rPr>
        <w:rFonts w:ascii="Symbol" w:hAnsi="Symbol" w:cs="Symbol" w:hint="default"/>
      </w:rPr>
    </w:lvl>
    <w:lvl w:ilvl="7">
      <w:start w:val="1"/>
      <w:numFmt w:val="bullet"/>
      <w:lvlText w:val=""/>
      <w:lvlJc w:val="left"/>
      <w:pPr>
        <w:tabs>
          <w:tab w:val="num" w:pos="5672"/>
        </w:tabs>
        <w:ind w:left="5672" w:hanging="283"/>
      </w:pPr>
      <w:rPr>
        <w:rFonts w:ascii="Symbol" w:hAnsi="Symbol" w:cs="Symbol" w:hint="default"/>
      </w:rPr>
    </w:lvl>
    <w:lvl w:ilvl="8">
      <w:start w:val="1"/>
      <w:numFmt w:val="bullet"/>
      <w:lvlText w:val=""/>
      <w:lvlJc w:val="left"/>
      <w:pPr>
        <w:tabs>
          <w:tab w:val="num" w:pos="6381"/>
        </w:tabs>
        <w:ind w:left="6381" w:hanging="283"/>
      </w:pPr>
      <w:rPr>
        <w:rFonts w:ascii="Symbol" w:hAnsi="Symbol" w:cs="Symbol" w:hint="default"/>
      </w:rPr>
    </w:lvl>
  </w:abstractNum>
  <w:abstractNum w:abstractNumId="3">
    <w:lvl w:ilvl="0">
      <w:start w:val="1"/>
      <w:numFmt w:val="bullet"/>
      <w:lvlText w:val=""/>
      <w:lvlJc w:val="left"/>
      <w:pPr>
        <w:tabs>
          <w:tab w:val="num" w:pos="709"/>
        </w:tabs>
        <w:ind w:left="709" w:hanging="283"/>
      </w:pPr>
      <w:rPr>
        <w:rFonts w:ascii="Symbol" w:hAnsi="Symbol" w:cs="Symbol" w:hint="default"/>
      </w:rPr>
    </w:lvl>
    <w:lvl w:ilvl="1">
      <w:start w:val="1"/>
      <w:numFmt w:val="bullet"/>
      <w:lvlText w:val=""/>
      <w:lvlJc w:val="left"/>
      <w:pPr>
        <w:tabs>
          <w:tab w:val="num" w:pos="1418"/>
        </w:tabs>
        <w:ind w:left="1418" w:hanging="283"/>
      </w:pPr>
      <w:rPr>
        <w:rFonts w:ascii="Symbol" w:hAnsi="Symbol" w:cs="Symbol" w:hint="default"/>
      </w:rPr>
    </w:lvl>
    <w:lvl w:ilvl="2">
      <w:start w:val="1"/>
      <w:numFmt w:val="bullet"/>
      <w:lvlText w:val=""/>
      <w:lvlJc w:val="left"/>
      <w:pPr>
        <w:tabs>
          <w:tab w:val="num" w:pos="2127"/>
        </w:tabs>
        <w:ind w:left="2127" w:hanging="283"/>
      </w:pPr>
      <w:rPr>
        <w:rFonts w:ascii="Symbol" w:hAnsi="Symbol" w:cs="Symbol" w:hint="default"/>
      </w:rPr>
    </w:lvl>
    <w:lvl w:ilvl="3">
      <w:start w:val="1"/>
      <w:numFmt w:val="bullet"/>
      <w:lvlText w:val=""/>
      <w:lvlJc w:val="left"/>
      <w:pPr>
        <w:tabs>
          <w:tab w:val="num" w:pos="2836"/>
        </w:tabs>
        <w:ind w:left="2836" w:hanging="283"/>
      </w:pPr>
      <w:rPr>
        <w:rFonts w:ascii="Symbol" w:hAnsi="Symbol" w:cs="Symbol" w:hint="default"/>
      </w:rPr>
    </w:lvl>
    <w:lvl w:ilvl="4">
      <w:start w:val="1"/>
      <w:numFmt w:val="bullet"/>
      <w:lvlText w:val=""/>
      <w:lvlJc w:val="left"/>
      <w:pPr>
        <w:tabs>
          <w:tab w:val="num" w:pos="3545"/>
        </w:tabs>
        <w:ind w:left="3545" w:hanging="283"/>
      </w:pPr>
      <w:rPr>
        <w:rFonts w:ascii="Symbol" w:hAnsi="Symbol" w:cs="Symbol" w:hint="default"/>
      </w:rPr>
    </w:lvl>
    <w:lvl w:ilvl="5">
      <w:start w:val="1"/>
      <w:numFmt w:val="bullet"/>
      <w:lvlText w:val=""/>
      <w:lvlJc w:val="left"/>
      <w:pPr>
        <w:tabs>
          <w:tab w:val="num" w:pos="4254"/>
        </w:tabs>
        <w:ind w:left="4254" w:hanging="283"/>
      </w:pPr>
      <w:rPr>
        <w:rFonts w:ascii="Symbol" w:hAnsi="Symbol" w:cs="Symbol" w:hint="default"/>
      </w:rPr>
    </w:lvl>
    <w:lvl w:ilvl="6">
      <w:start w:val="1"/>
      <w:numFmt w:val="bullet"/>
      <w:lvlText w:val=""/>
      <w:lvlJc w:val="left"/>
      <w:pPr>
        <w:tabs>
          <w:tab w:val="num" w:pos="4963"/>
        </w:tabs>
        <w:ind w:left="4963" w:hanging="283"/>
      </w:pPr>
      <w:rPr>
        <w:rFonts w:ascii="Symbol" w:hAnsi="Symbol" w:cs="Symbol" w:hint="default"/>
      </w:rPr>
    </w:lvl>
    <w:lvl w:ilvl="7">
      <w:start w:val="1"/>
      <w:numFmt w:val="bullet"/>
      <w:lvlText w:val=""/>
      <w:lvlJc w:val="left"/>
      <w:pPr>
        <w:tabs>
          <w:tab w:val="num" w:pos="5672"/>
        </w:tabs>
        <w:ind w:left="5672" w:hanging="283"/>
      </w:pPr>
      <w:rPr>
        <w:rFonts w:ascii="Symbol" w:hAnsi="Symbol" w:cs="Symbol" w:hint="default"/>
      </w:rPr>
    </w:lvl>
    <w:lvl w:ilvl="8">
      <w:start w:val="1"/>
      <w:numFmt w:val="bullet"/>
      <w:lvlText w:val=""/>
      <w:lvlJc w:val="left"/>
      <w:pPr>
        <w:tabs>
          <w:tab w:val="num" w:pos="6381"/>
        </w:tabs>
        <w:ind w:left="6381" w:hanging="283"/>
      </w:pPr>
      <w:rPr>
        <w:rFonts w:ascii="Symbol" w:hAnsi="Symbol" w:cs="Symbol" w:hint="default"/>
      </w:rPr>
    </w:lvl>
  </w:abstractNum>
  <w:abstractNum w:abstractNumId="4">
    <w:lvl w:ilvl="0">
      <w:start w:val="1"/>
      <w:numFmt w:val="bullet"/>
      <w:lvlText w:val=""/>
      <w:lvlJc w:val="left"/>
      <w:pPr>
        <w:tabs>
          <w:tab w:val="num" w:pos="709"/>
        </w:tabs>
        <w:ind w:left="709" w:hanging="283"/>
      </w:pPr>
      <w:rPr>
        <w:rFonts w:ascii="Symbol" w:hAnsi="Symbol" w:cs="Symbol" w:hint="default"/>
      </w:rPr>
    </w:lvl>
    <w:lvl w:ilvl="1">
      <w:start w:val="1"/>
      <w:numFmt w:val="bullet"/>
      <w:lvlText w:val=""/>
      <w:lvlJc w:val="left"/>
      <w:pPr>
        <w:tabs>
          <w:tab w:val="num" w:pos="1418"/>
        </w:tabs>
        <w:ind w:left="1418" w:hanging="283"/>
      </w:pPr>
      <w:rPr>
        <w:rFonts w:ascii="Symbol" w:hAnsi="Symbol" w:cs="Symbol" w:hint="default"/>
      </w:rPr>
    </w:lvl>
    <w:lvl w:ilvl="2">
      <w:start w:val="1"/>
      <w:numFmt w:val="bullet"/>
      <w:lvlText w:val=""/>
      <w:lvlJc w:val="left"/>
      <w:pPr>
        <w:tabs>
          <w:tab w:val="num" w:pos="2127"/>
        </w:tabs>
        <w:ind w:left="2127" w:hanging="283"/>
      </w:pPr>
      <w:rPr>
        <w:rFonts w:ascii="Symbol" w:hAnsi="Symbol" w:cs="Symbol" w:hint="default"/>
      </w:rPr>
    </w:lvl>
    <w:lvl w:ilvl="3">
      <w:start w:val="1"/>
      <w:numFmt w:val="bullet"/>
      <w:lvlText w:val=""/>
      <w:lvlJc w:val="left"/>
      <w:pPr>
        <w:tabs>
          <w:tab w:val="num" w:pos="2836"/>
        </w:tabs>
        <w:ind w:left="2836" w:hanging="283"/>
      </w:pPr>
      <w:rPr>
        <w:rFonts w:ascii="Symbol" w:hAnsi="Symbol" w:cs="Symbol" w:hint="default"/>
      </w:rPr>
    </w:lvl>
    <w:lvl w:ilvl="4">
      <w:start w:val="1"/>
      <w:numFmt w:val="bullet"/>
      <w:lvlText w:val=""/>
      <w:lvlJc w:val="left"/>
      <w:pPr>
        <w:tabs>
          <w:tab w:val="num" w:pos="3545"/>
        </w:tabs>
        <w:ind w:left="3545" w:hanging="283"/>
      </w:pPr>
      <w:rPr>
        <w:rFonts w:ascii="Symbol" w:hAnsi="Symbol" w:cs="Symbol" w:hint="default"/>
      </w:rPr>
    </w:lvl>
    <w:lvl w:ilvl="5">
      <w:start w:val="1"/>
      <w:numFmt w:val="bullet"/>
      <w:lvlText w:val=""/>
      <w:lvlJc w:val="left"/>
      <w:pPr>
        <w:tabs>
          <w:tab w:val="num" w:pos="4254"/>
        </w:tabs>
        <w:ind w:left="4254" w:hanging="283"/>
      </w:pPr>
      <w:rPr>
        <w:rFonts w:ascii="Symbol" w:hAnsi="Symbol" w:cs="Symbol" w:hint="default"/>
      </w:rPr>
    </w:lvl>
    <w:lvl w:ilvl="6">
      <w:start w:val="1"/>
      <w:numFmt w:val="bullet"/>
      <w:lvlText w:val=""/>
      <w:lvlJc w:val="left"/>
      <w:pPr>
        <w:tabs>
          <w:tab w:val="num" w:pos="4963"/>
        </w:tabs>
        <w:ind w:left="4963" w:hanging="283"/>
      </w:pPr>
      <w:rPr>
        <w:rFonts w:ascii="Symbol" w:hAnsi="Symbol" w:cs="Symbol" w:hint="default"/>
      </w:rPr>
    </w:lvl>
    <w:lvl w:ilvl="7">
      <w:start w:val="1"/>
      <w:numFmt w:val="bullet"/>
      <w:lvlText w:val=""/>
      <w:lvlJc w:val="left"/>
      <w:pPr>
        <w:tabs>
          <w:tab w:val="num" w:pos="5672"/>
        </w:tabs>
        <w:ind w:left="5672" w:hanging="283"/>
      </w:pPr>
      <w:rPr>
        <w:rFonts w:ascii="Symbol" w:hAnsi="Symbol" w:cs="Symbol" w:hint="default"/>
      </w:rPr>
    </w:lvl>
    <w:lvl w:ilvl="8">
      <w:start w:val="1"/>
      <w:numFmt w:val="bullet"/>
      <w:lvlText w:val=""/>
      <w:lvlJc w:val="left"/>
      <w:pPr>
        <w:tabs>
          <w:tab w:val="num" w:pos="6381"/>
        </w:tabs>
        <w:ind w:left="6381" w:hanging="283"/>
      </w:pPr>
      <w:rPr>
        <w:rFonts w:ascii="Symbol" w:hAnsi="Symbol" w:cs="Symbol" w:hint="default"/>
      </w:rPr>
    </w:lvl>
  </w:abstractNum>
  <w:abstractNum w:abstractNumId="5">
    <w:lvl w:ilvl="0">
      <w:start w:val="1"/>
      <w:numFmt w:val="bullet"/>
      <w:lvlText w:val=""/>
      <w:lvlJc w:val="left"/>
      <w:pPr>
        <w:tabs>
          <w:tab w:val="num" w:pos="709"/>
        </w:tabs>
        <w:ind w:left="709" w:hanging="283"/>
      </w:pPr>
      <w:rPr>
        <w:rFonts w:ascii="Symbol" w:hAnsi="Symbol" w:cs="Symbol" w:hint="default"/>
      </w:rPr>
    </w:lvl>
    <w:lvl w:ilvl="1">
      <w:start w:val="1"/>
      <w:numFmt w:val="bullet"/>
      <w:lvlText w:val=""/>
      <w:lvlJc w:val="left"/>
      <w:pPr>
        <w:tabs>
          <w:tab w:val="num" w:pos="1418"/>
        </w:tabs>
        <w:ind w:left="1418" w:hanging="283"/>
      </w:pPr>
      <w:rPr>
        <w:rFonts w:ascii="Symbol" w:hAnsi="Symbol" w:cs="Symbol" w:hint="default"/>
      </w:rPr>
    </w:lvl>
    <w:lvl w:ilvl="2">
      <w:start w:val="1"/>
      <w:numFmt w:val="bullet"/>
      <w:lvlText w:val=""/>
      <w:lvlJc w:val="left"/>
      <w:pPr>
        <w:tabs>
          <w:tab w:val="num" w:pos="2127"/>
        </w:tabs>
        <w:ind w:left="2127" w:hanging="283"/>
      </w:pPr>
      <w:rPr>
        <w:rFonts w:ascii="Symbol" w:hAnsi="Symbol" w:cs="Symbol" w:hint="default"/>
      </w:rPr>
    </w:lvl>
    <w:lvl w:ilvl="3">
      <w:start w:val="1"/>
      <w:numFmt w:val="bullet"/>
      <w:lvlText w:val=""/>
      <w:lvlJc w:val="left"/>
      <w:pPr>
        <w:tabs>
          <w:tab w:val="num" w:pos="2836"/>
        </w:tabs>
        <w:ind w:left="2836" w:hanging="283"/>
      </w:pPr>
      <w:rPr>
        <w:rFonts w:ascii="Symbol" w:hAnsi="Symbol" w:cs="Symbol" w:hint="default"/>
      </w:rPr>
    </w:lvl>
    <w:lvl w:ilvl="4">
      <w:start w:val="1"/>
      <w:numFmt w:val="bullet"/>
      <w:lvlText w:val=""/>
      <w:lvlJc w:val="left"/>
      <w:pPr>
        <w:tabs>
          <w:tab w:val="num" w:pos="3545"/>
        </w:tabs>
        <w:ind w:left="3545" w:hanging="283"/>
      </w:pPr>
      <w:rPr>
        <w:rFonts w:ascii="Symbol" w:hAnsi="Symbol" w:cs="Symbol" w:hint="default"/>
      </w:rPr>
    </w:lvl>
    <w:lvl w:ilvl="5">
      <w:start w:val="1"/>
      <w:numFmt w:val="bullet"/>
      <w:lvlText w:val=""/>
      <w:lvlJc w:val="left"/>
      <w:pPr>
        <w:tabs>
          <w:tab w:val="num" w:pos="4254"/>
        </w:tabs>
        <w:ind w:left="4254" w:hanging="283"/>
      </w:pPr>
      <w:rPr>
        <w:rFonts w:ascii="Symbol" w:hAnsi="Symbol" w:cs="Symbol" w:hint="default"/>
      </w:rPr>
    </w:lvl>
    <w:lvl w:ilvl="6">
      <w:start w:val="1"/>
      <w:numFmt w:val="bullet"/>
      <w:lvlText w:val=""/>
      <w:lvlJc w:val="left"/>
      <w:pPr>
        <w:tabs>
          <w:tab w:val="num" w:pos="4963"/>
        </w:tabs>
        <w:ind w:left="4963" w:hanging="283"/>
      </w:pPr>
      <w:rPr>
        <w:rFonts w:ascii="Symbol" w:hAnsi="Symbol" w:cs="Symbol" w:hint="default"/>
      </w:rPr>
    </w:lvl>
    <w:lvl w:ilvl="7">
      <w:start w:val="1"/>
      <w:numFmt w:val="bullet"/>
      <w:lvlText w:val=""/>
      <w:lvlJc w:val="left"/>
      <w:pPr>
        <w:tabs>
          <w:tab w:val="num" w:pos="5672"/>
        </w:tabs>
        <w:ind w:left="5672" w:hanging="283"/>
      </w:pPr>
      <w:rPr>
        <w:rFonts w:ascii="Symbol" w:hAnsi="Symbol" w:cs="Symbol" w:hint="default"/>
      </w:rPr>
    </w:lvl>
    <w:lvl w:ilvl="8">
      <w:start w:val="1"/>
      <w:numFmt w:val="bullet"/>
      <w:lvlText w:val=""/>
      <w:lvlJc w:val="left"/>
      <w:pPr>
        <w:tabs>
          <w:tab w:val="num" w:pos="6381"/>
        </w:tabs>
        <w:ind w:left="6381" w:hanging="283"/>
      </w:pPr>
      <w:rPr>
        <w:rFonts w:ascii="Symbol" w:hAnsi="Symbol" w:cs="Symbol" w:hint="default"/>
      </w:rPr>
    </w:lvl>
  </w:abstractNum>
  <w:abstractNum w:abstractNumId="6">
    <w:lvl w:ilvl="0">
      <w:start w:val="1"/>
      <w:numFmt w:val="bullet"/>
      <w:lvlText w:val=""/>
      <w:lvlJc w:val="left"/>
      <w:pPr>
        <w:tabs>
          <w:tab w:val="num" w:pos="709"/>
        </w:tabs>
        <w:ind w:left="709" w:hanging="283"/>
      </w:pPr>
      <w:rPr>
        <w:rFonts w:ascii="Symbol" w:hAnsi="Symbol" w:cs="Symbol" w:hint="default"/>
      </w:rPr>
    </w:lvl>
    <w:lvl w:ilvl="1">
      <w:start w:val="1"/>
      <w:numFmt w:val="bullet"/>
      <w:lvlText w:val=""/>
      <w:lvlJc w:val="left"/>
      <w:pPr>
        <w:tabs>
          <w:tab w:val="num" w:pos="1418"/>
        </w:tabs>
        <w:ind w:left="1418" w:hanging="283"/>
      </w:pPr>
      <w:rPr>
        <w:rFonts w:ascii="Symbol" w:hAnsi="Symbol" w:cs="Symbol" w:hint="default"/>
      </w:rPr>
    </w:lvl>
    <w:lvl w:ilvl="2">
      <w:start w:val="1"/>
      <w:numFmt w:val="bullet"/>
      <w:lvlText w:val=""/>
      <w:lvlJc w:val="left"/>
      <w:pPr>
        <w:tabs>
          <w:tab w:val="num" w:pos="2127"/>
        </w:tabs>
        <w:ind w:left="2127" w:hanging="283"/>
      </w:pPr>
      <w:rPr>
        <w:rFonts w:ascii="Symbol" w:hAnsi="Symbol" w:cs="Symbol" w:hint="default"/>
      </w:rPr>
    </w:lvl>
    <w:lvl w:ilvl="3">
      <w:start w:val="1"/>
      <w:numFmt w:val="bullet"/>
      <w:lvlText w:val=""/>
      <w:lvlJc w:val="left"/>
      <w:pPr>
        <w:tabs>
          <w:tab w:val="num" w:pos="2836"/>
        </w:tabs>
        <w:ind w:left="2836" w:hanging="283"/>
      </w:pPr>
      <w:rPr>
        <w:rFonts w:ascii="Symbol" w:hAnsi="Symbol" w:cs="Symbol" w:hint="default"/>
      </w:rPr>
    </w:lvl>
    <w:lvl w:ilvl="4">
      <w:start w:val="1"/>
      <w:numFmt w:val="bullet"/>
      <w:lvlText w:val=""/>
      <w:lvlJc w:val="left"/>
      <w:pPr>
        <w:tabs>
          <w:tab w:val="num" w:pos="3545"/>
        </w:tabs>
        <w:ind w:left="3545" w:hanging="283"/>
      </w:pPr>
      <w:rPr>
        <w:rFonts w:ascii="Symbol" w:hAnsi="Symbol" w:cs="Symbol" w:hint="default"/>
      </w:rPr>
    </w:lvl>
    <w:lvl w:ilvl="5">
      <w:start w:val="1"/>
      <w:numFmt w:val="bullet"/>
      <w:lvlText w:val=""/>
      <w:lvlJc w:val="left"/>
      <w:pPr>
        <w:tabs>
          <w:tab w:val="num" w:pos="4254"/>
        </w:tabs>
        <w:ind w:left="4254" w:hanging="283"/>
      </w:pPr>
      <w:rPr>
        <w:rFonts w:ascii="Symbol" w:hAnsi="Symbol" w:cs="Symbol" w:hint="default"/>
      </w:rPr>
    </w:lvl>
    <w:lvl w:ilvl="6">
      <w:start w:val="1"/>
      <w:numFmt w:val="bullet"/>
      <w:lvlText w:val=""/>
      <w:lvlJc w:val="left"/>
      <w:pPr>
        <w:tabs>
          <w:tab w:val="num" w:pos="4963"/>
        </w:tabs>
        <w:ind w:left="4963" w:hanging="283"/>
      </w:pPr>
      <w:rPr>
        <w:rFonts w:ascii="Symbol" w:hAnsi="Symbol" w:cs="Symbol" w:hint="default"/>
      </w:rPr>
    </w:lvl>
    <w:lvl w:ilvl="7">
      <w:start w:val="1"/>
      <w:numFmt w:val="bullet"/>
      <w:lvlText w:val=""/>
      <w:lvlJc w:val="left"/>
      <w:pPr>
        <w:tabs>
          <w:tab w:val="num" w:pos="5672"/>
        </w:tabs>
        <w:ind w:left="5672" w:hanging="283"/>
      </w:pPr>
      <w:rPr>
        <w:rFonts w:ascii="Symbol" w:hAnsi="Symbol" w:cs="Symbol" w:hint="default"/>
      </w:rPr>
    </w:lvl>
    <w:lvl w:ilvl="8">
      <w:start w:val="1"/>
      <w:numFmt w:val="bullet"/>
      <w:lvlText w:val=""/>
      <w:lvlJc w:val="left"/>
      <w:pPr>
        <w:tabs>
          <w:tab w:val="num" w:pos="6381"/>
        </w:tabs>
        <w:ind w:left="6381" w:hanging="283"/>
      </w:pPr>
      <w:rPr>
        <w:rFonts w:ascii="Symbol" w:hAnsi="Symbol" w:cs="Symbol" w:hint="default"/>
      </w:rPr>
    </w:lvl>
  </w:abstractNum>
  <w:abstractNum w:abstractNumId="7">
    <w:lvl w:ilvl="0">
      <w:start w:val="1"/>
      <w:numFmt w:val="bullet"/>
      <w:lvlText w:val=""/>
      <w:lvlJc w:val="left"/>
      <w:pPr>
        <w:tabs>
          <w:tab w:val="num" w:pos="709"/>
        </w:tabs>
        <w:ind w:left="709" w:hanging="283"/>
      </w:pPr>
      <w:rPr>
        <w:rFonts w:ascii="Symbol" w:hAnsi="Symbol" w:cs="Symbol" w:hint="default"/>
      </w:rPr>
    </w:lvl>
    <w:lvl w:ilvl="1">
      <w:start w:val="1"/>
      <w:numFmt w:val="bullet"/>
      <w:lvlText w:val=""/>
      <w:lvlJc w:val="left"/>
      <w:pPr>
        <w:tabs>
          <w:tab w:val="num" w:pos="1418"/>
        </w:tabs>
        <w:ind w:left="1418" w:hanging="283"/>
      </w:pPr>
      <w:rPr>
        <w:rFonts w:ascii="Symbol" w:hAnsi="Symbol" w:cs="Symbol" w:hint="default"/>
      </w:rPr>
    </w:lvl>
    <w:lvl w:ilvl="2">
      <w:start w:val="1"/>
      <w:numFmt w:val="bullet"/>
      <w:lvlText w:val=""/>
      <w:lvlJc w:val="left"/>
      <w:pPr>
        <w:tabs>
          <w:tab w:val="num" w:pos="2127"/>
        </w:tabs>
        <w:ind w:left="2127" w:hanging="283"/>
      </w:pPr>
      <w:rPr>
        <w:rFonts w:ascii="Symbol" w:hAnsi="Symbol" w:cs="Symbol" w:hint="default"/>
      </w:rPr>
    </w:lvl>
    <w:lvl w:ilvl="3">
      <w:start w:val="1"/>
      <w:numFmt w:val="bullet"/>
      <w:lvlText w:val=""/>
      <w:lvlJc w:val="left"/>
      <w:pPr>
        <w:tabs>
          <w:tab w:val="num" w:pos="2836"/>
        </w:tabs>
        <w:ind w:left="2836" w:hanging="283"/>
      </w:pPr>
      <w:rPr>
        <w:rFonts w:ascii="Symbol" w:hAnsi="Symbol" w:cs="Symbol" w:hint="default"/>
      </w:rPr>
    </w:lvl>
    <w:lvl w:ilvl="4">
      <w:start w:val="1"/>
      <w:numFmt w:val="bullet"/>
      <w:lvlText w:val=""/>
      <w:lvlJc w:val="left"/>
      <w:pPr>
        <w:tabs>
          <w:tab w:val="num" w:pos="3545"/>
        </w:tabs>
        <w:ind w:left="3545" w:hanging="283"/>
      </w:pPr>
      <w:rPr>
        <w:rFonts w:ascii="Symbol" w:hAnsi="Symbol" w:cs="Symbol" w:hint="default"/>
      </w:rPr>
    </w:lvl>
    <w:lvl w:ilvl="5">
      <w:start w:val="1"/>
      <w:numFmt w:val="bullet"/>
      <w:lvlText w:val=""/>
      <w:lvlJc w:val="left"/>
      <w:pPr>
        <w:tabs>
          <w:tab w:val="num" w:pos="4254"/>
        </w:tabs>
        <w:ind w:left="4254" w:hanging="283"/>
      </w:pPr>
      <w:rPr>
        <w:rFonts w:ascii="Symbol" w:hAnsi="Symbol" w:cs="Symbol" w:hint="default"/>
      </w:rPr>
    </w:lvl>
    <w:lvl w:ilvl="6">
      <w:start w:val="1"/>
      <w:numFmt w:val="bullet"/>
      <w:lvlText w:val=""/>
      <w:lvlJc w:val="left"/>
      <w:pPr>
        <w:tabs>
          <w:tab w:val="num" w:pos="4963"/>
        </w:tabs>
        <w:ind w:left="4963" w:hanging="283"/>
      </w:pPr>
      <w:rPr>
        <w:rFonts w:ascii="Symbol" w:hAnsi="Symbol" w:cs="Symbol" w:hint="default"/>
      </w:rPr>
    </w:lvl>
    <w:lvl w:ilvl="7">
      <w:start w:val="1"/>
      <w:numFmt w:val="bullet"/>
      <w:lvlText w:val=""/>
      <w:lvlJc w:val="left"/>
      <w:pPr>
        <w:tabs>
          <w:tab w:val="num" w:pos="5672"/>
        </w:tabs>
        <w:ind w:left="5672" w:hanging="283"/>
      </w:pPr>
      <w:rPr>
        <w:rFonts w:ascii="Symbol" w:hAnsi="Symbol" w:cs="Symbol" w:hint="default"/>
      </w:rPr>
    </w:lvl>
    <w:lvl w:ilvl="8">
      <w:start w:val="1"/>
      <w:numFmt w:val="bullet"/>
      <w:lvlText w:val=""/>
      <w:lvlJc w:val="left"/>
      <w:pPr>
        <w:tabs>
          <w:tab w:val="num" w:pos="6381"/>
        </w:tabs>
        <w:ind w:left="6381" w:hanging="283"/>
      </w:pPr>
      <w:rPr>
        <w:rFonts w:ascii="Symbol" w:hAnsi="Symbol" w:cs="Symbol" w:hint="default"/>
      </w:rPr>
    </w:lvl>
  </w:abstractNum>
  <w:abstractNum w:abstractNumId="8">
    <w:lvl w:ilvl="0">
      <w:start w:val="1"/>
      <w:numFmt w:val="bullet"/>
      <w:lvlText w:val=""/>
      <w:lvlJc w:val="left"/>
      <w:pPr>
        <w:tabs>
          <w:tab w:val="num" w:pos="709"/>
        </w:tabs>
        <w:ind w:left="709" w:hanging="283"/>
      </w:pPr>
      <w:rPr>
        <w:rFonts w:ascii="Symbol" w:hAnsi="Symbol" w:cs="Symbol" w:hint="default"/>
      </w:rPr>
    </w:lvl>
    <w:lvl w:ilvl="1">
      <w:start w:val="1"/>
      <w:numFmt w:val="bullet"/>
      <w:lvlText w:val=""/>
      <w:lvlJc w:val="left"/>
      <w:pPr>
        <w:tabs>
          <w:tab w:val="num" w:pos="1418"/>
        </w:tabs>
        <w:ind w:left="1418" w:hanging="283"/>
      </w:pPr>
      <w:rPr>
        <w:rFonts w:ascii="Symbol" w:hAnsi="Symbol" w:cs="Symbol" w:hint="default"/>
      </w:rPr>
    </w:lvl>
    <w:lvl w:ilvl="2">
      <w:start w:val="1"/>
      <w:numFmt w:val="bullet"/>
      <w:lvlText w:val=""/>
      <w:lvlJc w:val="left"/>
      <w:pPr>
        <w:tabs>
          <w:tab w:val="num" w:pos="2127"/>
        </w:tabs>
        <w:ind w:left="2127" w:hanging="283"/>
      </w:pPr>
      <w:rPr>
        <w:rFonts w:ascii="Symbol" w:hAnsi="Symbol" w:cs="Symbol" w:hint="default"/>
      </w:rPr>
    </w:lvl>
    <w:lvl w:ilvl="3">
      <w:start w:val="1"/>
      <w:numFmt w:val="bullet"/>
      <w:lvlText w:val=""/>
      <w:lvlJc w:val="left"/>
      <w:pPr>
        <w:tabs>
          <w:tab w:val="num" w:pos="2836"/>
        </w:tabs>
        <w:ind w:left="2836" w:hanging="283"/>
      </w:pPr>
      <w:rPr>
        <w:rFonts w:ascii="Symbol" w:hAnsi="Symbol" w:cs="Symbol" w:hint="default"/>
      </w:rPr>
    </w:lvl>
    <w:lvl w:ilvl="4">
      <w:start w:val="1"/>
      <w:numFmt w:val="bullet"/>
      <w:lvlText w:val=""/>
      <w:lvlJc w:val="left"/>
      <w:pPr>
        <w:tabs>
          <w:tab w:val="num" w:pos="3545"/>
        </w:tabs>
        <w:ind w:left="3545" w:hanging="283"/>
      </w:pPr>
      <w:rPr>
        <w:rFonts w:ascii="Symbol" w:hAnsi="Symbol" w:cs="Symbol" w:hint="default"/>
      </w:rPr>
    </w:lvl>
    <w:lvl w:ilvl="5">
      <w:start w:val="1"/>
      <w:numFmt w:val="bullet"/>
      <w:lvlText w:val=""/>
      <w:lvlJc w:val="left"/>
      <w:pPr>
        <w:tabs>
          <w:tab w:val="num" w:pos="4254"/>
        </w:tabs>
        <w:ind w:left="4254" w:hanging="283"/>
      </w:pPr>
      <w:rPr>
        <w:rFonts w:ascii="Symbol" w:hAnsi="Symbol" w:cs="Symbol" w:hint="default"/>
      </w:rPr>
    </w:lvl>
    <w:lvl w:ilvl="6">
      <w:start w:val="1"/>
      <w:numFmt w:val="bullet"/>
      <w:lvlText w:val=""/>
      <w:lvlJc w:val="left"/>
      <w:pPr>
        <w:tabs>
          <w:tab w:val="num" w:pos="4963"/>
        </w:tabs>
        <w:ind w:left="4963" w:hanging="283"/>
      </w:pPr>
      <w:rPr>
        <w:rFonts w:ascii="Symbol" w:hAnsi="Symbol" w:cs="Symbol" w:hint="default"/>
      </w:rPr>
    </w:lvl>
    <w:lvl w:ilvl="7">
      <w:start w:val="1"/>
      <w:numFmt w:val="bullet"/>
      <w:lvlText w:val=""/>
      <w:lvlJc w:val="left"/>
      <w:pPr>
        <w:tabs>
          <w:tab w:val="num" w:pos="5672"/>
        </w:tabs>
        <w:ind w:left="5672" w:hanging="283"/>
      </w:pPr>
      <w:rPr>
        <w:rFonts w:ascii="Symbol" w:hAnsi="Symbol" w:cs="Symbol" w:hint="default"/>
      </w:rPr>
    </w:lvl>
    <w:lvl w:ilvl="8">
      <w:start w:val="1"/>
      <w:numFmt w:val="bullet"/>
      <w:lvlText w:val=""/>
      <w:lvlJc w:val="left"/>
      <w:pPr>
        <w:tabs>
          <w:tab w:val="num" w:pos="6381"/>
        </w:tabs>
        <w:ind w:left="6381" w:hanging="283"/>
      </w:pPr>
      <w:rPr>
        <w:rFonts w:ascii="Symbol" w:hAnsi="Symbol" w:cs="Symbol" w:hint="default"/>
      </w:rPr>
    </w:lvl>
  </w:abstractNum>
  <w:abstractNum w:abstractNumId="9">
    <w:lvl w:ilvl="0">
      <w:start w:val="1"/>
      <w:numFmt w:val="bullet"/>
      <w:lvlText w:val=""/>
      <w:lvlJc w:val="left"/>
      <w:pPr>
        <w:tabs>
          <w:tab w:val="num" w:pos="709"/>
        </w:tabs>
        <w:ind w:left="709" w:hanging="283"/>
      </w:pPr>
      <w:rPr>
        <w:rFonts w:ascii="Symbol" w:hAnsi="Symbol" w:cs="Symbol" w:hint="default"/>
      </w:rPr>
    </w:lvl>
    <w:lvl w:ilvl="1">
      <w:start w:val="1"/>
      <w:numFmt w:val="bullet"/>
      <w:lvlText w:val=""/>
      <w:lvlJc w:val="left"/>
      <w:pPr>
        <w:tabs>
          <w:tab w:val="num" w:pos="1418"/>
        </w:tabs>
        <w:ind w:left="1418" w:hanging="283"/>
      </w:pPr>
      <w:rPr>
        <w:rFonts w:ascii="Symbol" w:hAnsi="Symbol" w:cs="Symbol" w:hint="default"/>
      </w:rPr>
    </w:lvl>
    <w:lvl w:ilvl="2">
      <w:start w:val="1"/>
      <w:numFmt w:val="bullet"/>
      <w:lvlText w:val=""/>
      <w:lvlJc w:val="left"/>
      <w:pPr>
        <w:tabs>
          <w:tab w:val="num" w:pos="2127"/>
        </w:tabs>
        <w:ind w:left="2127" w:hanging="283"/>
      </w:pPr>
      <w:rPr>
        <w:rFonts w:ascii="Symbol" w:hAnsi="Symbol" w:cs="Symbol" w:hint="default"/>
      </w:rPr>
    </w:lvl>
    <w:lvl w:ilvl="3">
      <w:start w:val="1"/>
      <w:numFmt w:val="bullet"/>
      <w:lvlText w:val=""/>
      <w:lvlJc w:val="left"/>
      <w:pPr>
        <w:tabs>
          <w:tab w:val="num" w:pos="2836"/>
        </w:tabs>
        <w:ind w:left="2836" w:hanging="283"/>
      </w:pPr>
      <w:rPr>
        <w:rFonts w:ascii="Symbol" w:hAnsi="Symbol" w:cs="Symbol" w:hint="default"/>
      </w:rPr>
    </w:lvl>
    <w:lvl w:ilvl="4">
      <w:start w:val="1"/>
      <w:numFmt w:val="bullet"/>
      <w:lvlText w:val=""/>
      <w:lvlJc w:val="left"/>
      <w:pPr>
        <w:tabs>
          <w:tab w:val="num" w:pos="3545"/>
        </w:tabs>
        <w:ind w:left="3545" w:hanging="283"/>
      </w:pPr>
      <w:rPr>
        <w:rFonts w:ascii="Symbol" w:hAnsi="Symbol" w:cs="Symbol" w:hint="default"/>
      </w:rPr>
    </w:lvl>
    <w:lvl w:ilvl="5">
      <w:start w:val="1"/>
      <w:numFmt w:val="bullet"/>
      <w:lvlText w:val=""/>
      <w:lvlJc w:val="left"/>
      <w:pPr>
        <w:tabs>
          <w:tab w:val="num" w:pos="4254"/>
        </w:tabs>
        <w:ind w:left="4254" w:hanging="283"/>
      </w:pPr>
      <w:rPr>
        <w:rFonts w:ascii="Symbol" w:hAnsi="Symbol" w:cs="Symbol" w:hint="default"/>
      </w:rPr>
    </w:lvl>
    <w:lvl w:ilvl="6">
      <w:start w:val="1"/>
      <w:numFmt w:val="bullet"/>
      <w:lvlText w:val=""/>
      <w:lvlJc w:val="left"/>
      <w:pPr>
        <w:tabs>
          <w:tab w:val="num" w:pos="4963"/>
        </w:tabs>
        <w:ind w:left="4963" w:hanging="283"/>
      </w:pPr>
      <w:rPr>
        <w:rFonts w:ascii="Symbol" w:hAnsi="Symbol" w:cs="Symbol" w:hint="default"/>
      </w:rPr>
    </w:lvl>
    <w:lvl w:ilvl="7">
      <w:start w:val="1"/>
      <w:numFmt w:val="bullet"/>
      <w:lvlText w:val=""/>
      <w:lvlJc w:val="left"/>
      <w:pPr>
        <w:tabs>
          <w:tab w:val="num" w:pos="5672"/>
        </w:tabs>
        <w:ind w:left="5672" w:hanging="283"/>
      </w:pPr>
      <w:rPr>
        <w:rFonts w:ascii="Symbol" w:hAnsi="Symbol" w:cs="Symbol" w:hint="default"/>
      </w:rPr>
    </w:lvl>
    <w:lvl w:ilvl="8">
      <w:start w:val="1"/>
      <w:numFmt w:val="bullet"/>
      <w:lvlText w:val=""/>
      <w:lvlJc w:val="left"/>
      <w:pPr>
        <w:tabs>
          <w:tab w:val="num" w:pos="6381"/>
        </w:tabs>
        <w:ind w:left="6381" w:hanging="283"/>
      </w:pPr>
      <w:rPr>
        <w:rFonts w:ascii="Symbol" w:hAnsi="Symbol" w:cs="Symbol" w:hint="default"/>
      </w:rPr>
    </w:lvl>
  </w:abstractNum>
  <w:abstractNum w:abstractNumId="10">
    <w:lvl w:ilvl="0">
      <w:start w:val="1"/>
      <w:numFmt w:val="bullet"/>
      <w:lvlText w:val=""/>
      <w:lvlJc w:val="left"/>
      <w:pPr>
        <w:tabs>
          <w:tab w:val="num" w:pos="709"/>
        </w:tabs>
        <w:ind w:left="709" w:hanging="283"/>
      </w:pPr>
      <w:rPr>
        <w:rFonts w:ascii="Symbol" w:hAnsi="Symbol" w:cs="Symbol" w:hint="default"/>
      </w:rPr>
    </w:lvl>
    <w:lvl w:ilvl="1">
      <w:start w:val="1"/>
      <w:numFmt w:val="bullet"/>
      <w:lvlText w:val=""/>
      <w:lvlJc w:val="left"/>
      <w:pPr>
        <w:tabs>
          <w:tab w:val="num" w:pos="1418"/>
        </w:tabs>
        <w:ind w:left="1418" w:hanging="283"/>
      </w:pPr>
      <w:rPr>
        <w:rFonts w:ascii="Symbol" w:hAnsi="Symbol" w:cs="Symbol" w:hint="default"/>
      </w:rPr>
    </w:lvl>
    <w:lvl w:ilvl="2">
      <w:start w:val="1"/>
      <w:numFmt w:val="bullet"/>
      <w:lvlText w:val=""/>
      <w:lvlJc w:val="left"/>
      <w:pPr>
        <w:tabs>
          <w:tab w:val="num" w:pos="2127"/>
        </w:tabs>
        <w:ind w:left="2127" w:hanging="283"/>
      </w:pPr>
      <w:rPr>
        <w:rFonts w:ascii="Symbol" w:hAnsi="Symbol" w:cs="Symbol" w:hint="default"/>
      </w:rPr>
    </w:lvl>
    <w:lvl w:ilvl="3">
      <w:start w:val="1"/>
      <w:numFmt w:val="bullet"/>
      <w:lvlText w:val=""/>
      <w:lvlJc w:val="left"/>
      <w:pPr>
        <w:tabs>
          <w:tab w:val="num" w:pos="2836"/>
        </w:tabs>
        <w:ind w:left="2836" w:hanging="283"/>
      </w:pPr>
      <w:rPr>
        <w:rFonts w:ascii="Symbol" w:hAnsi="Symbol" w:cs="Symbol" w:hint="default"/>
      </w:rPr>
    </w:lvl>
    <w:lvl w:ilvl="4">
      <w:start w:val="1"/>
      <w:numFmt w:val="bullet"/>
      <w:lvlText w:val=""/>
      <w:lvlJc w:val="left"/>
      <w:pPr>
        <w:tabs>
          <w:tab w:val="num" w:pos="3545"/>
        </w:tabs>
        <w:ind w:left="3545" w:hanging="283"/>
      </w:pPr>
      <w:rPr>
        <w:rFonts w:ascii="Symbol" w:hAnsi="Symbol" w:cs="Symbol" w:hint="default"/>
      </w:rPr>
    </w:lvl>
    <w:lvl w:ilvl="5">
      <w:start w:val="1"/>
      <w:numFmt w:val="bullet"/>
      <w:lvlText w:val=""/>
      <w:lvlJc w:val="left"/>
      <w:pPr>
        <w:tabs>
          <w:tab w:val="num" w:pos="4254"/>
        </w:tabs>
        <w:ind w:left="4254" w:hanging="283"/>
      </w:pPr>
      <w:rPr>
        <w:rFonts w:ascii="Symbol" w:hAnsi="Symbol" w:cs="Symbol" w:hint="default"/>
      </w:rPr>
    </w:lvl>
    <w:lvl w:ilvl="6">
      <w:start w:val="1"/>
      <w:numFmt w:val="bullet"/>
      <w:lvlText w:val=""/>
      <w:lvlJc w:val="left"/>
      <w:pPr>
        <w:tabs>
          <w:tab w:val="num" w:pos="4963"/>
        </w:tabs>
        <w:ind w:left="4963" w:hanging="283"/>
      </w:pPr>
      <w:rPr>
        <w:rFonts w:ascii="Symbol" w:hAnsi="Symbol" w:cs="Symbol" w:hint="default"/>
      </w:rPr>
    </w:lvl>
    <w:lvl w:ilvl="7">
      <w:start w:val="1"/>
      <w:numFmt w:val="bullet"/>
      <w:lvlText w:val=""/>
      <w:lvlJc w:val="left"/>
      <w:pPr>
        <w:tabs>
          <w:tab w:val="num" w:pos="5672"/>
        </w:tabs>
        <w:ind w:left="5672" w:hanging="283"/>
      </w:pPr>
      <w:rPr>
        <w:rFonts w:ascii="Symbol" w:hAnsi="Symbol" w:cs="Symbol" w:hint="default"/>
      </w:rPr>
    </w:lvl>
    <w:lvl w:ilvl="8">
      <w:start w:val="1"/>
      <w:numFmt w:val="bullet"/>
      <w:lvlText w:val=""/>
      <w:lvlJc w:val="left"/>
      <w:pPr>
        <w:tabs>
          <w:tab w:val="num" w:pos="6381"/>
        </w:tabs>
        <w:ind w:left="6381" w:hanging="283"/>
      </w:pPr>
      <w:rPr>
        <w:rFonts w:ascii="Symbol" w:hAnsi="Symbol" w:cs="Symbol" w:hint="default"/>
      </w:rPr>
    </w:lvl>
  </w:abstractNum>
  <w:abstractNum w:abstractNumId="11">
    <w:lvl w:ilvl="0">
      <w:start w:val="1"/>
      <w:numFmt w:val="none"/>
      <w:suff w:val="nothing"/>
      <w:lvlText w:val=""/>
      <w:lvlJc w:val="left"/>
      <w:pPr>
        <w:tabs>
          <w:tab w:val="num" w:pos="0"/>
        </w:tabs>
        <w:ind w:left="0" w:hanging="0"/>
      </w:pPr>
    </w:lvl>
    <w:lvl w:ilvl="1">
      <w:start w:val="1"/>
      <w:numFmt w:val="none"/>
      <w:suff w:val="nothing"/>
      <w:lvlText w:val=""/>
      <w:lvlJc w:val="left"/>
      <w:pPr>
        <w:tabs>
          <w:tab w:val="num" w:pos="0"/>
        </w:tabs>
        <w:ind w:left="0" w:hanging="0"/>
      </w:pPr>
    </w:lvl>
    <w:lvl w:ilvl="2">
      <w:start w:val="1"/>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bering>
</file>

<file path=word/settings.xml><?xml version="1.0" encoding="utf-8"?>
<w:settings xmlns:w="http://schemas.openxmlformats.org/wordprocessingml/2006/main">
  <w:zoom w:percent="140"/>
  <w:defaultTabStop w:val="720"/>
  <w:autoHyphenation w:val="true"/>
  <w:compat>
    <w:compatSetting w:name="compatibilityMode" w:uri="http://schemas.microsoft.com/office/word" w:val="12"/>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Liberation Serif" w:hAnsi="Liberation Serif" w:eastAsia="NSimSun" w:cs="Arial"/>
        <w:kern w:val="2"/>
        <w:sz w:val="24"/>
        <w:szCs w:val="24"/>
        <w:lang w:val="en-US" w:eastAsia="zh-CN" w:bidi="hi-IN"/>
      </w:rPr>
    </w:rPrDefault>
    <w:pPrDefault>
      <w:pPr>
        <w:suppressAutoHyphens w:val="true"/>
      </w:pPr>
    </w:pPrDefault>
  </w:docDefaults>
  <w:style w:type="paragraph" w:styleId="Normal">
    <w:name w:val="Normal"/>
    <w:qFormat/>
    <w:pPr>
      <w:widowControl/>
      <w:suppressAutoHyphens w:val="true"/>
      <w:bidi w:val="0"/>
      <w:spacing w:before="0" w:after="0"/>
      <w:jc w:val="left"/>
    </w:pPr>
    <w:rPr>
      <w:rFonts w:ascii="Liberation Serif" w:hAnsi="Liberation Serif" w:eastAsia="NSimSun" w:cs="Arial"/>
      <w:color w:val="auto"/>
      <w:kern w:val="2"/>
      <w:sz w:val="24"/>
      <w:szCs w:val="24"/>
      <w:lang w:val="en-US" w:eastAsia="zh-CN" w:bidi="hi-IN"/>
    </w:rPr>
  </w:style>
  <w:style w:type="paragraph" w:styleId="Heading2">
    <w:name w:val="Heading 2"/>
    <w:basedOn w:val="Heading"/>
    <w:next w:val="BodyText"/>
    <w:qFormat/>
    <w:pPr>
      <w:spacing w:before="200" w:after="120"/>
      <w:outlineLvl w:val="1"/>
    </w:pPr>
    <w:rPr>
      <w:rFonts w:ascii="Liberation Serif" w:hAnsi="Liberation Serif" w:eastAsia="NSimSun" w:cs="Arial"/>
      <w:b/>
      <w:bCs/>
      <w:sz w:val="36"/>
      <w:szCs w:val="36"/>
    </w:rPr>
  </w:style>
  <w:style w:type="paragraph" w:styleId="Heading3">
    <w:name w:val="Heading 3"/>
    <w:basedOn w:val="Heading"/>
    <w:next w:val="BodyText"/>
    <w:qFormat/>
    <w:pPr>
      <w:spacing w:before="140" w:after="120"/>
      <w:outlineLvl w:val="2"/>
    </w:pPr>
    <w:rPr>
      <w:rFonts w:ascii="Liberation Serif" w:hAnsi="Liberation Serif" w:eastAsia="NSimSun" w:cs="Arial"/>
      <w:b/>
      <w:bCs/>
      <w:sz w:val="28"/>
      <w:szCs w:val="28"/>
    </w:rPr>
  </w:style>
  <w:style w:type="character" w:styleId="Strong">
    <w:name w:val="Strong"/>
    <w:qFormat/>
    <w:rPr>
      <w:b/>
      <w:bCs/>
    </w:rPr>
  </w:style>
  <w:style w:type="character" w:styleId="Emphasis">
    <w:name w:val="Emphasis"/>
    <w:qFormat/>
    <w:rPr>
      <w:i/>
      <w:iCs/>
    </w:rPr>
  </w:style>
  <w:style w:type="character" w:styleId="Hyperlink">
    <w:name w:val="Hyperlink"/>
    <w:rPr>
      <w:color w:val="000080"/>
      <w:u w:val="single"/>
    </w:rPr>
  </w:style>
  <w:style w:type="paragraph" w:styleId="Heading">
    <w:name w:val="Heading"/>
    <w:basedOn w:val="Normal"/>
    <w:next w:val="BodyText"/>
    <w:qFormat/>
    <w:pPr>
      <w:keepNext w:val="true"/>
      <w:spacing w:before="240" w:after="120"/>
    </w:pPr>
    <w:rPr>
      <w:rFonts w:ascii="Liberation Sans" w:hAnsi="Liberation Sans" w:eastAsia="Microsoft YaHei" w:cs="Arial"/>
      <w:sz w:val="28"/>
      <w:szCs w:val="28"/>
    </w:rPr>
  </w:style>
  <w:style w:type="paragraph" w:styleId="BodyText">
    <w:name w:val="Body Text"/>
    <w:basedOn w:val="Normal"/>
    <w:pPr>
      <w:spacing w:lineRule="auto" w:line="276" w:before="0" w:after="140"/>
    </w:pPr>
    <w:rPr/>
  </w:style>
  <w:style w:type="paragraph" w:styleId="List">
    <w:name w:val="List"/>
    <w:basedOn w:val="BodyText"/>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HorizontalLine">
    <w:name w:val="Horizontal Line"/>
    <w:basedOn w:val="Normal"/>
    <w:next w:val="BodyText"/>
    <w:qFormat/>
    <w:pPr>
      <w:suppressLineNumbers/>
      <w:pBdr>
        <w:bottom w:val="double" w:sz="2" w:space="0" w:color="808080"/>
      </w:pBdr>
      <w:spacing w:before="0" w:after="283"/>
    </w:pPr>
    <w:rPr>
      <w:sz w:val="12"/>
      <w:szCs w:val="12"/>
    </w:rPr>
  </w:style>
  <w:style w:type="paragraph" w:styleId="HeaderandFooter">
    <w:name w:val="Header and Footer"/>
    <w:basedOn w:val="Normal"/>
    <w:qFormat/>
    <w:pPr>
      <w:suppressLineNumbers/>
      <w:tabs>
        <w:tab w:val="clear" w:pos="720"/>
        <w:tab w:val="center" w:pos="4986" w:leader="none"/>
        <w:tab w:val="right" w:pos="9972" w:leader="none"/>
      </w:tabs>
    </w:pPr>
    <w:rPr/>
  </w:style>
  <w:style w:type="paragraph" w:styleId="Footer">
    <w:name w:val="Footer"/>
    <w:basedOn w:val="HeaderandFooter"/>
    <w:pPr>
      <w:suppressLineNumbers/>
    </w:pPr>
    <w:r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hyperlink" Target="https://www2.deloitte.com/" TargetMode="External"/><Relationship Id="rId4" Type="http://schemas.openxmlformats.org/officeDocument/2006/relationships/hyperlink" Target="https://www.lloydsbankinggroup.com/" TargetMode="External"/><Relationship Id="rId5" Type="http://schemas.openxmlformats.org/officeDocument/2006/relationships/hyperlink" Target="https://www.mckinsey.com/" TargetMode="External"/><Relationship Id="rId6" Type="http://schemas.openxmlformats.org/officeDocument/2006/relationships/hyperlink" Target="https://www.prosci.com/" TargetMode="External"/><Relationship Id="rId7" Type="http://schemas.openxmlformats.org/officeDocument/2006/relationships/hyperlink" Target="https://www.wtwco.com/" TargetMode="External"/><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footer" Target="footer3.xml"/><Relationship Id="rId11" Type="http://schemas.openxmlformats.org/officeDocument/2006/relationships/numbering" Target="numbering.xml"/><Relationship Id="rId12" Type="http://schemas.openxmlformats.org/officeDocument/2006/relationships/fontTable" Target="fontTable.xml"/><Relationship Id="rId13" Type="http://schemas.openxmlformats.org/officeDocument/2006/relationships/settings" Target="settings.xml"/><Relationship Id="rId14" Type="http://schemas.openxmlformats.org/officeDocument/2006/relationships/theme" Target="theme/theme1.xml"/>
</Relationships>
</file>

<file path=word/theme/theme1.xml><?xml version="1.0" encoding="utf-8"?>
<a:theme xmlns:a="http://schemas.openxmlformats.org/drawingml/2006/main" xmlns:r="http://schemas.openxmlformats.org/officeDocument/2006/relationships" name="Office">
  <a:themeElements>
    <a:clrScheme name="LibreOffice">
      <a:dk1>
        <a:srgbClr val="000000"/>
      </a:dk1>
      <a:lt1>
        <a:srgbClr val="ffffff"/>
      </a:lt1>
      <a:dk2>
        <a:srgbClr val="000000"/>
      </a:dk2>
      <a:lt2>
        <a:srgbClr val="ffffff"/>
      </a:lt2>
      <a:accent1>
        <a:srgbClr val="18a303"/>
      </a:accent1>
      <a:accent2>
        <a:srgbClr val="0369a3"/>
      </a:accent2>
      <a:accent3>
        <a:srgbClr val="a33e03"/>
      </a:accent3>
      <a:accent4>
        <a:srgbClr val="8e03a3"/>
      </a:accent4>
      <a:accent5>
        <a:srgbClr val="c99c00"/>
      </a:accent5>
      <a:accent6>
        <a:srgbClr val="c9211e"/>
      </a:accent6>
      <a:hlink>
        <a:srgbClr val="0000ee"/>
      </a:hlink>
      <a:folHlink>
        <a:srgbClr val="551a8b"/>
      </a:folHlink>
    </a:clrScheme>
    <a:fontScheme name="Office">
      <a:majorFont>
        <a:latin typeface="Arial" pitchFamily="0" charset="1"/>
        <a:ea typeface="DejaVu Sans" pitchFamily="0" charset="1"/>
        <a:cs typeface="DejaVu Sans" pitchFamily="0" charset="1"/>
      </a:majorFont>
      <a:minorFont>
        <a:latin typeface="Arial" pitchFamily="0" charset="1"/>
        <a:ea typeface="DejaVu Sans" pitchFamily="0" charset="1"/>
        <a:cs typeface="DejaVu Sans" pitchFamily="0" charset="1"/>
      </a:minorFont>
    </a:fontScheme>
    <a:fmtScheme>
      <a:fillStyleLst>
        <a:solidFill>
          <a:schemeClr val="phClr"/>
        </a:solidFill>
        <a:solidFill>
          <a:schemeClr val="phClr"/>
        </a:solidFill>
        <a:solidFill>
          <a:schemeClr val="phClr"/>
        </a:solidFill>
      </a:fillStyleLst>
      <a:lnStyleLst>
        <a:ln w="6350" cap="flat" cmpd="sng" algn="ctr">
          <a:prstDash val="solid"/>
          <a:miter/>
        </a:ln>
        <a:ln w="6350" cap="flat" cmpd="sng" algn="ctr">
          <a:prstDash val="solid"/>
          <a:miter/>
        </a:ln>
        <a:ln w="6350" cap="flat" cmpd="sng" algn="ctr">
          <a:prstDash val="solid"/>
          <a:miter/>
        </a:ln>
      </a:lnStyleLst>
      <a:effectStyleLst>
        <a:effectStyle>
          <a:effectLst/>
        </a:effectStyle>
        <a:effectStyle>
          <a:effectLst/>
        </a:effectStyle>
        <a:effectStyle>
          <a:effectLst/>
        </a:effectStyle>
      </a:effectStyleLst>
      <a:bgFillStyleLst>
        <a:solidFill>
          <a:schemeClr val="phClr"/>
        </a:solidFill>
        <a:solidFill>
          <a:schemeClr val="phClr"/>
        </a:solidFill>
        <a:solidFill>
          <a:schemeClr val="phClr"/>
        </a:solidFill>
      </a:bgFillStyleLst>
    </a:fmtScheme>
  </a:themeElements>
</a:theme>
</file>

<file path=docProps/app.xml><?xml version="1.0" encoding="utf-8"?>
<Properties xmlns="http://schemas.openxmlformats.org/officeDocument/2006/extended-properties" xmlns:vt="http://schemas.openxmlformats.org/officeDocument/2006/docPropsVTypes">
  <Template/>
  <TotalTime>34</TotalTime>
  <Application>LibreOffice/24.2.1.2$Windows_X86_64 LibreOffice_project/db4def46b0453cc22e2d0305797cf981b68ef5ac</Application>
  <AppVersion>15.0000</AppVersion>
  <Pages>15</Pages>
  <Words>5243</Words>
  <Characters>32363</Characters>
  <CharactersWithSpaces>37526</CharactersWithSpaces>
  <Paragraphs>130</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2024-11-16T14:00:47Z</dcterms:created>
  <dc:creator/>
  <dc:description/>
  <dc:language>en-US</dc:language>
  <cp:lastModifiedBy/>
  <dcterms:modified xsi:type="dcterms:W3CDTF">2024-11-18T13:52:40Z</dcterms:modified>
  <cp:revision>4</cp:revision>
  <dc:subject/>
  <dc:title/>
</cp:coreProperties>
</file>

<file path=docProps/custom.xml><?xml version="1.0" encoding="utf-8"?>
<Properties xmlns="http://schemas.openxmlformats.org/officeDocument/2006/custom-properties" xmlns:vt="http://schemas.openxmlformats.org/officeDocument/2006/docPropsVTypes"/>
</file>